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BF072" w14:textId="77777777" w:rsidR="00C92582" w:rsidRPr="0013279B" w:rsidRDefault="00C92582" w:rsidP="000020A5">
      <w:pPr>
        <w:rPr>
          <w:color w:val="000000"/>
        </w:rPr>
      </w:pPr>
    </w:p>
    <w:p w14:paraId="2B83F85E" w14:textId="77777777" w:rsidR="00C92582" w:rsidRPr="0013279B" w:rsidRDefault="00C92582" w:rsidP="000020A5">
      <w:pPr>
        <w:rPr>
          <w:color w:val="000000"/>
        </w:rPr>
      </w:pPr>
    </w:p>
    <w:p w14:paraId="00DBF569" w14:textId="77777777" w:rsidR="00C92582" w:rsidRPr="0013279B" w:rsidRDefault="00C92582" w:rsidP="000020A5">
      <w:pPr>
        <w:rPr>
          <w:color w:val="000000"/>
        </w:rPr>
      </w:pPr>
    </w:p>
    <w:p w14:paraId="116266A8" w14:textId="77777777" w:rsidR="00C92582" w:rsidRPr="0013279B" w:rsidRDefault="00C92582" w:rsidP="000020A5">
      <w:pPr>
        <w:rPr>
          <w:color w:val="000000"/>
        </w:rPr>
      </w:pPr>
    </w:p>
    <w:p w14:paraId="273637E3" w14:textId="77777777" w:rsidR="0063739C" w:rsidRPr="0013279B" w:rsidRDefault="0063739C" w:rsidP="000020A5">
      <w:pPr>
        <w:rPr>
          <w:b/>
          <w:color w:val="000000"/>
          <w:sz w:val="40"/>
          <w:szCs w:val="40"/>
        </w:rPr>
      </w:pPr>
    </w:p>
    <w:p w14:paraId="660AD3A5" w14:textId="77777777" w:rsidR="0063739C" w:rsidRPr="00E94B9C" w:rsidRDefault="00124B8E" w:rsidP="000020A5">
      <w:pPr>
        <w:jc w:val="center"/>
        <w:rPr>
          <w:b/>
          <w:color w:val="000000"/>
          <w:sz w:val="40"/>
          <w:szCs w:val="40"/>
        </w:rPr>
      </w:pPr>
      <w:r w:rsidRPr="00E94B9C">
        <w:rPr>
          <w:b/>
          <w:color w:val="000000"/>
          <w:sz w:val="40"/>
          <w:szCs w:val="40"/>
        </w:rPr>
        <w:t>Co</w:t>
      </w:r>
      <w:r w:rsidR="0063739C" w:rsidRPr="00E94B9C">
        <w:rPr>
          <w:b/>
          <w:color w:val="000000"/>
          <w:sz w:val="40"/>
          <w:szCs w:val="40"/>
        </w:rPr>
        <w:t xml:space="preserve">mmonwealth of </w:t>
      </w:r>
      <w:r w:rsidR="00C92582" w:rsidRPr="00E94B9C">
        <w:rPr>
          <w:b/>
          <w:color w:val="000000"/>
          <w:sz w:val="40"/>
          <w:szCs w:val="40"/>
        </w:rPr>
        <w:t>Massachusetts</w:t>
      </w:r>
    </w:p>
    <w:p w14:paraId="48665F28" w14:textId="77777777" w:rsidR="00C92582" w:rsidRPr="00E94B9C" w:rsidRDefault="0063739C" w:rsidP="000020A5">
      <w:pPr>
        <w:jc w:val="center"/>
        <w:rPr>
          <w:b/>
          <w:color w:val="000000"/>
          <w:sz w:val="40"/>
          <w:szCs w:val="40"/>
        </w:rPr>
      </w:pPr>
      <w:r w:rsidRPr="00E94B9C">
        <w:rPr>
          <w:b/>
          <w:color w:val="000000"/>
          <w:sz w:val="40"/>
          <w:szCs w:val="40"/>
        </w:rPr>
        <w:t>Department of Housing &amp;</w:t>
      </w:r>
      <w:r w:rsidR="00C92582" w:rsidRPr="00E94B9C">
        <w:rPr>
          <w:b/>
          <w:color w:val="000000"/>
          <w:sz w:val="40"/>
          <w:szCs w:val="40"/>
        </w:rPr>
        <w:t xml:space="preserve"> Community Development</w:t>
      </w:r>
    </w:p>
    <w:p w14:paraId="0D419DC3" w14:textId="77777777" w:rsidR="00C92582" w:rsidRPr="00E94B9C" w:rsidRDefault="00C92582" w:rsidP="0039055A">
      <w:pPr>
        <w:rPr>
          <w:b/>
          <w:color w:val="000000"/>
          <w:sz w:val="40"/>
          <w:szCs w:val="40"/>
        </w:rPr>
      </w:pPr>
    </w:p>
    <w:p w14:paraId="2E1F5DBB" w14:textId="77777777" w:rsidR="00630396" w:rsidRPr="00E94B9C" w:rsidRDefault="00630396" w:rsidP="00066C56">
      <w:pPr>
        <w:rPr>
          <w:b/>
          <w:color w:val="000000"/>
          <w:sz w:val="40"/>
          <w:szCs w:val="40"/>
        </w:rPr>
      </w:pPr>
    </w:p>
    <w:p w14:paraId="045B8EED" w14:textId="77777777" w:rsidR="00C92582" w:rsidRPr="00E94B9C" w:rsidRDefault="00C92582" w:rsidP="000020A5">
      <w:pPr>
        <w:jc w:val="center"/>
        <w:rPr>
          <w:b/>
          <w:color w:val="000000"/>
          <w:sz w:val="40"/>
          <w:szCs w:val="40"/>
        </w:rPr>
      </w:pPr>
      <w:r w:rsidRPr="00E94B9C">
        <w:rPr>
          <w:b/>
          <w:color w:val="000000"/>
          <w:sz w:val="40"/>
          <w:szCs w:val="40"/>
        </w:rPr>
        <w:t>Moving To Work Program</w:t>
      </w:r>
    </w:p>
    <w:p w14:paraId="4786D238" w14:textId="7B443CB6" w:rsidR="00C92582" w:rsidRPr="00E94B9C" w:rsidRDefault="00C92582" w:rsidP="000020A5">
      <w:pPr>
        <w:jc w:val="center"/>
        <w:rPr>
          <w:b/>
          <w:color w:val="000000"/>
          <w:sz w:val="40"/>
          <w:szCs w:val="40"/>
        </w:rPr>
      </w:pPr>
      <w:r w:rsidRPr="00E94B9C">
        <w:rPr>
          <w:b/>
          <w:color w:val="000000"/>
          <w:sz w:val="40"/>
          <w:szCs w:val="40"/>
        </w:rPr>
        <w:t xml:space="preserve">Annual </w:t>
      </w:r>
      <w:r w:rsidR="001406F8">
        <w:rPr>
          <w:b/>
          <w:color w:val="000000"/>
          <w:sz w:val="40"/>
          <w:szCs w:val="40"/>
        </w:rPr>
        <w:t>Plan</w:t>
      </w:r>
      <w:r w:rsidRPr="00E94B9C">
        <w:rPr>
          <w:b/>
          <w:color w:val="000000"/>
          <w:sz w:val="40"/>
          <w:szCs w:val="40"/>
        </w:rPr>
        <w:t xml:space="preserve"> for Fiscal Year </w:t>
      </w:r>
      <w:r w:rsidR="006D6331">
        <w:rPr>
          <w:b/>
          <w:color w:val="000000"/>
          <w:sz w:val="40"/>
          <w:szCs w:val="40"/>
        </w:rPr>
        <w:t>2021</w:t>
      </w:r>
    </w:p>
    <w:p w14:paraId="1A3B8A0F" w14:textId="77777777" w:rsidR="00C92582" w:rsidRPr="00E94B9C" w:rsidRDefault="00C92582" w:rsidP="000020A5">
      <w:pPr>
        <w:rPr>
          <w:color w:val="000000"/>
          <w:sz w:val="40"/>
          <w:szCs w:val="40"/>
        </w:rPr>
      </w:pPr>
    </w:p>
    <w:p w14:paraId="2D0E840B" w14:textId="77777777" w:rsidR="003C0B6B" w:rsidRPr="00E94B9C" w:rsidRDefault="007E68D3" w:rsidP="005A5E0B">
      <w:pPr>
        <w:tabs>
          <w:tab w:val="left" w:pos="2968"/>
        </w:tabs>
        <w:rPr>
          <w:color w:val="000000"/>
          <w:sz w:val="40"/>
          <w:szCs w:val="40"/>
        </w:rPr>
      </w:pPr>
      <w:r w:rsidRPr="00E94B9C">
        <w:rPr>
          <w:color w:val="000000"/>
          <w:sz w:val="40"/>
          <w:szCs w:val="40"/>
        </w:rPr>
        <w:tab/>
      </w:r>
    </w:p>
    <w:p w14:paraId="20EC71BD" w14:textId="77777777" w:rsidR="004C5189" w:rsidRPr="00E94B9C" w:rsidRDefault="00DB6C9C" w:rsidP="005A5E0B">
      <w:pPr>
        <w:jc w:val="center"/>
        <w:rPr>
          <w:b/>
          <w:color w:val="000000"/>
          <w:sz w:val="40"/>
          <w:szCs w:val="40"/>
        </w:rPr>
      </w:pPr>
      <w:r w:rsidRPr="00E94B9C">
        <w:rPr>
          <w:b/>
          <w:color w:val="000000"/>
          <w:sz w:val="40"/>
          <w:szCs w:val="40"/>
        </w:rPr>
        <w:t>Submitted to</w:t>
      </w:r>
      <w:r w:rsidR="005A5E0B" w:rsidRPr="00E94B9C">
        <w:rPr>
          <w:b/>
          <w:color w:val="000000"/>
          <w:sz w:val="40"/>
          <w:szCs w:val="40"/>
        </w:rPr>
        <w:t xml:space="preserve"> </w:t>
      </w:r>
    </w:p>
    <w:p w14:paraId="29D42E09" w14:textId="77777777" w:rsidR="002165D4" w:rsidRPr="00E94B9C" w:rsidRDefault="004C5189" w:rsidP="005A5E0B">
      <w:pPr>
        <w:jc w:val="center"/>
        <w:rPr>
          <w:b/>
          <w:color w:val="000000"/>
          <w:sz w:val="40"/>
          <w:szCs w:val="40"/>
        </w:rPr>
      </w:pPr>
      <w:r w:rsidRPr="00E94B9C">
        <w:rPr>
          <w:b/>
          <w:color w:val="000000"/>
          <w:sz w:val="40"/>
          <w:szCs w:val="40"/>
        </w:rPr>
        <w:t xml:space="preserve">U.S. Department of </w:t>
      </w:r>
    </w:p>
    <w:p w14:paraId="4BF6E8F5" w14:textId="77777777" w:rsidR="005A5E0B" w:rsidRPr="00E94B9C" w:rsidRDefault="004C5189" w:rsidP="005A5E0B">
      <w:pPr>
        <w:jc w:val="center"/>
        <w:rPr>
          <w:b/>
          <w:color w:val="000000"/>
          <w:sz w:val="40"/>
          <w:szCs w:val="40"/>
        </w:rPr>
      </w:pPr>
      <w:r w:rsidRPr="00E94B9C">
        <w:rPr>
          <w:b/>
          <w:color w:val="000000"/>
          <w:sz w:val="40"/>
          <w:szCs w:val="40"/>
        </w:rPr>
        <w:t>Housing and Urban Development</w:t>
      </w:r>
    </w:p>
    <w:p w14:paraId="239908BE" w14:textId="77777777" w:rsidR="00CA1A58" w:rsidRPr="00E94B9C" w:rsidRDefault="001049F1" w:rsidP="001049F1">
      <w:pPr>
        <w:jc w:val="center"/>
        <w:rPr>
          <w:color w:val="000000"/>
          <w:sz w:val="52"/>
          <w:szCs w:val="52"/>
        </w:rPr>
      </w:pPr>
      <w:r w:rsidRPr="00E94B9C">
        <w:rPr>
          <w:noProof/>
        </w:rPr>
        <w:drawing>
          <wp:inline distT="0" distB="0" distL="0" distR="0" wp14:anchorId="418DE7D6" wp14:editId="7C03C964">
            <wp:extent cx="787400" cy="771525"/>
            <wp:effectExtent l="0" t="0" r="0" b="9525"/>
            <wp:docPr id="1" name="Picture 1" descr="http://www.mass.gov/resources/images/template/header-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ss.gov/resources/images/template/header-se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771525"/>
                    </a:xfrm>
                    <a:prstGeom prst="rect">
                      <a:avLst/>
                    </a:prstGeom>
                    <a:noFill/>
                    <a:ln>
                      <a:noFill/>
                    </a:ln>
                  </pic:spPr>
                </pic:pic>
              </a:graphicData>
            </a:graphic>
          </wp:inline>
        </w:drawing>
      </w:r>
    </w:p>
    <w:p w14:paraId="40F133D2" w14:textId="077DA50C" w:rsidR="00C92582" w:rsidRDefault="00C92582" w:rsidP="000020A5">
      <w:pPr>
        <w:rPr>
          <w:color w:val="000000"/>
        </w:rPr>
      </w:pPr>
    </w:p>
    <w:p w14:paraId="7A316D29" w14:textId="7955B869" w:rsidR="00E94691" w:rsidRDefault="0004176C" w:rsidP="00E94691">
      <w:pPr>
        <w:jc w:val="center"/>
        <w:rPr>
          <w:b/>
          <w:color w:val="FF0000"/>
          <w:sz w:val="32"/>
        </w:rPr>
      </w:pPr>
      <w:r>
        <w:rPr>
          <w:b/>
          <w:color w:val="FF0000"/>
          <w:sz w:val="32"/>
        </w:rPr>
        <w:t xml:space="preserve">DRAFT </w:t>
      </w:r>
      <w:r w:rsidR="00DA2E5B">
        <w:rPr>
          <w:b/>
          <w:color w:val="FF0000"/>
          <w:sz w:val="32"/>
        </w:rPr>
        <w:t xml:space="preserve">POSTED FOR PUBLIC COMMENT </w:t>
      </w:r>
    </w:p>
    <w:p w14:paraId="68907A0B" w14:textId="58901B6A" w:rsidR="00DA2E5B" w:rsidRPr="00E94691" w:rsidRDefault="00DA2E5B" w:rsidP="00E94691">
      <w:pPr>
        <w:jc w:val="center"/>
        <w:rPr>
          <w:b/>
          <w:color w:val="FF0000"/>
          <w:sz w:val="32"/>
        </w:rPr>
      </w:pPr>
      <w:r>
        <w:rPr>
          <w:b/>
          <w:color w:val="FF0000"/>
          <w:sz w:val="32"/>
        </w:rPr>
        <w:t>2/28/20</w:t>
      </w:r>
    </w:p>
    <w:p w14:paraId="005DCE1E" w14:textId="77777777" w:rsidR="00C92582" w:rsidRPr="00E94B9C" w:rsidRDefault="00C92582" w:rsidP="000020A5">
      <w:pPr>
        <w:rPr>
          <w:color w:val="000000"/>
        </w:rPr>
      </w:pPr>
    </w:p>
    <w:p w14:paraId="29B90BAC" w14:textId="77777777" w:rsidR="00181466" w:rsidRPr="00E94B9C" w:rsidRDefault="00181466" w:rsidP="000020A5">
      <w:pPr>
        <w:jc w:val="center"/>
        <w:rPr>
          <w:b/>
          <w:color w:val="000000"/>
          <w:sz w:val="32"/>
          <w:szCs w:val="32"/>
        </w:rPr>
      </w:pPr>
    </w:p>
    <w:p w14:paraId="3B0196DC" w14:textId="77777777" w:rsidR="00181466" w:rsidRPr="00E94B9C" w:rsidRDefault="00181466" w:rsidP="000020A5">
      <w:pPr>
        <w:jc w:val="center"/>
        <w:rPr>
          <w:b/>
          <w:color w:val="000000"/>
          <w:sz w:val="32"/>
          <w:szCs w:val="32"/>
        </w:rPr>
      </w:pPr>
    </w:p>
    <w:sdt>
      <w:sdtPr>
        <w:rPr>
          <w:b/>
          <w:bCs/>
          <w:sz w:val="22"/>
          <w:szCs w:val="22"/>
        </w:rPr>
        <w:id w:val="-1114517294"/>
        <w:docPartObj>
          <w:docPartGallery w:val="Table of Contents"/>
          <w:docPartUnique/>
        </w:docPartObj>
      </w:sdtPr>
      <w:sdtEndPr>
        <w:rPr>
          <w:b w:val="0"/>
          <w:bCs w:val="0"/>
          <w:noProof/>
        </w:rPr>
      </w:sdtEndPr>
      <w:sdtContent>
        <w:p w14:paraId="470541D3" w14:textId="7AE00D35" w:rsidR="00E67EAB" w:rsidRPr="00071C7C" w:rsidRDefault="00E67EAB" w:rsidP="00E67EAB">
          <w:pPr>
            <w:jc w:val="center"/>
            <w:rPr>
              <w:b/>
              <w:bCs/>
              <w:sz w:val="22"/>
              <w:szCs w:val="22"/>
            </w:rPr>
            <w:sectPr w:rsidR="00E67EAB" w:rsidRPr="00071C7C" w:rsidSect="006D6331">
              <w:footerReference w:type="default" r:id="rId9"/>
              <w:footerReference w:type="first" r:id="rId10"/>
              <w:pgSz w:w="12240" w:h="15840"/>
              <w:pgMar w:top="1440" w:right="1800" w:bottom="1440" w:left="1800" w:header="720" w:footer="720" w:gutter="0"/>
              <w:pgBorders w:display="firstPage" w:offsetFrom="page">
                <w:top w:val="thinThickThinMediumGap" w:sz="24" w:space="24" w:color="1F497D" w:themeColor="text2"/>
                <w:left w:val="thinThickThinMediumGap" w:sz="24" w:space="24" w:color="1F497D" w:themeColor="text2"/>
                <w:bottom w:val="thinThickThinMediumGap" w:sz="24" w:space="24" w:color="1F497D" w:themeColor="text2"/>
                <w:right w:val="thinThickThinMediumGap" w:sz="24" w:space="24" w:color="1F497D" w:themeColor="text2"/>
              </w:pgBorders>
              <w:cols w:space="720"/>
              <w:titlePg/>
              <w:docGrid w:linePitch="360"/>
            </w:sectPr>
          </w:pPr>
        </w:p>
        <w:p w14:paraId="2FBB1591" w14:textId="77777777" w:rsidR="00E67EAB" w:rsidRPr="00AB32AA" w:rsidRDefault="00E67EAB" w:rsidP="00E67EAB">
          <w:pPr>
            <w:jc w:val="center"/>
            <w:rPr>
              <w:b/>
              <w:color w:val="000000"/>
              <w:sz w:val="28"/>
              <w:szCs w:val="22"/>
            </w:rPr>
          </w:pPr>
          <w:r w:rsidRPr="00AB32AA">
            <w:rPr>
              <w:b/>
              <w:color w:val="000000"/>
              <w:sz w:val="28"/>
              <w:szCs w:val="22"/>
            </w:rPr>
            <w:lastRenderedPageBreak/>
            <w:t>Table of Contents</w:t>
          </w:r>
        </w:p>
        <w:p w14:paraId="37373451" w14:textId="77777777" w:rsidR="00E67EAB" w:rsidRPr="00AB32AA" w:rsidRDefault="00E67EAB" w:rsidP="009D20E1">
          <w:pPr>
            <w:pStyle w:val="TOC1"/>
            <w:rPr>
              <w:sz w:val="22"/>
              <w:szCs w:val="22"/>
            </w:rPr>
          </w:pPr>
        </w:p>
        <w:p w14:paraId="2D1A6D13" w14:textId="4FE3A787" w:rsidR="0088154E" w:rsidRPr="00DA2E5B" w:rsidRDefault="00923AB1">
          <w:pPr>
            <w:pStyle w:val="TOC1"/>
            <w:rPr>
              <w:rFonts w:asciiTheme="minorHAnsi" w:eastAsiaTheme="minorEastAsia" w:hAnsiTheme="minorHAnsi" w:cstheme="minorBidi"/>
              <w:noProof/>
              <w:sz w:val="22"/>
              <w:szCs w:val="22"/>
            </w:rPr>
          </w:pPr>
          <w:r w:rsidRPr="00AB32AA">
            <w:rPr>
              <w:sz w:val="22"/>
              <w:szCs w:val="22"/>
            </w:rPr>
            <w:fldChar w:fldCharType="begin"/>
          </w:r>
          <w:r w:rsidRPr="00AB32AA">
            <w:rPr>
              <w:sz w:val="22"/>
              <w:szCs w:val="22"/>
            </w:rPr>
            <w:instrText xml:space="preserve"> TOC \o "1-4" \h \z \u </w:instrText>
          </w:r>
          <w:r w:rsidRPr="00AB32AA">
            <w:rPr>
              <w:sz w:val="22"/>
              <w:szCs w:val="22"/>
            </w:rPr>
            <w:fldChar w:fldCharType="separate"/>
          </w:r>
          <w:hyperlink w:anchor="_Toc33016911" w:history="1">
            <w:r w:rsidR="0088154E" w:rsidRPr="00DA2E5B">
              <w:rPr>
                <w:rStyle w:val="Hyperlink"/>
                <w:noProof/>
              </w:rPr>
              <w:t>I.</w:t>
            </w:r>
            <w:r w:rsidR="0088154E" w:rsidRPr="00DA2E5B">
              <w:rPr>
                <w:rFonts w:asciiTheme="minorHAnsi" w:eastAsiaTheme="minorEastAsia" w:hAnsiTheme="minorHAnsi" w:cstheme="minorBidi"/>
                <w:noProof/>
                <w:sz w:val="22"/>
                <w:szCs w:val="22"/>
              </w:rPr>
              <w:tab/>
            </w:r>
            <w:r w:rsidR="0088154E" w:rsidRPr="00DA2E5B">
              <w:rPr>
                <w:rStyle w:val="Hyperlink"/>
                <w:noProof/>
              </w:rPr>
              <w:t>Introduction</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_Toc33016911 \h </w:instrText>
            </w:r>
            <w:r w:rsidR="0088154E" w:rsidRPr="00DA2E5B">
              <w:rPr>
                <w:noProof/>
                <w:webHidden/>
              </w:rPr>
            </w:r>
            <w:r w:rsidR="0088154E" w:rsidRPr="00DA2E5B">
              <w:rPr>
                <w:noProof/>
                <w:webHidden/>
              </w:rPr>
              <w:fldChar w:fldCharType="separate"/>
            </w:r>
            <w:r w:rsidR="00DA2E5B">
              <w:rPr>
                <w:noProof/>
                <w:webHidden/>
              </w:rPr>
              <w:t>1</w:t>
            </w:r>
            <w:r w:rsidR="0088154E" w:rsidRPr="00DA2E5B">
              <w:rPr>
                <w:noProof/>
                <w:webHidden/>
              </w:rPr>
              <w:fldChar w:fldCharType="end"/>
            </w:r>
          </w:hyperlink>
        </w:p>
        <w:p w14:paraId="69D735DC" w14:textId="6DC56DAF" w:rsidR="0088154E" w:rsidRPr="00DA2E5B" w:rsidRDefault="00DA2E5B">
          <w:pPr>
            <w:pStyle w:val="TOC3"/>
            <w:rPr>
              <w:rFonts w:asciiTheme="minorHAnsi" w:eastAsiaTheme="minorEastAsia" w:hAnsiTheme="minorHAnsi" w:cstheme="minorBidi"/>
              <w:noProof/>
              <w:sz w:val="22"/>
              <w:szCs w:val="22"/>
            </w:rPr>
          </w:pPr>
          <w:hyperlink w:anchor="_Toc33016912" w:history="1">
            <w:r w:rsidR="0088154E" w:rsidRPr="00DA2E5B">
              <w:rPr>
                <w:rStyle w:val="Hyperlink"/>
                <w:noProof/>
              </w:rPr>
              <w:t>A.</w:t>
            </w:r>
            <w:r w:rsidR="0088154E" w:rsidRPr="00DA2E5B">
              <w:rPr>
                <w:rFonts w:asciiTheme="minorHAnsi" w:eastAsiaTheme="minorEastAsia" w:hAnsiTheme="minorHAnsi" w:cstheme="minorBidi"/>
                <w:noProof/>
                <w:sz w:val="22"/>
                <w:szCs w:val="22"/>
              </w:rPr>
              <w:tab/>
            </w:r>
            <w:r w:rsidR="0088154E" w:rsidRPr="00DA2E5B">
              <w:rPr>
                <w:rStyle w:val="Hyperlink"/>
                <w:noProof/>
              </w:rPr>
              <w:t>Overview of Short Term Annual Goals and Objectives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_Toc33016912 \h </w:instrText>
            </w:r>
            <w:r w:rsidR="0088154E" w:rsidRPr="00DA2E5B">
              <w:rPr>
                <w:noProof/>
                <w:webHidden/>
              </w:rPr>
            </w:r>
            <w:r w:rsidR="0088154E" w:rsidRPr="00DA2E5B">
              <w:rPr>
                <w:noProof/>
                <w:webHidden/>
              </w:rPr>
              <w:fldChar w:fldCharType="separate"/>
            </w:r>
            <w:r>
              <w:rPr>
                <w:noProof/>
                <w:webHidden/>
              </w:rPr>
              <w:t>2</w:t>
            </w:r>
            <w:r w:rsidR="0088154E" w:rsidRPr="00DA2E5B">
              <w:rPr>
                <w:noProof/>
                <w:webHidden/>
              </w:rPr>
              <w:fldChar w:fldCharType="end"/>
            </w:r>
          </w:hyperlink>
        </w:p>
        <w:p w14:paraId="003A2F76" w14:textId="41A0F060" w:rsidR="0088154E" w:rsidRPr="00DA2E5B" w:rsidRDefault="00DA2E5B">
          <w:pPr>
            <w:pStyle w:val="TOC3"/>
            <w:rPr>
              <w:rFonts w:asciiTheme="minorHAnsi" w:eastAsiaTheme="minorEastAsia" w:hAnsiTheme="minorHAnsi" w:cstheme="minorBidi"/>
              <w:noProof/>
              <w:sz w:val="22"/>
              <w:szCs w:val="22"/>
            </w:rPr>
          </w:pPr>
          <w:hyperlink w:anchor="_Toc33016913" w:history="1">
            <w:r w:rsidR="0088154E" w:rsidRPr="00DA2E5B">
              <w:rPr>
                <w:rStyle w:val="Hyperlink"/>
                <w:noProof/>
              </w:rPr>
              <w:t>B.</w:t>
            </w:r>
            <w:r w:rsidR="0088154E" w:rsidRPr="00DA2E5B">
              <w:rPr>
                <w:rFonts w:asciiTheme="minorHAnsi" w:eastAsiaTheme="minorEastAsia" w:hAnsiTheme="minorHAnsi" w:cstheme="minorBidi"/>
                <w:noProof/>
                <w:sz w:val="22"/>
                <w:szCs w:val="22"/>
              </w:rPr>
              <w:tab/>
            </w:r>
            <w:r w:rsidR="0088154E" w:rsidRPr="00DA2E5B">
              <w:rPr>
                <w:rStyle w:val="Hyperlink"/>
                <w:noProof/>
              </w:rPr>
              <w:t>Overview of Long Term Goals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_Toc33016913 \h </w:instrText>
            </w:r>
            <w:r w:rsidR="0088154E" w:rsidRPr="00DA2E5B">
              <w:rPr>
                <w:noProof/>
                <w:webHidden/>
              </w:rPr>
            </w:r>
            <w:r w:rsidR="0088154E" w:rsidRPr="00DA2E5B">
              <w:rPr>
                <w:noProof/>
                <w:webHidden/>
              </w:rPr>
              <w:fldChar w:fldCharType="separate"/>
            </w:r>
            <w:r>
              <w:rPr>
                <w:noProof/>
                <w:webHidden/>
              </w:rPr>
              <w:t>5</w:t>
            </w:r>
            <w:r w:rsidR="0088154E" w:rsidRPr="00DA2E5B">
              <w:rPr>
                <w:noProof/>
                <w:webHidden/>
              </w:rPr>
              <w:fldChar w:fldCharType="end"/>
            </w:r>
          </w:hyperlink>
        </w:p>
        <w:p w14:paraId="533B82FB" w14:textId="6F5D21D5" w:rsidR="0088154E" w:rsidRPr="00DA2E5B" w:rsidRDefault="00DA2E5B">
          <w:pPr>
            <w:pStyle w:val="TOC1"/>
            <w:rPr>
              <w:rFonts w:asciiTheme="minorHAnsi" w:eastAsiaTheme="minorEastAsia" w:hAnsiTheme="minorHAnsi" w:cstheme="minorBidi"/>
              <w:noProof/>
              <w:sz w:val="22"/>
              <w:szCs w:val="22"/>
            </w:rPr>
          </w:pPr>
          <w:hyperlink w:anchor="_Toc33016914" w:history="1">
            <w:r w:rsidR="0088154E" w:rsidRPr="00DA2E5B">
              <w:rPr>
                <w:rStyle w:val="Hyperlink"/>
                <w:noProof/>
              </w:rPr>
              <w:t>II.</w:t>
            </w:r>
            <w:r w:rsidR="0088154E" w:rsidRPr="00DA2E5B">
              <w:rPr>
                <w:rFonts w:asciiTheme="minorHAnsi" w:eastAsiaTheme="minorEastAsia" w:hAnsiTheme="minorHAnsi" w:cstheme="minorBidi"/>
                <w:noProof/>
                <w:sz w:val="22"/>
                <w:szCs w:val="22"/>
              </w:rPr>
              <w:tab/>
            </w:r>
            <w:r w:rsidR="0088154E" w:rsidRPr="00DA2E5B">
              <w:rPr>
                <w:rStyle w:val="Hyperlink"/>
                <w:noProof/>
              </w:rPr>
              <w:t>General Operating Information</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_Toc33016914 \h </w:instrText>
            </w:r>
            <w:r w:rsidR="0088154E" w:rsidRPr="00DA2E5B">
              <w:rPr>
                <w:noProof/>
                <w:webHidden/>
              </w:rPr>
            </w:r>
            <w:r w:rsidR="0088154E" w:rsidRPr="00DA2E5B">
              <w:rPr>
                <w:noProof/>
                <w:webHidden/>
              </w:rPr>
              <w:fldChar w:fldCharType="separate"/>
            </w:r>
            <w:r>
              <w:rPr>
                <w:noProof/>
                <w:webHidden/>
              </w:rPr>
              <w:t>7</w:t>
            </w:r>
            <w:r w:rsidR="0088154E" w:rsidRPr="00DA2E5B">
              <w:rPr>
                <w:noProof/>
                <w:webHidden/>
              </w:rPr>
              <w:fldChar w:fldCharType="end"/>
            </w:r>
          </w:hyperlink>
        </w:p>
        <w:p w14:paraId="2D1CAB1B" w14:textId="77BC2CF5" w:rsidR="0088154E" w:rsidRPr="00DA2E5B" w:rsidRDefault="00DA2E5B">
          <w:pPr>
            <w:pStyle w:val="TOC3"/>
            <w:rPr>
              <w:rFonts w:asciiTheme="minorHAnsi" w:eastAsiaTheme="minorEastAsia" w:hAnsiTheme="minorHAnsi" w:cstheme="minorBidi"/>
              <w:noProof/>
              <w:sz w:val="22"/>
              <w:szCs w:val="22"/>
            </w:rPr>
          </w:pPr>
          <w:hyperlink w:anchor="_Toc33016915" w:history="1">
            <w:r w:rsidR="0088154E" w:rsidRPr="00DA2E5B">
              <w:rPr>
                <w:rStyle w:val="Hyperlink"/>
                <w:noProof/>
              </w:rPr>
              <w:t>A.</w:t>
            </w:r>
            <w:r w:rsidR="0088154E" w:rsidRPr="00DA2E5B">
              <w:rPr>
                <w:rFonts w:asciiTheme="minorHAnsi" w:eastAsiaTheme="minorEastAsia" w:hAnsiTheme="minorHAnsi" w:cstheme="minorBidi"/>
                <w:noProof/>
                <w:sz w:val="22"/>
                <w:szCs w:val="22"/>
              </w:rPr>
              <w:tab/>
            </w:r>
            <w:r w:rsidR="0088154E" w:rsidRPr="00DA2E5B">
              <w:rPr>
                <w:rStyle w:val="Hyperlink"/>
                <w:noProof/>
              </w:rPr>
              <w:t>Housing Stock Information</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_Toc33016915 \h </w:instrText>
            </w:r>
            <w:r w:rsidR="0088154E" w:rsidRPr="00DA2E5B">
              <w:rPr>
                <w:noProof/>
                <w:webHidden/>
              </w:rPr>
            </w:r>
            <w:r w:rsidR="0088154E" w:rsidRPr="00DA2E5B">
              <w:rPr>
                <w:noProof/>
                <w:webHidden/>
              </w:rPr>
              <w:fldChar w:fldCharType="separate"/>
            </w:r>
            <w:r>
              <w:rPr>
                <w:noProof/>
                <w:webHidden/>
              </w:rPr>
              <w:t>7</w:t>
            </w:r>
            <w:r w:rsidR="0088154E" w:rsidRPr="00DA2E5B">
              <w:rPr>
                <w:noProof/>
                <w:webHidden/>
              </w:rPr>
              <w:fldChar w:fldCharType="end"/>
            </w:r>
          </w:hyperlink>
        </w:p>
        <w:p w14:paraId="3FDCFD74" w14:textId="1BCF8CE9" w:rsidR="0088154E" w:rsidRPr="00DA2E5B" w:rsidRDefault="00DA2E5B">
          <w:pPr>
            <w:pStyle w:val="TOC4"/>
            <w:rPr>
              <w:rFonts w:asciiTheme="minorHAnsi" w:eastAsiaTheme="minorEastAsia" w:hAnsiTheme="minorHAnsi" w:cstheme="minorBidi"/>
              <w:noProof/>
              <w:sz w:val="22"/>
              <w:szCs w:val="22"/>
            </w:rPr>
          </w:pPr>
          <w:hyperlink w:anchor="_Toc33016916" w:history="1">
            <w:r w:rsidR="0088154E" w:rsidRPr="00DA2E5B">
              <w:rPr>
                <w:rStyle w:val="Hyperlink"/>
                <w:noProof/>
              </w:rPr>
              <w:t>Table 1: Planned New Public Housing Units in FY 2021</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_Toc33016916 \h </w:instrText>
            </w:r>
            <w:r w:rsidR="0088154E" w:rsidRPr="00DA2E5B">
              <w:rPr>
                <w:noProof/>
                <w:webHidden/>
              </w:rPr>
            </w:r>
            <w:r w:rsidR="0088154E" w:rsidRPr="00DA2E5B">
              <w:rPr>
                <w:noProof/>
                <w:webHidden/>
              </w:rPr>
              <w:fldChar w:fldCharType="separate"/>
            </w:r>
            <w:r>
              <w:rPr>
                <w:noProof/>
                <w:webHidden/>
              </w:rPr>
              <w:t>7</w:t>
            </w:r>
            <w:r w:rsidR="0088154E" w:rsidRPr="00DA2E5B">
              <w:rPr>
                <w:noProof/>
                <w:webHidden/>
              </w:rPr>
              <w:fldChar w:fldCharType="end"/>
            </w:r>
          </w:hyperlink>
        </w:p>
        <w:p w14:paraId="1BF43265" w14:textId="217A0A02" w:rsidR="0088154E" w:rsidRPr="00DA2E5B" w:rsidRDefault="00DA2E5B">
          <w:pPr>
            <w:pStyle w:val="TOC4"/>
            <w:rPr>
              <w:rFonts w:asciiTheme="minorHAnsi" w:eastAsiaTheme="minorEastAsia" w:hAnsiTheme="minorHAnsi" w:cstheme="minorBidi"/>
              <w:noProof/>
              <w:sz w:val="22"/>
              <w:szCs w:val="22"/>
            </w:rPr>
          </w:pPr>
          <w:hyperlink w:anchor="_Toc33016917" w:history="1">
            <w:r w:rsidR="0088154E" w:rsidRPr="00DA2E5B">
              <w:rPr>
                <w:rStyle w:val="Hyperlink"/>
                <w:noProof/>
              </w:rPr>
              <w:t>Table 2:  Planned Public Housing Units to Be Removed in FY 2021</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_Toc33016917 \h </w:instrText>
            </w:r>
            <w:r w:rsidR="0088154E" w:rsidRPr="00DA2E5B">
              <w:rPr>
                <w:noProof/>
                <w:webHidden/>
              </w:rPr>
            </w:r>
            <w:r w:rsidR="0088154E" w:rsidRPr="00DA2E5B">
              <w:rPr>
                <w:noProof/>
                <w:webHidden/>
              </w:rPr>
              <w:fldChar w:fldCharType="separate"/>
            </w:r>
            <w:r>
              <w:rPr>
                <w:noProof/>
                <w:webHidden/>
              </w:rPr>
              <w:t>7</w:t>
            </w:r>
            <w:r w:rsidR="0088154E" w:rsidRPr="00DA2E5B">
              <w:rPr>
                <w:noProof/>
                <w:webHidden/>
              </w:rPr>
              <w:fldChar w:fldCharType="end"/>
            </w:r>
          </w:hyperlink>
        </w:p>
        <w:p w14:paraId="023E0BB6" w14:textId="64B63590" w:rsidR="0088154E" w:rsidRPr="00DA2E5B" w:rsidRDefault="00DA2E5B">
          <w:pPr>
            <w:pStyle w:val="TOC4"/>
            <w:rPr>
              <w:rFonts w:asciiTheme="minorHAnsi" w:eastAsiaTheme="minorEastAsia" w:hAnsiTheme="minorHAnsi" w:cstheme="minorBidi"/>
              <w:noProof/>
              <w:sz w:val="22"/>
              <w:szCs w:val="22"/>
            </w:rPr>
          </w:pPr>
          <w:hyperlink w:anchor="_Toc33016918" w:history="1">
            <w:r w:rsidR="0088154E" w:rsidRPr="00DA2E5B">
              <w:rPr>
                <w:rStyle w:val="Hyperlink"/>
                <w:noProof/>
              </w:rPr>
              <w:t>Table 3: Planned New Project Based Vouchers*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_Toc33016918 \h </w:instrText>
            </w:r>
            <w:r w:rsidR="0088154E" w:rsidRPr="00DA2E5B">
              <w:rPr>
                <w:noProof/>
                <w:webHidden/>
              </w:rPr>
            </w:r>
            <w:r w:rsidR="0088154E" w:rsidRPr="00DA2E5B">
              <w:rPr>
                <w:noProof/>
                <w:webHidden/>
              </w:rPr>
              <w:fldChar w:fldCharType="separate"/>
            </w:r>
            <w:r>
              <w:rPr>
                <w:noProof/>
                <w:webHidden/>
              </w:rPr>
              <w:t>7</w:t>
            </w:r>
            <w:r w:rsidR="0088154E" w:rsidRPr="00DA2E5B">
              <w:rPr>
                <w:noProof/>
                <w:webHidden/>
              </w:rPr>
              <w:fldChar w:fldCharType="end"/>
            </w:r>
          </w:hyperlink>
        </w:p>
        <w:p w14:paraId="2153EF61" w14:textId="4F4551C2" w:rsidR="0088154E" w:rsidRPr="00DA2E5B" w:rsidRDefault="00DA2E5B">
          <w:pPr>
            <w:pStyle w:val="TOC4"/>
            <w:rPr>
              <w:rFonts w:asciiTheme="minorHAnsi" w:eastAsiaTheme="minorEastAsia" w:hAnsiTheme="minorHAnsi" w:cstheme="minorBidi"/>
              <w:noProof/>
              <w:sz w:val="22"/>
              <w:szCs w:val="22"/>
            </w:rPr>
          </w:pPr>
          <w:hyperlink w:anchor="_Toc33016919" w:history="1">
            <w:r w:rsidR="0088154E" w:rsidRPr="00DA2E5B">
              <w:rPr>
                <w:rStyle w:val="Hyperlink"/>
                <w:noProof/>
              </w:rPr>
              <w:t>Table 4: Planned Existing Project Based Vouchers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_Toc33016919 \h </w:instrText>
            </w:r>
            <w:r w:rsidR="0088154E" w:rsidRPr="00DA2E5B">
              <w:rPr>
                <w:noProof/>
                <w:webHidden/>
              </w:rPr>
            </w:r>
            <w:r w:rsidR="0088154E" w:rsidRPr="00DA2E5B">
              <w:rPr>
                <w:noProof/>
                <w:webHidden/>
              </w:rPr>
              <w:fldChar w:fldCharType="separate"/>
            </w:r>
            <w:r>
              <w:rPr>
                <w:noProof/>
                <w:webHidden/>
              </w:rPr>
              <w:t>8</w:t>
            </w:r>
            <w:r w:rsidR="0088154E" w:rsidRPr="00DA2E5B">
              <w:rPr>
                <w:noProof/>
                <w:webHidden/>
              </w:rPr>
              <w:fldChar w:fldCharType="end"/>
            </w:r>
          </w:hyperlink>
        </w:p>
        <w:p w14:paraId="2C1320CD" w14:textId="14464AB0" w:rsidR="0088154E" w:rsidRPr="00DA2E5B" w:rsidRDefault="00DA2E5B">
          <w:pPr>
            <w:pStyle w:val="TOC4"/>
            <w:rPr>
              <w:rFonts w:asciiTheme="minorHAnsi" w:eastAsiaTheme="minorEastAsia" w:hAnsiTheme="minorHAnsi" w:cstheme="minorBidi"/>
              <w:noProof/>
              <w:sz w:val="22"/>
              <w:szCs w:val="22"/>
            </w:rPr>
          </w:pPr>
          <w:hyperlink w:anchor="_Toc33016920" w:history="1">
            <w:r w:rsidR="0088154E" w:rsidRPr="00DA2E5B">
              <w:rPr>
                <w:rStyle w:val="Hyperlink"/>
                <w:noProof/>
              </w:rPr>
              <w:t>Table 5: Planned Other Changes to MTW Housing Stock</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_Toc33016920 \h </w:instrText>
            </w:r>
            <w:r w:rsidR="0088154E" w:rsidRPr="00DA2E5B">
              <w:rPr>
                <w:noProof/>
                <w:webHidden/>
              </w:rPr>
            </w:r>
            <w:r w:rsidR="0088154E" w:rsidRPr="00DA2E5B">
              <w:rPr>
                <w:noProof/>
                <w:webHidden/>
              </w:rPr>
              <w:fldChar w:fldCharType="separate"/>
            </w:r>
            <w:r>
              <w:rPr>
                <w:noProof/>
                <w:webHidden/>
              </w:rPr>
              <w:t>19</w:t>
            </w:r>
            <w:r w:rsidR="0088154E" w:rsidRPr="00DA2E5B">
              <w:rPr>
                <w:noProof/>
                <w:webHidden/>
              </w:rPr>
              <w:fldChar w:fldCharType="end"/>
            </w:r>
          </w:hyperlink>
        </w:p>
        <w:p w14:paraId="74DE2AAB" w14:textId="04C8E316" w:rsidR="0088154E" w:rsidRPr="00DA2E5B" w:rsidRDefault="00DA2E5B">
          <w:pPr>
            <w:pStyle w:val="TOC4"/>
            <w:rPr>
              <w:rFonts w:asciiTheme="minorHAnsi" w:eastAsiaTheme="minorEastAsia" w:hAnsiTheme="minorHAnsi" w:cstheme="minorBidi"/>
              <w:noProof/>
              <w:sz w:val="22"/>
              <w:szCs w:val="22"/>
            </w:rPr>
          </w:pPr>
          <w:hyperlink w:anchor="_Toc33016921" w:history="1">
            <w:r w:rsidR="0088154E" w:rsidRPr="00DA2E5B">
              <w:rPr>
                <w:rStyle w:val="Hyperlink"/>
                <w:noProof/>
              </w:rPr>
              <w:t>Table 6: General Description of All Planned Capital Expenditures During the Plan Year</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_Toc33016921 \h </w:instrText>
            </w:r>
            <w:r w:rsidR="0088154E" w:rsidRPr="00DA2E5B">
              <w:rPr>
                <w:noProof/>
                <w:webHidden/>
              </w:rPr>
            </w:r>
            <w:r w:rsidR="0088154E" w:rsidRPr="00DA2E5B">
              <w:rPr>
                <w:noProof/>
                <w:webHidden/>
              </w:rPr>
              <w:fldChar w:fldCharType="separate"/>
            </w:r>
            <w:r>
              <w:rPr>
                <w:noProof/>
                <w:webHidden/>
              </w:rPr>
              <w:t>19</w:t>
            </w:r>
            <w:r w:rsidR="0088154E" w:rsidRPr="00DA2E5B">
              <w:rPr>
                <w:noProof/>
                <w:webHidden/>
              </w:rPr>
              <w:fldChar w:fldCharType="end"/>
            </w:r>
          </w:hyperlink>
        </w:p>
        <w:p w14:paraId="0A17C5EE" w14:textId="5A07A7E5" w:rsidR="0088154E" w:rsidRPr="00DA2E5B" w:rsidRDefault="00DA2E5B">
          <w:pPr>
            <w:pStyle w:val="TOC3"/>
            <w:rPr>
              <w:rFonts w:asciiTheme="minorHAnsi" w:eastAsiaTheme="minorEastAsia" w:hAnsiTheme="minorHAnsi" w:cstheme="minorBidi"/>
              <w:noProof/>
              <w:sz w:val="22"/>
              <w:szCs w:val="22"/>
            </w:rPr>
          </w:pPr>
          <w:hyperlink w:anchor="_Toc33016922" w:history="1">
            <w:r w:rsidR="0088154E" w:rsidRPr="00DA2E5B">
              <w:rPr>
                <w:rStyle w:val="Hyperlink"/>
                <w:noProof/>
              </w:rPr>
              <w:t>B.</w:t>
            </w:r>
            <w:r w:rsidR="0088154E" w:rsidRPr="00DA2E5B">
              <w:rPr>
                <w:rFonts w:asciiTheme="minorHAnsi" w:eastAsiaTheme="minorEastAsia" w:hAnsiTheme="minorHAnsi" w:cstheme="minorBidi"/>
                <w:noProof/>
                <w:sz w:val="22"/>
                <w:szCs w:val="22"/>
              </w:rPr>
              <w:tab/>
            </w:r>
            <w:r w:rsidR="0088154E" w:rsidRPr="00DA2E5B">
              <w:rPr>
                <w:rStyle w:val="Hyperlink"/>
                <w:noProof/>
              </w:rPr>
              <w:t>Leasing Information</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_Toc33016922 \h </w:instrText>
            </w:r>
            <w:r w:rsidR="0088154E" w:rsidRPr="00DA2E5B">
              <w:rPr>
                <w:noProof/>
                <w:webHidden/>
              </w:rPr>
            </w:r>
            <w:r w:rsidR="0088154E" w:rsidRPr="00DA2E5B">
              <w:rPr>
                <w:noProof/>
                <w:webHidden/>
              </w:rPr>
              <w:fldChar w:fldCharType="separate"/>
            </w:r>
            <w:r>
              <w:rPr>
                <w:noProof/>
                <w:webHidden/>
              </w:rPr>
              <w:t>19</w:t>
            </w:r>
            <w:r w:rsidR="0088154E" w:rsidRPr="00DA2E5B">
              <w:rPr>
                <w:noProof/>
                <w:webHidden/>
              </w:rPr>
              <w:fldChar w:fldCharType="end"/>
            </w:r>
          </w:hyperlink>
        </w:p>
        <w:p w14:paraId="4D10ECD7" w14:textId="34EC163F" w:rsidR="0088154E" w:rsidRPr="00DA2E5B" w:rsidRDefault="00DA2E5B">
          <w:pPr>
            <w:pStyle w:val="TOC4"/>
            <w:rPr>
              <w:rFonts w:asciiTheme="minorHAnsi" w:eastAsiaTheme="minorEastAsia" w:hAnsiTheme="minorHAnsi" w:cstheme="minorBidi"/>
              <w:noProof/>
              <w:sz w:val="22"/>
              <w:szCs w:val="22"/>
            </w:rPr>
          </w:pPr>
          <w:hyperlink w:anchor="_Toc33016923" w:history="1">
            <w:r w:rsidR="0088154E" w:rsidRPr="00DA2E5B">
              <w:rPr>
                <w:rStyle w:val="Hyperlink"/>
                <w:noProof/>
              </w:rPr>
              <w:t>Table 7: Planned Number of Households Served</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_Toc33016923 \h </w:instrText>
            </w:r>
            <w:r w:rsidR="0088154E" w:rsidRPr="00DA2E5B">
              <w:rPr>
                <w:noProof/>
                <w:webHidden/>
              </w:rPr>
            </w:r>
            <w:r w:rsidR="0088154E" w:rsidRPr="00DA2E5B">
              <w:rPr>
                <w:noProof/>
                <w:webHidden/>
              </w:rPr>
              <w:fldChar w:fldCharType="separate"/>
            </w:r>
            <w:r>
              <w:rPr>
                <w:noProof/>
                <w:webHidden/>
              </w:rPr>
              <w:t>19</w:t>
            </w:r>
            <w:r w:rsidR="0088154E" w:rsidRPr="00DA2E5B">
              <w:rPr>
                <w:noProof/>
                <w:webHidden/>
              </w:rPr>
              <w:fldChar w:fldCharType="end"/>
            </w:r>
          </w:hyperlink>
        </w:p>
        <w:p w14:paraId="1D5AC27C" w14:textId="188E5617" w:rsidR="0088154E" w:rsidRPr="00DA2E5B" w:rsidRDefault="00DA2E5B">
          <w:pPr>
            <w:pStyle w:val="TOC4"/>
            <w:rPr>
              <w:rFonts w:asciiTheme="minorHAnsi" w:eastAsiaTheme="minorEastAsia" w:hAnsiTheme="minorHAnsi" w:cstheme="minorBidi"/>
              <w:noProof/>
              <w:sz w:val="22"/>
              <w:szCs w:val="22"/>
            </w:rPr>
          </w:pPr>
          <w:hyperlink w:anchor="_Toc33016924" w:history="1">
            <w:r w:rsidR="0088154E" w:rsidRPr="00DA2E5B">
              <w:rPr>
                <w:rStyle w:val="Hyperlink"/>
                <w:noProof/>
              </w:rPr>
              <w:t>Table 7A: Local, Non-Traditional Housing Programs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_Toc33016924 \h </w:instrText>
            </w:r>
            <w:r w:rsidR="0088154E" w:rsidRPr="00DA2E5B">
              <w:rPr>
                <w:noProof/>
                <w:webHidden/>
              </w:rPr>
            </w:r>
            <w:r w:rsidR="0088154E" w:rsidRPr="00DA2E5B">
              <w:rPr>
                <w:noProof/>
                <w:webHidden/>
              </w:rPr>
              <w:fldChar w:fldCharType="separate"/>
            </w:r>
            <w:r>
              <w:rPr>
                <w:noProof/>
                <w:webHidden/>
              </w:rPr>
              <w:t>20</w:t>
            </w:r>
            <w:r w:rsidR="0088154E" w:rsidRPr="00DA2E5B">
              <w:rPr>
                <w:noProof/>
                <w:webHidden/>
              </w:rPr>
              <w:fldChar w:fldCharType="end"/>
            </w:r>
          </w:hyperlink>
        </w:p>
        <w:p w14:paraId="3DE3C260" w14:textId="19224129" w:rsidR="0088154E" w:rsidRPr="00DA2E5B" w:rsidRDefault="00DA2E5B">
          <w:pPr>
            <w:pStyle w:val="TOC4"/>
            <w:rPr>
              <w:rFonts w:asciiTheme="minorHAnsi" w:eastAsiaTheme="minorEastAsia" w:hAnsiTheme="minorHAnsi" w:cstheme="minorBidi"/>
              <w:noProof/>
              <w:sz w:val="22"/>
              <w:szCs w:val="22"/>
            </w:rPr>
          </w:pPr>
          <w:hyperlink w:anchor="_Toc33016925" w:history="1">
            <w:r w:rsidR="0088154E" w:rsidRPr="00DA2E5B">
              <w:rPr>
                <w:rStyle w:val="Hyperlink"/>
                <w:noProof/>
              </w:rPr>
              <w:t>Table 7B: Non-MTW Voucher Households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_Toc33016925 \h </w:instrText>
            </w:r>
            <w:r w:rsidR="0088154E" w:rsidRPr="00DA2E5B">
              <w:rPr>
                <w:noProof/>
                <w:webHidden/>
              </w:rPr>
            </w:r>
            <w:r w:rsidR="0088154E" w:rsidRPr="00DA2E5B">
              <w:rPr>
                <w:noProof/>
                <w:webHidden/>
              </w:rPr>
              <w:fldChar w:fldCharType="separate"/>
            </w:r>
            <w:r>
              <w:rPr>
                <w:noProof/>
                <w:webHidden/>
              </w:rPr>
              <w:t>20</w:t>
            </w:r>
            <w:r w:rsidR="0088154E" w:rsidRPr="00DA2E5B">
              <w:rPr>
                <w:noProof/>
                <w:webHidden/>
              </w:rPr>
              <w:fldChar w:fldCharType="end"/>
            </w:r>
          </w:hyperlink>
        </w:p>
        <w:p w14:paraId="65A4A09C" w14:textId="240A2C56" w:rsidR="0088154E" w:rsidRPr="00DA2E5B" w:rsidRDefault="00DA2E5B">
          <w:pPr>
            <w:pStyle w:val="TOC4"/>
            <w:rPr>
              <w:rFonts w:asciiTheme="minorHAnsi" w:eastAsiaTheme="minorEastAsia" w:hAnsiTheme="minorHAnsi" w:cstheme="minorBidi"/>
              <w:noProof/>
              <w:sz w:val="22"/>
              <w:szCs w:val="22"/>
            </w:rPr>
          </w:pPr>
          <w:hyperlink w:anchor="_Toc33016926" w:history="1">
            <w:r w:rsidR="0088154E" w:rsidRPr="00DA2E5B">
              <w:rPr>
                <w:rStyle w:val="Hyperlink"/>
                <w:noProof/>
              </w:rPr>
              <w:t>Table 8: Anticipated Issues and Possible Solutions Related to Leasing</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_Toc33016926 \h </w:instrText>
            </w:r>
            <w:r w:rsidR="0088154E" w:rsidRPr="00DA2E5B">
              <w:rPr>
                <w:noProof/>
                <w:webHidden/>
              </w:rPr>
            </w:r>
            <w:r w:rsidR="0088154E" w:rsidRPr="00DA2E5B">
              <w:rPr>
                <w:noProof/>
                <w:webHidden/>
              </w:rPr>
              <w:fldChar w:fldCharType="separate"/>
            </w:r>
            <w:r>
              <w:rPr>
                <w:noProof/>
                <w:webHidden/>
              </w:rPr>
              <w:t>20</w:t>
            </w:r>
            <w:r w:rsidR="0088154E" w:rsidRPr="00DA2E5B">
              <w:rPr>
                <w:noProof/>
                <w:webHidden/>
              </w:rPr>
              <w:fldChar w:fldCharType="end"/>
            </w:r>
          </w:hyperlink>
        </w:p>
        <w:p w14:paraId="77B2624D" w14:textId="3377929B" w:rsidR="0088154E" w:rsidRPr="00DA2E5B" w:rsidRDefault="00DA2E5B">
          <w:pPr>
            <w:pStyle w:val="TOC3"/>
            <w:rPr>
              <w:rFonts w:asciiTheme="minorHAnsi" w:eastAsiaTheme="minorEastAsia" w:hAnsiTheme="minorHAnsi" w:cstheme="minorBidi"/>
              <w:noProof/>
              <w:sz w:val="22"/>
              <w:szCs w:val="22"/>
            </w:rPr>
          </w:pPr>
          <w:hyperlink w:anchor="_Toc33016927" w:history="1">
            <w:r w:rsidR="0088154E" w:rsidRPr="00DA2E5B">
              <w:rPr>
                <w:rStyle w:val="Hyperlink"/>
                <w:noProof/>
              </w:rPr>
              <w:t>C.</w:t>
            </w:r>
            <w:r w:rsidR="0088154E" w:rsidRPr="00DA2E5B">
              <w:rPr>
                <w:rFonts w:asciiTheme="minorHAnsi" w:eastAsiaTheme="minorEastAsia" w:hAnsiTheme="minorHAnsi" w:cstheme="minorBidi"/>
                <w:noProof/>
                <w:sz w:val="22"/>
                <w:szCs w:val="22"/>
              </w:rPr>
              <w:tab/>
            </w:r>
            <w:r w:rsidR="0088154E" w:rsidRPr="00DA2E5B">
              <w:rPr>
                <w:rStyle w:val="Hyperlink"/>
                <w:noProof/>
              </w:rPr>
              <w:t>Waiting List Information</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_Toc33016927 \h </w:instrText>
            </w:r>
            <w:r w:rsidR="0088154E" w:rsidRPr="00DA2E5B">
              <w:rPr>
                <w:noProof/>
                <w:webHidden/>
              </w:rPr>
            </w:r>
            <w:r w:rsidR="0088154E" w:rsidRPr="00DA2E5B">
              <w:rPr>
                <w:noProof/>
                <w:webHidden/>
              </w:rPr>
              <w:fldChar w:fldCharType="separate"/>
            </w:r>
            <w:r>
              <w:rPr>
                <w:noProof/>
                <w:webHidden/>
              </w:rPr>
              <w:t>21</w:t>
            </w:r>
            <w:r w:rsidR="0088154E" w:rsidRPr="00DA2E5B">
              <w:rPr>
                <w:noProof/>
                <w:webHidden/>
              </w:rPr>
              <w:fldChar w:fldCharType="end"/>
            </w:r>
          </w:hyperlink>
        </w:p>
        <w:p w14:paraId="117217D1" w14:textId="12C1B9EA" w:rsidR="0088154E" w:rsidRPr="00DA2E5B" w:rsidRDefault="00DA2E5B">
          <w:pPr>
            <w:pStyle w:val="TOC4"/>
            <w:rPr>
              <w:rFonts w:asciiTheme="minorHAnsi" w:eastAsiaTheme="minorEastAsia" w:hAnsiTheme="minorHAnsi" w:cstheme="minorBidi"/>
              <w:noProof/>
              <w:sz w:val="22"/>
              <w:szCs w:val="22"/>
            </w:rPr>
          </w:pPr>
          <w:hyperlink w:anchor="_Toc33016928" w:history="1">
            <w:r w:rsidR="0088154E" w:rsidRPr="00DA2E5B">
              <w:rPr>
                <w:rStyle w:val="Hyperlink"/>
                <w:noProof/>
              </w:rPr>
              <w:t>Table 9: Waiting List Information Anticipated</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_Toc33016928 \h </w:instrText>
            </w:r>
            <w:r w:rsidR="0088154E" w:rsidRPr="00DA2E5B">
              <w:rPr>
                <w:noProof/>
                <w:webHidden/>
              </w:rPr>
            </w:r>
            <w:r w:rsidR="0088154E" w:rsidRPr="00DA2E5B">
              <w:rPr>
                <w:noProof/>
                <w:webHidden/>
              </w:rPr>
              <w:fldChar w:fldCharType="separate"/>
            </w:r>
            <w:r>
              <w:rPr>
                <w:noProof/>
                <w:webHidden/>
              </w:rPr>
              <w:t>21</w:t>
            </w:r>
            <w:r w:rsidR="0088154E" w:rsidRPr="00DA2E5B">
              <w:rPr>
                <w:noProof/>
                <w:webHidden/>
              </w:rPr>
              <w:fldChar w:fldCharType="end"/>
            </w:r>
          </w:hyperlink>
        </w:p>
        <w:p w14:paraId="61085982" w14:textId="1BD7B9FF" w:rsidR="0088154E" w:rsidRPr="00DA2E5B" w:rsidRDefault="00DA2E5B">
          <w:pPr>
            <w:pStyle w:val="TOC1"/>
            <w:rPr>
              <w:rFonts w:asciiTheme="minorHAnsi" w:eastAsiaTheme="minorEastAsia" w:hAnsiTheme="minorHAnsi" w:cstheme="minorBidi"/>
              <w:noProof/>
              <w:sz w:val="22"/>
              <w:szCs w:val="22"/>
            </w:rPr>
          </w:pPr>
          <w:hyperlink w:anchor="_Toc33016929" w:history="1">
            <w:r w:rsidR="0088154E" w:rsidRPr="00DA2E5B">
              <w:rPr>
                <w:rStyle w:val="Hyperlink"/>
                <w:noProof/>
              </w:rPr>
              <w:t>III.</w:t>
            </w:r>
            <w:r w:rsidR="0088154E" w:rsidRPr="00DA2E5B">
              <w:rPr>
                <w:rFonts w:asciiTheme="minorHAnsi" w:eastAsiaTheme="minorEastAsia" w:hAnsiTheme="minorHAnsi" w:cstheme="minorBidi"/>
                <w:noProof/>
                <w:sz w:val="22"/>
                <w:szCs w:val="22"/>
              </w:rPr>
              <w:tab/>
            </w:r>
            <w:r w:rsidR="0088154E" w:rsidRPr="00DA2E5B">
              <w:rPr>
                <w:rStyle w:val="Hyperlink"/>
                <w:noProof/>
              </w:rPr>
              <w:t>Proposed MTW Activities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_Toc33016929 \h </w:instrText>
            </w:r>
            <w:r w:rsidR="0088154E" w:rsidRPr="00DA2E5B">
              <w:rPr>
                <w:noProof/>
                <w:webHidden/>
              </w:rPr>
            </w:r>
            <w:r w:rsidR="0088154E" w:rsidRPr="00DA2E5B">
              <w:rPr>
                <w:noProof/>
                <w:webHidden/>
              </w:rPr>
              <w:fldChar w:fldCharType="separate"/>
            </w:r>
            <w:r>
              <w:rPr>
                <w:noProof/>
                <w:webHidden/>
              </w:rPr>
              <w:t>22</w:t>
            </w:r>
            <w:r w:rsidR="0088154E" w:rsidRPr="00DA2E5B">
              <w:rPr>
                <w:noProof/>
                <w:webHidden/>
              </w:rPr>
              <w:fldChar w:fldCharType="end"/>
            </w:r>
          </w:hyperlink>
        </w:p>
        <w:p w14:paraId="185EACFE" w14:textId="76D2705B" w:rsidR="0088154E" w:rsidRPr="00DA2E5B" w:rsidRDefault="00DA2E5B">
          <w:pPr>
            <w:pStyle w:val="TOC3"/>
            <w:rPr>
              <w:rFonts w:asciiTheme="minorHAnsi" w:eastAsiaTheme="minorEastAsia" w:hAnsiTheme="minorHAnsi" w:cstheme="minorBidi"/>
              <w:noProof/>
              <w:sz w:val="22"/>
              <w:szCs w:val="22"/>
            </w:rPr>
          </w:pPr>
          <w:hyperlink w:anchor="_Toc33016930" w:history="1">
            <w:r w:rsidR="0088154E" w:rsidRPr="00DA2E5B">
              <w:rPr>
                <w:rStyle w:val="Hyperlink"/>
                <w:noProof/>
              </w:rPr>
              <w:t>Activity 2021-01: Fair Housing Initiative</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_Toc33016930 \h </w:instrText>
            </w:r>
            <w:r w:rsidR="0088154E" w:rsidRPr="00DA2E5B">
              <w:rPr>
                <w:noProof/>
                <w:webHidden/>
              </w:rPr>
            </w:r>
            <w:r w:rsidR="0088154E" w:rsidRPr="00DA2E5B">
              <w:rPr>
                <w:noProof/>
                <w:webHidden/>
              </w:rPr>
              <w:fldChar w:fldCharType="separate"/>
            </w:r>
            <w:r>
              <w:rPr>
                <w:noProof/>
                <w:webHidden/>
              </w:rPr>
              <w:t>22</w:t>
            </w:r>
            <w:r w:rsidR="0088154E" w:rsidRPr="00DA2E5B">
              <w:rPr>
                <w:noProof/>
                <w:webHidden/>
              </w:rPr>
              <w:fldChar w:fldCharType="end"/>
            </w:r>
          </w:hyperlink>
        </w:p>
        <w:p w14:paraId="031F3ACF" w14:textId="77BD0DD2" w:rsidR="0088154E" w:rsidRPr="00DA2E5B" w:rsidRDefault="00DA2E5B">
          <w:pPr>
            <w:pStyle w:val="TOC1"/>
            <w:rPr>
              <w:rFonts w:asciiTheme="minorHAnsi" w:eastAsiaTheme="minorEastAsia" w:hAnsiTheme="minorHAnsi" w:cstheme="minorBidi"/>
              <w:noProof/>
              <w:sz w:val="22"/>
              <w:szCs w:val="22"/>
            </w:rPr>
          </w:pPr>
          <w:hyperlink w:anchor="_Toc33016931" w:history="1">
            <w:r w:rsidR="0088154E" w:rsidRPr="00DA2E5B">
              <w:rPr>
                <w:rStyle w:val="Hyperlink"/>
                <w:noProof/>
              </w:rPr>
              <w:t>IV.</w:t>
            </w:r>
            <w:r w:rsidR="0088154E" w:rsidRPr="00DA2E5B">
              <w:rPr>
                <w:rFonts w:asciiTheme="minorHAnsi" w:eastAsiaTheme="minorEastAsia" w:hAnsiTheme="minorHAnsi" w:cstheme="minorBidi"/>
                <w:noProof/>
                <w:sz w:val="22"/>
                <w:szCs w:val="22"/>
              </w:rPr>
              <w:tab/>
            </w:r>
            <w:r w:rsidR="0088154E" w:rsidRPr="00DA2E5B">
              <w:rPr>
                <w:rStyle w:val="Hyperlink"/>
                <w:noProof/>
              </w:rPr>
              <w:t>Approved MTW Activities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_Toc33016931 \h </w:instrText>
            </w:r>
            <w:r w:rsidR="0088154E" w:rsidRPr="00DA2E5B">
              <w:rPr>
                <w:noProof/>
                <w:webHidden/>
              </w:rPr>
            </w:r>
            <w:r w:rsidR="0088154E" w:rsidRPr="00DA2E5B">
              <w:rPr>
                <w:noProof/>
                <w:webHidden/>
              </w:rPr>
              <w:fldChar w:fldCharType="separate"/>
            </w:r>
            <w:r>
              <w:rPr>
                <w:noProof/>
                <w:webHidden/>
              </w:rPr>
              <w:t>24</w:t>
            </w:r>
            <w:r w:rsidR="0088154E" w:rsidRPr="00DA2E5B">
              <w:rPr>
                <w:noProof/>
                <w:webHidden/>
              </w:rPr>
              <w:fldChar w:fldCharType="end"/>
            </w:r>
          </w:hyperlink>
        </w:p>
        <w:p w14:paraId="601FC2F5" w14:textId="7FB07A43" w:rsidR="0088154E" w:rsidRPr="00DA2E5B" w:rsidRDefault="00DA2E5B">
          <w:pPr>
            <w:pStyle w:val="TOC3"/>
            <w:rPr>
              <w:rFonts w:asciiTheme="minorHAnsi" w:eastAsiaTheme="minorEastAsia" w:hAnsiTheme="minorHAnsi" w:cstheme="minorBidi"/>
              <w:noProof/>
              <w:sz w:val="22"/>
              <w:szCs w:val="22"/>
            </w:rPr>
          </w:pPr>
          <w:hyperlink w:anchor="_Toc33016932" w:history="1">
            <w:r w:rsidR="0088154E" w:rsidRPr="00DA2E5B">
              <w:rPr>
                <w:rStyle w:val="Hyperlink"/>
                <w:noProof/>
              </w:rPr>
              <w:t>A.</w:t>
            </w:r>
            <w:r w:rsidR="0088154E" w:rsidRPr="00DA2E5B">
              <w:rPr>
                <w:rFonts w:asciiTheme="minorHAnsi" w:eastAsiaTheme="minorEastAsia" w:hAnsiTheme="minorHAnsi" w:cstheme="minorBidi"/>
                <w:noProof/>
                <w:sz w:val="22"/>
                <w:szCs w:val="22"/>
              </w:rPr>
              <w:tab/>
            </w:r>
            <w:r w:rsidR="0088154E" w:rsidRPr="00DA2E5B">
              <w:rPr>
                <w:rStyle w:val="Hyperlink"/>
                <w:noProof/>
              </w:rPr>
              <w:t>Implemented Activities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_Toc33016932 \h </w:instrText>
            </w:r>
            <w:r w:rsidR="0088154E" w:rsidRPr="00DA2E5B">
              <w:rPr>
                <w:noProof/>
                <w:webHidden/>
              </w:rPr>
            </w:r>
            <w:r w:rsidR="0088154E" w:rsidRPr="00DA2E5B">
              <w:rPr>
                <w:noProof/>
                <w:webHidden/>
              </w:rPr>
              <w:fldChar w:fldCharType="separate"/>
            </w:r>
            <w:r>
              <w:rPr>
                <w:noProof/>
                <w:webHidden/>
              </w:rPr>
              <w:t>24</w:t>
            </w:r>
            <w:r w:rsidR="0088154E" w:rsidRPr="00DA2E5B">
              <w:rPr>
                <w:noProof/>
                <w:webHidden/>
              </w:rPr>
              <w:fldChar w:fldCharType="end"/>
            </w:r>
          </w:hyperlink>
        </w:p>
        <w:p w14:paraId="3D870DD8" w14:textId="1A22B28B" w:rsidR="0088154E" w:rsidRPr="00DA2E5B" w:rsidRDefault="00DA2E5B">
          <w:pPr>
            <w:pStyle w:val="TOC3"/>
            <w:rPr>
              <w:rFonts w:asciiTheme="minorHAnsi" w:eastAsiaTheme="minorEastAsia" w:hAnsiTheme="minorHAnsi" w:cstheme="minorBidi"/>
              <w:noProof/>
              <w:sz w:val="22"/>
              <w:szCs w:val="22"/>
            </w:rPr>
          </w:pPr>
          <w:hyperlink w:anchor="_Toc33016933" w:history="1">
            <w:r w:rsidR="0088154E" w:rsidRPr="00DA2E5B">
              <w:rPr>
                <w:rStyle w:val="Hyperlink"/>
                <w:noProof/>
              </w:rPr>
              <w:t>Activity 2000-1:  Family Economic Stability (FES) Program</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_Toc33016933 \h </w:instrText>
            </w:r>
            <w:r w:rsidR="0088154E" w:rsidRPr="00DA2E5B">
              <w:rPr>
                <w:noProof/>
                <w:webHidden/>
              </w:rPr>
            </w:r>
            <w:r w:rsidR="0088154E" w:rsidRPr="00DA2E5B">
              <w:rPr>
                <w:noProof/>
                <w:webHidden/>
              </w:rPr>
              <w:fldChar w:fldCharType="separate"/>
            </w:r>
            <w:r>
              <w:rPr>
                <w:noProof/>
                <w:webHidden/>
              </w:rPr>
              <w:t>24</w:t>
            </w:r>
            <w:r w:rsidR="0088154E" w:rsidRPr="00DA2E5B">
              <w:rPr>
                <w:noProof/>
                <w:webHidden/>
              </w:rPr>
              <w:fldChar w:fldCharType="end"/>
            </w:r>
          </w:hyperlink>
        </w:p>
        <w:p w14:paraId="012AE3FA" w14:textId="7E10B5A1" w:rsidR="0088154E" w:rsidRPr="00DA2E5B" w:rsidRDefault="00DA2E5B">
          <w:pPr>
            <w:pStyle w:val="TOC3"/>
            <w:rPr>
              <w:rFonts w:asciiTheme="minorHAnsi" w:eastAsiaTheme="minorEastAsia" w:hAnsiTheme="minorHAnsi" w:cstheme="minorBidi"/>
              <w:noProof/>
              <w:sz w:val="22"/>
              <w:szCs w:val="22"/>
            </w:rPr>
          </w:pPr>
          <w:hyperlink w:anchor="_Toc33016934" w:history="1">
            <w:r w:rsidR="0088154E" w:rsidRPr="00DA2E5B">
              <w:rPr>
                <w:rStyle w:val="Hyperlink"/>
                <w:noProof/>
              </w:rPr>
              <w:t>Activity 2010-2: Payment Standard Exceptions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_Toc33016934 \h </w:instrText>
            </w:r>
            <w:r w:rsidR="0088154E" w:rsidRPr="00DA2E5B">
              <w:rPr>
                <w:noProof/>
                <w:webHidden/>
              </w:rPr>
            </w:r>
            <w:r w:rsidR="0088154E" w:rsidRPr="00DA2E5B">
              <w:rPr>
                <w:noProof/>
                <w:webHidden/>
              </w:rPr>
              <w:fldChar w:fldCharType="separate"/>
            </w:r>
            <w:r>
              <w:rPr>
                <w:noProof/>
                <w:webHidden/>
              </w:rPr>
              <w:t>28</w:t>
            </w:r>
            <w:r w:rsidR="0088154E" w:rsidRPr="00DA2E5B">
              <w:rPr>
                <w:noProof/>
                <w:webHidden/>
              </w:rPr>
              <w:fldChar w:fldCharType="end"/>
            </w:r>
          </w:hyperlink>
        </w:p>
        <w:p w14:paraId="65788C64" w14:textId="1777FD0B" w:rsidR="0088154E" w:rsidRPr="00DA2E5B" w:rsidRDefault="00DA2E5B">
          <w:pPr>
            <w:pStyle w:val="TOC3"/>
            <w:rPr>
              <w:rFonts w:asciiTheme="minorHAnsi" w:eastAsiaTheme="minorEastAsia" w:hAnsiTheme="minorHAnsi" w:cstheme="minorBidi"/>
              <w:noProof/>
              <w:sz w:val="22"/>
              <w:szCs w:val="22"/>
            </w:rPr>
          </w:pPr>
          <w:hyperlink w:anchor="_Toc33016935" w:history="1">
            <w:r w:rsidR="0088154E" w:rsidRPr="00DA2E5B">
              <w:rPr>
                <w:rStyle w:val="Hyperlink"/>
                <w:noProof/>
              </w:rPr>
              <w:t>Activity 2010-3: Owner Incentive Fund</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_Toc33016935 \h </w:instrText>
            </w:r>
            <w:r w:rsidR="0088154E" w:rsidRPr="00DA2E5B">
              <w:rPr>
                <w:noProof/>
                <w:webHidden/>
              </w:rPr>
            </w:r>
            <w:r w:rsidR="0088154E" w:rsidRPr="00DA2E5B">
              <w:rPr>
                <w:noProof/>
                <w:webHidden/>
              </w:rPr>
              <w:fldChar w:fldCharType="separate"/>
            </w:r>
            <w:r>
              <w:rPr>
                <w:noProof/>
                <w:webHidden/>
              </w:rPr>
              <w:t>30</w:t>
            </w:r>
            <w:r w:rsidR="0088154E" w:rsidRPr="00DA2E5B">
              <w:rPr>
                <w:noProof/>
                <w:webHidden/>
              </w:rPr>
              <w:fldChar w:fldCharType="end"/>
            </w:r>
          </w:hyperlink>
        </w:p>
        <w:p w14:paraId="5CAEB65D" w14:textId="551519D9" w:rsidR="0088154E" w:rsidRPr="00DA2E5B" w:rsidRDefault="00DA2E5B">
          <w:pPr>
            <w:pStyle w:val="TOC3"/>
            <w:rPr>
              <w:rFonts w:asciiTheme="minorHAnsi" w:eastAsiaTheme="minorEastAsia" w:hAnsiTheme="minorHAnsi" w:cstheme="minorBidi"/>
              <w:noProof/>
              <w:sz w:val="22"/>
              <w:szCs w:val="22"/>
            </w:rPr>
          </w:pPr>
          <w:hyperlink w:anchor="_Toc33016936" w:history="1">
            <w:r w:rsidR="0088154E" w:rsidRPr="00DA2E5B">
              <w:rPr>
                <w:rStyle w:val="Hyperlink"/>
                <w:noProof/>
              </w:rPr>
              <w:t>Activity 2010-4: Development of Local Forms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_Toc33016936 \h </w:instrText>
            </w:r>
            <w:r w:rsidR="0088154E" w:rsidRPr="00DA2E5B">
              <w:rPr>
                <w:noProof/>
                <w:webHidden/>
              </w:rPr>
            </w:r>
            <w:r w:rsidR="0088154E" w:rsidRPr="00DA2E5B">
              <w:rPr>
                <w:noProof/>
                <w:webHidden/>
              </w:rPr>
              <w:fldChar w:fldCharType="separate"/>
            </w:r>
            <w:r>
              <w:rPr>
                <w:noProof/>
                <w:webHidden/>
              </w:rPr>
              <w:t>31</w:t>
            </w:r>
            <w:r w:rsidR="0088154E" w:rsidRPr="00DA2E5B">
              <w:rPr>
                <w:noProof/>
                <w:webHidden/>
              </w:rPr>
              <w:fldChar w:fldCharType="end"/>
            </w:r>
          </w:hyperlink>
        </w:p>
        <w:p w14:paraId="3596F184" w14:textId="383F60B9" w:rsidR="0088154E" w:rsidRPr="00DA2E5B" w:rsidRDefault="00DA2E5B">
          <w:pPr>
            <w:pStyle w:val="TOC3"/>
            <w:rPr>
              <w:rFonts w:asciiTheme="minorHAnsi" w:eastAsiaTheme="minorEastAsia" w:hAnsiTheme="minorHAnsi" w:cstheme="minorBidi"/>
              <w:noProof/>
              <w:sz w:val="22"/>
              <w:szCs w:val="22"/>
            </w:rPr>
          </w:pPr>
          <w:hyperlink w:anchor="_Toc33016937" w:history="1">
            <w:r w:rsidR="0088154E" w:rsidRPr="00DA2E5B">
              <w:rPr>
                <w:rStyle w:val="Hyperlink"/>
                <w:noProof/>
              </w:rPr>
              <w:t>Activity 2011-2:  Supporting Neighborhood Opportunity in Massachusetts (SNO Mass)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_Toc33016937 \h </w:instrText>
            </w:r>
            <w:r w:rsidR="0088154E" w:rsidRPr="00DA2E5B">
              <w:rPr>
                <w:noProof/>
                <w:webHidden/>
              </w:rPr>
            </w:r>
            <w:r w:rsidR="0088154E" w:rsidRPr="00DA2E5B">
              <w:rPr>
                <w:noProof/>
                <w:webHidden/>
              </w:rPr>
              <w:fldChar w:fldCharType="separate"/>
            </w:r>
            <w:r>
              <w:rPr>
                <w:noProof/>
                <w:webHidden/>
              </w:rPr>
              <w:t>33</w:t>
            </w:r>
            <w:r w:rsidR="0088154E" w:rsidRPr="00DA2E5B">
              <w:rPr>
                <w:noProof/>
                <w:webHidden/>
              </w:rPr>
              <w:fldChar w:fldCharType="end"/>
            </w:r>
          </w:hyperlink>
        </w:p>
        <w:p w14:paraId="7ABC25B9" w14:textId="031FF560" w:rsidR="0088154E" w:rsidRPr="00DA2E5B" w:rsidRDefault="00DA2E5B">
          <w:pPr>
            <w:pStyle w:val="TOC3"/>
            <w:rPr>
              <w:rFonts w:asciiTheme="minorHAnsi" w:eastAsiaTheme="minorEastAsia" w:hAnsiTheme="minorHAnsi" w:cstheme="minorBidi"/>
              <w:noProof/>
              <w:sz w:val="22"/>
              <w:szCs w:val="22"/>
            </w:rPr>
          </w:pPr>
          <w:hyperlink w:anchor="_Toc33016938" w:history="1">
            <w:r w:rsidR="0088154E" w:rsidRPr="00DA2E5B">
              <w:rPr>
                <w:rStyle w:val="Hyperlink"/>
                <w:noProof/>
              </w:rPr>
              <w:t>Activity 2011-4: Multi-Year Recertifications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_Toc33016938 \h </w:instrText>
            </w:r>
            <w:r w:rsidR="0088154E" w:rsidRPr="00DA2E5B">
              <w:rPr>
                <w:noProof/>
                <w:webHidden/>
              </w:rPr>
            </w:r>
            <w:r w:rsidR="0088154E" w:rsidRPr="00DA2E5B">
              <w:rPr>
                <w:noProof/>
                <w:webHidden/>
              </w:rPr>
              <w:fldChar w:fldCharType="separate"/>
            </w:r>
            <w:r>
              <w:rPr>
                <w:noProof/>
                <w:webHidden/>
              </w:rPr>
              <w:t>35</w:t>
            </w:r>
            <w:r w:rsidR="0088154E" w:rsidRPr="00DA2E5B">
              <w:rPr>
                <w:noProof/>
                <w:webHidden/>
              </w:rPr>
              <w:fldChar w:fldCharType="end"/>
            </w:r>
          </w:hyperlink>
        </w:p>
        <w:p w14:paraId="1F002312" w14:textId="1A35ADD8" w:rsidR="0088154E" w:rsidRPr="00DA2E5B" w:rsidRDefault="00DA2E5B">
          <w:pPr>
            <w:pStyle w:val="TOC3"/>
            <w:rPr>
              <w:rFonts w:asciiTheme="minorHAnsi" w:eastAsiaTheme="minorEastAsia" w:hAnsiTheme="minorHAnsi" w:cstheme="minorBidi"/>
              <w:noProof/>
              <w:sz w:val="22"/>
              <w:szCs w:val="22"/>
            </w:rPr>
          </w:pPr>
          <w:hyperlink w:anchor="_Toc33016939" w:history="1">
            <w:r w:rsidR="0088154E" w:rsidRPr="00DA2E5B">
              <w:rPr>
                <w:rStyle w:val="Hyperlink"/>
                <w:noProof/>
              </w:rPr>
              <w:t>Activity 2011-5: Youth Transition to Success Program (YTTSP)</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_Toc33016939 \h </w:instrText>
            </w:r>
            <w:r w:rsidR="0088154E" w:rsidRPr="00DA2E5B">
              <w:rPr>
                <w:noProof/>
                <w:webHidden/>
              </w:rPr>
            </w:r>
            <w:r w:rsidR="0088154E" w:rsidRPr="00DA2E5B">
              <w:rPr>
                <w:noProof/>
                <w:webHidden/>
              </w:rPr>
              <w:fldChar w:fldCharType="separate"/>
            </w:r>
            <w:r>
              <w:rPr>
                <w:noProof/>
                <w:webHidden/>
              </w:rPr>
              <w:t>38</w:t>
            </w:r>
            <w:r w:rsidR="0088154E" w:rsidRPr="00DA2E5B">
              <w:rPr>
                <w:noProof/>
                <w:webHidden/>
              </w:rPr>
              <w:fldChar w:fldCharType="end"/>
            </w:r>
          </w:hyperlink>
        </w:p>
        <w:p w14:paraId="634E1C90" w14:textId="2A76D091" w:rsidR="0088154E" w:rsidRPr="00DA2E5B" w:rsidRDefault="00DA2E5B">
          <w:pPr>
            <w:pStyle w:val="TOC3"/>
            <w:rPr>
              <w:rFonts w:asciiTheme="minorHAnsi" w:eastAsiaTheme="minorEastAsia" w:hAnsiTheme="minorHAnsi" w:cstheme="minorBidi"/>
              <w:noProof/>
              <w:sz w:val="22"/>
              <w:szCs w:val="22"/>
            </w:rPr>
          </w:pPr>
          <w:hyperlink w:anchor="_Toc33016940" w:history="1">
            <w:r w:rsidR="0088154E" w:rsidRPr="00DA2E5B">
              <w:rPr>
                <w:rStyle w:val="Hyperlink"/>
                <w:noProof/>
              </w:rPr>
              <w:t>Activity 2012-1: MTW Utility Allowances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_Toc33016940 \h </w:instrText>
            </w:r>
            <w:r w:rsidR="0088154E" w:rsidRPr="00DA2E5B">
              <w:rPr>
                <w:noProof/>
                <w:webHidden/>
              </w:rPr>
            </w:r>
            <w:r w:rsidR="0088154E" w:rsidRPr="00DA2E5B">
              <w:rPr>
                <w:noProof/>
                <w:webHidden/>
              </w:rPr>
              <w:fldChar w:fldCharType="separate"/>
            </w:r>
            <w:r>
              <w:rPr>
                <w:noProof/>
                <w:webHidden/>
              </w:rPr>
              <w:t>41</w:t>
            </w:r>
            <w:r w:rsidR="0088154E" w:rsidRPr="00DA2E5B">
              <w:rPr>
                <w:noProof/>
                <w:webHidden/>
              </w:rPr>
              <w:fldChar w:fldCharType="end"/>
            </w:r>
          </w:hyperlink>
        </w:p>
        <w:p w14:paraId="46AAB4E7" w14:textId="1002DFD1" w:rsidR="0088154E" w:rsidRPr="00DA2E5B" w:rsidRDefault="00DA2E5B">
          <w:pPr>
            <w:pStyle w:val="TOC3"/>
            <w:rPr>
              <w:rFonts w:asciiTheme="minorHAnsi" w:eastAsiaTheme="minorEastAsia" w:hAnsiTheme="minorHAnsi" w:cstheme="minorBidi"/>
              <w:noProof/>
              <w:sz w:val="22"/>
              <w:szCs w:val="22"/>
            </w:rPr>
          </w:pPr>
          <w:hyperlink w:anchor="_Toc33016941" w:history="1">
            <w:r w:rsidR="0088154E" w:rsidRPr="00DA2E5B">
              <w:rPr>
                <w:rStyle w:val="Hyperlink"/>
                <w:noProof/>
              </w:rPr>
              <w:t>Activity 2012-4: Expiring Use Preservation Initiative</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_Toc33016941 \h </w:instrText>
            </w:r>
            <w:r w:rsidR="0088154E" w:rsidRPr="00DA2E5B">
              <w:rPr>
                <w:noProof/>
                <w:webHidden/>
              </w:rPr>
            </w:r>
            <w:r w:rsidR="0088154E" w:rsidRPr="00DA2E5B">
              <w:rPr>
                <w:noProof/>
                <w:webHidden/>
              </w:rPr>
              <w:fldChar w:fldCharType="separate"/>
            </w:r>
            <w:r>
              <w:rPr>
                <w:noProof/>
                <w:webHidden/>
              </w:rPr>
              <w:t>43</w:t>
            </w:r>
            <w:r w:rsidR="0088154E" w:rsidRPr="00DA2E5B">
              <w:rPr>
                <w:noProof/>
                <w:webHidden/>
              </w:rPr>
              <w:fldChar w:fldCharType="end"/>
            </w:r>
          </w:hyperlink>
        </w:p>
        <w:p w14:paraId="1DEACDAC" w14:textId="17933443" w:rsidR="0088154E" w:rsidRPr="00DA2E5B" w:rsidRDefault="00DA2E5B">
          <w:pPr>
            <w:pStyle w:val="TOC3"/>
            <w:rPr>
              <w:rFonts w:asciiTheme="minorHAnsi" w:eastAsiaTheme="minorEastAsia" w:hAnsiTheme="minorHAnsi" w:cstheme="minorBidi"/>
              <w:noProof/>
              <w:sz w:val="22"/>
              <w:szCs w:val="22"/>
            </w:rPr>
          </w:pPr>
          <w:hyperlink w:anchor="_Toc33016942" w:history="1">
            <w:r w:rsidR="0088154E" w:rsidRPr="00DA2E5B">
              <w:rPr>
                <w:rStyle w:val="Hyperlink"/>
                <w:noProof/>
              </w:rPr>
              <w:t>Activity 2012-5: Family Self Sufficiency Program Enhancements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_Toc33016942 \h </w:instrText>
            </w:r>
            <w:r w:rsidR="0088154E" w:rsidRPr="00DA2E5B">
              <w:rPr>
                <w:noProof/>
                <w:webHidden/>
              </w:rPr>
            </w:r>
            <w:r w:rsidR="0088154E" w:rsidRPr="00DA2E5B">
              <w:rPr>
                <w:noProof/>
                <w:webHidden/>
              </w:rPr>
              <w:fldChar w:fldCharType="separate"/>
            </w:r>
            <w:r>
              <w:rPr>
                <w:noProof/>
                <w:webHidden/>
              </w:rPr>
              <w:t>44</w:t>
            </w:r>
            <w:r w:rsidR="0088154E" w:rsidRPr="00DA2E5B">
              <w:rPr>
                <w:noProof/>
                <w:webHidden/>
              </w:rPr>
              <w:fldChar w:fldCharType="end"/>
            </w:r>
          </w:hyperlink>
        </w:p>
        <w:p w14:paraId="53E10B76" w14:textId="51CDA380" w:rsidR="0088154E" w:rsidRPr="00DA2E5B" w:rsidRDefault="00DA2E5B">
          <w:pPr>
            <w:pStyle w:val="TOC3"/>
            <w:rPr>
              <w:rFonts w:asciiTheme="minorHAnsi" w:eastAsiaTheme="minorEastAsia" w:hAnsiTheme="minorHAnsi" w:cstheme="minorBidi"/>
              <w:noProof/>
              <w:sz w:val="22"/>
              <w:szCs w:val="22"/>
            </w:rPr>
          </w:pPr>
          <w:hyperlink w:anchor="_Toc33016943" w:history="1">
            <w:r w:rsidR="0088154E" w:rsidRPr="00DA2E5B">
              <w:rPr>
                <w:rStyle w:val="Hyperlink"/>
                <w:noProof/>
              </w:rPr>
              <w:t>Activity 2015-1: Rent Simplification</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_Toc33016943 \h </w:instrText>
            </w:r>
            <w:r w:rsidR="0088154E" w:rsidRPr="00DA2E5B">
              <w:rPr>
                <w:noProof/>
                <w:webHidden/>
              </w:rPr>
            </w:r>
            <w:r w:rsidR="0088154E" w:rsidRPr="00DA2E5B">
              <w:rPr>
                <w:noProof/>
                <w:webHidden/>
              </w:rPr>
              <w:fldChar w:fldCharType="separate"/>
            </w:r>
            <w:r>
              <w:rPr>
                <w:noProof/>
                <w:webHidden/>
              </w:rPr>
              <w:t>47</w:t>
            </w:r>
            <w:r w:rsidR="0088154E" w:rsidRPr="00DA2E5B">
              <w:rPr>
                <w:noProof/>
                <w:webHidden/>
              </w:rPr>
              <w:fldChar w:fldCharType="end"/>
            </w:r>
          </w:hyperlink>
        </w:p>
        <w:p w14:paraId="7B818EBF" w14:textId="1654DCCB" w:rsidR="0088154E" w:rsidRPr="00DA2E5B" w:rsidRDefault="00DA2E5B">
          <w:pPr>
            <w:pStyle w:val="TOC3"/>
            <w:rPr>
              <w:rFonts w:asciiTheme="minorHAnsi" w:eastAsiaTheme="minorEastAsia" w:hAnsiTheme="minorHAnsi" w:cstheme="minorBidi"/>
              <w:noProof/>
              <w:sz w:val="22"/>
              <w:szCs w:val="22"/>
            </w:rPr>
          </w:pPr>
          <w:hyperlink w:anchor="_Toc33016944" w:history="1">
            <w:r w:rsidR="0088154E" w:rsidRPr="00DA2E5B">
              <w:rPr>
                <w:rStyle w:val="Hyperlink"/>
                <w:noProof/>
              </w:rPr>
              <w:t>Activity 2018-1: Expanding Housing Opportunities: Relocation Assistance</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_Toc33016944 \h </w:instrText>
            </w:r>
            <w:r w:rsidR="0088154E" w:rsidRPr="00DA2E5B">
              <w:rPr>
                <w:noProof/>
                <w:webHidden/>
              </w:rPr>
            </w:r>
            <w:r w:rsidR="0088154E" w:rsidRPr="00DA2E5B">
              <w:rPr>
                <w:noProof/>
                <w:webHidden/>
              </w:rPr>
              <w:fldChar w:fldCharType="separate"/>
            </w:r>
            <w:r>
              <w:rPr>
                <w:noProof/>
                <w:webHidden/>
              </w:rPr>
              <w:t>51</w:t>
            </w:r>
            <w:r w:rsidR="0088154E" w:rsidRPr="00DA2E5B">
              <w:rPr>
                <w:noProof/>
                <w:webHidden/>
              </w:rPr>
              <w:fldChar w:fldCharType="end"/>
            </w:r>
          </w:hyperlink>
        </w:p>
        <w:p w14:paraId="344E3045" w14:textId="2D9BDCA3" w:rsidR="0088154E" w:rsidRPr="00DA2E5B" w:rsidRDefault="00DA2E5B">
          <w:pPr>
            <w:pStyle w:val="TOC3"/>
            <w:rPr>
              <w:rFonts w:asciiTheme="minorHAnsi" w:eastAsiaTheme="minorEastAsia" w:hAnsiTheme="minorHAnsi" w:cstheme="minorBidi"/>
              <w:noProof/>
              <w:sz w:val="22"/>
              <w:szCs w:val="22"/>
            </w:rPr>
          </w:pPr>
          <w:hyperlink w:anchor="_Toc33016945" w:history="1">
            <w:r w:rsidR="0088154E" w:rsidRPr="00DA2E5B">
              <w:rPr>
                <w:rStyle w:val="Hyperlink"/>
                <w:noProof/>
              </w:rPr>
              <w:t>Activity 2018-3: Support for the Secure Jobs Initiative: Vouchers and Services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_Toc33016945 \h </w:instrText>
            </w:r>
            <w:r w:rsidR="0088154E" w:rsidRPr="00DA2E5B">
              <w:rPr>
                <w:noProof/>
                <w:webHidden/>
              </w:rPr>
            </w:r>
            <w:r w:rsidR="0088154E" w:rsidRPr="00DA2E5B">
              <w:rPr>
                <w:noProof/>
                <w:webHidden/>
              </w:rPr>
              <w:fldChar w:fldCharType="separate"/>
            </w:r>
            <w:r>
              <w:rPr>
                <w:noProof/>
                <w:webHidden/>
              </w:rPr>
              <w:t>52</w:t>
            </w:r>
            <w:r w:rsidR="0088154E" w:rsidRPr="00DA2E5B">
              <w:rPr>
                <w:noProof/>
                <w:webHidden/>
              </w:rPr>
              <w:fldChar w:fldCharType="end"/>
            </w:r>
          </w:hyperlink>
        </w:p>
        <w:p w14:paraId="369E9CB6" w14:textId="1AAF62D0" w:rsidR="0088154E" w:rsidRPr="00DA2E5B" w:rsidRDefault="00DA2E5B">
          <w:pPr>
            <w:pStyle w:val="TOC3"/>
            <w:rPr>
              <w:rFonts w:asciiTheme="minorHAnsi" w:eastAsiaTheme="minorEastAsia" w:hAnsiTheme="minorHAnsi" w:cstheme="minorBidi"/>
              <w:noProof/>
              <w:sz w:val="22"/>
              <w:szCs w:val="22"/>
            </w:rPr>
          </w:pPr>
          <w:hyperlink w:anchor="_Toc33016946" w:history="1">
            <w:r w:rsidR="0088154E" w:rsidRPr="00DA2E5B">
              <w:rPr>
                <w:rStyle w:val="Hyperlink"/>
                <w:noProof/>
              </w:rPr>
              <w:t>Activity 2018-4: Support for the Secure Jobs Initiative: Services Only</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_Toc33016946 \h </w:instrText>
            </w:r>
            <w:r w:rsidR="0088154E" w:rsidRPr="00DA2E5B">
              <w:rPr>
                <w:noProof/>
                <w:webHidden/>
              </w:rPr>
            </w:r>
            <w:r w:rsidR="0088154E" w:rsidRPr="00DA2E5B">
              <w:rPr>
                <w:noProof/>
                <w:webHidden/>
              </w:rPr>
              <w:fldChar w:fldCharType="separate"/>
            </w:r>
            <w:r>
              <w:rPr>
                <w:noProof/>
                <w:webHidden/>
              </w:rPr>
              <w:t>54</w:t>
            </w:r>
            <w:r w:rsidR="0088154E" w:rsidRPr="00DA2E5B">
              <w:rPr>
                <w:noProof/>
                <w:webHidden/>
              </w:rPr>
              <w:fldChar w:fldCharType="end"/>
            </w:r>
          </w:hyperlink>
        </w:p>
        <w:p w14:paraId="7DEEBD31" w14:textId="2F80BCC1" w:rsidR="0088154E" w:rsidRPr="00DA2E5B" w:rsidRDefault="00DA2E5B">
          <w:pPr>
            <w:pStyle w:val="TOC3"/>
            <w:rPr>
              <w:rFonts w:asciiTheme="minorHAnsi" w:eastAsiaTheme="minorEastAsia" w:hAnsiTheme="minorHAnsi" w:cstheme="minorBidi"/>
              <w:noProof/>
              <w:sz w:val="22"/>
              <w:szCs w:val="22"/>
            </w:rPr>
          </w:pPr>
          <w:hyperlink w:anchor="_Toc33016947" w:history="1">
            <w:r w:rsidR="0088154E" w:rsidRPr="00DA2E5B">
              <w:rPr>
                <w:rStyle w:val="Hyperlink"/>
                <w:noProof/>
              </w:rPr>
              <w:t>Activity 2018-5: A Better Life Program Model</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_Toc33016947 \h </w:instrText>
            </w:r>
            <w:r w:rsidR="0088154E" w:rsidRPr="00DA2E5B">
              <w:rPr>
                <w:noProof/>
                <w:webHidden/>
              </w:rPr>
            </w:r>
            <w:r w:rsidR="0088154E" w:rsidRPr="00DA2E5B">
              <w:rPr>
                <w:noProof/>
                <w:webHidden/>
              </w:rPr>
              <w:fldChar w:fldCharType="separate"/>
            </w:r>
            <w:r>
              <w:rPr>
                <w:noProof/>
                <w:webHidden/>
              </w:rPr>
              <w:t>56</w:t>
            </w:r>
            <w:r w:rsidR="0088154E" w:rsidRPr="00DA2E5B">
              <w:rPr>
                <w:noProof/>
                <w:webHidden/>
              </w:rPr>
              <w:fldChar w:fldCharType="end"/>
            </w:r>
          </w:hyperlink>
        </w:p>
        <w:p w14:paraId="4ADD0127" w14:textId="397260C9" w:rsidR="0088154E" w:rsidRPr="00DA2E5B" w:rsidRDefault="00DA2E5B">
          <w:pPr>
            <w:pStyle w:val="TOC3"/>
            <w:rPr>
              <w:rFonts w:asciiTheme="minorHAnsi" w:eastAsiaTheme="minorEastAsia" w:hAnsiTheme="minorHAnsi" w:cstheme="minorBidi"/>
              <w:noProof/>
              <w:sz w:val="22"/>
              <w:szCs w:val="22"/>
            </w:rPr>
          </w:pPr>
          <w:hyperlink w:anchor="_Toc33016948" w:history="1">
            <w:r w:rsidR="0088154E" w:rsidRPr="00DA2E5B">
              <w:rPr>
                <w:rStyle w:val="Hyperlink"/>
                <w:noProof/>
              </w:rPr>
              <w:t>Activity 2018-6: Health Starts at Home</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_Toc33016948 \h </w:instrText>
            </w:r>
            <w:r w:rsidR="0088154E" w:rsidRPr="00DA2E5B">
              <w:rPr>
                <w:noProof/>
                <w:webHidden/>
              </w:rPr>
            </w:r>
            <w:r w:rsidR="0088154E" w:rsidRPr="00DA2E5B">
              <w:rPr>
                <w:noProof/>
                <w:webHidden/>
              </w:rPr>
              <w:fldChar w:fldCharType="separate"/>
            </w:r>
            <w:r>
              <w:rPr>
                <w:noProof/>
                <w:webHidden/>
              </w:rPr>
              <w:t>58</w:t>
            </w:r>
            <w:r w:rsidR="0088154E" w:rsidRPr="00DA2E5B">
              <w:rPr>
                <w:noProof/>
                <w:webHidden/>
              </w:rPr>
              <w:fldChar w:fldCharType="end"/>
            </w:r>
          </w:hyperlink>
        </w:p>
        <w:p w14:paraId="1B8214DB" w14:textId="64B46D5C" w:rsidR="0088154E" w:rsidRPr="00DA2E5B" w:rsidRDefault="00DA2E5B">
          <w:pPr>
            <w:pStyle w:val="TOC3"/>
            <w:rPr>
              <w:rFonts w:asciiTheme="minorHAnsi" w:eastAsiaTheme="minorEastAsia" w:hAnsiTheme="minorHAnsi" w:cstheme="minorBidi"/>
              <w:noProof/>
              <w:sz w:val="22"/>
              <w:szCs w:val="22"/>
            </w:rPr>
          </w:pPr>
          <w:hyperlink w:anchor="_Toc33016949" w:history="1">
            <w:r w:rsidR="0088154E" w:rsidRPr="00DA2E5B">
              <w:rPr>
                <w:rStyle w:val="Hyperlink"/>
                <w:noProof/>
              </w:rPr>
              <w:t>Activity 2018-7: Enhanced Local Project-Based Voucher Program</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_Toc33016949 \h </w:instrText>
            </w:r>
            <w:r w:rsidR="0088154E" w:rsidRPr="00DA2E5B">
              <w:rPr>
                <w:noProof/>
                <w:webHidden/>
              </w:rPr>
            </w:r>
            <w:r w:rsidR="0088154E" w:rsidRPr="00DA2E5B">
              <w:rPr>
                <w:noProof/>
                <w:webHidden/>
              </w:rPr>
              <w:fldChar w:fldCharType="separate"/>
            </w:r>
            <w:r>
              <w:rPr>
                <w:noProof/>
                <w:webHidden/>
              </w:rPr>
              <w:t>60</w:t>
            </w:r>
            <w:r w:rsidR="0088154E" w:rsidRPr="00DA2E5B">
              <w:rPr>
                <w:noProof/>
                <w:webHidden/>
              </w:rPr>
              <w:fldChar w:fldCharType="end"/>
            </w:r>
          </w:hyperlink>
        </w:p>
        <w:p w14:paraId="6866C74F" w14:textId="0E39D5B4" w:rsidR="0088154E" w:rsidRPr="00DA2E5B" w:rsidRDefault="00DA2E5B">
          <w:pPr>
            <w:pStyle w:val="TOC3"/>
            <w:rPr>
              <w:rFonts w:asciiTheme="minorHAnsi" w:eastAsiaTheme="minorEastAsia" w:hAnsiTheme="minorHAnsi" w:cstheme="minorBidi"/>
              <w:noProof/>
              <w:sz w:val="22"/>
              <w:szCs w:val="22"/>
            </w:rPr>
          </w:pPr>
          <w:hyperlink w:anchor="_Toc33016950" w:history="1">
            <w:r w:rsidR="0088154E" w:rsidRPr="00DA2E5B">
              <w:rPr>
                <w:rStyle w:val="Hyperlink"/>
                <w:noProof/>
              </w:rPr>
              <w:t>Activity 2018-9: Affordable Housing Preservation and Development Fund</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_Toc33016950 \h </w:instrText>
            </w:r>
            <w:r w:rsidR="0088154E" w:rsidRPr="00DA2E5B">
              <w:rPr>
                <w:noProof/>
                <w:webHidden/>
              </w:rPr>
            </w:r>
            <w:r w:rsidR="0088154E" w:rsidRPr="00DA2E5B">
              <w:rPr>
                <w:noProof/>
                <w:webHidden/>
              </w:rPr>
              <w:fldChar w:fldCharType="separate"/>
            </w:r>
            <w:r>
              <w:rPr>
                <w:noProof/>
                <w:webHidden/>
              </w:rPr>
              <w:t>62</w:t>
            </w:r>
            <w:r w:rsidR="0088154E" w:rsidRPr="00DA2E5B">
              <w:rPr>
                <w:noProof/>
                <w:webHidden/>
              </w:rPr>
              <w:fldChar w:fldCharType="end"/>
            </w:r>
          </w:hyperlink>
        </w:p>
        <w:p w14:paraId="49F912EA" w14:textId="7DBCE6F3" w:rsidR="0088154E" w:rsidRPr="00DA2E5B" w:rsidRDefault="00DA2E5B">
          <w:pPr>
            <w:pStyle w:val="TOC3"/>
            <w:rPr>
              <w:rFonts w:asciiTheme="minorHAnsi" w:eastAsiaTheme="minorEastAsia" w:hAnsiTheme="minorHAnsi" w:cstheme="minorBidi"/>
              <w:noProof/>
              <w:sz w:val="22"/>
              <w:szCs w:val="22"/>
            </w:rPr>
          </w:pPr>
          <w:hyperlink w:anchor="_Toc33016951" w:history="1">
            <w:r w:rsidR="0088154E" w:rsidRPr="00DA2E5B">
              <w:rPr>
                <w:rStyle w:val="Hyperlink"/>
                <w:noProof/>
              </w:rPr>
              <w:t>Activity 2019-1: Launch</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_Toc33016951 \h </w:instrText>
            </w:r>
            <w:r w:rsidR="0088154E" w:rsidRPr="00DA2E5B">
              <w:rPr>
                <w:noProof/>
                <w:webHidden/>
              </w:rPr>
            </w:r>
            <w:r w:rsidR="0088154E" w:rsidRPr="00DA2E5B">
              <w:rPr>
                <w:noProof/>
                <w:webHidden/>
              </w:rPr>
              <w:fldChar w:fldCharType="separate"/>
            </w:r>
            <w:r>
              <w:rPr>
                <w:noProof/>
                <w:webHidden/>
              </w:rPr>
              <w:t>64</w:t>
            </w:r>
            <w:r w:rsidR="0088154E" w:rsidRPr="00DA2E5B">
              <w:rPr>
                <w:noProof/>
                <w:webHidden/>
              </w:rPr>
              <w:fldChar w:fldCharType="end"/>
            </w:r>
          </w:hyperlink>
        </w:p>
        <w:p w14:paraId="73578674" w14:textId="3209AE5D" w:rsidR="0088154E" w:rsidRPr="00DA2E5B" w:rsidRDefault="00DA2E5B">
          <w:pPr>
            <w:pStyle w:val="TOC3"/>
            <w:rPr>
              <w:rFonts w:asciiTheme="minorHAnsi" w:eastAsiaTheme="minorEastAsia" w:hAnsiTheme="minorHAnsi" w:cstheme="minorBidi"/>
              <w:noProof/>
              <w:sz w:val="22"/>
              <w:szCs w:val="22"/>
            </w:rPr>
          </w:pPr>
          <w:hyperlink w:anchor="_Toc33016952" w:history="1">
            <w:r w:rsidR="0088154E" w:rsidRPr="00DA2E5B">
              <w:rPr>
                <w:rStyle w:val="Hyperlink"/>
                <w:noProof/>
              </w:rPr>
              <w:t>Activity 2020-1: Massachusetts Student Housing Security Pilot</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_Toc33016952 \h </w:instrText>
            </w:r>
            <w:r w:rsidR="0088154E" w:rsidRPr="00DA2E5B">
              <w:rPr>
                <w:noProof/>
                <w:webHidden/>
              </w:rPr>
            </w:r>
            <w:r w:rsidR="0088154E" w:rsidRPr="00DA2E5B">
              <w:rPr>
                <w:noProof/>
                <w:webHidden/>
              </w:rPr>
              <w:fldChar w:fldCharType="separate"/>
            </w:r>
            <w:r>
              <w:rPr>
                <w:noProof/>
                <w:webHidden/>
              </w:rPr>
              <w:t>67</w:t>
            </w:r>
            <w:r w:rsidR="0088154E" w:rsidRPr="00DA2E5B">
              <w:rPr>
                <w:noProof/>
                <w:webHidden/>
              </w:rPr>
              <w:fldChar w:fldCharType="end"/>
            </w:r>
          </w:hyperlink>
        </w:p>
        <w:p w14:paraId="7FCDFC1C" w14:textId="22772757" w:rsidR="0088154E" w:rsidRPr="00DA2E5B" w:rsidRDefault="00DA2E5B">
          <w:pPr>
            <w:pStyle w:val="TOC3"/>
            <w:rPr>
              <w:rFonts w:asciiTheme="minorHAnsi" w:eastAsiaTheme="minorEastAsia" w:hAnsiTheme="minorHAnsi" w:cstheme="minorBidi"/>
              <w:noProof/>
              <w:sz w:val="22"/>
              <w:szCs w:val="22"/>
            </w:rPr>
          </w:pPr>
          <w:hyperlink w:anchor="_Toc33016953" w:history="1">
            <w:r w:rsidR="0088154E" w:rsidRPr="00DA2E5B">
              <w:rPr>
                <w:rStyle w:val="Hyperlink"/>
                <w:noProof/>
              </w:rPr>
              <w:t>B.</w:t>
            </w:r>
            <w:r w:rsidR="0088154E" w:rsidRPr="00DA2E5B">
              <w:rPr>
                <w:rFonts w:asciiTheme="minorHAnsi" w:eastAsiaTheme="minorEastAsia" w:hAnsiTheme="minorHAnsi" w:cstheme="minorBidi"/>
                <w:noProof/>
                <w:sz w:val="22"/>
                <w:szCs w:val="22"/>
              </w:rPr>
              <w:tab/>
            </w:r>
            <w:r w:rsidR="0088154E" w:rsidRPr="00DA2E5B">
              <w:rPr>
                <w:rStyle w:val="Hyperlink"/>
                <w:noProof/>
              </w:rPr>
              <w:t>Not Yet Implemented Activities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_Toc33016953 \h </w:instrText>
            </w:r>
            <w:r w:rsidR="0088154E" w:rsidRPr="00DA2E5B">
              <w:rPr>
                <w:noProof/>
                <w:webHidden/>
              </w:rPr>
            </w:r>
            <w:r w:rsidR="0088154E" w:rsidRPr="00DA2E5B">
              <w:rPr>
                <w:noProof/>
                <w:webHidden/>
              </w:rPr>
              <w:fldChar w:fldCharType="separate"/>
            </w:r>
            <w:r>
              <w:rPr>
                <w:noProof/>
                <w:webHidden/>
              </w:rPr>
              <w:t>70</w:t>
            </w:r>
            <w:r w:rsidR="0088154E" w:rsidRPr="00DA2E5B">
              <w:rPr>
                <w:noProof/>
                <w:webHidden/>
              </w:rPr>
              <w:fldChar w:fldCharType="end"/>
            </w:r>
          </w:hyperlink>
        </w:p>
        <w:p w14:paraId="1C4DB4A3" w14:textId="7E58968C" w:rsidR="0088154E" w:rsidRPr="00DA2E5B" w:rsidRDefault="00DA2E5B">
          <w:pPr>
            <w:pStyle w:val="TOC3"/>
            <w:rPr>
              <w:rFonts w:asciiTheme="minorHAnsi" w:eastAsiaTheme="minorEastAsia" w:hAnsiTheme="minorHAnsi" w:cstheme="minorBidi"/>
              <w:noProof/>
              <w:sz w:val="22"/>
              <w:szCs w:val="22"/>
            </w:rPr>
          </w:pPr>
          <w:hyperlink w:anchor="_Toc33016954" w:history="1">
            <w:r w:rsidR="0088154E" w:rsidRPr="00DA2E5B">
              <w:rPr>
                <w:rStyle w:val="Hyperlink"/>
                <w:noProof/>
              </w:rPr>
              <w:t>Activity 2011-1:  Value Vouchers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_Toc33016954 \h </w:instrText>
            </w:r>
            <w:r w:rsidR="0088154E" w:rsidRPr="00DA2E5B">
              <w:rPr>
                <w:noProof/>
                <w:webHidden/>
              </w:rPr>
            </w:r>
            <w:r w:rsidR="0088154E" w:rsidRPr="00DA2E5B">
              <w:rPr>
                <w:noProof/>
                <w:webHidden/>
              </w:rPr>
              <w:fldChar w:fldCharType="separate"/>
            </w:r>
            <w:r>
              <w:rPr>
                <w:noProof/>
                <w:webHidden/>
              </w:rPr>
              <w:t>70</w:t>
            </w:r>
            <w:r w:rsidR="0088154E" w:rsidRPr="00DA2E5B">
              <w:rPr>
                <w:noProof/>
                <w:webHidden/>
              </w:rPr>
              <w:fldChar w:fldCharType="end"/>
            </w:r>
          </w:hyperlink>
        </w:p>
        <w:p w14:paraId="6C178B6F" w14:textId="24069E1E" w:rsidR="0088154E" w:rsidRPr="00DA2E5B" w:rsidRDefault="00DA2E5B">
          <w:pPr>
            <w:pStyle w:val="TOC3"/>
            <w:rPr>
              <w:rFonts w:asciiTheme="minorHAnsi" w:eastAsiaTheme="minorEastAsia" w:hAnsiTheme="minorHAnsi" w:cstheme="minorBidi"/>
              <w:noProof/>
              <w:sz w:val="22"/>
              <w:szCs w:val="22"/>
            </w:rPr>
          </w:pPr>
          <w:hyperlink w:anchor="_Toc33016955" w:history="1">
            <w:r w:rsidR="0088154E" w:rsidRPr="00DA2E5B">
              <w:rPr>
                <w:rStyle w:val="Hyperlink"/>
                <w:noProof/>
              </w:rPr>
              <w:t>C.</w:t>
            </w:r>
            <w:r w:rsidR="0088154E" w:rsidRPr="00DA2E5B">
              <w:rPr>
                <w:rFonts w:asciiTheme="minorHAnsi" w:eastAsiaTheme="minorEastAsia" w:hAnsiTheme="minorHAnsi" w:cstheme="minorBidi"/>
                <w:noProof/>
                <w:sz w:val="22"/>
                <w:szCs w:val="22"/>
              </w:rPr>
              <w:tab/>
            </w:r>
            <w:r w:rsidR="0088154E" w:rsidRPr="00DA2E5B">
              <w:rPr>
                <w:rStyle w:val="Hyperlink"/>
                <w:noProof/>
              </w:rPr>
              <w:t>Activities on Hold</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_Toc33016955 \h </w:instrText>
            </w:r>
            <w:r w:rsidR="0088154E" w:rsidRPr="00DA2E5B">
              <w:rPr>
                <w:noProof/>
                <w:webHidden/>
              </w:rPr>
            </w:r>
            <w:r w:rsidR="0088154E" w:rsidRPr="00DA2E5B">
              <w:rPr>
                <w:noProof/>
                <w:webHidden/>
              </w:rPr>
              <w:fldChar w:fldCharType="separate"/>
            </w:r>
            <w:r>
              <w:rPr>
                <w:noProof/>
                <w:webHidden/>
              </w:rPr>
              <w:t>71</w:t>
            </w:r>
            <w:r w:rsidR="0088154E" w:rsidRPr="00DA2E5B">
              <w:rPr>
                <w:noProof/>
                <w:webHidden/>
              </w:rPr>
              <w:fldChar w:fldCharType="end"/>
            </w:r>
          </w:hyperlink>
        </w:p>
        <w:p w14:paraId="5E4D0055" w14:textId="5F14664A" w:rsidR="0088154E" w:rsidRPr="00DA2E5B" w:rsidRDefault="00DA2E5B">
          <w:pPr>
            <w:pStyle w:val="TOC3"/>
            <w:rPr>
              <w:rFonts w:asciiTheme="minorHAnsi" w:eastAsiaTheme="minorEastAsia" w:hAnsiTheme="minorHAnsi" w:cstheme="minorBidi"/>
              <w:noProof/>
              <w:sz w:val="22"/>
              <w:szCs w:val="22"/>
            </w:rPr>
          </w:pPr>
          <w:hyperlink w:anchor="_Toc33016956" w:history="1">
            <w:r w:rsidR="0088154E" w:rsidRPr="00DA2E5B">
              <w:rPr>
                <w:rStyle w:val="Hyperlink"/>
                <w:noProof/>
              </w:rPr>
              <w:t>D.</w:t>
            </w:r>
            <w:r w:rsidR="0088154E" w:rsidRPr="00DA2E5B">
              <w:rPr>
                <w:rFonts w:asciiTheme="minorHAnsi" w:eastAsiaTheme="minorEastAsia" w:hAnsiTheme="minorHAnsi" w:cstheme="minorBidi"/>
                <w:noProof/>
                <w:sz w:val="22"/>
                <w:szCs w:val="22"/>
              </w:rPr>
              <w:tab/>
            </w:r>
            <w:r w:rsidR="0088154E" w:rsidRPr="00DA2E5B">
              <w:rPr>
                <w:rStyle w:val="Hyperlink"/>
                <w:noProof/>
              </w:rPr>
              <w:t>Closed Out Activities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_Toc33016956 \h </w:instrText>
            </w:r>
            <w:r w:rsidR="0088154E" w:rsidRPr="00DA2E5B">
              <w:rPr>
                <w:noProof/>
                <w:webHidden/>
              </w:rPr>
            </w:r>
            <w:r w:rsidR="0088154E" w:rsidRPr="00DA2E5B">
              <w:rPr>
                <w:noProof/>
                <w:webHidden/>
              </w:rPr>
              <w:fldChar w:fldCharType="separate"/>
            </w:r>
            <w:r>
              <w:rPr>
                <w:noProof/>
                <w:webHidden/>
              </w:rPr>
              <w:t>72</w:t>
            </w:r>
            <w:r w:rsidR="0088154E" w:rsidRPr="00DA2E5B">
              <w:rPr>
                <w:noProof/>
                <w:webHidden/>
              </w:rPr>
              <w:fldChar w:fldCharType="end"/>
            </w:r>
          </w:hyperlink>
        </w:p>
        <w:p w14:paraId="4B12A301" w14:textId="22FF223F" w:rsidR="0088154E" w:rsidRPr="00DA2E5B" w:rsidRDefault="00DA2E5B">
          <w:pPr>
            <w:pStyle w:val="TOC4"/>
            <w:rPr>
              <w:rFonts w:asciiTheme="minorHAnsi" w:eastAsiaTheme="minorEastAsia" w:hAnsiTheme="minorHAnsi" w:cstheme="minorBidi"/>
              <w:noProof/>
              <w:sz w:val="22"/>
              <w:szCs w:val="22"/>
            </w:rPr>
          </w:pPr>
          <w:hyperlink w:anchor="_Toc33016957" w:history="1">
            <w:r w:rsidR="0088154E" w:rsidRPr="00DA2E5B">
              <w:rPr>
                <w:rStyle w:val="Hyperlink"/>
                <w:noProof/>
              </w:rPr>
              <w:t>Table 10: Closed-Out MTW Activities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_Toc33016957 \h </w:instrText>
            </w:r>
            <w:r w:rsidR="0088154E" w:rsidRPr="00DA2E5B">
              <w:rPr>
                <w:noProof/>
                <w:webHidden/>
              </w:rPr>
            </w:r>
            <w:r w:rsidR="0088154E" w:rsidRPr="00DA2E5B">
              <w:rPr>
                <w:noProof/>
                <w:webHidden/>
              </w:rPr>
              <w:fldChar w:fldCharType="separate"/>
            </w:r>
            <w:r>
              <w:rPr>
                <w:noProof/>
                <w:webHidden/>
              </w:rPr>
              <w:t>72</w:t>
            </w:r>
            <w:r w:rsidR="0088154E" w:rsidRPr="00DA2E5B">
              <w:rPr>
                <w:noProof/>
                <w:webHidden/>
              </w:rPr>
              <w:fldChar w:fldCharType="end"/>
            </w:r>
          </w:hyperlink>
        </w:p>
        <w:p w14:paraId="25044D4F" w14:textId="7C358D67" w:rsidR="0088154E" w:rsidRPr="00DA2E5B" w:rsidRDefault="00DA2E5B">
          <w:pPr>
            <w:pStyle w:val="TOC1"/>
            <w:rPr>
              <w:rFonts w:asciiTheme="minorHAnsi" w:eastAsiaTheme="minorEastAsia" w:hAnsiTheme="minorHAnsi" w:cstheme="minorBidi"/>
              <w:noProof/>
              <w:sz w:val="22"/>
              <w:szCs w:val="22"/>
            </w:rPr>
          </w:pPr>
          <w:hyperlink w:anchor="_Toc33016958" w:history="1">
            <w:r w:rsidR="0088154E" w:rsidRPr="00DA2E5B">
              <w:rPr>
                <w:rStyle w:val="Hyperlink"/>
                <w:noProof/>
              </w:rPr>
              <w:t>V. Sources and Uses of MTW Funds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_Toc33016958 \h </w:instrText>
            </w:r>
            <w:r w:rsidR="0088154E" w:rsidRPr="00DA2E5B">
              <w:rPr>
                <w:noProof/>
                <w:webHidden/>
              </w:rPr>
            </w:r>
            <w:r w:rsidR="0088154E" w:rsidRPr="00DA2E5B">
              <w:rPr>
                <w:noProof/>
                <w:webHidden/>
              </w:rPr>
              <w:fldChar w:fldCharType="separate"/>
            </w:r>
            <w:r>
              <w:rPr>
                <w:noProof/>
                <w:webHidden/>
              </w:rPr>
              <w:t>73</w:t>
            </w:r>
            <w:r w:rsidR="0088154E" w:rsidRPr="00DA2E5B">
              <w:rPr>
                <w:noProof/>
                <w:webHidden/>
              </w:rPr>
              <w:fldChar w:fldCharType="end"/>
            </w:r>
          </w:hyperlink>
        </w:p>
        <w:p w14:paraId="3116916A" w14:textId="49A4CBEB" w:rsidR="0088154E" w:rsidRPr="00DA2E5B" w:rsidRDefault="00DA2E5B">
          <w:pPr>
            <w:pStyle w:val="TOC3"/>
            <w:rPr>
              <w:rFonts w:asciiTheme="minorHAnsi" w:eastAsiaTheme="minorEastAsia" w:hAnsiTheme="minorHAnsi" w:cstheme="minorBidi"/>
              <w:noProof/>
              <w:sz w:val="22"/>
              <w:szCs w:val="22"/>
            </w:rPr>
          </w:pPr>
          <w:hyperlink w:anchor="_Toc33016959" w:history="1">
            <w:r w:rsidR="0088154E" w:rsidRPr="00DA2E5B">
              <w:rPr>
                <w:rStyle w:val="Hyperlink"/>
                <w:noProof/>
              </w:rPr>
              <w:t>A.</w:t>
            </w:r>
            <w:r w:rsidR="0088154E" w:rsidRPr="00DA2E5B">
              <w:rPr>
                <w:rFonts w:asciiTheme="minorHAnsi" w:eastAsiaTheme="minorEastAsia" w:hAnsiTheme="minorHAnsi" w:cstheme="minorBidi"/>
                <w:noProof/>
                <w:sz w:val="22"/>
                <w:szCs w:val="22"/>
              </w:rPr>
              <w:tab/>
            </w:r>
            <w:r w:rsidR="0088154E" w:rsidRPr="00DA2E5B">
              <w:rPr>
                <w:rStyle w:val="Hyperlink"/>
                <w:noProof/>
              </w:rPr>
              <w:t>Estimated Sources and Uses of MTW Funds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_Toc33016959 \h </w:instrText>
            </w:r>
            <w:r w:rsidR="0088154E" w:rsidRPr="00DA2E5B">
              <w:rPr>
                <w:noProof/>
                <w:webHidden/>
              </w:rPr>
            </w:r>
            <w:r w:rsidR="0088154E" w:rsidRPr="00DA2E5B">
              <w:rPr>
                <w:noProof/>
                <w:webHidden/>
              </w:rPr>
              <w:fldChar w:fldCharType="separate"/>
            </w:r>
            <w:r>
              <w:rPr>
                <w:noProof/>
                <w:webHidden/>
              </w:rPr>
              <w:t>73</w:t>
            </w:r>
            <w:r w:rsidR="0088154E" w:rsidRPr="00DA2E5B">
              <w:rPr>
                <w:noProof/>
                <w:webHidden/>
              </w:rPr>
              <w:fldChar w:fldCharType="end"/>
            </w:r>
          </w:hyperlink>
        </w:p>
        <w:p w14:paraId="49D54E73" w14:textId="4D4854F6" w:rsidR="0088154E" w:rsidRPr="00DA2E5B" w:rsidRDefault="00DA2E5B">
          <w:pPr>
            <w:pStyle w:val="TOC4"/>
            <w:rPr>
              <w:rFonts w:asciiTheme="minorHAnsi" w:eastAsiaTheme="minorEastAsia" w:hAnsiTheme="minorHAnsi" w:cstheme="minorBidi"/>
              <w:noProof/>
              <w:sz w:val="22"/>
              <w:szCs w:val="22"/>
            </w:rPr>
          </w:pPr>
          <w:hyperlink w:anchor="_Toc33016960" w:history="1">
            <w:r w:rsidR="0088154E" w:rsidRPr="00DA2E5B">
              <w:rPr>
                <w:rStyle w:val="Hyperlink"/>
                <w:noProof/>
              </w:rPr>
              <w:t>Table 11: Estimated Sources of MTW Funding for FY 2021</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_Toc33016960 \h </w:instrText>
            </w:r>
            <w:r w:rsidR="0088154E" w:rsidRPr="00DA2E5B">
              <w:rPr>
                <w:noProof/>
                <w:webHidden/>
              </w:rPr>
            </w:r>
            <w:r w:rsidR="0088154E" w:rsidRPr="00DA2E5B">
              <w:rPr>
                <w:noProof/>
                <w:webHidden/>
              </w:rPr>
              <w:fldChar w:fldCharType="separate"/>
            </w:r>
            <w:r>
              <w:rPr>
                <w:noProof/>
                <w:webHidden/>
              </w:rPr>
              <w:t>73</w:t>
            </w:r>
            <w:r w:rsidR="0088154E" w:rsidRPr="00DA2E5B">
              <w:rPr>
                <w:noProof/>
                <w:webHidden/>
              </w:rPr>
              <w:fldChar w:fldCharType="end"/>
            </w:r>
          </w:hyperlink>
        </w:p>
        <w:p w14:paraId="172F5B6F" w14:textId="49973BF6" w:rsidR="0088154E" w:rsidRPr="00DA2E5B" w:rsidRDefault="00DA2E5B">
          <w:pPr>
            <w:pStyle w:val="TOC4"/>
            <w:rPr>
              <w:rFonts w:asciiTheme="minorHAnsi" w:eastAsiaTheme="minorEastAsia" w:hAnsiTheme="minorHAnsi" w:cstheme="minorBidi"/>
              <w:noProof/>
              <w:sz w:val="22"/>
              <w:szCs w:val="22"/>
            </w:rPr>
          </w:pPr>
          <w:hyperlink w:anchor="_Toc33016961" w:history="1">
            <w:r w:rsidR="0088154E" w:rsidRPr="00DA2E5B">
              <w:rPr>
                <w:rStyle w:val="Hyperlink"/>
                <w:noProof/>
              </w:rPr>
              <w:t>Table 12: Estimated Uses of MTW Funding for FY 2021</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_Toc33016961 \h </w:instrText>
            </w:r>
            <w:r w:rsidR="0088154E" w:rsidRPr="00DA2E5B">
              <w:rPr>
                <w:noProof/>
                <w:webHidden/>
              </w:rPr>
            </w:r>
            <w:r w:rsidR="0088154E" w:rsidRPr="00DA2E5B">
              <w:rPr>
                <w:noProof/>
                <w:webHidden/>
              </w:rPr>
              <w:fldChar w:fldCharType="separate"/>
            </w:r>
            <w:r>
              <w:rPr>
                <w:noProof/>
                <w:webHidden/>
              </w:rPr>
              <w:t>73</w:t>
            </w:r>
            <w:r w:rsidR="0088154E" w:rsidRPr="00DA2E5B">
              <w:rPr>
                <w:noProof/>
                <w:webHidden/>
              </w:rPr>
              <w:fldChar w:fldCharType="end"/>
            </w:r>
          </w:hyperlink>
        </w:p>
        <w:p w14:paraId="0ED37A02" w14:textId="2170CF3A" w:rsidR="0088154E" w:rsidRPr="00DA2E5B" w:rsidRDefault="00DA2E5B">
          <w:pPr>
            <w:pStyle w:val="TOC3"/>
            <w:rPr>
              <w:rFonts w:asciiTheme="minorHAnsi" w:eastAsiaTheme="minorEastAsia" w:hAnsiTheme="minorHAnsi" w:cstheme="minorBidi"/>
              <w:noProof/>
              <w:sz w:val="22"/>
              <w:szCs w:val="22"/>
            </w:rPr>
          </w:pPr>
          <w:hyperlink w:anchor="_Toc33016962" w:history="1">
            <w:r w:rsidR="0088154E" w:rsidRPr="00DA2E5B">
              <w:rPr>
                <w:rStyle w:val="Hyperlink"/>
                <w:noProof/>
              </w:rPr>
              <w:t>B.</w:t>
            </w:r>
            <w:r w:rsidR="0088154E" w:rsidRPr="00DA2E5B">
              <w:rPr>
                <w:rFonts w:asciiTheme="minorHAnsi" w:eastAsiaTheme="minorEastAsia" w:hAnsiTheme="minorHAnsi" w:cstheme="minorBidi"/>
                <w:noProof/>
                <w:sz w:val="22"/>
                <w:szCs w:val="22"/>
              </w:rPr>
              <w:tab/>
            </w:r>
            <w:r w:rsidR="0088154E" w:rsidRPr="00DA2E5B">
              <w:rPr>
                <w:rStyle w:val="Hyperlink"/>
                <w:noProof/>
              </w:rPr>
              <w:t>Local Asset Management Plan</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_Toc33016962 \h </w:instrText>
            </w:r>
            <w:r w:rsidR="0088154E" w:rsidRPr="00DA2E5B">
              <w:rPr>
                <w:noProof/>
                <w:webHidden/>
              </w:rPr>
            </w:r>
            <w:r w:rsidR="0088154E" w:rsidRPr="00DA2E5B">
              <w:rPr>
                <w:noProof/>
                <w:webHidden/>
              </w:rPr>
              <w:fldChar w:fldCharType="separate"/>
            </w:r>
            <w:r>
              <w:rPr>
                <w:noProof/>
                <w:webHidden/>
              </w:rPr>
              <w:t>75</w:t>
            </w:r>
            <w:r w:rsidR="0088154E" w:rsidRPr="00DA2E5B">
              <w:rPr>
                <w:noProof/>
                <w:webHidden/>
              </w:rPr>
              <w:fldChar w:fldCharType="end"/>
            </w:r>
          </w:hyperlink>
        </w:p>
        <w:p w14:paraId="61FC598B" w14:textId="463C7192" w:rsidR="0088154E" w:rsidRPr="00DA2E5B" w:rsidRDefault="00DA2E5B">
          <w:pPr>
            <w:pStyle w:val="TOC3"/>
            <w:rPr>
              <w:rFonts w:asciiTheme="minorHAnsi" w:eastAsiaTheme="minorEastAsia" w:hAnsiTheme="minorHAnsi" w:cstheme="minorBidi"/>
              <w:noProof/>
              <w:sz w:val="22"/>
              <w:szCs w:val="22"/>
            </w:rPr>
          </w:pPr>
          <w:hyperlink w:anchor="_Toc33016963" w:history="1">
            <w:r w:rsidR="0088154E" w:rsidRPr="00DA2E5B">
              <w:rPr>
                <w:rStyle w:val="Hyperlink"/>
                <w:noProof/>
              </w:rPr>
              <w:t>C.</w:t>
            </w:r>
            <w:r w:rsidR="0088154E" w:rsidRPr="00DA2E5B">
              <w:rPr>
                <w:rFonts w:asciiTheme="minorHAnsi" w:eastAsiaTheme="minorEastAsia" w:hAnsiTheme="minorHAnsi" w:cstheme="minorBidi"/>
                <w:noProof/>
                <w:sz w:val="22"/>
                <w:szCs w:val="22"/>
              </w:rPr>
              <w:tab/>
            </w:r>
            <w:r w:rsidR="0088154E" w:rsidRPr="00DA2E5B">
              <w:rPr>
                <w:rStyle w:val="Hyperlink"/>
                <w:noProof/>
              </w:rPr>
              <w:t>Rental Assistance Demonstration (RAD) Participation</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_Toc33016963 \h </w:instrText>
            </w:r>
            <w:r w:rsidR="0088154E" w:rsidRPr="00DA2E5B">
              <w:rPr>
                <w:noProof/>
                <w:webHidden/>
              </w:rPr>
            </w:r>
            <w:r w:rsidR="0088154E" w:rsidRPr="00DA2E5B">
              <w:rPr>
                <w:noProof/>
                <w:webHidden/>
              </w:rPr>
              <w:fldChar w:fldCharType="separate"/>
            </w:r>
            <w:r>
              <w:rPr>
                <w:noProof/>
                <w:webHidden/>
              </w:rPr>
              <w:t>76</w:t>
            </w:r>
            <w:r w:rsidR="0088154E" w:rsidRPr="00DA2E5B">
              <w:rPr>
                <w:noProof/>
                <w:webHidden/>
              </w:rPr>
              <w:fldChar w:fldCharType="end"/>
            </w:r>
          </w:hyperlink>
        </w:p>
        <w:p w14:paraId="290419E4" w14:textId="56F02647" w:rsidR="0088154E" w:rsidRPr="00DA2E5B" w:rsidRDefault="00DA2E5B">
          <w:pPr>
            <w:pStyle w:val="TOC4"/>
            <w:rPr>
              <w:rFonts w:asciiTheme="minorHAnsi" w:eastAsiaTheme="minorEastAsia" w:hAnsiTheme="minorHAnsi" w:cstheme="minorBidi"/>
              <w:noProof/>
              <w:sz w:val="22"/>
              <w:szCs w:val="22"/>
            </w:rPr>
          </w:pPr>
          <w:hyperlink w:anchor="_Toc33016964" w:history="1">
            <w:r w:rsidR="0088154E" w:rsidRPr="00DA2E5B">
              <w:rPr>
                <w:rStyle w:val="Hyperlink"/>
                <w:noProof/>
              </w:rPr>
              <w:t>Table 13: RAD Conversions Planned in FY 2021</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_Toc33016964 \h </w:instrText>
            </w:r>
            <w:r w:rsidR="0088154E" w:rsidRPr="00DA2E5B">
              <w:rPr>
                <w:noProof/>
                <w:webHidden/>
              </w:rPr>
            </w:r>
            <w:r w:rsidR="0088154E" w:rsidRPr="00DA2E5B">
              <w:rPr>
                <w:noProof/>
                <w:webHidden/>
              </w:rPr>
              <w:fldChar w:fldCharType="separate"/>
            </w:r>
            <w:r>
              <w:rPr>
                <w:noProof/>
                <w:webHidden/>
              </w:rPr>
              <w:t>76</w:t>
            </w:r>
            <w:r w:rsidR="0088154E" w:rsidRPr="00DA2E5B">
              <w:rPr>
                <w:noProof/>
                <w:webHidden/>
              </w:rPr>
              <w:fldChar w:fldCharType="end"/>
            </w:r>
          </w:hyperlink>
        </w:p>
        <w:p w14:paraId="1D6204FD" w14:textId="24AB9BB2" w:rsidR="0088154E" w:rsidRPr="00DA2E5B" w:rsidRDefault="00DA2E5B">
          <w:pPr>
            <w:pStyle w:val="TOC4"/>
            <w:rPr>
              <w:rFonts w:asciiTheme="minorHAnsi" w:eastAsiaTheme="minorEastAsia" w:hAnsiTheme="minorHAnsi" w:cstheme="minorBidi"/>
              <w:noProof/>
              <w:sz w:val="22"/>
              <w:szCs w:val="22"/>
            </w:rPr>
          </w:pPr>
          <w:hyperlink w:anchor="_Toc33016965" w:history="1">
            <w:r w:rsidR="0088154E" w:rsidRPr="00DA2E5B">
              <w:rPr>
                <w:rStyle w:val="Hyperlink"/>
                <w:noProof/>
              </w:rPr>
              <w:t>Table 14: RAD Conversions Completed or Projected to be Completed by the End of FY 2021</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_Toc33016965 \h </w:instrText>
            </w:r>
            <w:r w:rsidR="0088154E" w:rsidRPr="00DA2E5B">
              <w:rPr>
                <w:noProof/>
                <w:webHidden/>
              </w:rPr>
            </w:r>
            <w:r w:rsidR="0088154E" w:rsidRPr="00DA2E5B">
              <w:rPr>
                <w:noProof/>
                <w:webHidden/>
              </w:rPr>
              <w:fldChar w:fldCharType="separate"/>
            </w:r>
            <w:r>
              <w:rPr>
                <w:noProof/>
                <w:webHidden/>
              </w:rPr>
              <w:t>76</w:t>
            </w:r>
            <w:r w:rsidR="0088154E" w:rsidRPr="00DA2E5B">
              <w:rPr>
                <w:noProof/>
                <w:webHidden/>
              </w:rPr>
              <w:fldChar w:fldCharType="end"/>
            </w:r>
          </w:hyperlink>
        </w:p>
        <w:p w14:paraId="54662A7C" w14:textId="4937AC3A" w:rsidR="0088154E" w:rsidRPr="00DA2E5B" w:rsidRDefault="00DA2E5B">
          <w:pPr>
            <w:pStyle w:val="TOC1"/>
            <w:rPr>
              <w:rFonts w:asciiTheme="minorHAnsi" w:eastAsiaTheme="minorEastAsia" w:hAnsiTheme="minorHAnsi" w:cstheme="minorBidi"/>
              <w:noProof/>
              <w:sz w:val="22"/>
              <w:szCs w:val="22"/>
            </w:rPr>
          </w:pPr>
          <w:hyperlink w:anchor="_Toc33016966" w:history="1">
            <w:r w:rsidR="0088154E" w:rsidRPr="00DA2E5B">
              <w:rPr>
                <w:rStyle w:val="Hyperlink"/>
                <w:noProof/>
              </w:rPr>
              <w:t>VI. Administrative</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_Toc33016966 \h </w:instrText>
            </w:r>
            <w:r w:rsidR="0088154E" w:rsidRPr="00DA2E5B">
              <w:rPr>
                <w:noProof/>
                <w:webHidden/>
              </w:rPr>
            </w:r>
            <w:r w:rsidR="0088154E" w:rsidRPr="00DA2E5B">
              <w:rPr>
                <w:noProof/>
                <w:webHidden/>
              </w:rPr>
              <w:fldChar w:fldCharType="separate"/>
            </w:r>
            <w:r>
              <w:rPr>
                <w:noProof/>
                <w:webHidden/>
              </w:rPr>
              <w:t>78</w:t>
            </w:r>
            <w:r w:rsidR="0088154E" w:rsidRPr="00DA2E5B">
              <w:rPr>
                <w:noProof/>
                <w:webHidden/>
              </w:rPr>
              <w:fldChar w:fldCharType="end"/>
            </w:r>
          </w:hyperlink>
        </w:p>
        <w:p w14:paraId="6E78C94F" w14:textId="54CD4E17" w:rsidR="0088154E" w:rsidRPr="00DA2E5B" w:rsidRDefault="00DA2E5B">
          <w:pPr>
            <w:pStyle w:val="TOC3"/>
            <w:rPr>
              <w:rFonts w:asciiTheme="minorHAnsi" w:eastAsiaTheme="minorEastAsia" w:hAnsiTheme="minorHAnsi" w:cstheme="minorBidi"/>
              <w:noProof/>
              <w:sz w:val="22"/>
              <w:szCs w:val="22"/>
            </w:rPr>
          </w:pPr>
          <w:hyperlink w:anchor="_Toc33016967" w:history="1">
            <w:r w:rsidR="0088154E" w:rsidRPr="00DA2E5B">
              <w:rPr>
                <w:rStyle w:val="Hyperlink"/>
                <w:noProof/>
              </w:rPr>
              <w:t>A.</w:t>
            </w:r>
            <w:r w:rsidR="0088154E" w:rsidRPr="00DA2E5B">
              <w:rPr>
                <w:rFonts w:asciiTheme="minorHAnsi" w:eastAsiaTheme="minorEastAsia" w:hAnsiTheme="minorHAnsi" w:cstheme="minorBidi"/>
                <w:noProof/>
                <w:sz w:val="22"/>
                <w:szCs w:val="22"/>
              </w:rPr>
              <w:tab/>
            </w:r>
            <w:r w:rsidR="0088154E" w:rsidRPr="00DA2E5B">
              <w:rPr>
                <w:rStyle w:val="Hyperlink"/>
                <w:noProof/>
              </w:rPr>
              <w:t>Board Resolution and Certifications of Compliance</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_Toc33016967 \h </w:instrText>
            </w:r>
            <w:r w:rsidR="0088154E" w:rsidRPr="00DA2E5B">
              <w:rPr>
                <w:noProof/>
                <w:webHidden/>
              </w:rPr>
            </w:r>
            <w:r w:rsidR="0088154E" w:rsidRPr="00DA2E5B">
              <w:rPr>
                <w:noProof/>
                <w:webHidden/>
              </w:rPr>
              <w:fldChar w:fldCharType="separate"/>
            </w:r>
            <w:r>
              <w:rPr>
                <w:noProof/>
                <w:webHidden/>
              </w:rPr>
              <w:t>78</w:t>
            </w:r>
            <w:r w:rsidR="0088154E" w:rsidRPr="00DA2E5B">
              <w:rPr>
                <w:noProof/>
                <w:webHidden/>
              </w:rPr>
              <w:fldChar w:fldCharType="end"/>
            </w:r>
          </w:hyperlink>
        </w:p>
        <w:p w14:paraId="2ACFDBFA" w14:textId="5DA92E5E" w:rsidR="0088154E" w:rsidRPr="00DA2E5B" w:rsidRDefault="00DA2E5B">
          <w:pPr>
            <w:pStyle w:val="TOC3"/>
            <w:rPr>
              <w:rFonts w:asciiTheme="minorHAnsi" w:eastAsiaTheme="minorEastAsia" w:hAnsiTheme="minorHAnsi" w:cstheme="minorBidi"/>
              <w:noProof/>
              <w:sz w:val="22"/>
              <w:szCs w:val="22"/>
            </w:rPr>
          </w:pPr>
          <w:hyperlink w:anchor="_Toc33016968" w:history="1">
            <w:r w:rsidR="0088154E" w:rsidRPr="00DA2E5B">
              <w:rPr>
                <w:rStyle w:val="Hyperlink"/>
                <w:noProof/>
              </w:rPr>
              <w:t>B.</w:t>
            </w:r>
            <w:r w:rsidR="0088154E" w:rsidRPr="00DA2E5B">
              <w:rPr>
                <w:rFonts w:asciiTheme="minorHAnsi" w:eastAsiaTheme="minorEastAsia" w:hAnsiTheme="minorHAnsi" w:cstheme="minorBidi"/>
                <w:noProof/>
                <w:sz w:val="22"/>
                <w:szCs w:val="22"/>
              </w:rPr>
              <w:tab/>
            </w:r>
            <w:r w:rsidR="0088154E" w:rsidRPr="00DA2E5B">
              <w:rPr>
                <w:rStyle w:val="Hyperlink"/>
                <w:noProof/>
              </w:rPr>
              <w:t>Documentation of Public Process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_Toc33016968 \h </w:instrText>
            </w:r>
            <w:r w:rsidR="0088154E" w:rsidRPr="00DA2E5B">
              <w:rPr>
                <w:noProof/>
                <w:webHidden/>
              </w:rPr>
            </w:r>
            <w:r w:rsidR="0088154E" w:rsidRPr="00DA2E5B">
              <w:rPr>
                <w:noProof/>
                <w:webHidden/>
              </w:rPr>
              <w:fldChar w:fldCharType="separate"/>
            </w:r>
            <w:r>
              <w:rPr>
                <w:noProof/>
                <w:webHidden/>
              </w:rPr>
              <w:t>78</w:t>
            </w:r>
            <w:r w:rsidR="0088154E" w:rsidRPr="00DA2E5B">
              <w:rPr>
                <w:noProof/>
                <w:webHidden/>
              </w:rPr>
              <w:fldChar w:fldCharType="end"/>
            </w:r>
          </w:hyperlink>
        </w:p>
        <w:p w14:paraId="0336DE77" w14:textId="112C63A7" w:rsidR="0088154E" w:rsidRPr="00DA2E5B" w:rsidRDefault="00DA2E5B">
          <w:pPr>
            <w:pStyle w:val="TOC3"/>
            <w:rPr>
              <w:rFonts w:asciiTheme="minorHAnsi" w:eastAsiaTheme="minorEastAsia" w:hAnsiTheme="minorHAnsi" w:cstheme="minorBidi"/>
              <w:noProof/>
              <w:sz w:val="22"/>
              <w:szCs w:val="22"/>
            </w:rPr>
          </w:pPr>
          <w:hyperlink w:anchor="_Toc33016969" w:history="1">
            <w:r w:rsidR="0088154E" w:rsidRPr="00DA2E5B">
              <w:rPr>
                <w:rStyle w:val="Hyperlink"/>
                <w:noProof/>
              </w:rPr>
              <w:t>C.</w:t>
            </w:r>
            <w:r w:rsidR="0088154E" w:rsidRPr="00DA2E5B">
              <w:rPr>
                <w:rFonts w:asciiTheme="minorHAnsi" w:eastAsiaTheme="minorEastAsia" w:hAnsiTheme="minorHAnsi" w:cstheme="minorBidi"/>
                <w:noProof/>
                <w:sz w:val="22"/>
                <w:szCs w:val="22"/>
              </w:rPr>
              <w:tab/>
            </w:r>
            <w:r w:rsidR="0088154E" w:rsidRPr="00DA2E5B">
              <w:rPr>
                <w:rStyle w:val="Hyperlink"/>
                <w:noProof/>
              </w:rPr>
              <w:t>Planned and Ongoing Evaluations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_Toc33016969 \h </w:instrText>
            </w:r>
            <w:r w:rsidR="0088154E" w:rsidRPr="00DA2E5B">
              <w:rPr>
                <w:noProof/>
                <w:webHidden/>
              </w:rPr>
            </w:r>
            <w:r w:rsidR="0088154E" w:rsidRPr="00DA2E5B">
              <w:rPr>
                <w:noProof/>
                <w:webHidden/>
              </w:rPr>
              <w:fldChar w:fldCharType="separate"/>
            </w:r>
            <w:r>
              <w:rPr>
                <w:noProof/>
                <w:webHidden/>
              </w:rPr>
              <w:t>78</w:t>
            </w:r>
            <w:r w:rsidR="0088154E" w:rsidRPr="00DA2E5B">
              <w:rPr>
                <w:noProof/>
                <w:webHidden/>
              </w:rPr>
              <w:fldChar w:fldCharType="end"/>
            </w:r>
          </w:hyperlink>
        </w:p>
        <w:p w14:paraId="6B012A22" w14:textId="2949B198" w:rsidR="0088154E" w:rsidRPr="00DA2E5B" w:rsidRDefault="00DA2E5B">
          <w:pPr>
            <w:pStyle w:val="TOC3"/>
            <w:rPr>
              <w:rFonts w:asciiTheme="minorHAnsi" w:eastAsiaTheme="minorEastAsia" w:hAnsiTheme="minorHAnsi" w:cstheme="minorBidi"/>
              <w:noProof/>
              <w:sz w:val="22"/>
              <w:szCs w:val="22"/>
            </w:rPr>
          </w:pPr>
          <w:hyperlink w:anchor="_Toc33016970" w:history="1">
            <w:r w:rsidR="0088154E" w:rsidRPr="00DA2E5B">
              <w:rPr>
                <w:rStyle w:val="Hyperlink"/>
                <w:noProof/>
              </w:rPr>
              <w:t>D.</w:t>
            </w:r>
            <w:r w:rsidR="0088154E" w:rsidRPr="00DA2E5B">
              <w:rPr>
                <w:rFonts w:asciiTheme="minorHAnsi" w:eastAsiaTheme="minorEastAsia" w:hAnsiTheme="minorHAnsi" w:cstheme="minorBidi"/>
                <w:noProof/>
                <w:sz w:val="22"/>
                <w:szCs w:val="22"/>
              </w:rPr>
              <w:tab/>
            </w:r>
            <w:r w:rsidR="0088154E" w:rsidRPr="00DA2E5B">
              <w:rPr>
                <w:rStyle w:val="Hyperlink"/>
                <w:noProof/>
              </w:rPr>
              <w:t>Lobbying Disclosures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_Toc33016970 \h </w:instrText>
            </w:r>
            <w:r w:rsidR="0088154E" w:rsidRPr="00DA2E5B">
              <w:rPr>
                <w:noProof/>
                <w:webHidden/>
              </w:rPr>
            </w:r>
            <w:r w:rsidR="0088154E" w:rsidRPr="00DA2E5B">
              <w:rPr>
                <w:noProof/>
                <w:webHidden/>
              </w:rPr>
              <w:fldChar w:fldCharType="separate"/>
            </w:r>
            <w:r>
              <w:rPr>
                <w:noProof/>
                <w:webHidden/>
              </w:rPr>
              <w:t>78</w:t>
            </w:r>
            <w:r w:rsidR="0088154E" w:rsidRPr="00DA2E5B">
              <w:rPr>
                <w:noProof/>
                <w:webHidden/>
              </w:rPr>
              <w:fldChar w:fldCharType="end"/>
            </w:r>
          </w:hyperlink>
        </w:p>
        <w:p w14:paraId="26BA4F52" w14:textId="7B39784E" w:rsidR="0088154E" w:rsidRPr="00DA2E5B" w:rsidRDefault="00DA2E5B">
          <w:pPr>
            <w:pStyle w:val="TOC1"/>
            <w:rPr>
              <w:rFonts w:asciiTheme="minorHAnsi" w:eastAsiaTheme="minorEastAsia" w:hAnsiTheme="minorHAnsi" w:cstheme="minorBidi"/>
              <w:noProof/>
              <w:sz w:val="22"/>
              <w:szCs w:val="22"/>
            </w:rPr>
          </w:pPr>
          <w:hyperlink w:anchor="_Toc33016971" w:history="1">
            <w:r w:rsidR="0088154E" w:rsidRPr="00DA2E5B">
              <w:rPr>
                <w:rStyle w:val="Hyperlink"/>
                <w:noProof/>
              </w:rPr>
              <w:t>Appendix A: Listing of Regional Administering Agencies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_Toc33016971 \h </w:instrText>
            </w:r>
            <w:r w:rsidR="0088154E" w:rsidRPr="00DA2E5B">
              <w:rPr>
                <w:noProof/>
                <w:webHidden/>
              </w:rPr>
            </w:r>
            <w:r w:rsidR="0088154E" w:rsidRPr="00DA2E5B">
              <w:rPr>
                <w:noProof/>
                <w:webHidden/>
              </w:rPr>
              <w:fldChar w:fldCharType="separate"/>
            </w:r>
            <w:r>
              <w:rPr>
                <w:noProof/>
                <w:webHidden/>
              </w:rPr>
              <w:t>79</w:t>
            </w:r>
            <w:r w:rsidR="0088154E" w:rsidRPr="00DA2E5B">
              <w:rPr>
                <w:noProof/>
                <w:webHidden/>
              </w:rPr>
              <w:fldChar w:fldCharType="end"/>
            </w:r>
          </w:hyperlink>
        </w:p>
        <w:p w14:paraId="5481B5A9" w14:textId="7213EF65" w:rsidR="0088154E" w:rsidRPr="00DA2E5B" w:rsidRDefault="00DA2E5B">
          <w:pPr>
            <w:pStyle w:val="TOC1"/>
            <w:rPr>
              <w:rFonts w:asciiTheme="minorHAnsi" w:eastAsiaTheme="minorEastAsia" w:hAnsiTheme="minorHAnsi" w:cstheme="minorBidi"/>
              <w:noProof/>
              <w:sz w:val="22"/>
              <w:szCs w:val="22"/>
            </w:rPr>
          </w:pPr>
          <w:hyperlink w:anchor="_Toc33016972" w:history="1">
            <w:r w:rsidR="0088154E" w:rsidRPr="00DA2E5B">
              <w:rPr>
                <w:rStyle w:val="Hyperlink"/>
                <w:noProof/>
              </w:rPr>
              <w:t>Appendix B: Certification of Compliance with Regulations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_Toc33016972 \h </w:instrText>
            </w:r>
            <w:r w:rsidR="0088154E" w:rsidRPr="00DA2E5B">
              <w:rPr>
                <w:noProof/>
                <w:webHidden/>
              </w:rPr>
            </w:r>
            <w:r w:rsidR="0088154E" w:rsidRPr="00DA2E5B">
              <w:rPr>
                <w:noProof/>
                <w:webHidden/>
              </w:rPr>
              <w:fldChar w:fldCharType="separate"/>
            </w:r>
            <w:r>
              <w:rPr>
                <w:noProof/>
                <w:webHidden/>
              </w:rPr>
              <w:t>80</w:t>
            </w:r>
            <w:r w:rsidR="0088154E" w:rsidRPr="00DA2E5B">
              <w:rPr>
                <w:noProof/>
                <w:webHidden/>
              </w:rPr>
              <w:fldChar w:fldCharType="end"/>
            </w:r>
          </w:hyperlink>
        </w:p>
        <w:p w14:paraId="0F22E911" w14:textId="50CA6711" w:rsidR="0088154E" w:rsidRPr="00DA2E5B" w:rsidRDefault="00DA2E5B">
          <w:pPr>
            <w:pStyle w:val="TOC1"/>
            <w:rPr>
              <w:rFonts w:asciiTheme="minorHAnsi" w:eastAsiaTheme="minorEastAsia" w:hAnsiTheme="minorHAnsi" w:cstheme="minorBidi"/>
              <w:noProof/>
              <w:sz w:val="22"/>
              <w:szCs w:val="22"/>
            </w:rPr>
          </w:pPr>
          <w:hyperlink w:anchor="_Toc33016973" w:history="1">
            <w:r w:rsidR="0088154E" w:rsidRPr="00DA2E5B">
              <w:rPr>
                <w:rStyle w:val="Hyperlink"/>
                <w:noProof/>
              </w:rPr>
              <w:t>Appendix C: Documentation of Public Process</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_Toc33016973 \h </w:instrText>
            </w:r>
            <w:r w:rsidR="0088154E" w:rsidRPr="00DA2E5B">
              <w:rPr>
                <w:noProof/>
                <w:webHidden/>
              </w:rPr>
            </w:r>
            <w:r w:rsidR="0088154E" w:rsidRPr="00DA2E5B">
              <w:rPr>
                <w:noProof/>
                <w:webHidden/>
              </w:rPr>
              <w:fldChar w:fldCharType="separate"/>
            </w:r>
            <w:r>
              <w:rPr>
                <w:noProof/>
                <w:webHidden/>
              </w:rPr>
              <w:t>81</w:t>
            </w:r>
            <w:r w:rsidR="0088154E" w:rsidRPr="00DA2E5B">
              <w:rPr>
                <w:noProof/>
                <w:webHidden/>
              </w:rPr>
              <w:fldChar w:fldCharType="end"/>
            </w:r>
          </w:hyperlink>
        </w:p>
        <w:p w14:paraId="4953EE64" w14:textId="4D774F22" w:rsidR="0088154E" w:rsidRPr="00DA2E5B" w:rsidRDefault="00DA2E5B">
          <w:pPr>
            <w:pStyle w:val="TOC1"/>
            <w:rPr>
              <w:rFonts w:asciiTheme="minorHAnsi" w:eastAsiaTheme="minorEastAsia" w:hAnsiTheme="minorHAnsi" w:cstheme="minorBidi"/>
              <w:noProof/>
              <w:sz w:val="22"/>
              <w:szCs w:val="22"/>
            </w:rPr>
          </w:pPr>
          <w:hyperlink w:anchor="_Toc33016974" w:history="1">
            <w:r w:rsidR="0088154E" w:rsidRPr="00DA2E5B">
              <w:rPr>
                <w:rStyle w:val="Hyperlink"/>
                <w:noProof/>
              </w:rPr>
              <w:t>Appendix D: Disclosure of Lobbying Activities (SF-LLL)</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_Toc33016974 \h </w:instrText>
            </w:r>
            <w:r w:rsidR="0088154E" w:rsidRPr="00DA2E5B">
              <w:rPr>
                <w:noProof/>
                <w:webHidden/>
              </w:rPr>
            </w:r>
            <w:r w:rsidR="0088154E" w:rsidRPr="00DA2E5B">
              <w:rPr>
                <w:noProof/>
                <w:webHidden/>
              </w:rPr>
              <w:fldChar w:fldCharType="separate"/>
            </w:r>
            <w:r>
              <w:rPr>
                <w:noProof/>
                <w:webHidden/>
              </w:rPr>
              <w:t>84</w:t>
            </w:r>
            <w:r w:rsidR="0088154E" w:rsidRPr="00DA2E5B">
              <w:rPr>
                <w:noProof/>
                <w:webHidden/>
              </w:rPr>
              <w:fldChar w:fldCharType="end"/>
            </w:r>
          </w:hyperlink>
        </w:p>
        <w:p w14:paraId="33ED5B87" w14:textId="697F7443" w:rsidR="0088154E" w:rsidRDefault="00DA2E5B">
          <w:pPr>
            <w:pStyle w:val="TOC1"/>
            <w:rPr>
              <w:rFonts w:asciiTheme="minorHAnsi" w:eastAsiaTheme="minorEastAsia" w:hAnsiTheme="minorHAnsi" w:cstheme="minorBidi"/>
              <w:noProof/>
              <w:sz w:val="22"/>
              <w:szCs w:val="22"/>
            </w:rPr>
          </w:pPr>
          <w:hyperlink w:anchor="_Toc33016975" w:history="1">
            <w:r w:rsidR="0088154E" w:rsidRPr="00DA2E5B">
              <w:rPr>
                <w:rStyle w:val="Hyperlink"/>
                <w:noProof/>
              </w:rPr>
              <w:t>Appendix E: Certification of Payments (HUD-50071)</w:t>
            </w:r>
            <w:r w:rsidR="0088154E" w:rsidRPr="00DA2E5B">
              <w:rPr>
                <w:noProof/>
                <w:webHidden/>
              </w:rPr>
              <w:tab/>
            </w:r>
            <w:r w:rsidR="0088154E" w:rsidRPr="00DA2E5B">
              <w:rPr>
                <w:noProof/>
                <w:webHidden/>
              </w:rPr>
              <w:fldChar w:fldCharType="begin"/>
            </w:r>
            <w:r w:rsidR="0088154E" w:rsidRPr="00DA2E5B">
              <w:rPr>
                <w:noProof/>
                <w:webHidden/>
              </w:rPr>
              <w:instrText xml:space="preserve"> PAGEREF _Toc33016975 \h </w:instrText>
            </w:r>
            <w:r w:rsidR="0088154E" w:rsidRPr="00DA2E5B">
              <w:rPr>
                <w:noProof/>
                <w:webHidden/>
              </w:rPr>
            </w:r>
            <w:r w:rsidR="0088154E" w:rsidRPr="00DA2E5B">
              <w:rPr>
                <w:noProof/>
                <w:webHidden/>
              </w:rPr>
              <w:fldChar w:fldCharType="separate"/>
            </w:r>
            <w:r>
              <w:rPr>
                <w:noProof/>
                <w:webHidden/>
              </w:rPr>
              <w:t>85</w:t>
            </w:r>
            <w:r w:rsidR="0088154E" w:rsidRPr="00DA2E5B">
              <w:rPr>
                <w:noProof/>
                <w:webHidden/>
              </w:rPr>
              <w:fldChar w:fldCharType="end"/>
            </w:r>
          </w:hyperlink>
        </w:p>
        <w:p w14:paraId="3A7785CC" w14:textId="37D97997" w:rsidR="00A830A2" w:rsidRPr="00AB32AA" w:rsidRDefault="00923AB1" w:rsidP="00AB32AA">
          <w:pPr>
            <w:rPr>
              <w:sz w:val="22"/>
              <w:szCs w:val="22"/>
            </w:rPr>
            <w:sectPr w:rsidR="00A830A2" w:rsidRPr="00AB32AA" w:rsidSect="00EA78E5">
              <w:footerReference w:type="first" r:id="rId11"/>
              <w:pgSz w:w="12240" w:h="15840" w:code="1"/>
              <w:pgMar w:top="1440" w:right="1440" w:bottom="1440" w:left="1440" w:header="720" w:footer="720" w:gutter="0"/>
              <w:cols w:space="720"/>
              <w:titlePg/>
              <w:docGrid w:linePitch="360"/>
            </w:sectPr>
          </w:pPr>
          <w:r w:rsidRPr="00AB32AA">
            <w:rPr>
              <w:sz w:val="22"/>
              <w:szCs w:val="22"/>
            </w:rPr>
            <w:fldChar w:fldCharType="end"/>
          </w:r>
        </w:p>
      </w:sdtContent>
    </w:sdt>
    <w:p w14:paraId="01509BE0" w14:textId="5C02AB17" w:rsidR="001A0983" w:rsidRPr="0004176C" w:rsidRDefault="001A0983" w:rsidP="00AA5A80">
      <w:pPr>
        <w:pStyle w:val="Heading1"/>
        <w:numPr>
          <w:ilvl w:val="0"/>
          <w:numId w:val="28"/>
        </w:numPr>
        <w:pBdr>
          <w:bottom w:val="single" w:sz="4" w:space="1" w:color="auto"/>
        </w:pBdr>
        <w:ind w:left="360"/>
        <w:rPr>
          <w:rFonts w:ascii="Times New Roman" w:hAnsi="Times New Roman"/>
          <w:sz w:val="36"/>
          <w:szCs w:val="36"/>
        </w:rPr>
      </w:pPr>
      <w:bookmarkStart w:id="0" w:name="_Toc33016911"/>
      <w:bookmarkStart w:id="1" w:name="_Toc415115894"/>
      <w:r w:rsidRPr="0004176C">
        <w:rPr>
          <w:rFonts w:ascii="Times New Roman" w:hAnsi="Times New Roman"/>
          <w:sz w:val="36"/>
          <w:szCs w:val="36"/>
        </w:rPr>
        <w:lastRenderedPageBreak/>
        <w:t>Introduction</w:t>
      </w:r>
      <w:bookmarkEnd w:id="0"/>
    </w:p>
    <w:p w14:paraId="0C787FB3" w14:textId="77777777" w:rsidR="00877766" w:rsidRPr="00E94B9C" w:rsidRDefault="00877766" w:rsidP="00877766">
      <w:pPr>
        <w:rPr>
          <w:color w:val="000000"/>
        </w:rPr>
      </w:pPr>
    </w:p>
    <w:p w14:paraId="13DD163C" w14:textId="77777777" w:rsidR="00852109" w:rsidRPr="002262EF" w:rsidRDefault="00852109" w:rsidP="00852109">
      <w:pPr>
        <w:jc w:val="both"/>
        <w:rPr>
          <w:color w:val="000000"/>
          <w:sz w:val="22"/>
          <w:szCs w:val="22"/>
        </w:rPr>
      </w:pPr>
      <w:r w:rsidRPr="002262EF">
        <w:rPr>
          <w:color w:val="000000"/>
          <w:sz w:val="22"/>
          <w:szCs w:val="22"/>
        </w:rPr>
        <w:t>The Massachusetts Department of Housing and Community Development (DHCD) is a participant in the Moving To Work (MTW) Demonstration. MTW is a program authorized by Congress through which a limited number of Public Housing Authorities are provided with the flexibility to waive certain provisions of the US Housing Act of 1937 and related federal regulations, and to design and test approaches for providing housing assistance that address one or more of the following statutory objectives:</w:t>
      </w:r>
    </w:p>
    <w:p w14:paraId="23AACA79" w14:textId="77777777" w:rsidR="00852109" w:rsidRPr="002262EF" w:rsidRDefault="00852109" w:rsidP="00852109">
      <w:pPr>
        <w:jc w:val="both"/>
        <w:rPr>
          <w:color w:val="000000"/>
          <w:sz w:val="22"/>
          <w:szCs w:val="22"/>
        </w:rPr>
      </w:pPr>
    </w:p>
    <w:p w14:paraId="6A265327" w14:textId="77777777" w:rsidR="00852109" w:rsidRPr="002262EF" w:rsidRDefault="00852109" w:rsidP="00852109">
      <w:pPr>
        <w:numPr>
          <w:ilvl w:val="0"/>
          <w:numId w:val="1"/>
        </w:numPr>
        <w:jc w:val="both"/>
        <w:rPr>
          <w:color w:val="000000"/>
          <w:sz w:val="22"/>
          <w:szCs w:val="22"/>
        </w:rPr>
      </w:pPr>
      <w:r w:rsidRPr="002262EF">
        <w:rPr>
          <w:color w:val="000000"/>
          <w:sz w:val="22"/>
          <w:szCs w:val="22"/>
        </w:rPr>
        <w:t>Reduce cost and achieve greater cost effectiveness in federal expenditures;</w:t>
      </w:r>
    </w:p>
    <w:p w14:paraId="5B50FF25" w14:textId="77777777" w:rsidR="00852109" w:rsidRPr="002262EF" w:rsidRDefault="00852109" w:rsidP="00852109">
      <w:pPr>
        <w:numPr>
          <w:ilvl w:val="0"/>
          <w:numId w:val="1"/>
        </w:numPr>
        <w:jc w:val="both"/>
        <w:rPr>
          <w:color w:val="000000"/>
          <w:sz w:val="22"/>
          <w:szCs w:val="22"/>
        </w:rPr>
      </w:pPr>
      <w:r w:rsidRPr="002262EF">
        <w:rPr>
          <w:color w:val="000000"/>
          <w:sz w:val="22"/>
          <w:szCs w:val="22"/>
        </w:rPr>
        <w:t>Provide incentives to families with children whose heads of household are either working, seeking work, or are participating in job training, educational or other programs that assist in obtaining employment and becoming economically self-sufficient; and,</w:t>
      </w:r>
    </w:p>
    <w:p w14:paraId="4D591192" w14:textId="77777777" w:rsidR="00852109" w:rsidRPr="002262EF" w:rsidRDefault="00852109" w:rsidP="00852109">
      <w:pPr>
        <w:numPr>
          <w:ilvl w:val="0"/>
          <w:numId w:val="1"/>
        </w:numPr>
        <w:jc w:val="both"/>
        <w:rPr>
          <w:color w:val="000000"/>
          <w:sz w:val="22"/>
          <w:szCs w:val="22"/>
        </w:rPr>
      </w:pPr>
      <w:r w:rsidRPr="002262EF">
        <w:rPr>
          <w:color w:val="000000"/>
          <w:sz w:val="22"/>
          <w:szCs w:val="22"/>
        </w:rPr>
        <w:t>Increase housing choices for low-income families.</w:t>
      </w:r>
    </w:p>
    <w:p w14:paraId="6D03F3CA" w14:textId="77777777" w:rsidR="00852109" w:rsidRPr="002262EF" w:rsidRDefault="00852109" w:rsidP="00852109">
      <w:pPr>
        <w:jc w:val="both"/>
        <w:rPr>
          <w:color w:val="000000"/>
          <w:sz w:val="22"/>
          <w:szCs w:val="22"/>
        </w:rPr>
      </w:pPr>
    </w:p>
    <w:p w14:paraId="4BAC7FD9" w14:textId="77777777" w:rsidR="00852109" w:rsidRPr="002262EF" w:rsidRDefault="00852109" w:rsidP="00852109">
      <w:pPr>
        <w:jc w:val="both"/>
        <w:rPr>
          <w:color w:val="000000"/>
          <w:sz w:val="22"/>
          <w:szCs w:val="22"/>
        </w:rPr>
      </w:pPr>
      <w:r w:rsidRPr="002262EF">
        <w:rPr>
          <w:color w:val="000000"/>
          <w:sz w:val="22"/>
          <w:szCs w:val="22"/>
        </w:rPr>
        <w:t xml:space="preserve">The terms and conditions of DHCD’s participation in the MTW program are defined in its MTW Agreement with the US Department of Housing and Urban Development (HUD), which extends through 2028.  </w:t>
      </w:r>
    </w:p>
    <w:p w14:paraId="33B17E3A" w14:textId="77777777" w:rsidR="00852109" w:rsidRPr="002262EF" w:rsidRDefault="00852109" w:rsidP="00852109">
      <w:pPr>
        <w:jc w:val="both"/>
        <w:rPr>
          <w:color w:val="000000"/>
          <w:sz w:val="22"/>
          <w:szCs w:val="22"/>
        </w:rPr>
      </w:pPr>
    </w:p>
    <w:p w14:paraId="3B443B1B" w14:textId="77777777" w:rsidR="00852109" w:rsidRPr="002262EF" w:rsidRDefault="00852109" w:rsidP="00852109">
      <w:pPr>
        <w:jc w:val="both"/>
        <w:rPr>
          <w:color w:val="000000"/>
          <w:sz w:val="22"/>
          <w:szCs w:val="22"/>
        </w:rPr>
      </w:pPr>
      <w:r w:rsidRPr="002262EF">
        <w:rPr>
          <w:color w:val="000000"/>
          <w:sz w:val="22"/>
          <w:szCs w:val="22"/>
        </w:rPr>
        <w:t>DHCD administers HUD-funded Housing Choice Voucher (HCV) programs, along with other state-assisted rental assistance programs, through a statewide network of Regional Administering Agencies (RAA).  See Appendix A for a listing of current RAAs. Subject to HUD approval in the MTW Annual Plan, MTW designation allows DHCD to test out new or modified programmatic approaches to administering HCV programs; to implement “local, non-traditional” housing and service activities for the benefit of low-income residents; and, to utilize HCV Housing Assistance Payments (HAP) funds in a more flexible manner.</w:t>
      </w:r>
    </w:p>
    <w:p w14:paraId="439C51F3" w14:textId="77777777" w:rsidR="00852109" w:rsidRPr="002262EF" w:rsidRDefault="00852109" w:rsidP="00852109">
      <w:pPr>
        <w:jc w:val="both"/>
        <w:rPr>
          <w:color w:val="000000"/>
          <w:sz w:val="22"/>
          <w:szCs w:val="22"/>
        </w:rPr>
      </w:pPr>
    </w:p>
    <w:p w14:paraId="5F00BAA1" w14:textId="77777777" w:rsidR="00852109" w:rsidRPr="002262EF" w:rsidRDefault="00852109" w:rsidP="00852109">
      <w:pPr>
        <w:jc w:val="both"/>
        <w:rPr>
          <w:color w:val="000000"/>
          <w:sz w:val="22"/>
          <w:szCs w:val="22"/>
        </w:rPr>
      </w:pPr>
      <w:r w:rsidRPr="002262EF">
        <w:rPr>
          <w:color w:val="000000"/>
          <w:sz w:val="22"/>
          <w:szCs w:val="22"/>
        </w:rPr>
        <w:t xml:space="preserve">MTW flexibility applies to the HCV programs administered by DHCD and which are part of the MTW Block Grant. DHCD may apply MTW operating flexibilities to special purpose vouchers which are not part of the block grant in accordance with HUD’s published guidance.  </w:t>
      </w:r>
      <w:r w:rsidRPr="002262EF">
        <w:rPr>
          <w:sz w:val="22"/>
          <w:szCs w:val="22"/>
        </w:rPr>
        <w:t>In general, HUD allows special purpose vouchers to be administered in accordance with MTW agreements unless MTW provisions are inconsistent with the appropriations act or requirements of the NOFA</w:t>
      </w:r>
      <w:r w:rsidRPr="002262EF">
        <w:rPr>
          <w:color w:val="000000"/>
          <w:sz w:val="22"/>
          <w:szCs w:val="22"/>
        </w:rPr>
        <w:t xml:space="preserve">.  Enhanced/Tenant Protection Vouchers will be rolled into the MTW Block Grant upon renewal of funds resulting in application of MTW flexibility to these vouchers. </w:t>
      </w:r>
    </w:p>
    <w:p w14:paraId="3A04AD26" w14:textId="77777777" w:rsidR="00852109" w:rsidRPr="002262EF" w:rsidRDefault="00852109" w:rsidP="00852109">
      <w:pPr>
        <w:jc w:val="both"/>
        <w:rPr>
          <w:color w:val="000000"/>
          <w:sz w:val="22"/>
          <w:szCs w:val="22"/>
        </w:rPr>
      </w:pPr>
    </w:p>
    <w:p w14:paraId="60734B8B" w14:textId="77777777" w:rsidR="00852109" w:rsidRPr="002262EF" w:rsidRDefault="00852109" w:rsidP="00852109">
      <w:pPr>
        <w:jc w:val="both"/>
        <w:rPr>
          <w:color w:val="000000"/>
          <w:sz w:val="22"/>
          <w:szCs w:val="22"/>
        </w:rPr>
      </w:pPr>
      <w:r w:rsidRPr="002262EF">
        <w:rPr>
          <w:color w:val="000000"/>
          <w:sz w:val="22"/>
          <w:szCs w:val="22"/>
        </w:rPr>
        <w:t xml:space="preserve">DHCD is required by HUD to prepare an MTW Annual Plan and Annual Report in a format defined in the MTW Agreement. This Annual Plan, which is subject to HUD approval, reflects the current reporting requirements including use of standard metrics and benchmarks. For purposes of the Annual Plan, an “MTW activity” is defined as any activity that requires MTW flexibility to waive statutory or regulatory requirements. Conversely, a “non-MTW activity” is an activity that does not require MTW funding or programmatic flexibility to implement.  </w:t>
      </w:r>
    </w:p>
    <w:p w14:paraId="4225EAF0" w14:textId="77777777" w:rsidR="00852109" w:rsidRPr="002262EF" w:rsidRDefault="00852109" w:rsidP="00852109">
      <w:pPr>
        <w:jc w:val="both"/>
        <w:rPr>
          <w:color w:val="000000"/>
          <w:sz w:val="22"/>
          <w:szCs w:val="22"/>
        </w:rPr>
      </w:pPr>
    </w:p>
    <w:p w14:paraId="43B2D20D" w14:textId="77777777" w:rsidR="00852109" w:rsidRPr="002262EF" w:rsidRDefault="00852109" w:rsidP="00852109">
      <w:pPr>
        <w:jc w:val="both"/>
        <w:rPr>
          <w:color w:val="000000"/>
          <w:sz w:val="22"/>
          <w:szCs w:val="22"/>
        </w:rPr>
      </w:pPr>
      <w:r w:rsidRPr="002262EF">
        <w:rPr>
          <w:color w:val="000000"/>
          <w:sz w:val="22"/>
          <w:szCs w:val="22"/>
        </w:rPr>
        <w:t xml:space="preserve">DHCD’s FY 2021 MTW Annual Plan summarizes planned activities for the period from July 1, 2020 through June 30, 2021.  HUD provides HAP funding on a calendar year basis; thus, the Annual Plan covers parts of two distinct funding periods. As of the date of this Annual Plan publication, DHCD has not received confirmation of its 2020 HAP funding. If decreases in funding occur, DHCD may need to modify, delay or cancel the proposals herein and/or take other necessary measures, including deferring issuance of turnover vouchers. </w:t>
      </w:r>
    </w:p>
    <w:p w14:paraId="3E3126E5" w14:textId="77777777" w:rsidR="00852109" w:rsidRPr="002262EF" w:rsidRDefault="00852109" w:rsidP="00852109">
      <w:pPr>
        <w:jc w:val="both"/>
        <w:rPr>
          <w:color w:val="000000"/>
          <w:sz w:val="22"/>
          <w:szCs w:val="22"/>
        </w:rPr>
      </w:pPr>
    </w:p>
    <w:p w14:paraId="0A5E4CDD" w14:textId="5D682769" w:rsidR="00C5712C" w:rsidRDefault="00852109" w:rsidP="00852109">
      <w:pPr>
        <w:jc w:val="both"/>
        <w:rPr>
          <w:color w:val="000000"/>
          <w:sz w:val="22"/>
          <w:szCs w:val="22"/>
        </w:rPr>
      </w:pPr>
      <w:r w:rsidRPr="002262EF">
        <w:rPr>
          <w:color w:val="000000"/>
          <w:sz w:val="22"/>
          <w:szCs w:val="22"/>
        </w:rPr>
        <w:t xml:space="preserve">Prior to submission to HUD, DHCD makes the Annual Plan available for public review and comment including conducting public hearings.  DHCD reviews </w:t>
      </w:r>
      <w:r w:rsidRPr="002262EF">
        <w:rPr>
          <w:sz w:val="22"/>
          <w:szCs w:val="22"/>
        </w:rPr>
        <w:t xml:space="preserve">and considers written and verbal comments that are </w:t>
      </w:r>
      <w:r w:rsidRPr="002262EF">
        <w:rPr>
          <w:sz w:val="22"/>
          <w:szCs w:val="22"/>
        </w:rPr>
        <w:lastRenderedPageBreak/>
        <w:t xml:space="preserve">received during the public review period.  Appendix C </w:t>
      </w:r>
      <w:r w:rsidRPr="002262EF">
        <w:rPr>
          <w:color w:val="000000"/>
          <w:sz w:val="22"/>
          <w:szCs w:val="22"/>
        </w:rPr>
        <w:t>provides information on the public comment period for this Annual Plan.</w:t>
      </w:r>
      <w:r w:rsidRPr="00833F1D">
        <w:rPr>
          <w:color w:val="000000"/>
          <w:sz w:val="22"/>
          <w:szCs w:val="22"/>
        </w:rPr>
        <w:t xml:space="preserve">  </w:t>
      </w:r>
    </w:p>
    <w:p w14:paraId="7FBCE206" w14:textId="557C2863" w:rsidR="00852109" w:rsidRDefault="00852109" w:rsidP="00852109">
      <w:pPr>
        <w:jc w:val="both"/>
        <w:rPr>
          <w:color w:val="000000"/>
          <w:sz w:val="22"/>
          <w:szCs w:val="22"/>
        </w:rPr>
      </w:pPr>
    </w:p>
    <w:p w14:paraId="17263D5A" w14:textId="77777777" w:rsidR="00852109" w:rsidRDefault="00852109" w:rsidP="00852109">
      <w:pPr>
        <w:jc w:val="both"/>
        <w:rPr>
          <w:color w:val="000000"/>
          <w:sz w:val="22"/>
          <w:szCs w:val="22"/>
          <w:highlight w:val="yellow"/>
        </w:rPr>
      </w:pPr>
    </w:p>
    <w:p w14:paraId="79C6C277" w14:textId="6EADDABD" w:rsidR="00220F02" w:rsidRPr="0004176C" w:rsidRDefault="00220F02" w:rsidP="001F2A56">
      <w:pPr>
        <w:pStyle w:val="Heading2"/>
      </w:pPr>
      <w:bookmarkStart w:id="2" w:name="_Toc523404055"/>
      <w:bookmarkStart w:id="3" w:name="_Toc33016912"/>
      <w:r w:rsidRPr="0004176C">
        <w:t xml:space="preserve">Overview of </w:t>
      </w:r>
      <w:r w:rsidR="004706C9" w:rsidRPr="0004176C">
        <w:t xml:space="preserve">Short Term </w:t>
      </w:r>
      <w:r w:rsidRPr="0004176C">
        <w:t>Annual Goals and Objectives</w:t>
      </w:r>
      <w:bookmarkEnd w:id="2"/>
      <w:bookmarkEnd w:id="3"/>
    </w:p>
    <w:p w14:paraId="591F513B" w14:textId="77777777" w:rsidR="00220F02" w:rsidRPr="000602E0" w:rsidRDefault="00220F02" w:rsidP="00220F02">
      <w:pPr>
        <w:rPr>
          <w:color w:val="000000"/>
          <w:sz w:val="22"/>
          <w:szCs w:val="22"/>
        </w:rPr>
      </w:pPr>
    </w:p>
    <w:p w14:paraId="6C658E4D" w14:textId="068E25AC" w:rsidR="007A4FF1" w:rsidRPr="00A430CC" w:rsidRDefault="007A4FF1" w:rsidP="007A4FF1">
      <w:pPr>
        <w:rPr>
          <w:color w:val="000000"/>
          <w:sz w:val="22"/>
          <w:szCs w:val="22"/>
        </w:rPr>
      </w:pPr>
      <w:r w:rsidRPr="00A430CC">
        <w:rPr>
          <w:color w:val="000000"/>
          <w:sz w:val="22"/>
          <w:szCs w:val="22"/>
        </w:rPr>
        <w:t>Highlights of FY 2021 MTW activities include:</w:t>
      </w:r>
    </w:p>
    <w:p w14:paraId="0F110D4C" w14:textId="77777777" w:rsidR="007A4FF1" w:rsidRPr="00A430CC" w:rsidRDefault="007A4FF1" w:rsidP="007A4FF1">
      <w:pPr>
        <w:rPr>
          <w:color w:val="000000"/>
          <w:sz w:val="22"/>
          <w:szCs w:val="22"/>
        </w:rPr>
      </w:pPr>
    </w:p>
    <w:p w14:paraId="1C37D0B0" w14:textId="12FAF537" w:rsidR="007A4FF1" w:rsidRPr="00A430CC" w:rsidRDefault="007A4FF1" w:rsidP="007A4FF1">
      <w:pPr>
        <w:numPr>
          <w:ilvl w:val="0"/>
          <w:numId w:val="6"/>
        </w:numPr>
        <w:jc w:val="both"/>
        <w:rPr>
          <w:color w:val="000000"/>
          <w:sz w:val="22"/>
          <w:szCs w:val="22"/>
        </w:rPr>
      </w:pPr>
      <w:r w:rsidRPr="00A430CC">
        <w:rPr>
          <w:color w:val="000000"/>
          <w:sz w:val="22"/>
          <w:szCs w:val="22"/>
        </w:rPr>
        <w:t xml:space="preserve">DHCD projects that rental assistance and related services will be provided to </w:t>
      </w:r>
      <w:r w:rsidR="00A430CC" w:rsidRPr="00A430CC">
        <w:rPr>
          <w:sz w:val="22"/>
          <w:szCs w:val="22"/>
        </w:rPr>
        <w:t>20,774</w:t>
      </w:r>
      <w:r w:rsidRPr="00A430CC">
        <w:rPr>
          <w:sz w:val="22"/>
          <w:szCs w:val="22"/>
        </w:rPr>
        <w:t xml:space="preserve"> </w:t>
      </w:r>
      <w:r w:rsidRPr="00A430CC">
        <w:rPr>
          <w:color w:val="000000"/>
          <w:sz w:val="22"/>
          <w:szCs w:val="22"/>
        </w:rPr>
        <w:t>MTW households</w:t>
      </w:r>
      <w:r w:rsidR="00850FC1" w:rsidRPr="00A430CC">
        <w:rPr>
          <w:sz w:val="22"/>
          <w:szCs w:val="22"/>
        </w:rPr>
        <w:t xml:space="preserve">. An additional </w:t>
      </w:r>
      <w:r w:rsidRPr="00A430CC">
        <w:rPr>
          <w:sz w:val="22"/>
          <w:szCs w:val="22"/>
        </w:rPr>
        <w:t>841 households are projected to be served through the VASH and Mainstream programs.</w:t>
      </w:r>
    </w:p>
    <w:p w14:paraId="244DACA2" w14:textId="77777777" w:rsidR="007A4FF1" w:rsidRPr="00A430CC" w:rsidRDefault="007A4FF1" w:rsidP="007A4FF1">
      <w:pPr>
        <w:ind w:left="720"/>
        <w:jc w:val="both"/>
        <w:rPr>
          <w:color w:val="000000"/>
          <w:sz w:val="22"/>
          <w:szCs w:val="22"/>
        </w:rPr>
      </w:pPr>
    </w:p>
    <w:p w14:paraId="52E47B46" w14:textId="15816BFC" w:rsidR="007A4FF1" w:rsidRPr="00A430CC" w:rsidRDefault="007A4FF1" w:rsidP="007A4FF1">
      <w:pPr>
        <w:numPr>
          <w:ilvl w:val="0"/>
          <w:numId w:val="6"/>
        </w:numPr>
        <w:jc w:val="both"/>
        <w:rPr>
          <w:color w:val="000000"/>
          <w:sz w:val="22"/>
          <w:szCs w:val="22"/>
        </w:rPr>
      </w:pPr>
      <w:r w:rsidRPr="00A430CC">
        <w:rPr>
          <w:color w:val="000000"/>
          <w:sz w:val="22"/>
          <w:szCs w:val="22"/>
        </w:rPr>
        <w:t xml:space="preserve">DHCD has proposed a new Fair Housing Initiative in this FY 2021 Plan. Specifically, DHCD will utilize up to $500K in MTW funding to award funding to non-profit agencies to identify fair housing compliance and enforcement issues across DHCD’s jurisdiction and to </w:t>
      </w:r>
      <w:r w:rsidRPr="00A430CC">
        <w:rPr>
          <w:sz w:val="22"/>
          <w:szCs w:val="22"/>
        </w:rPr>
        <w:t xml:space="preserve">investigate discriminatory practices, and provide enforcement assistance (including through voluntary resolution efforts and litigation) for households with a housing subsidy or voucher. </w:t>
      </w:r>
      <w:r w:rsidR="0093186F" w:rsidRPr="00A430CC">
        <w:rPr>
          <w:color w:val="000000"/>
          <w:sz w:val="22"/>
          <w:szCs w:val="22"/>
        </w:rPr>
        <w:t>DHCD anticipates that low-</w:t>
      </w:r>
      <w:r w:rsidRPr="00A430CC">
        <w:rPr>
          <w:color w:val="000000"/>
          <w:sz w:val="22"/>
          <w:szCs w:val="22"/>
        </w:rPr>
        <w:t xml:space="preserve">income families will have fewer barriers to finding and maintaining affordable housing. </w:t>
      </w:r>
    </w:p>
    <w:p w14:paraId="2259FDA7" w14:textId="77777777" w:rsidR="007A4FF1" w:rsidRPr="00A430CC" w:rsidRDefault="007A4FF1" w:rsidP="007A4FF1">
      <w:pPr>
        <w:pStyle w:val="ListParagraph"/>
        <w:numPr>
          <w:ilvl w:val="0"/>
          <w:numId w:val="0"/>
        </w:numPr>
        <w:ind w:left="720"/>
        <w:rPr>
          <w:color w:val="000000"/>
        </w:rPr>
      </w:pPr>
    </w:p>
    <w:p w14:paraId="7164C59C" w14:textId="218CCB50" w:rsidR="007A4FF1" w:rsidRPr="00A430CC" w:rsidRDefault="007A4FF1" w:rsidP="007A4FF1">
      <w:pPr>
        <w:numPr>
          <w:ilvl w:val="0"/>
          <w:numId w:val="6"/>
        </w:numPr>
        <w:jc w:val="both"/>
        <w:rPr>
          <w:color w:val="000000"/>
          <w:sz w:val="22"/>
          <w:szCs w:val="22"/>
        </w:rPr>
      </w:pPr>
      <w:r w:rsidRPr="00A430CC">
        <w:rPr>
          <w:color w:val="000000"/>
          <w:sz w:val="22"/>
          <w:szCs w:val="22"/>
        </w:rPr>
        <w:t xml:space="preserve">Massachusetts Student Housing Security Pilot: In FY 2020 DHCD received approval for an  MTW Activity, the Massachusetts Student Housing Security Pilot. Under this activity DHCD </w:t>
      </w:r>
      <w:r w:rsidRPr="00A430CC">
        <w:rPr>
          <w:sz w:val="22"/>
          <w:szCs w:val="22"/>
          <w:shd w:val="clear" w:color="auto" w:fill="FFFFFF"/>
        </w:rPr>
        <w:t xml:space="preserve">assists </w:t>
      </w:r>
      <w:r w:rsidRPr="00A430CC">
        <w:rPr>
          <w:color w:val="000000"/>
          <w:sz w:val="22"/>
          <w:szCs w:val="22"/>
        </w:rPr>
        <w:t xml:space="preserve">youth aging out of foster care and homeless college students in completing post-secondary education by providing </w:t>
      </w:r>
      <w:r w:rsidRPr="00A430CC">
        <w:rPr>
          <w:sz w:val="22"/>
          <w:szCs w:val="22"/>
        </w:rPr>
        <w:t xml:space="preserve">up to $200,000 in MTW funds, annually for two years, to support housing costs for college students who are HCV income eligible and who meet HUD’s definition of Unaccompanied Homeless Youth or who have recently aged out of foster care. </w:t>
      </w:r>
      <w:r w:rsidRPr="00A430CC">
        <w:rPr>
          <w:color w:val="000000"/>
          <w:sz w:val="22"/>
          <w:szCs w:val="22"/>
        </w:rPr>
        <w:t xml:space="preserve"> In FY 2021, DHCD will complete program plans, prepare policies and procedures, enter into an MOU with its partners and select recipients and disburse funds to the selected providers. DHCD will fully fund the housing related costs for two years, </w:t>
      </w:r>
      <w:r w:rsidR="00850FC1" w:rsidRPr="00A430CC">
        <w:rPr>
          <w:color w:val="000000"/>
          <w:sz w:val="22"/>
          <w:szCs w:val="22"/>
        </w:rPr>
        <w:t>s</w:t>
      </w:r>
      <w:r w:rsidRPr="00A430CC">
        <w:rPr>
          <w:color w:val="000000"/>
          <w:sz w:val="22"/>
          <w:szCs w:val="22"/>
        </w:rPr>
        <w:t xml:space="preserve">erving at minimum 20 students. </w:t>
      </w:r>
    </w:p>
    <w:p w14:paraId="41FDD8A0" w14:textId="77777777" w:rsidR="007A4FF1" w:rsidRPr="00A430CC" w:rsidRDefault="007A4FF1" w:rsidP="007A4FF1">
      <w:pPr>
        <w:rPr>
          <w:color w:val="000000"/>
        </w:rPr>
      </w:pPr>
    </w:p>
    <w:p w14:paraId="426C3BC8" w14:textId="77777777" w:rsidR="007A4FF1" w:rsidRPr="00A430CC" w:rsidRDefault="007A4FF1" w:rsidP="007A4FF1">
      <w:pPr>
        <w:numPr>
          <w:ilvl w:val="0"/>
          <w:numId w:val="6"/>
        </w:numPr>
        <w:jc w:val="both"/>
        <w:rPr>
          <w:color w:val="000000"/>
          <w:sz w:val="22"/>
          <w:szCs w:val="22"/>
        </w:rPr>
      </w:pPr>
      <w:r w:rsidRPr="00A430CC">
        <w:rPr>
          <w:sz w:val="22"/>
          <w:szCs w:val="22"/>
        </w:rPr>
        <w:t xml:space="preserve">Rent Simplification: </w:t>
      </w:r>
      <w:r w:rsidRPr="00A430CC">
        <w:rPr>
          <w:color w:val="000000"/>
          <w:sz w:val="22"/>
          <w:szCs w:val="22"/>
        </w:rPr>
        <w:t>DHCD’s Rent Simplification activity provides self-sufficiency incentives to participating households and administrative efficiencies in the processing of program transactions.  In FY 2021 DHCD will modify and implement this activity.  Specifically, DHCD will update payment standards during interim recertifications for all MTW households on biennial or triennial recertification cycles where the household has an interim increase in contract rent. This change provides for application of payment standards, which reflect current market trends and reduce rent burdens for families.</w:t>
      </w:r>
    </w:p>
    <w:p w14:paraId="4D3E3056" w14:textId="77777777" w:rsidR="007A4FF1" w:rsidRPr="00A430CC" w:rsidRDefault="007A4FF1" w:rsidP="007A4FF1">
      <w:pPr>
        <w:ind w:left="720" w:hanging="360"/>
        <w:rPr>
          <w:color w:val="000000"/>
          <w:sz w:val="22"/>
          <w:szCs w:val="22"/>
        </w:rPr>
      </w:pPr>
    </w:p>
    <w:p w14:paraId="65D1346C" w14:textId="440D39F4" w:rsidR="007A4FF1" w:rsidRPr="00A430CC" w:rsidRDefault="007A4FF1" w:rsidP="007A4FF1">
      <w:pPr>
        <w:numPr>
          <w:ilvl w:val="0"/>
          <w:numId w:val="6"/>
        </w:numPr>
        <w:jc w:val="both"/>
        <w:rPr>
          <w:color w:val="000000"/>
          <w:sz w:val="22"/>
          <w:szCs w:val="22"/>
        </w:rPr>
      </w:pPr>
      <w:r w:rsidRPr="00A430CC">
        <w:rPr>
          <w:color w:val="000000"/>
          <w:sz w:val="22"/>
          <w:szCs w:val="22"/>
        </w:rPr>
        <w:t xml:space="preserve">Multi-Year Recertifications: In FY 2020 DHCD completed planning for the triennial recertification frequency for elderly/disabled households on fixed incomes i.e. SS, SSI and pensions. The policy will be implemented in FY 2021 at the time of each applicable family’s regular </w:t>
      </w:r>
      <w:r w:rsidR="00D95301" w:rsidRPr="00A430CC">
        <w:rPr>
          <w:color w:val="000000"/>
          <w:sz w:val="22"/>
          <w:szCs w:val="22"/>
        </w:rPr>
        <w:t>recertification.  Accordingly, r</w:t>
      </w:r>
      <w:r w:rsidRPr="00A430CC">
        <w:rPr>
          <w:color w:val="000000"/>
          <w:sz w:val="22"/>
          <w:szCs w:val="22"/>
        </w:rPr>
        <w:t>ents will generally remain fixed for three years instead of two</w:t>
      </w:r>
      <w:r w:rsidR="00D95301" w:rsidRPr="00A430CC">
        <w:rPr>
          <w:color w:val="000000"/>
          <w:sz w:val="22"/>
          <w:szCs w:val="22"/>
        </w:rPr>
        <w:t>,</w:t>
      </w:r>
      <w:r w:rsidRPr="00A430CC">
        <w:rPr>
          <w:color w:val="000000"/>
          <w:sz w:val="22"/>
          <w:szCs w:val="22"/>
        </w:rPr>
        <w:t xml:space="preserve"> and elderly/disabled fixed income households will be insulated from more frequent rent increases. </w:t>
      </w:r>
    </w:p>
    <w:p w14:paraId="25D503A1" w14:textId="77777777" w:rsidR="007A4FF1" w:rsidRPr="00A430CC" w:rsidRDefault="007A4FF1" w:rsidP="007A4FF1">
      <w:pPr>
        <w:pStyle w:val="ListParagraph"/>
        <w:numPr>
          <w:ilvl w:val="0"/>
          <w:numId w:val="0"/>
        </w:numPr>
        <w:ind w:left="720"/>
        <w:rPr>
          <w:color w:val="000000"/>
        </w:rPr>
      </w:pPr>
    </w:p>
    <w:p w14:paraId="77F8FCA5" w14:textId="406EBC6B" w:rsidR="007A4FF1" w:rsidRPr="00A430CC" w:rsidRDefault="007A4FF1" w:rsidP="007A4FF1">
      <w:pPr>
        <w:numPr>
          <w:ilvl w:val="0"/>
          <w:numId w:val="6"/>
        </w:numPr>
        <w:jc w:val="both"/>
        <w:rPr>
          <w:color w:val="000000"/>
          <w:sz w:val="22"/>
          <w:szCs w:val="22"/>
        </w:rPr>
      </w:pPr>
      <w:r w:rsidRPr="00A430CC">
        <w:rPr>
          <w:color w:val="000000"/>
          <w:sz w:val="22"/>
          <w:szCs w:val="22"/>
        </w:rPr>
        <w:t xml:space="preserve">Support for Secure Jobs: DHCD completed the procurement for service providers and the State executed contracts with eight partnering agencies that began providing case management and employment support services. In FY 2021 under this activity, DHCD anticipates providing services to approximately 900 participants. Additionally, DHCD will provide Housing Choice Voucher assistance for up to 50 eligible low-income households participating in the Secure Jobs initiative.  </w:t>
      </w:r>
      <w:r w:rsidR="005602C3" w:rsidRPr="00A430CC">
        <w:rPr>
          <w:color w:val="000000"/>
          <w:sz w:val="22"/>
          <w:szCs w:val="22"/>
        </w:rPr>
        <w:t>DHCD plans on leasing 40 households in FY 2021.</w:t>
      </w:r>
    </w:p>
    <w:p w14:paraId="260138E2" w14:textId="77777777" w:rsidR="007A4FF1" w:rsidRPr="00A430CC" w:rsidRDefault="007A4FF1" w:rsidP="007A4FF1">
      <w:pPr>
        <w:ind w:left="720"/>
        <w:jc w:val="both"/>
        <w:rPr>
          <w:color w:val="000000"/>
          <w:sz w:val="22"/>
          <w:szCs w:val="22"/>
        </w:rPr>
      </w:pPr>
    </w:p>
    <w:p w14:paraId="17F00228" w14:textId="2CF735D1" w:rsidR="007A4FF1" w:rsidRPr="0064307D" w:rsidRDefault="007A4FF1" w:rsidP="007A4FF1">
      <w:pPr>
        <w:numPr>
          <w:ilvl w:val="0"/>
          <w:numId w:val="6"/>
        </w:numPr>
        <w:jc w:val="both"/>
        <w:rPr>
          <w:color w:val="000000"/>
          <w:sz w:val="22"/>
          <w:szCs w:val="22"/>
        </w:rPr>
      </w:pPr>
      <w:r w:rsidRPr="0064307D">
        <w:rPr>
          <w:color w:val="000000"/>
          <w:sz w:val="22"/>
          <w:szCs w:val="22"/>
        </w:rPr>
        <w:t>Expanding Housing Opportunities: DHCD issued an RFP and awarded planning grants to two Local Housing Authorities (LHAs), Somerville Housing Authority (SHA) and Chelsea Housing Authority (CHA), for the preservation and redevelopment of public housing. Both projects will have completed closings by F</w:t>
      </w:r>
      <w:r w:rsidR="00D95301" w:rsidRPr="0064307D">
        <w:rPr>
          <w:color w:val="000000"/>
          <w:sz w:val="22"/>
          <w:szCs w:val="22"/>
        </w:rPr>
        <w:t xml:space="preserve">Y 2021 and DHCD expects that </w:t>
      </w:r>
      <w:r w:rsidR="00FA358A" w:rsidRPr="0064307D">
        <w:rPr>
          <w:color w:val="000000"/>
          <w:sz w:val="22"/>
          <w:szCs w:val="22"/>
        </w:rPr>
        <w:t>relocation will begin in October 2020 for the Chelsea project and in December 2020 for the Somerville project.</w:t>
      </w:r>
    </w:p>
    <w:p w14:paraId="6D8F7A04" w14:textId="77777777" w:rsidR="007A4FF1" w:rsidRPr="00A430CC" w:rsidRDefault="007A4FF1" w:rsidP="007A4FF1">
      <w:pPr>
        <w:pStyle w:val="ListParagraph"/>
        <w:numPr>
          <w:ilvl w:val="0"/>
          <w:numId w:val="0"/>
        </w:numPr>
        <w:ind w:left="720"/>
        <w:rPr>
          <w:color w:val="000000"/>
        </w:rPr>
      </w:pPr>
    </w:p>
    <w:p w14:paraId="3448E237" w14:textId="4BD7CDBA" w:rsidR="007A4FF1" w:rsidRPr="00A430CC" w:rsidRDefault="007A4FF1" w:rsidP="007A4FF1">
      <w:pPr>
        <w:numPr>
          <w:ilvl w:val="0"/>
          <w:numId w:val="6"/>
        </w:numPr>
        <w:jc w:val="both"/>
        <w:rPr>
          <w:color w:val="000000"/>
          <w:sz w:val="22"/>
          <w:szCs w:val="22"/>
        </w:rPr>
      </w:pPr>
      <w:r w:rsidRPr="00A430CC">
        <w:rPr>
          <w:color w:val="000000"/>
          <w:sz w:val="22"/>
          <w:szCs w:val="22"/>
        </w:rPr>
        <w:t xml:space="preserve">A Better Life (ABL): DHCD will continue to provide funding to local housing authorities to operate the ABL program. ABL, which is based on an existing successful program model, focuses on helping participants to achieve economic self-sufficiency through case management, education and training services. </w:t>
      </w:r>
      <w:r w:rsidRPr="00A430CC">
        <w:rPr>
          <w:rFonts w:eastAsia="Calibri"/>
          <w:sz w:val="22"/>
          <w:szCs w:val="22"/>
        </w:rPr>
        <w:t xml:space="preserve">To date, </w:t>
      </w:r>
      <w:r w:rsidRPr="00A430CC">
        <w:rPr>
          <w:bCs/>
          <w:sz w:val="22"/>
          <w:szCs w:val="22"/>
        </w:rPr>
        <w:t>MTW Block Grant service dollars have gone to support  Family Life Coaches at each of the LHAs who do outreach to residents to inform them about the</w:t>
      </w:r>
      <w:r w:rsidR="00D95301" w:rsidRPr="00A430CC">
        <w:rPr>
          <w:bCs/>
          <w:sz w:val="22"/>
          <w:szCs w:val="22"/>
        </w:rPr>
        <w:t xml:space="preserve"> work requirement, opportunity </w:t>
      </w:r>
      <w:r w:rsidRPr="00A430CC">
        <w:rPr>
          <w:bCs/>
          <w:sz w:val="22"/>
          <w:szCs w:val="22"/>
        </w:rPr>
        <w:t>to have coaching support and to assist participants in setting personal goals in the area of work, education, family health and stability and asset building.  LHAs are leveraging existing relationships with local service providers and using the ABL grant to partner with new ones.  In FY 2021, DHCD anticipates that approximately 488 total households will receive services under this activity.</w:t>
      </w:r>
    </w:p>
    <w:p w14:paraId="6B1B2E12" w14:textId="77777777" w:rsidR="007A4FF1" w:rsidRPr="00A430CC" w:rsidRDefault="007A4FF1" w:rsidP="007A4FF1">
      <w:pPr>
        <w:pStyle w:val="ListParagraph"/>
        <w:numPr>
          <w:ilvl w:val="0"/>
          <w:numId w:val="0"/>
        </w:numPr>
        <w:ind w:left="720"/>
        <w:rPr>
          <w:color w:val="000000"/>
        </w:rPr>
      </w:pPr>
    </w:p>
    <w:p w14:paraId="0CC35D6E" w14:textId="6CC43892" w:rsidR="007A4FF1" w:rsidRPr="00A430CC" w:rsidRDefault="00D95301" w:rsidP="007A4FF1">
      <w:pPr>
        <w:numPr>
          <w:ilvl w:val="0"/>
          <w:numId w:val="6"/>
        </w:numPr>
        <w:jc w:val="both"/>
        <w:rPr>
          <w:color w:val="000000"/>
          <w:sz w:val="22"/>
          <w:szCs w:val="22"/>
        </w:rPr>
      </w:pPr>
      <w:r w:rsidRPr="00A430CC">
        <w:rPr>
          <w:color w:val="000000"/>
          <w:sz w:val="22"/>
          <w:szCs w:val="22"/>
        </w:rPr>
        <w:t>Health Starts at Home (HSH):</w:t>
      </w:r>
      <w:r w:rsidR="007A4FF1" w:rsidRPr="00A430CC">
        <w:rPr>
          <w:color w:val="000000"/>
          <w:sz w:val="22"/>
          <w:szCs w:val="22"/>
        </w:rPr>
        <w:t xml:space="preserve"> Under this activity, DHCD is collaborating with The Boston Foundation (TBF) to provide Housing Choice Vouchers to eligible participants in TBF’s HSH initiative. TBF is a community foundation that provides grants to nonprofit organizations and designs special funding initiatives to address critical challenges in the community. To date, 26 households have been leased under this program</w:t>
      </w:r>
      <w:r w:rsidRPr="00A430CC">
        <w:rPr>
          <w:color w:val="000000"/>
          <w:sz w:val="22"/>
          <w:szCs w:val="22"/>
        </w:rPr>
        <w:t>,</w:t>
      </w:r>
      <w:r w:rsidR="007A4FF1" w:rsidRPr="00A430CC">
        <w:rPr>
          <w:color w:val="000000"/>
          <w:sz w:val="22"/>
          <w:szCs w:val="22"/>
        </w:rPr>
        <w:t xml:space="preserve"> which reflects the total participation. It is anticipated that health outcomes will improve when and if stable housing is provided</w:t>
      </w:r>
      <w:r w:rsidRPr="00A430CC">
        <w:rPr>
          <w:color w:val="000000"/>
          <w:sz w:val="22"/>
          <w:szCs w:val="22"/>
        </w:rPr>
        <w:t>.</w:t>
      </w:r>
    </w:p>
    <w:p w14:paraId="3DE40639" w14:textId="77777777" w:rsidR="007A4FF1" w:rsidRPr="00A430CC" w:rsidRDefault="007A4FF1" w:rsidP="007A4FF1">
      <w:pPr>
        <w:jc w:val="both"/>
        <w:rPr>
          <w:color w:val="000000"/>
          <w:sz w:val="22"/>
          <w:szCs w:val="22"/>
        </w:rPr>
      </w:pPr>
    </w:p>
    <w:p w14:paraId="5EB13EF2" w14:textId="7F8AA1DA" w:rsidR="00AC1528" w:rsidRPr="00A430CC" w:rsidRDefault="007A4FF1" w:rsidP="00AC1528">
      <w:pPr>
        <w:pStyle w:val="ListParagraph"/>
        <w:jc w:val="both"/>
      </w:pPr>
      <w:r w:rsidRPr="00A430CC">
        <w:rPr>
          <w:color w:val="000000"/>
        </w:rPr>
        <w:t>Enhanced Local Project-Based Voucher (PBV) Program: DHCD will continue to implement the features of its enhanced PBV Program</w:t>
      </w:r>
      <w:r w:rsidR="00AC1528" w:rsidRPr="00A430CC">
        <w:rPr>
          <w:color w:val="000000"/>
        </w:rPr>
        <w:t>. In FY 2021, DHCD anticipates</w:t>
      </w:r>
      <w:r w:rsidRPr="00A430CC">
        <w:rPr>
          <w:color w:val="000000"/>
        </w:rPr>
        <w:t xml:space="preserve"> adding </w:t>
      </w:r>
      <w:r w:rsidR="00D95301" w:rsidRPr="00A430CC">
        <w:t>approximately one hundred and fifty new PBV units throughout its jurisdiction with owner managed waiting lists employed at all new projects.</w:t>
      </w:r>
      <w:r w:rsidR="00BA7C16" w:rsidRPr="00A430CC">
        <w:rPr>
          <w:color w:val="000000"/>
        </w:rPr>
        <w:t xml:space="preserve">  </w:t>
      </w:r>
      <w:r w:rsidRPr="00A430CC">
        <w:rPr>
          <w:color w:val="000000"/>
        </w:rPr>
        <w:t>In FY 2021</w:t>
      </w:r>
      <w:r w:rsidR="003E361A" w:rsidRPr="00A430CC">
        <w:rPr>
          <w:color w:val="000000"/>
        </w:rPr>
        <w:t>,</w:t>
      </w:r>
      <w:r w:rsidRPr="00A430CC">
        <w:rPr>
          <w:color w:val="000000"/>
        </w:rPr>
        <w:t xml:space="preserve"> DHCD will remove the previously approved policies related to transfer preferences for PB families who move to other RAA jurisdictions. This portion of the activity was not feasible given the process for wait list management.</w:t>
      </w:r>
    </w:p>
    <w:p w14:paraId="4227E74C" w14:textId="77777777" w:rsidR="00D95301" w:rsidRPr="00A430CC" w:rsidRDefault="00D95301" w:rsidP="007A4FF1">
      <w:pPr>
        <w:pStyle w:val="ListParagraph"/>
        <w:numPr>
          <w:ilvl w:val="0"/>
          <w:numId w:val="0"/>
        </w:numPr>
        <w:ind w:left="720"/>
      </w:pPr>
    </w:p>
    <w:p w14:paraId="08E23B2D" w14:textId="68C46549" w:rsidR="007A4FF1" w:rsidRPr="00A430CC" w:rsidRDefault="007A4FF1" w:rsidP="007A4FF1">
      <w:pPr>
        <w:numPr>
          <w:ilvl w:val="0"/>
          <w:numId w:val="6"/>
        </w:numPr>
        <w:jc w:val="both"/>
        <w:rPr>
          <w:color w:val="000000"/>
          <w:sz w:val="22"/>
          <w:szCs w:val="22"/>
        </w:rPr>
      </w:pPr>
      <w:r w:rsidRPr="00A430CC">
        <w:rPr>
          <w:sz w:val="22"/>
          <w:szCs w:val="22"/>
        </w:rPr>
        <w:t>Family Self-Sufficiency Program Enhancements: DHCD’s</w:t>
      </w:r>
      <w:r w:rsidR="003E361A" w:rsidRPr="00A430CC">
        <w:rPr>
          <w:sz w:val="22"/>
          <w:szCs w:val="22"/>
        </w:rPr>
        <w:t xml:space="preserve"> Family Self-Sufficiency (FSS) P</w:t>
      </w:r>
      <w:r w:rsidRPr="00A430CC">
        <w:rPr>
          <w:sz w:val="22"/>
          <w:szCs w:val="22"/>
        </w:rPr>
        <w:t>rogram continues to provide training, job support and case management services to FSS families.</w:t>
      </w:r>
      <w:r w:rsidRPr="00A430CC">
        <w:rPr>
          <w:color w:val="000000"/>
          <w:sz w:val="22"/>
          <w:szCs w:val="22"/>
        </w:rPr>
        <w:t xml:space="preserve"> In FY 2021 DHCD anticip</w:t>
      </w:r>
      <w:r w:rsidR="003E361A" w:rsidRPr="00A430CC">
        <w:rPr>
          <w:color w:val="000000"/>
          <w:sz w:val="22"/>
          <w:szCs w:val="22"/>
        </w:rPr>
        <w:t>ates that approximately 75</w:t>
      </w:r>
      <w:r w:rsidRPr="00A430CC">
        <w:rPr>
          <w:color w:val="000000"/>
          <w:sz w:val="22"/>
          <w:szCs w:val="22"/>
        </w:rPr>
        <w:t xml:space="preserve"> to 100 new participants will join the FSS Program with a total anticipated participation of 900 participants. </w:t>
      </w:r>
      <w:r w:rsidRPr="00A430CC">
        <w:rPr>
          <w:sz w:val="22"/>
          <w:szCs w:val="22"/>
        </w:rPr>
        <w:t xml:space="preserve">DHCD will continue to implement the previously approved </w:t>
      </w:r>
      <w:r w:rsidR="0064307D">
        <w:rPr>
          <w:sz w:val="22"/>
          <w:szCs w:val="22"/>
        </w:rPr>
        <w:t xml:space="preserve">flexible funding portion of this activity which assists families in removing barriers to employment, </w:t>
      </w:r>
      <w:r w:rsidRPr="00A430CC">
        <w:rPr>
          <w:sz w:val="22"/>
          <w:szCs w:val="22"/>
        </w:rPr>
        <w:t>as well as implement the matched savings homeownership incentive.</w:t>
      </w:r>
    </w:p>
    <w:p w14:paraId="6A04DDE6" w14:textId="77777777" w:rsidR="007A4FF1" w:rsidRPr="00A430CC" w:rsidRDefault="007A4FF1" w:rsidP="007A4FF1">
      <w:pPr>
        <w:pStyle w:val="ListParagraph"/>
        <w:numPr>
          <w:ilvl w:val="0"/>
          <w:numId w:val="0"/>
        </w:numPr>
        <w:ind w:left="720"/>
      </w:pPr>
    </w:p>
    <w:p w14:paraId="57C1B55E" w14:textId="77777777" w:rsidR="007A4FF1" w:rsidRPr="00A430CC" w:rsidRDefault="007A4FF1" w:rsidP="007A4FF1">
      <w:pPr>
        <w:numPr>
          <w:ilvl w:val="0"/>
          <w:numId w:val="6"/>
        </w:numPr>
        <w:jc w:val="both"/>
        <w:rPr>
          <w:color w:val="000000"/>
          <w:sz w:val="22"/>
          <w:szCs w:val="22"/>
        </w:rPr>
      </w:pPr>
      <w:r w:rsidRPr="00A430CC">
        <w:rPr>
          <w:sz w:val="22"/>
          <w:szCs w:val="22"/>
        </w:rPr>
        <w:t xml:space="preserve">Affordable Housing Preservation &amp; Development Fund: DHCD will utilize MTW funds to support the development and preservation of affordable rental housing. </w:t>
      </w:r>
      <w:r w:rsidRPr="00A430CC">
        <w:rPr>
          <w:color w:val="000000"/>
          <w:sz w:val="22"/>
          <w:szCs w:val="22"/>
        </w:rPr>
        <w:t xml:space="preserve">DHCD awarded funding to two Local Housing Authorities (LHAs), Boston Housing Authority (BHA) and Cambridge Housing Authority (CHA), to substantially rehab and preserve state aided public housing developments. Seventy two (72) units are anticipated to be on line in FY 2021 at the BHA project. </w:t>
      </w:r>
      <w:r w:rsidRPr="00A430CC">
        <w:rPr>
          <w:sz w:val="22"/>
          <w:szCs w:val="22"/>
        </w:rPr>
        <w:t xml:space="preserve">Construction at the CHA project is scheduled to be completed in July 2021 with a total of 25 units.  </w:t>
      </w:r>
    </w:p>
    <w:p w14:paraId="3D57B7CE" w14:textId="77777777" w:rsidR="007A4FF1" w:rsidRPr="00A430CC" w:rsidRDefault="007A4FF1" w:rsidP="007A4FF1">
      <w:pPr>
        <w:pStyle w:val="ListParagraph"/>
        <w:numPr>
          <w:ilvl w:val="0"/>
          <w:numId w:val="0"/>
        </w:numPr>
        <w:ind w:left="720"/>
      </w:pPr>
    </w:p>
    <w:p w14:paraId="6E23F091" w14:textId="67AA5EE3" w:rsidR="007A4FF1" w:rsidRPr="00A430CC" w:rsidRDefault="007A4FF1" w:rsidP="007A4FF1">
      <w:pPr>
        <w:numPr>
          <w:ilvl w:val="0"/>
          <w:numId w:val="6"/>
        </w:numPr>
        <w:jc w:val="both"/>
        <w:rPr>
          <w:color w:val="000000"/>
          <w:sz w:val="22"/>
          <w:szCs w:val="22"/>
        </w:rPr>
      </w:pPr>
      <w:r w:rsidRPr="00A430CC">
        <w:rPr>
          <w:sz w:val="22"/>
          <w:szCs w:val="22"/>
        </w:rPr>
        <w:t>Supporting Neighborhood Opportunity in Massachusetts: In FY 2019, DHCD launched the Supporting Neighborhood Opportunity in Massachusetts</w:t>
      </w:r>
      <w:r w:rsidR="003E361A" w:rsidRPr="00A430CC">
        <w:rPr>
          <w:sz w:val="22"/>
          <w:szCs w:val="22"/>
        </w:rPr>
        <w:t xml:space="preserve"> (SNO Mass)</w:t>
      </w:r>
      <w:r w:rsidRPr="00A430CC">
        <w:rPr>
          <w:sz w:val="22"/>
          <w:szCs w:val="22"/>
        </w:rPr>
        <w:t xml:space="preserve"> mobility pilot program. </w:t>
      </w:r>
      <w:r w:rsidRPr="00A430CC">
        <w:rPr>
          <w:color w:val="000000"/>
          <w:sz w:val="22"/>
          <w:szCs w:val="22"/>
        </w:rPr>
        <w:t>The purpose of DHCD’s SNO Mass MTW initiative is to provide significant supports and encouragement to existing voucher participants and/or new voucher holders who wish to move to areas with empirically documented improved educational systems, job opportunities, social services and other opportunities in the expectation that over time their need for housing and other subsidies will abate or diminish.  The SNO Mass pilot is fully implemented at two RAAs. In FY 2021 DHCD will expand SNO Mass to all RAAs statewide. DHCD’s goal is to engage 140 households in housing search and ultimately move or lease up 60 households in identified opportunity neighborhoods.</w:t>
      </w:r>
    </w:p>
    <w:p w14:paraId="73D0DAFE" w14:textId="77777777" w:rsidR="007A4FF1" w:rsidRPr="00A430CC" w:rsidRDefault="007A4FF1" w:rsidP="007A4FF1">
      <w:pPr>
        <w:ind w:left="720"/>
        <w:jc w:val="both"/>
        <w:rPr>
          <w:color w:val="000000"/>
          <w:sz w:val="22"/>
          <w:szCs w:val="22"/>
        </w:rPr>
      </w:pPr>
    </w:p>
    <w:p w14:paraId="2E6E26E7" w14:textId="6C2A9659" w:rsidR="007A4FF1" w:rsidRPr="00A430CC" w:rsidRDefault="007A4FF1" w:rsidP="007A4FF1">
      <w:pPr>
        <w:pStyle w:val="ListParagraph"/>
        <w:numPr>
          <w:ilvl w:val="0"/>
          <w:numId w:val="24"/>
        </w:numPr>
        <w:autoSpaceDE w:val="0"/>
        <w:autoSpaceDN w:val="0"/>
        <w:adjustRightInd w:val="0"/>
        <w:jc w:val="both"/>
        <w:rPr>
          <w:color w:val="000000"/>
        </w:rPr>
      </w:pPr>
      <w:r w:rsidRPr="00A430CC">
        <w:rPr>
          <w:color w:val="000000"/>
        </w:rPr>
        <w:t xml:space="preserve">Family Economic Stability </w:t>
      </w:r>
      <w:r w:rsidR="009B7F98" w:rsidRPr="00A430CC">
        <w:rPr>
          <w:color w:val="000000"/>
        </w:rPr>
        <w:t xml:space="preserve">(FES) </w:t>
      </w:r>
      <w:r w:rsidRPr="00A430CC">
        <w:rPr>
          <w:color w:val="000000"/>
        </w:rPr>
        <w:t xml:space="preserve">Program: Building economic self-sufficiency continues to be a central focus of DCHD’s Family Economic Stability Program. </w:t>
      </w:r>
      <w:r w:rsidRPr="00A430CC">
        <w:rPr>
          <w:color w:val="000000" w:themeColor="text1"/>
        </w:rPr>
        <w:t xml:space="preserve">In each program year, DHCD reviews expansion of support funds options to include incentive payments for completion of goals such as retaining employment, removal from TANF or completion of a job-training program.  In FY 2021 </w:t>
      </w:r>
      <w:r w:rsidRPr="00A430CC">
        <w:t>Metro Housing|Boston (the RAA which hosts this program) anticipates serv</w:t>
      </w:r>
      <w:r w:rsidR="009B7F98" w:rsidRPr="00A430CC">
        <w:t>ing 50 households in their FES P</w:t>
      </w:r>
      <w:r w:rsidRPr="00A430CC">
        <w:t xml:space="preserve">rogram in FY 2021. </w:t>
      </w:r>
    </w:p>
    <w:p w14:paraId="52D743A8" w14:textId="77777777" w:rsidR="007A4FF1" w:rsidRPr="00A430CC" w:rsidRDefault="007A4FF1" w:rsidP="007A4FF1">
      <w:pPr>
        <w:pStyle w:val="ListParagraph"/>
        <w:numPr>
          <w:ilvl w:val="0"/>
          <w:numId w:val="0"/>
        </w:numPr>
        <w:autoSpaceDE w:val="0"/>
        <w:autoSpaceDN w:val="0"/>
        <w:adjustRightInd w:val="0"/>
        <w:ind w:left="720"/>
        <w:jc w:val="both"/>
        <w:rPr>
          <w:color w:val="000000"/>
        </w:rPr>
      </w:pPr>
    </w:p>
    <w:p w14:paraId="274B78C5" w14:textId="19007D1E" w:rsidR="007A4FF1" w:rsidRPr="00A430CC" w:rsidRDefault="007A4FF1" w:rsidP="007A4FF1">
      <w:pPr>
        <w:numPr>
          <w:ilvl w:val="0"/>
          <w:numId w:val="6"/>
        </w:numPr>
        <w:jc w:val="both"/>
        <w:rPr>
          <w:color w:val="000000"/>
          <w:sz w:val="22"/>
          <w:szCs w:val="22"/>
        </w:rPr>
      </w:pPr>
      <w:r w:rsidRPr="00A430CC">
        <w:rPr>
          <w:color w:val="000000"/>
          <w:sz w:val="22"/>
          <w:szCs w:val="22"/>
        </w:rPr>
        <w:t xml:space="preserve">Youth Transition to Success Program (YTTSP): </w:t>
      </w:r>
      <w:r w:rsidRPr="00A430CC">
        <w:rPr>
          <w:sz w:val="22"/>
          <w:szCs w:val="22"/>
        </w:rPr>
        <w:t>DHCD initially designed and implemented this time-limited program to provide continued support to and build upon the successes of youth currently participating in its Family Unification - Aging Out of Foster Care Program that are facing the expiration on their subsidy. Since implementati</w:t>
      </w:r>
      <w:r w:rsidR="009B7F98" w:rsidRPr="00A430CC">
        <w:rPr>
          <w:sz w:val="22"/>
          <w:szCs w:val="22"/>
        </w:rPr>
        <w:t>on, DHCD has expanded the YTTS P</w:t>
      </w:r>
      <w:r w:rsidRPr="00A430CC">
        <w:rPr>
          <w:sz w:val="22"/>
          <w:szCs w:val="22"/>
        </w:rPr>
        <w:t xml:space="preserve">rogram and provides housing assistance to youth referred by the Department of Children and Families as well as referrals from other providers who target vulnerable youth. </w:t>
      </w:r>
      <w:r w:rsidRPr="00A430CC">
        <w:rPr>
          <w:color w:val="000000"/>
          <w:sz w:val="22"/>
          <w:szCs w:val="22"/>
        </w:rPr>
        <w:t xml:space="preserve"> Under this activity, DHCD anticipates serving 57 participants in FY 2021. </w:t>
      </w:r>
    </w:p>
    <w:p w14:paraId="1564F742" w14:textId="77777777" w:rsidR="007A4FF1" w:rsidRPr="00A430CC" w:rsidRDefault="007A4FF1" w:rsidP="007A4FF1">
      <w:pPr>
        <w:rPr>
          <w:color w:val="000000"/>
          <w:sz w:val="22"/>
          <w:szCs w:val="22"/>
        </w:rPr>
      </w:pPr>
    </w:p>
    <w:p w14:paraId="5D6E62B6" w14:textId="5153FB14" w:rsidR="007A4FF1" w:rsidRPr="00A430CC" w:rsidRDefault="007A4FF1" w:rsidP="007A4FF1">
      <w:pPr>
        <w:numPr>
          <w:ilvl w:val="0"/>
          <w:numId w:val="6"/>
        </w:numPr>
        <w:jc w:val="both"/>
        <w:rPr>
          <w:color w:val="000000"/>
          <w:sz w:val="22"/>
          <w:szCs w:val="22"/>
        </w:rPr>
      </w:pPr>
      <w:r w:rsidRPr="00A430CC">
        <w:rPr>
          <w:color w:val="000000"/>
          <w:sz w:val="22"/>
          <w:szCs w:val="22"/>
        </w:rPr>
        <w:t xml:space="preserve">Launch: DHCD will continue to dedicate funds to support Launch, a program </w:t>
      </w:r>
      <w:r w:rsidRPr="00A430CC">
        <w:rPr>
          <w:sz w:val="22"/>
          <w:szCs w:val="22"/>
        </w:rPr>
        <w:t>that connects low-income youth living in subsidized housing to programs and services that help them obtain employment and a sustaining wage. Thus fa</w:t>
      </w:r>
      <w:r w:rsidR="009B7F98" w:rsidRPr="00A430CC">
        <w:rPr>
          <w:sz w:val="22"/>
          <w:szCs w:val="22"/>
        </w:rPr>
        <w:t xml:space="preserve">r, through the Launch program, </w:t>
      </w:r>
      <w:r w:rsidRPr="00A430CC">
        <w:rPr>
          <w:sz w:val="22"/>
          <w:szCs w:val="22"/>
        </w:rPr>
        <w:t>211 clients have been served which is more than halfway towards the three-year goal of 360</w:t>
      </w:r>
      <w:r w:rsidR="009B7F98" w:rsidRPr="00A430CC">
        <w:rPr>
          <w:sz w:val="22"/>
          <w:szCs w:val="22"/>
        </w:rPr>
        <w:t xml:space="preserve"> participants. There have been </w:t>
      </w:r>
      <w:r w:rsidRPr="00A430CC">
        <w:rPr>
          <w:sz w:val="22"/>
          <w:szCs w:val="22"/>
        </w:rPr>
        <w:t xml:space="preserve">53 job placements, 37 education placements and 9 participants in financial coaching.  The Launch partnership will continue through FY 2021 and planning will begin for the next phase </w:t>
      </w:r>
      <w:r w:rsidR="009B7F98" w:rsidRPr="00A430CC">
        <w:rPr>
          <w:sz w:val="22"/>
          <w:szCs w:val="22"/>
        </w:rPr>
        <w:t xml:space="preserve">of </w:t>
      </w:r>
      <w:r w:rsidRPr="00A430CC">
        <w:rPr>
          <w:sz w:val="22"/>
          <w:szCs w:val="22"/>
        </w:rPr>
        <w:t xml:space="preserve">support services offered through the Launch program. </w:t>
      </w:r>
    </w:p>
    <w:p w14:paraId="6ECDC1BF" w14:textId="77777777" w:rsidR="007A4FF1" w:rsidRPr="00A430CC" w:rsidRDefault="007A4FF1" w:rsidP="007A4FF1">
      <w:pPr>
        <w:jc w:val="both"/>
        <w:rPr>
          <w:color w:val="000000"/>
          <w:sz w:val="22"/>
          <w:szCs w:val="22"/>
        </w:rPr>
      </w:pPr>
    </w:p>
    <w:p w14:paraId="668EB039" w14:textId="77777777" w:rsidR="007A4FF1" w:rsidRPr="00A430CC" w:rsidRDefault="007A4FF1" w:rsidP="007A4FF1">
      <w:pPr>
        <w:numPr>
          <w:ilvl w:val="0"/>
          <w:numId w:val="2"/>
        </w:numPr>
        <w:tabs>
          <w:tab w:val="clear" w:pos="720"/>
          <w:tab w:val="num" w:pos="360"/>
        </w:tabs>
        <w:jc w:val="both"/>
        <w:rPr>
          <w:color w:val="000000"/>
          <w:sz w:val="22"/>
          <w:szCs w:val="22"/>
        </w:rPr>
      </w:pPr>
      <w:r w:rsidRPr="00A430CC">
        <w:rPr>
          <w:color w:val="000000"/>
          <w:sz w:val="22"/>
          <w:szCs w:val="22"/>
        </w:rPr>
        <w:t xml:space="preserve">Previously approved MTW activities related to the owner incentive fund, expiring use preservation and payment standard exceptions will continue to be implemented. </w:t>
      </w:r>
    </w:p>
    <w:p w14:paraId="0B0B7405" w14:textId="77777777" w:rsidR="007A4FF1" w:rsidRPr="00A430CC" w:rsidRDefault="007A4FF1" w:rsidP="007A4FF1">
      <w:pPr>
        <w:ind w:left="720" w:hanging="360"/>
        <w:jc w:val="both"/>
        <w:rPr>
          <w:color w:val="000000"/>
          <w:sz w:val="22"/>
          <w:szCs w:val="22"/>
        </w:rPr>
      </w:pPr>
    </w:p>
    <w:p w14:paraId="516E9A37" w14:textId="77777777" w:rsidR="007A4FF1" w:rsidRPr="00A430CC" w:rsidRDefault="007A4FF1" w:rsidP="007A4FF1">
      <w:pPr>
        <w:numPr>
          <w:ilvl w:val="0"/>
          <w:numId w:val="2"/>
        </w:numPr>
        <w:tabs>
          <w:tab w:val="clear" w:pos="720"/>
          <w:tab w:val="num" w:pos="360"/>
        </w:tabs>
        <w:jc w:val="both"/>
        <w:rPr>
          <w:color w:val="000000"/>
          <w:sz w:val="22"/>
          <w:szCs w:val="22"/>
        </w:rPr>
      </w:pPr>
      <w:r w:rsidRPr="00A430CC">
        <w:rPr>
          <w:color w:val="000000"/>
          <w:sz w:val="22"/>
          <w:szCs w:val="22"/>
        </w:rPr>
        <w:t>In FY 2021, DHCD will</w:t>
      </w:r>
      <w:r w:rsidRPr="00A430CC">
        <w:rPr>
          <w:sz w:val="22"/>
          <w:szCs w:val="22"/>
        </w:rPr>
        <w:t xml:space="preserve"> utilize Single Fund flexibility to implement a number of initiatives including:</w:t>
      </w:r>
    </w:p>
    <w:p w14:paraId="1B1F04E0" w14:textId="77777777" w:rsidR="007A4FF1" w:rsidRPr="00A430CC" w:rsidRDefault="007A4FF1" w:rsidP="007A4FF1">
      <w:pPr>
        <w:ind w:left="1440"/>
        <w:jc w:val="both"/>
        <w:rPr>
          <w:color w:val="000000"/>
          <w:sz w:val="22"/>
          <w:szCs w:val="22"/>
        </w:rPr>
      </w:pPr>
    </w:p>
    <w:p w14:paraId="100AD780" w14:textId="77777777" w:rsidR="007A4FF1" w:rsidRPr="00A430CC" w:rsidRDefault="007A4FF1" w:rsidP="007A4FF1">
      <w:pPr>
        <w:pStyle w:val="PlainText"/>
        <w:numPr>
          <w:ilvl w:val="0"/>
          <w:numId w:val="32"/>
        </w:numPr>
        <w:ind w:left="1080"/>
        <w:jc w:val="both"/>
        <w:rPr>
          <w:rFonts w:ascii="Times New Roman" w:hAnsi="Times New Roman"/>
        </w:rPr>
      </w:pPr>
      <w:r w:rsidRPr="00A430CC">
        <w:rPr>
          <w:rFonts w:ascii="Times New Roman" w:hAnsi="Times New Roman"/>
          <w:iCs/>
        </w:rPr>
        <w:t xml:space="preserve">Development of a Data Warehouse: DHCD will use up to $150,000, in Single Fund Flexibility, to support the development and implementation of a data warehouse. DHCD is partnering with the Regional Housing Network (RHN), made up of nine regionally based non-profit housing agencies and one regional housing authority, to design an RHN Data Warehouse. The RHN Data Warehouse will pool and house client data for all participating organizations and will allow for the sharing of information. </w:t>
      </w:r>
    </w:p>
    <w:p w14:paraId="0AF9FFFA" w14:textId="77777777" w:rsidR="007A4FF1" w:rsidRPr="00A430CC" w:rsidRDefault="007A4FF1" w:rsidP="007A4FF1">
      <w:pPr>
        <w:pStyle w:val="PlainText"/>
        <w:ind w:left="720"/>
        <w:jc w:val="both"/>
        <w:rPr>
          <w:rFonts w:ascii="Times New Roman" w:hAnsi="Times New Roman"/>
        </w:rPr>
      </w:pPr>
    </w:p>
    <w:p w14:paraId="0E12B54E" w14:textId="02B72A66" w:rsidR="007A4FF1" w:rsidRPr="00A430CC" w:rsidRDefault="007A4FF1" w:rsidP="007A4FF1">
      <w:pPr>
        <w:pStyle w:val="PlainText"/>
        <w:numPr>
          <w:ilvl w:val="0"/>
          <w:numId w:val="32"/>
        </w:numPr>
        <w:ind w:left="1080"/>
        <w:jc w:val="both"/>
        <w:rPr>
          <w:rFonts w:ascii="Times New Roman" w:hAnsi="Times New Roman"/>
        </w:rPr>
      </w:pPr>
      <w:r w:rsidRPr="00A430CC">
        <w:rPr>
          <w:rFonts w:ascii="Times New Roman" w:hAnsi="Times New Roman"/>
        </w:rPr>
        <w:t xml:space="preserve">Program Evaluations: DHCD will use up to $500,000, in Single Fund Flexibility over three years, to fund MTW program evaluations. Specifically, in FY 2021, DHCD will use a third party to perform program evaluations of two of the MTW programs, ABL and Launch. Program evaluators will collect data and information on the participant outcomes as a result of the targeted MTW initiatives and assist DHCD in revising program provisions to better serve participants.  </w:t>
      </w:r>
    </w:p>
    <w:p w14:paraId="2CD3E034" w14:textId="77777777" w:rsidR="007A4FF1" w:rsidRPr="00A430CC" w:rsidRDefault="007A4FF1" w:rsidP="007A4FF1">
      <w:pPr>
        <w:pStyle w:val="ListParagraph"/>
        <w:numPr>
          <w:ilvl w:val="0"/>
          <w:numId w:val="0"/>
        </w:numPr>
        <w:ind w:left="720"/>
      </w:pPr>
    </w:p>
    <w:p w14:paraId="18AD0499" w14:textId="13AC6035" w:rsidR="007A4FF1" w:rsidRPr="00A430CC" w:rsidRDefault="007A4FF1" w:rsidP="007A4FF1">
      <w:pPr>
        <w:pStyle w:val="PlainText"/>
        <w:numPr>
          <w:ilvl w:val="0"/>
          <w:numId w:val="32"/>
        </w:numPr>
        <w:ind w:left="1080"/>
        <w:jc w:val="both"/>
        <w:rPr>
          <w:rFonts w:ascii="Times New Roman" w:hAnsi="Times New Roman"/>
        </w:rPr>
      </w:pPr>
      <w:r w:rsidRPr="00A430CC">
        <w:rPr>
          <w:rFonts w:ascii="Times New Roman" w:hAnsi="Times New Roman"/>
        </w:rPr>
        <w:t xml:space="preserve">Career Navigation Initiative: DHCD will use up to $4.5M over five years in Single Fund Flexibility to support a career navigation initiative for HCV participants. DHCD anticipates that approximately $256,000 will be spent in FY 2021. Specifically the funds will support the cost of Career Navigators (Navigators), currently located at </w:t>
      </w:r>
      <w:r w:rsidR="006072F0" w:rsidRPr="00A430CC">
        <w:rPr>
          <w:rFonts w:ascii="Times New Roman" w:hAnsi="Times New Roman"/>
        </w:rPr>
        <w:t>Career Centers across the state</w:t>
      </w:r>
      <w:r w:rsidRPr="00A430CC">
        <w:rPr>
          <w:rFonts w:ascii="Times New Roman" w:hAnsi="Times New Roman"/>
        </w:rPr>
        <w:t xml:space="preserve">. Given the Career Centers’ specialized expertise in career navigation/job development and strong employer relationships, they are best suited to support HCV participants in this aspect of self-sufficiency development.  Additionally, funds will support the development resources, such as regional employment maps. </w:t>
      </w:r>
    </w:p>
    <w:p w14:paraId="42C2BE87" w14:textId="77777777" w:rsidR="007A4FF1" w:rsidRPr="00A430CC" w:rsidRDefault="007A4FF1" w:rsidP="007A4FF1">
      <w:pPr>
        <w:pStyle w:val="PlainText"/>
        <w:ind w:left="1080"/>
        <w:jc w:val="both"/>
        <w:rPr>
          <w:rFonts w:ascii="Times New Roman" w:hAnsi="Times New Roman"/>
        </w:rPr>
      </w:pPr>
    </w:p>
    <w:p w14:paraId="4096138F" w14:textId="77777777" w:rsidR="007A4FF1" w:rsidRPr="00A430CC" w:rsidRDefault="007A4FF1" w:rsidP="007A4FF1">
      <w:pPr>
        <w:pStyle w:val="PlainText"/>
        <w:numPr>
          <w:ilvl w:val="0"/>
          <w:numId w:val="32"/>
        </w:numPr>
        <w:ind w:left="1080"/>
        <w:jc w:val="both"/>
        <w:rPr>
          <w:rFonts w:ascii="Times New Roman" w:hAnsi="Times New Roman"/>
        </w:rPr>
      </w:pPr>
      <w:r w:rsidRPr="00A430CC">
        <w:rPr>
          <w:rFonts w:ascii="Times New Roman" w:hAnsi="Times New Roman"/>
          <w:iCs/>
        </w:rPr>
        <w:t xml:space="preserve">Prosperity Coordinator: DHCD plans to utilize approximately $150,000 to fund an Economic Prosperity Coordinator (EPC). The EPC will be responsible for planning, implementation and oversight of all MTW programs that support economic prosperity.  </w:t>
      </w:r>
    </w:p>
    <w:p w14:paraId="587934B5" w14:textId="77777777" w:rsidR="007A4FF1" w:rsidRPr="00A430CC" w:rsidRDefault="007A4FF1" w:rsidP="007A4FF1">
      <w:pPr>
        <w:pStyle w:val="PlainText"/>
        <w:ind w:left="1080"/>
        <w:jc w:val="both"/>
        <w:rPr>
          <w:rFonts w:ascii="Times New Roman" w:hAnsi="Times New Roman"/>
        </w:rPr>
      </w:pPr>
    </w:p>
    <w:p w14:paraId="3CE7E2D7" w14:textId="77777777" w:rsidR="007A4FF1" w:rsidRPr="00A430CC" w:rsidRDefault="007A4FF1" w:rsidP="007A4FF1">
      <w:pPr>
        <w:pStyle w:val="PlainText"/>
        <w:numPr>
          <w:ilvl w:val="0"/>
          <w:numId w:val="32"/>
        </w:numPr>
        <w:ind w:left="1080"/>
        <w:jc w:val="both"/>
        <w:rPr>
          <w:rFonts w:ascii="Times New Roman" w:hAnsi="Times New Roman"/>
        </w:rPr>
      </w:pPr>
      <w:r w:rsidRPr="00A430CC">
        <w:rPr>
          <w:rFonts w:ascii="Times New Roman" w:hAnsi="Times New Roman"/>
        </w:rPr>
        <w:t xml:space="preserve">Education Partnership: DHCD will use up to $2M in single fund flexibility on educational activities that target youth members of DHCD voucher households. </w:t>
      </w:r>
      <w:r w:rsidRPr="00A430CC">
        <w:rPr>
          <w:rFonts w:ascii="Times New Roman" w:hAnsi="Times New Roman"/>
          <w:color w:val="000000"/>
        </w:rPr>
        <w:t xml:space="preserve">The purpose of this education initiative is to provide younger students with the support needed to ensure positive educational outcomes and to provide family members who may be of high school age or older with greater exposure to career and post-graduation educational options. Support and educational activities will be tailored to the participant based on need and age. </w:t>
      </w:r>
    </w:p>
    <w:p w14:paraId="26F618D7" w14:textId="77777777" w:rsidR="007A4FF1" w:rsidRPr="00A430CC" w:rsidRDefault="007A4FF1" w:rsidP="007A4FF1">
      <w:pPr>
        <w:pStyle w:val="ListParagraph"/>
        <w:numPr>
          <w:ilvl w:val="0"/>
          <w:numId w:val="0"/>
        </w:numPr>
        <w:ind w:left="720"/>
        <w:rPr>
          <w:color w:val="000000"/>
        </w:rPr>
      </w:pPr>
    </w:p>
    <w:p w14:paraId="5BCA4A7A" w14:textId="75B3AB79" w:rsidR="006072F0" w:rsidRPr="00A430CC" w:rsidRDefault="007A4FF1" w:rsidP="006072F0">
      <w:pPr>
        <w:pStyle w:val="PlainText"/>
        <w:numPr>
          <w:ilvl w:val="0"/>
          <w:numId w:val="32"/>
        </w:numPr>
        <w:ind w:left="1080"/>
        <w:jc w:val="both"/>
        <w:rPr>
          <w:rFonts w:ascii="Times New Roman" w:hAnsi="Times New Roman"/>
        </w:rPr>
      </w:pPr>
      <w:r w:rsidRPr="00A430CC">
        <w:rPr>
          <w:rFonts w:ascii="Times New Roman" w:hAnsi="Times New Roman"/>
          <w:color w:val="000000"/>
        </w:rPr>
        <w:t>Other Supportive Services: DHCD will use approximately $726,000 in MTW funds on activities to support a wide range of supportive services for DHCD program participants including: expansion of FSS programming, job training and placement; educational partnership initiatives; affordable homeownership programs and other economic development and self-sufficiency program activities.</w:t>
      </w:r>
      <w:r w:rsidR="006072F0" w:rsidRPr="00A430CC">
        <w:rPr>
          <w:rFonts w:ascii="Times New Roman" w:hAnsi="Times New Roman"/>
          <w:color w:val="000000"/>
        </w:rPr>
        <w:t xml:space="preserve"> </w:t>
      </w:r>
      <w:r w:rsidRPr="00A430CC">
        <w:rPr>
          <w:rFonts w:ascii="Times New Roman" w:hAnsi="Times New Roman"/>
        </w:rPr>
        <w:t xml:space="preserve">In 2021 DHCD will work with the Massachusetts Department of Treasury to develop ways to support the Massachusetts Baby Steps Program, a child education savings account for all newborns and adopted children.  This support could include assisting with </w:t>
      </w:r>
      <w:r w:rsidR="006072F0" w:rsidRPr="00A430CC">
        <w:rPr>
          <w:rFonts w:ascii="Times New Roman" w:hAnsi="Times New Roman"/>
        </w:rPr>
        <w:t>promoting the program, assisting HCV families with the account opening process and possibly providing matching funds.</w:t>
      </w:r>
    </w:p>
    <w:p w14:paraId="0806062E" w14:textId="77777777" w:rsidR="007A4FF1" w:rsidRPr="00A430CC" w:rsidRDefault="007A4FF1" w:rsidP="007A4FF1">
      <w:pPr>
        <w:jc w:val="both"/>
        <w:rPr>
          <w:color w:val="000000"/>
          <w:sz w:val="22"/>
          <w:szCs w:val="22"/>
        </w:rPr>
      </w:pPr>
    </w:p>
    <w:p w14:paraId="6A27B6E6" w14:textId="77777777" w:rsidR="007A4FF1" w:rsidRPr="00A745AA" w:rsidRDefault="007A4FF1" w:rsidP="007A4FF1">
      <w:pPr>
        <w:jc w:val="both"/>
        <w:rPr>
          <w:color w:val="000000"/>
          <w:sz w:val="22"/>
          <w:szCs w:val="22"/>
        </w:rPr>
      </w:pPr>
      <w:r w:rsidRPr="00A430CC">
        <w:rPr>
          <w:color w:val="000000"/>
          <w:sz w:val="22"/>
          <w:szCs w:val="22"/>
        </w:rPr>
        <w:t>In FY 2021, DHCD will continue to explore new initiatives that will further the MTW statutory objectives and DHCD’s long-term MTW goals. DHCD is committed to reviewing and exploring activities to support self-sufficiency, administrative efficiency and housing choice. DHCD will work with RAAs to develop and implement MTW activities in its efforts to improve customer service for applicants, program participants and property owners.</w:t>
      </w:r>
      <w:r>
        <w:rPr>
          <w:color w:val="000000"/>
          <w:sz w:val="22"/>
          <w:szCs w:val="22"/>
        </w:rPr>
        <w:t xml:space="preserve"> </w:t>
      </w:r>
    </w:p>
    <w:p w14:paraId="6A1D130B" w14:textId="77777777" w:rsidR="00220F02" w:rsidRPr="000602E0" w:rsidRDefault="00220F02" w:rsidP="00220F02">
      <w:pPr>
        <w:rPr>
          <w:color w:val="000000"/>
        </w:rPr>
      </w:pPr>
    </w:p>
    <w:p w14:paraId="78707046" w14:textId="77777777" w:rsidR="00220F02" w:rsidRPr="0004176C" w:rsidRDefault="00220F02" w:rsidP="001F2A56">
      <w:pPr>
        <w:pStyle w:val="Heading2"/>
      </w:pPr>
      <w:bookmarkStart w:id="4" w:name="_Toc523404056"/>
      <w:bookmarkStart w:id="5" w:name="_Toc33016913"/>
      <w:r w:rsidRPr="0004176C">
        <w:t>Overview of Long Term Goals</w:t>
      </w:r>
      <w:bookmarkEnd w:id="4"/>
      <w:bookmarkEnd w:id="5"/>
    </w:p>
    <w:p w14:paraId="0C90211F" w14:textId="77777777" w:rsidR="00220F02" w:rsidRPr="008676E2" w:rsidRDefault="00220F02" w:rsidP="00220F02">
      <w:pPr>
        <w:rPr>
          <w:highlight w:val="yellow"/>
        </w:rPr>
      </w:pPr>
    </w:p>
    <w:p w14:paraId="464CDE46" w14:textId="77777777" w:rsidR="00852109" w:rsidRPr="002262EF" w:rsidRDefault="00852109" w:rsidP="00852109">
      <w:pPr>
        <w:jc w:val="both"/>
        <w:rPr>
          <w:sz w:val="22"/>
          <w:szCs w:val="22"/>
        </w:rPr>
      </w:pPr>
      <w:bookmarkStart w:id="6" w:name="_Toc415115896"/>
      <w:bookmarkEnd w:id="1"/>
      <w:r w:rsidRPr="002262EF">
        <w:rPr>
          <w:sz w:val="22"/>
          <w:szCs w:val="22"/>
        </w:rPr>
        <w:t xml:space="preserve">DHCD’s participation in the MTW program supports a wide range of positive housing and supportive service outcomes for thousands of participating low-income households, including families with children, seniors and people with disabilities.  The programmatic flexibility afforded by MTW continues to be an important component of the Commonwealth’s overall housing strategy. The extension of the MTW Agreement until 2028 will ensure continuity of this valuable set of program tools and resources.  </w:t>
      </w:r>
    </w:p>
    <w:p w14:paraId="0DF7ED50" w14:textId="77777777" w:rsidR="00852109" w:rsidRPr="002262EF" w:rsidRDefault="00852109" w:rsidP="00852109">
      <w:pPr>
        <w:jc w:val="both"/>
        <w:rPr>
          <w:sz w:val="22"/>
          <w:szCs w:val="22"/>
        </w:rPr>
      </w:pPr>
    </w:p>
    <w:p w14:paraId="7B57CD48" w14:textId="77777777" w:rsidR="00852109" w:rsidRPr="002262EF" w:rsidRDefault="00852109" w:rsidP="00852109">
      <w:pPr>
        <w:jc w:val="both"/>
        <w:rPr>
          <w:sz w:val="22"/>
          <w:szCs w:val="22"/>
        </w:rPr>
      </w:pPr>
      <w:r w:rsidRPr="002262EF">
        <w:rPr>
          <w:sz w:val="22"/>
          <w:szCs w:val="22"/>
        </w:rPr>
        <w:t>DHCD’s long-term MTW strategy is designed to demonstrate that: 1) Housing stabilization can provide low-income households with a foundation for achieving economic self-sufficiency; and, 2) Administrative costs savings can be redirected to provide meaningful assistance to additional program participants and owners. DHCD believes that affordable housing can provide the foundation that allows low-income households to enter the economic mainstream and access good jobs and education. Maximizing the value of limited federal program dollars to help families achieve important economic goals, enabling them to move on so that program dollars can help serve additional families is a key goal.</w:t>
      </w:r>
    </w:p>
    <w:p w14:paraId="726B3E56" w14:textId="77777777" w:rsidR="00852109" w:rsidRPr="002262EF" w:rsidRDefault="00852109" w:rsidP="00852109">
      <w:pPr>
        <w:jc w:val="both"/>
        <w:rPr>
          <w:sz w:val="22"/>
          <w:szCs w:val="22"/>
        </w:rPr>
      </w:pPr>
    </w:p>
    <w:p w14:paraId="17435AC3" w14:textId="77777777" w:rsidR="00852109" w:rsidRPr="002262EF" w:rsidRDefault="00852109" w:rsidP="00852109">
      <w:pPr>
        <w:jc w:val="both"/>
        <w:rPr>
          <w:sz w:val="22"/>
          <w:szCs w:val="22"/>
        </w:rPr>
      </w:pPr>
      <w:r w:rsidRPr="002262EF">
        <w:rPr>
          <w:sz w:val="22"/>
          <w:szCs w:val="22"/>
        </w:rPr>
        <w:t>Additional principles that continue to guide DHCD’s MTW strategy include:</w:t>
      </w:r>
    </w:p>
    <w:p w14:paraId="0DFDA583" w14:textId="77777777" w:rsidR="00852109" w:rsidRPr="002262EF" w:rsidRDefault="00852109" w:rsidP="00852109">
      <w:pPr>
        <w:tabs>
          <w:tab w:val="left" w:pos="8041"/>
        </w:tabs>
        <w:jc w:val="both"/>
        <w:rPr>
          <w:sz w:val="22"/>
          <w:szCs w:val="22"/>
        </w:rPr>
      </w:pPr>
      <w:r w:rsidRPr="002262EF">
        <w:rPr>
          <w:sz w:val="22"/>
          <w:szCs w:val="22"/>
        </w:rPr>
        <w:tab/>
      </w:r>
    </w:p>
    <w:p w14:paraId="56C34EAE" w14:textId="77777777" w:rsidR="00852109" w:rsidRPr="002262EF" w:rsidRDefault="00852109" w:rsidP="00852109">
      <w:pPr>
        <w:numPr>
          <w:ilvl w:val="0"/>
          <w:numId w:val="8"/>
        </w:numPr>
        <w:jc w:val="both"/>
        <w:rPr>
          <w:sz w:val="22"/>
          <w:szCs w:val="22"/>
        </w:rPr>
      </w:pPr>
      <w:r w:rsidRPr="002262EF">
        <w:rPr>
          <w:sz w:val="22"/>
          <w:szCs w:val="22"/>
        </w:rPr>
        <w:t>MTW activities must relate to one or more of the three statutory objectives, i.e. reducing cost and/or promoting administrative efficiency, increasing housing choice, and supporting families in achieving economic self-sufficiency.</w:t>
      </w:r>
    </w:p>
    <w:p w14:paraId="1DAE5CFA" w14:textId="77777777" w:rsidR="00852109" w:rsidRPr="002262EF" w:rsidRDefault="00852109" w:rsidP="00852109">
      <w:pPr>
        <w:ind w:firstLine="60"/>
        <w:jc w:val="both"/>
        <w:rPr>
          <w:sz w:val="22"/>
          <w:szCs w:val="22"/>
        </w:rPr>
      </w:pPr>
    </w:p>
    <w:p w14:paraId="4531AEA6" w14:textId="77777777" w:rsidR="00852109" w:rsidRPr="002262EF" w:rsidRDefault="00852109" w:rsidP="00852109">
      <w:pPr>
        <w:numPr>
          <w:ilvl w:val="0"/>
          <w:numId w:val="8"/>
        </w:numPr>
        <w:jc w:val="both"/>
        <w:rPr>
          <w:sz w:val="22"/>
          <w:szCs w:val="22"/>
        </w:rPr>
      </w:pPr>
      <w:r w:rsidRPr="002262EF">
        <w:rPr>
          <w:sz w:val="22"/>
          <w:szCs w:val="22"/>
        </w:rPr>
        <w:t>MTW flexibility will be utilized to promote tighter linkages and synergy between the HCV Program and other related Commonwealth programs and policy goals such as preventing or reducing homelessness; supporting self-sufficiency and economic independence initiatives; preserving and expanding state-assisted public housing and project-based affordable housing; supporting those who have one or more disabilities; and stabilizing neighborhoods. DHCD will also consider the goals of the MTW Annual Plan in the context of the Consolidated Plan and as a resource and tool to Affi</w:t>
      </w:r>
      <w:r>
        <w:rPr>
          <w:sz w:val="22"/>
          <w:szCs w:val="22"/>
        </w:rPr>
        <w:t>rmatively Further Fair Housing o</w:t>
      </w:r>
      <w:r w:rsidRPr="002262EF">
        <w:rPr>
          <w:sz w:val="22"/>
          <w:szCs w:val="22"/>
        </w:rPr>
        <w:t xml:space="preserve">pportunities.   </w:t>
      </w:r>
    </w:p>
    <w:p w14:paraId="1E05E941" w14:textId="77777777" w:rsidR="00852109" w:rsidRPr="002262EF" w:rsidRDefault="00852109" w:rsidP="00852109">
      <w:pPr>
        <w:jc w:val="both"/>
        <w:rPr>
          <w:sz w:val="22"/>
          <w:szCs w:val="22"/>
        </w:rPr>
      </w:pPr>
    </w:p>
    <w:p w14:paraId="63D21902" w14:textId="77777777" w:rsidR="00852109" w:rsidRPr="002262EF" w:rsidRDefault="00852109" w:rsidP="00852109">
      <w:pPr>
        <w:numPr>
          <w:ilvl w:val="0"/>
          <w:numId w:val="8"/>
        </w:numPr>
        <w:jc w:val="both"/>
        <w:rPr>
          <w:sz w:val="22"/>
          <w:szCs w:val="22"/>
        </w:rPr>
      </w:pPr>
      <w:r w:rsidRPr="002262EF">
        <w:rPr>
          <w:sz w:val="22"/>
          <w:szCs w:val="22"/>
        </w:rPr>
        <w:t>By identifying and addressing administrative efficiency opportunities, MTW flexibility will be used wherever feasible to increase the number of extremely and very low-income households served and the overall quality of leased housing units.</w:t>
      </w:r>
    </w:p>
    <w:p w14:paraId="0E165CFD" w14:textId="77777777" w:rsidR="00852109" w:rsidRPr="002262EF" w:rsidRDefault="00852109" w:rsidP="00852109">
      <w:pPr>
        <w:jc w:val="both"/>
        <w:rPr>
          <w:sz w:val="22"/>
          <w:szCs w:val="22"/>
        </w:rPr>
      </w:pPr>
    </w:p>
    <w:p w14:paraId="0AFA01AC" w14:textId="77777777" w:rsidR="00852109" w:rsidRPr="002262EF" w:rsidRDefault="00852109" w:rsidP="00852109">
      <w:pPr>
        <w:numPr>
          <w:ilvl w:val="0"/>
          <w:numId w:val="8"/>
        </w:numPr>
        <w:jc w:val="both"/>
        <w:rPr>
          <w:sz w:val="22"/>
          <w:szCs w:val="22"/>
        </w:rPr>
      </w:pPr>
      <w:r w:rsidRPr="002262EF">
        <w:rPr>
          <w:sz w:val="22"/>
          <w:szCs w:val="22"/>
        </w:rPr>
        <w:t>MTW program initiatives will respond to differences among regional and local housing markets.</w:t>
      </w:r>
    </w:p>
    <w:p w14:paraId="341ED9F5" w14:textId="77777777" w:rsidR="00852109" w:rsidRPr="002262EF" w:rsidRDefault="00852109" w:rsidP="00852109">
      <w:pPr>
        <w:jc w:val="both"/>
        <w:rPr>
          <w:sz w:val="22"/>
          <w:szCs w:val="22"/>
        </w:rPr>
      </w:pPr>
    </w:p>
    <w:p w14:paraId="1E9C67DE" w14:textId="77777777" w:rsidR="00852109" w:rsidRPr="002262EF" w:rsidRDefault="00852109" w:rsidP="00852109">
      <w:pPr>
        <w:jc w:val="both"/>
        <w:rPr>
          <w:sz w:val="22"/>
          <w:szCs w:val="22"/>
        </w:rPr>
      </w:pPr>
      <w:r w:rsidRPr="002262EF">
        <w:rPr>
          <w:sz w:val="22"/>
          <w:szCs w:val="22"/>
        </w:rPr>
        <w:t>DHCD is committed to continuing to provide opportunities for broad-based input from its RAA contractors, program participants, housing advocates and other stakeholders to inform the design of DHCD’s MTW initiatives.</w:t>
      </w:r>
    </w:p>
    <w:p w14:paraId="1334A770" w14:textId="77777777" w:rsidR="00324D44" w:rsidRDefault="00324D44" w:rsidP="00AA5A80">
      <w:pPr>
        <w:pStyle w:val="Heading1"/>
        <w:numPr>
          <w:ilvl w:val="0"/>
          <w:numId w:val="28"/>
        </w:numPr>
        <w:pBdr>
          <w:bottom w:val="single" w:sz="4" w:space="1" w:color="auto"/>
        </w:pBdr>
        <w:ind w:left="360"/>
        <w:rPr>
          <w:rFonts w:ascii="Times New Roman" w:hAnsi="Times New Roman"/>
          <w:sz w:val="36"/>
          <w:szCs w:val="36"/>
        </w:rPr>
        <w:sectPr w:rsidR="00324D44" w:rsidSect="00537872">
          <w:footerReference w:type="default" r:id="rId12"/>
          <w:pgSz w:w="12240" w:h="15840" w:code="1"/>
          <w:pgMar w:top="1440" w:right="1440" w:bottom="1152" w:left="1440" w:header="720" w:footer="720" w:gutter="0"/>
          <w:pgNumType w:start="1"/>
          <w:cols w:space="720"/>
          <w:docGrid w:linePitch="360"/>
        </w:sectPr>
      </w:pPr>
    </w:p>
    <w:p w14:paraId="786ECDEC" w14:textId="41311663" w:rsidR="00111F4B" w:rsidRPr="00E94B9C" w:rsidRDefault="00111F4B" w:rsidP="00AA5A80">
      <w:pPr>
        <w:pStyle w:val="Heading1"/>
        <w:numPr>
          <w:ilvl w:val="0"/>
          <w:numId w:val="28"/>
        </w:numPr>
        <w:pBdr>
          <w:bottom w:val="single" w:sz="4" w:space="1" w:color="auto"/>
        </w:pBdr>
        <w:ind w:left="360"/>
        <w:rPr>
          <w:rFonts w:ascii="Times New Roman" w:hAnsi="Times New Roman"/>
          <w:szCs w:val="28"/>
        </w:rPr>
      </w:pPr>
      <w:bookmarkStart w:id="7" w:name="_Toc33016914"/>
      <w:r w:rsidRPr="00220F02">
        <w:rPr>
          <w:rFonts w:ascii="Times New Roman" w:hAnsi="Times New Roman"/>
          <w:sz w:val="36"/>
          <w:szCs w:val="36"/>
        </w:rPr>
        <w:t>General</w:t>
      </w:r>
      <w:r w:rsidR="00220F02" w:rsidRPr="00220F02">
        <w:rPr>
          <w:rFonts w:ascii="Times New Roman" w:hAnsi="Times New Roman"/>
          <w:sz w:val="36"/>
          <w:szCs w:val="36"/>
        </w:rPr>
        <w:t xml:space="preserve"> </w:t>
      </w:r>
      <w:r w:rsidRPr="00220F02">
        <w:rPr>
          <w:rFonts w:ascii="Times New Roman" w:hAnsi="Times New Roman"/>
          <w:sz w:val="36"/>
          <w:szCs w:val="36"/>
        </w:rPr>
        <w:t>Operating Information</w:t>
      </w:r>
      <w:bookmarkEnd w:id="6"/>
      <w:bookmarkEnd w:id="7"/>
    </w:p>
    <w:p w14:paraId="4DDED25E" w14:textId="77777777" w:rsidR="0016151B" w:rsidRPr="00E94B9C" w:rsidRDefault="0016151B" w:rsidP="000020A5">
      <w:pPr>
        <w:rPr>
          <w:color w:val="000000"/>
        </w:rPr>
      </w:pPr>
    </w:p>
    <w:p w14:paraId="78392EE5" w14:textId="77777777" w:rsidR="0016151B" w:rsidRPr="0004176C" w:rsidRDefault="0016151B" w:rsidP="00AA5A80">
      <w:pPr>
        <w:pStyle w:val="Heading2"/>
        <w:numPr>
          <w:ilvl w:val="0"/>
          <w:numId w:val="26"/>
        </w:numPr>
      </w:pPr>
      <w:bookmarkStart w:id="8" w:name="_Toc415115897"/>
      <w:bookmarkStart w:id="9" w:name="_Toc33016915"/>
      <w:r w:rsidRPr="0004176C">
        <w:t>Housing Stock</w:t>
      </w:r>
      <w:r w:rsidR="00111F4B" w:rsidRPr="0004176C">
        <w:t xml:space="preserve"> Information</w:t>
      </w:r>
      <w:bookmarkEnd w:id="8"/>
      <w:bookmarkEnd w:id="9"/>
    </w:p>
    <w:p w14:paraId="44C903B9" w14:textId="77777777" w:rsidR="00A9486B" w:rsidRPr="0004176C" w:rsidRDefault="00A9486B" w:rsidP="00A9486B">
      <w:pPr>
        <w:jc w:val="both"/>
        <w:rPr>
          <w:sz w:val="22"/>
          <w:szCs w:val="22"/>
        </w:rPr>
      </w:pPr>
    </w:p>
    <w:p w14:paraId="6EA0A5D9" w14:textId="654B55FB" w:rsidR="00A9486B" w:rsidRPr="0004176C" w:rsidRDefault="00A9486B" w:rsidP="00A9486B">
      <w:pPr>
        <w:jc w:val="both"/>
        <w:rPr>
          <w:sz w:val="22"/>
          <w:szCs w:val="22"/>
        </w:rPr>
      </w:pPr>
      <w:r w:rsidRPr="0004176C">
        <w:rPr>
          <w:sz w:val="22"/>
          <w:szCs w:val="22"/>
        </w:rPr>
        <w:t>Through it</w:t>
      </w:r>
      <w:r w:rsidR="006072F0" w:rsidRPr="0004176C">
        <w:rPr>
          <w:sz w:val="22"/>
          <w:szCs w:val="22"/>
        </w:rPr>
        <w:t>s Housing Choice Voucher (HCV) P</w:t>
      </w:r>
      <w:r w:rsidRPr="0004176C">
        <w:rPr>
          <w:sz w:val="22"/>
          <w:szCs w:val="22"/>
        </w:rPr>
        <w:t xml:space="preserve">rogram, DHCD provides rental assistance to families, seniors and persons with disabilities at properties owned by private or non-profit owners. DHCD partners with a wide array of mission-driven, non-profit and for profit organizations to provide quality housing opportunities. </w:t>
      </w:r>
    </w:p>
    <w:p w14:paraId="24076747" w14:textId="77777777" w:rsidR="002E6F05" w:rsidRPr="0004176C" w:rsidRDefault="002E6F05" w:rsidP="00111F4B">
      <w:pPr>
        <w:rPr>
          <w:sz w:val="22"/>
          <w:szCs w:val="22"/>
        </w:rPr>
      </w:pPr>
    </w:p>
    <w:p w14:paraId="4B11C291" w14:textId="77777777" w:rsidR="00A9486B" w:rsidRPr="0004176C" w:rsidRDefault="00A9486B" w:rsidP="00AA5A80">
      <w:pPr>
        <w:pStyle w:val="ListParagraph"/>
        <w:numPr>
          <w:ilvl w:val="0"/>
          <w:numId w:val="29"/>
        </w:numPr>
        <w:rPr>
          <w:b/>
          <w:i/>
        </w:rPr>
      </w:pPr>
      <w:bookmarkStart w:id="10" w:name="_Toc528576622"/>
      <w:r w:rsidRPr="0004176C">
        <w:rPr>
          <w:b/>
          <w:i/>
        </w:rPr>
        <w:t>Planned New Public Housing Units</w:t>
      </w:r>
      <w:bookmarkEnd w:id="10"/>
    </w:p>
    <w:p w14:paraId="0362223A" w14:textId="77777777" w:rsidR="00A9486B" w:rsidRPr="0004176C" w:rsidRDefault="00A9486B" w:rsidP="00A9486B">
      <w:pPr>
        <w:pStyle w:val="ListParagraph"/>
        <w:numPr>
          <w:ilvl w:val="0"/>
          <w:numId w:val="0"/>
        </w:numPr>
        <w:ind w:left="1080"/>
        <w:jc w:val="both"/>
      </w:pPr>
    </w:p>
    <w:p w14:paraId="66C7AD9C" w14:textId="53DBECB2" w:rsidR="00A9486B" w:rsidRPr="0004176C" w:rsidRDefault="00A9486B" w:rsidP="00A9486B">
      <w:pPr>
        <w:pStyle w:val="ListParagraph"/>
        <w:numPr>
          <w:ilvl w:val="0"/>
          <w:numId w:val="0"/>
        </w:numPr>
        <w:jc w:val="both"/>
      </w:pPr>
      <w:r w:rsidRPr="0004176C">
        <w:t xml:space="preserve">DHCD </w:t>
      </w:r>
      <w:r w:rsidR="005827CB" w:rsidRPr="0004176C">
        <w:t>does not administer a federal public housing program.</w:t>
      </w:r>
    </w:p>
    <w:p w14:paraId="691E1717" w14:textId="77777777" w:rsidR="00220F02" w:rsidRPr="0004176C" w:rsidRDefault="00220F02" w:rsidP="00A9486B">
      <w:pPr>
        <w:pStyle w:val="ListParagraph"/>
        <w:numPr>
          <w:ilvl w:val="0"/>
          <w:numId w:val="0"/>
        </w:numPr>
        <w:jc w:val="both"/>
      </w:pPr>
    </w:p>
    <w:p w14:paraId="3D45562C" w14:textId="391A5FAE" w:rsidR="00220F02" w:rsidRPr="0004176C" w:rsidRDefault="00220F02" w:rsidP="00424525">
      <w:pPr>
        <w:pStyle w:val="Heading4"/>
        <w:numPr>
          <w:ilvl w:val="0"/>
          <w:numId w:val="0"/>
        </w:numPr>
        <w:jc w:val="center"/>
        <w:rPr>
          <w:sz w:val="20"/>
        </w:rPr>
      </w:pPr>
      <w:bookmarkStart w:id="11" w:name="_Toc497490794"/>
      <w:bookmarkStart w:id="12" w:name="_Toc526778289"/>
      <w:bookmarkStart w:id="13" w:name="_Toc526778681"/>
      <w:bookmarkStart w:id="14" w:name="_Toc526778747"/>
      <w:bookmarkStart w:id="15" w:name="_Toc531163897"/>
      <w:bookmarkStart w:id="16" w:name="_Toc33016916"/>
      <w:r w:rsidRPr="0004176C">
        <w:rPr>
          <w:sz w:val="20"/>
        </w:rPr>
        <w:t xml:space="preserve">Table 1: Planned New Public Housing Units in </w:t>
      </w:r>
      <w:bookmarkEnd w:id="11"/>
      <w:bookmarkEnd w:id="12"/>
      <w:bookmarkEnd w:id="13"/>
      <w:bookmarkEnd w:id="14"/>
      <w:bookmarkEnd w:id="15"/>
      <w:r w:rsidR="006D6331" w:rsidRPr="0004176C">
        <w:rPr>
          <w:sz w:val="20"/>
        </w:rPr>
        <w:t>FY 2021</w:t>
      </w:r>
      <w:bookmarkEnd w:id="16"/>
    </w:p>
    <w:p w14:paraId="2807BA3D" w14:textId="77777777" w:rsidR="00220F02" w:rsidRPr="0004176C" w:rsidRDefault="00220F02" w:rsidP="00220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507"/>
        <w:gridCol w:w="340"/>
        <w:gridCol w:w="340"/>
        <w:gridCol w:w="340"/>
        <w:gridCol w:w="340"/>
        <w:gridCol w:w="462"/>
        <w:gridCol w:w="990"/>
        <w:gridCol w:w="1517"/>
        <w:gridCol w:w="1405"/>
        <w:gridCol w:w="1106"/>
      </w:tblGrid>
      <w:tr w:rsidR="00220F02" w:rsidRPr="0004176C" w14:paraId="2451F953" w14:textId="77777777" w:rsidTr="003C3D04">
        <w:trPr>
          <w:trHeight w:val="267"/>
        </w:trPr>
        <w:tc>
          <w:tcPr>
            <w:tcW w:w="0" w:type="auto"/>
            <w:vMerge w:val="restart"/>
            <w:shd w:val="clear" w:color="auto" w:fill="BFBFBF"/>
          </w:tcPr>
          <w:p w14:paraId="4B809159" w14:textId="77777777" w:rsidR="00220F02" w:rsidRPr="0004176C" w:rsidRDefault="00220F02" w:rsidP="002F0EF5">
            <w:pPr>
              <w:rPr>
                <w:b/>
                <w:sz w:val="20"/>
                <w:szCs w:val="20"/>
              </w:rPr>
            </w:pPr>
            <w:r w:rsidRPr="0004176C">
              <w:rPr>
                <w:b/>
                <w:sz w:val="20"/>
                <w:szCs w:val="20"/>
              </w:rPr>
              <w:t>AMP Name and Number</w:t>
            </w:r>
          </w:p>
        </w:tc>
        <w:tc>
          <w:tcPr>
            <w:tcW w:w="0" w:type="auto"/>
            <w:gridSpan w:val="6"/>
            <w:vMerge w:val="restart"/>
            <w:shd w:val="clear" w:color="auto" w:fill="BFBFBF"/>
          </w:tcPr>
          <w:p w14:paraId="1E54DF59" w14:textId="77777777" w:rsidR="00220F02" w:rsidRPr="0004176C" w:rsidRDefault="00220F02" w:rsidP="003C3D04">
            <w:pPr>
              <w:jc w:val="center"/>
              <w:rPr>
                <w:b/>
                <w:sz w:val="20"/>
                <w:szCs w:val="20"/>
              </w:rPr>
            </w:pPr>
            <w:r w:rsidRPr="0004176C">
              <w:rPr>
                <w:b/>
                <w:sz w:val="20"/>
                <w:szCs w:val="20"/>
              </w:rPr>
              <w:t>Bedroom Size</w:t>
            </w:r>
          </w:p>
        </w:tc>
        <w:tc>
          <w:tcPr>
            <w:tcW w:w="0" w:type="auto"/>
            <w:vMerge w:val="restart"/>
            <w:shd w:val="clear" w:color="auto" w:fill="BFBFBF"/>
          </w:tcPr>
          <w:p w14:paraId="39090EE8" w14:textId="77777777" w:rsidR="00220F02" w:rsidRPr="0004176C" w:rsidRDefault="00220F02" w:rsidP="003C3D04">
            <w:pPr>
              <w:jc w:val="center"/>
              <w:rPr>
                <w:b/>
                <w:sz w:val="20"/>
                <w:szCs w:val="20"/>
              </w:rPr>
            </w:pPr>
            <w:r w:rsidRPr="0004176C">
              <w:rPr>
                <w:b/>
                <w:sz w:val="20"/>
                <w:szCs w:val="20"/>
              </w:rPr>
              <w:t>Total Units</w:t>
            </w:r>
          </w:p>
        </w:tc>
        <w:tc>
          <w:tcPr>
            <w:tcW w:w="0" w:type="auto"/>
            <w:vMerge w:val="restart"/>
            <w:shd w:val="clear" w:color="auto" w:fill="BFBFBF" w:themeFill="background1" w:themeFillShade="BF"/>
          </w:tcPr>
          <w:p w14:paraId="2B8DAF40" w14:textId="77777777" w:rsidR="00220F02" w:rsidRPr="0004176C" w:rsidRDefault="00220F02" w:rsidP="003C3D04">
            <w:pPr>
              <w:jc w:val="center"/>
              <w:rPr>
                <w:b/>
                <w:sz w:val="20"/>
                <w:szCs w:val="20"/>
              </w:rPr>
            </w:pPr>
            <w:r w:rsidRPr="0004176C">
              <w:rPr>
                <w:b/>
                <w:sz w:val="20"/>
                <w:szCs w:val="20"/>
              </w:rPr>
              <w:t>Population Type*</w:t>
            </w:r>
          </w:p>
        </w:tc>
        <w:tc>
          <w:tcPr>
            <w:tcW w:w="0" w:type="auto"/>
            <w:gridSpan w:val="2"/>
            <w:shd w:val="clear" w:color="auto" w:fill="BFBFBF" w:themeFill="background1" w:themeFillShade="BF"/>
          </w:tcPr>
          <w:p w14:paraId="75890356" w14:textId="77777777" w:rsidR="00220F02" w:rsidRPr="0004176C" w:rsidRDefault="00220F02" w:rsidP="003C3D04">
            <w:pPr>
              <w:jc w:val="center"/>
              <w:rPr>
                <w:b/>
                <w:sz w:val="20"/>
                <w:szCs w:val="20"/>
              </w:rPr>
            </w:pPr>
            <w:r w:rsidRPr="0004176C">
              <w:rPr>
                <w:b/>
                <w:sz w:val="20"/>
                <w:szCs w:val="20"/>
              </w:rPr>
              <w:t># of UFAS Units</w:t>
            </w:r>
          </w:p>
        </w:tc>
      </w:tr>
      <w:tr w:rsidR="00220F02" w:rsidRPr="0004176C" w14:paraId="4695C3ED" w14:textId="77777777" w:rsidTr="003C3D04">
        <w:trPr>
          <w:trHeight w:val="267"/>
        </w:trPr>
        <w:tc>
          <w:tcPr>
            <w:tcW w:w="0" w:type="auto"/>
            <w:vMerge/>
            <w:shd w:val="clear" w:color="auto" w:fill="BFBFBF"/>
          </w:tcPr>
          <w:p w14:paraId="77D69B06" w14:textId="77777777" w:rsidR="00220F02" w:rsidRPr="0004176C" w:rsidRDefault="00220F02" w:rsidP="003C3D04">
            <w:pPr>
              <w:rPr>
                <w:b/>
                <w:sz w:val="20"/>
                <w:szCs w:val="20"/>
              </w:rPr>
            </w:pPr>
          </w:p>
        </w:tc>
        <w:tc>
          <w:tcPr>
            <w:tcW w:w="0" w:type="auto"/>
            <w:gridSpan w:val="6"/>
            <w:vMerge/>
            <w:shd w:val="clear" w:color="auto" w:fill="BFBFBF"/>
          </w:tcPr>
          <w:p w14:paraId="7F062605" w14:textId="77777777" w:rsidR="00220F02" w:rsidRPr="0004176C" w:rsidRDefault="00220F02" w:rsidP="003C3D04">
            <w:pPr>
              <w:rPr>
                <w:b/>
                <w:sz w:val="20"/>
                <w:szCs w:val="20"/>
              </w:rPr>
            </w:pPr>
          </w:p>
        </w:tc>
        <w:tc>
          <w:tcPr>
            <w:tcW w:w="0" w:type="auto"/>
            <w:vMerge/>
            <w:shd w:val="clear" w:color="auto" w:fill="BFBFBF" w:themeFill="background1" w:themeFillShade="BF"/>
          </w:tcPr>
          <w:p w14:paraId="29ED7CF0" w14:textId="77777777" w:rsidR="00220F02" w:rsidRPr="0004176C" w:rsidRDefault="00220F02" w:rsidP="003C3D04">
            <w:pPr>
              <w:jc w:val="center"/>
              <w:rPr>
                <w:b/>
                <w:sz w:val="20"/>
                <w:szCs w:val="20"/>
              </w:rPr>
            </w:pPr>
          </w:p>
        </w:tc>
        <w:tc>
          <w:tcPr>
            <w:tcW w:w="0" w:type="auto"/>
            <w:vMerge/>
            <w:shd w:val="clear" w:color="auto" w:fill="BFBFBF" w:themeFill="background1" w:themeFillShade="BF"/>
          </w:tcPr>
          <w:p w14:paraId="16DEC50D" w14:textId="77777777" w:rsidR="00220F02" w:rsidRPr="0004176C" w:rsidRDefault="00220F02" w:rsidP="003C3D04">
            <w:pPr>
              <w:jc w:val="center"/>
              <w:rPr>
                <w:b/>
                <w:sz w:val="20"/>
                <w:szCs w:val="20"/>
              </w:rPr>
            </w:pPr>
          </w:p>
        </w:tc>
        <w:tc>
          <w:tcPr>
            <w:tcW w:w="0" w:type="auto"/>
            <w:vMerge w:val="restart"/>
            <w:shd w:val="clear" w:color="auto" w:fill="BFBFBF" w:themeFill="background1" w:themeFillShade="BF"/>
          </w:tcPr>
          <w:p w14:paraId="7B3A5099" w14:textId="77777777" w:rsidR="00220F02" w:rsidRPr="0004176C" w:rsidRDefault="00220F02" w:rsidP="003C3D04">
            <w:pPr>
              <w:jc w:val="center"/>
              <w:rPr>
                <w:b/>
                <w:sz w:val="20"/>
                <w:szCs w:val="20"/>
              </w:rPr>
            </w:pPr>
            <w:r w:rsidRPr="0004176C">
              <w:rPr>
                <w:b/>
                <w:sz w:val="20"/>
                <w:szCs w:val="20"/>
              </w:rPr>
              <w:t>Fully Accessible</w:t>
            </w:r>
          </w:p>
        </w:tc>
        <w:tc>
          <w:tcPr>
            <w:tcW w:w="0" w:type="auto"/>
            <w:vMerge w:val="restart"/>
            <w:shd w:val="clear" w:color="auto" w:fill="BFBFBF" w:themeFill="background1" w:themeFillShade="BF"/>
          </w:tcPr>
          <w:p w14:paraId="0732E55D" w14:textId="77777777" w:rsidR="00220F02" w:rsidRPr="0004176C" w:rsidRDefault="00220F02" w:rsidP="003C3D04">
            <w:pPr>
              <w:jc w:val="center"/>
              <w:rPr>
                <w:b/>
                <w:sz w:val="20"/>
                <w:szCs w:val="20"/>
              </w:rPr>
            </w:pPr>
            <w:r w:rsidRPr="0004176C">
              <w:rPr>
                <w:b/>
                <w:sz w:val="20"/>
                <w:szCs w:val="20"/>
              </w:rPr>
              <w:t>Adaptable</w:t>
            </w:r>
          </w:p>
        </w:tc>
      </w:tr>
      <w:tr w:rsidR="00220F02" w:rsidRPr="0004176C" w14:paraId="16C3264B" w14:textId="77777777" w:rsidTr="003C3D04">
        <w:trPr>
          <w:trHeight w:val="197"/>
        </w:trPr>
        <w:tc>
          <w:tcPr>
            <w:tcW w:w="0" w:type="auto"/>
            <w:vMerge/>
            <w:shd w:val="clear" w:color="auto" w:fill="BFBFBF"/>
          </w:tcPr>
          <w:p w14:paraId="7A8A3C34" w14:textId="77777777" w:rsidR="00220F02" w:rsidRPr="0004176C" w:rsidRDefault="00220F02" w:rsidP="003C3D04">
            <w:pPr>
              <w:rPr>
                <w:sz w:val="20"/>
                <w:szCs w:val="20"/>
              </w:rPr>
            </w:pPr>
          </w:p>
        </w:tc>
        <w:tc>
          <w:tcPr>
            <w:tcW w:w="0" w:type="auto"/>
            <w:shd w:val="clear" w:color="auto" w:fill="BFBFBF"/>
          </w:tcPr>
          <w:p w14:paraId="24348051" w14:textId="77777777" w:rsidR="00220F02" w:rsidRPr="0004176C" w:rsidRDefault="00220F02" w:rsidP="003C3D04">
            <w:pPr>
              <w:jc w:val="center"/>
              <w:rPr>
                <w:b/>
                <w:sz w:val="20"/>
                <w:szCs w:val="20"/>
              </w:rPr>
            </w:pPr>
            <w:r w:rsidRPr="0004176C">
              <w:rPr>
                <w:b/>
                <w:sz w:val="20"/>
                <w:szCs w:val="20"/>
              </w:rPr>
              <w:t>0/1</w:t>
            </w:r>
          </w:p>
        </w:tc>
        <w:tc>
          <w:tcPr>
            <w:tcW w:w="0" w:type="auto"/>
            <w:shd w:val="clear" w:color="auto" w:fill="BFBFBF"/>
          </w:tcPr>
          <w:p w14:paraId="0D2B6CC9" w14:textId="77777777" w:rsidR="00220F02" w:rsidRPr="0004176C" w:rsidRDefault="00220F02" w:rsidP="003C3D04">
            <w:pPr>
              <w:jc w:val="center"/>
              <w:rPr>
                <w:b/>
                <w:sz w:val="20"/>
                <w:szCs w:val="20"/>
              </w:rPr>
            </w:pPr>
            <w:r w:rsidRPr="0004176C">
              <w:rPr>
                <w:b/>
                <w:sz w:val="20"/>
                <w:szCs w:val="20"/>
              </w:rPr>
              <w:t>2</w:t>
            </w:r>
          </w:p>
        </w:tc>
        <w:tc>
          <w:tcPr>
            <w:tcW w:w="0" w:type="auto"/>
            <w:shd w:val="clear" w:color="auto" w:fill="BFBFBF"/>
          </w:tcPr>
          <w:p w14:paraId="55F907D3" w14:textId="77777777" w:rsidR="00220F02" w:rsidRPr="0004176C" w:rsidRDefault="00220F02" w:rsidP="003C3D04">
            <w:pPr>
              <w:jc w:val="center"/>
              <w:rPr>
                <w:b/>
                <w:sz w:val="20"/>
                <w:szCs w:val="20"/>
              </w:rPr>
            </w:pPr>
            <w:r w:rsidRPr="0004176C">
              <w:rPr>
                <w:b/>
                <w:sz w:val="20"/>
                <w:szCs w:val="20"/>
              </w:rPr>
              <w:t>3</w:t>
            </w:r>
          </w:p>
        </w:tc>
        <w:tc>
          <w:tcPr>
            <w:tcW w:w="0" w:type="auto"/>
            <w:shd w:val="clear" w:color="auto" w:fill="BFBFBF"/>
          </w:tcPr>
          <w:p w14:paraId="4DAE1B51" w14:textId="77777777" w:rsidR="00220F02" w:rsidRPr="0004176C" w:rsidRDefault="00220F02" w:rsidP="003C3D04">
            <w:pPr>
              <w:jc w:val="center"/>
              <w:rPr>
                <w:b/>
                <w:sz w:val="20"/>
                <w:szCs w:val="20"/>
              </w:rPr>
            </w:pPr>
            <w:r w:rsidRPr="0004176C">
              <w:rPr>
                <w:b/>
                <w:sz w:val="20"/>
                <w:szCs w:val="20"/>
              </w:rPr>
              <w:t>4</w:t>
            </w:r>
          </w:p>
        </w:tc>
        <w:tc>
          <w:tcPr>
            <w:tcW w:w="0" w:type="auto"/>
            <w:shd w:val="clear" w:color="auto" w:fill="BFBFBF"/>
          </w:tcPr>
          <w:p w14:paraId="2B5AE152" w14:textId="77777777" w:rsidR="00220F02" w:rsidRPr="0004176C" w:rsidRDefault="00220F02" w:rsidP="003C3D04">
            <w:pPr>
              <w:jc w:val="center"/>
              <w:rPr>
                <w:b/>
                <w:sz w:val="20"/>
                <w:szCs w:val="20"/>
              </w:rPr>
            </w:pPr>
            <w:r w:rsidRPr="0004176C">
              <w:rPr>
                <w:b/>
                <w:sz w:val="20"/>
                <w:szCs w:val="20"/>
              </w:rPr>
              <w:t>5</w:t>
            </w:r>
          </w:p>
        </w:tc>
        <w:tc>
          <w:tcPr>
            <w:tcW w:w="0" w:type="auto"/>
            <w:shd w:val="clear" w:color="auto" w:fill="BFBFBF"/>
          </w:tcPr>
          <w:p w14:paraId="5882DA09" w14:textId="77777777" w:rsidR="00220F02" w:rsidRPr="0004176C" w:rsidRDefault="00220F02" w:rsidP="003C3D04">
            <w:pPr>
              <w:jc w:val="center"/>
              <w:rPr>
                <w:b/>
                <w:sz w:val="20"/>
                <w:szCs w:val="20"/>
              </w:rPr>
            </w:pPr>
            <w:r w:rsidRPr="0004176C">
              <w:rPr>
                <w:b/>
                <w:sz w:val="20"/>
                <w:szCs w:val="20"/>
              </w:rPr>
              <w:t>6+</w:t>
            </w:r>
          </w:p>
        </w:tc>
        <w:tc>
          <w:tcPr>
            <w:tcW w:w="0" w:type="auto"/>
            <w:vMerge/>
          </w:tcPr>
          <w:p w14:paraId="2EF35D8B" w14:textId="77777777" w:rsidR="00220F02" w:rsidRPr="0004176C" w:rsidRDefault="00220F02" w:rsidP="003C3D04">
            <w:pPr>
              <w:rPr>
                <w:sz w:val="20"/>
                <w:szCs w:val="20"/>
              </w:rPr>
            </w:pPr>
          </w:p>
        </w:tc>
        <w:tc>
          <w:tcPr>
            <w:tcW w:w="0" w:type="auto"/>
            <w:vMerge/>
          </w:tcPr>
          <w:p w14:paraId="495861E8" w14:textId="77777777" w:rsidR="00220F02" w:rsidRPr="0004176C" w:rsidRDefault="00220F02" w:rsidP="003C3D04">
            <w:pPr>
              <w:rPr>
                <w:sz w:val="20"/>
                <w:szCs w:val="20"/>
              </w:rPr>
            </w:pPr>
          </w:p>
        </w:tc>
        <w:tc>
          <w:tcPr>
            <w:tcW w:w="0" w:type="auto"/>
            <w:vMerge/>
          </w:tcPr>
          <w:p w14:paraId="5EB0D4E6" w14:textId="77777777" w:rsidR="00220F02" w:rsidRPr="0004176C" w:rsidRDefault="00220F02" w:rsidP="003C3D04">
            <w:pPr>
              <w:rPr>
                <w:sz w:val="20"/>
                <w:szCs w:val="20"/>
              </w:rPr>
            </w:pPr>
          </w:p>
        </w:tc>
        <w:tc>
          <w:tcPr>
            <w:tcW w:w="0" w:type="auto"/>
            <w:vMerge/>
          </w:tcPr>
          <w:p w14:paraId="40E470AB" w14:textId="77777777" w:rsidR="00220F02" w:rsidRPr="0004176C" w:rsidRDefault="00220F02" w:rsidP="003C3D04">
            <w:pPr>
              <w:rPr>
                <w:sz w:val="20"/>
                <w:szCs w:val="20"/>
              </w:rPr>
            </w:pPr>
          </w:p>
        </w:tc>
      </w:tr>
      <w:tr w:rsidR="00220F02" w:rsidRPr="0004176C" w14:paraId="5D146427" w14:textId="77777777" w:rsidTr="003C3D04">
        <w:trPr>
          <w:trHeight w:val="179"/>
        </w:trPr>
        <w:tc>
          <w:tcPr>
            <w:tcW w:w="0" w:type="auto"/>
            <w:shd w:val="clear" w:color="auto" w:fill="FFFFFF" w:themeFill="background1"/>
          </w:tcPr>
          <w:p w14:paraId="57A0BA60" w14:textId="5E415184" w:rsidR="00220F02" w:rsidRPr="0004176C" w:rsidRDefault="005827CB" w:rsidP="003C3D04">
            <w:pPr>
              <w:rPr>
                <w:sz w:val="20"/>
                <w:szCs w:val="20"/>
              </w:rPr>
            </w:pPr>
            <w:r w:rsidRPr="0004176C">
              <w:rPr>
                <w:sz w:val="20"/>
                <w:szCs w:val="20"/>
              </w:rPr>
              <w:t>N/A</w:t>
            </w:r>
          </w:p>
        </w:tc>
        <w:tc>
          <w:tcPr>
            <w:tcW w:w="0" w:type="auto"/>
            <w:shd w:val="clear" w:color="auto" w:fill="FFFFFF" w:themeFill="background1"/>
          </w:tcPr>
          <w:p w14:paraId="3CEBE378" w14:textId="497F339B" w:rsidR="00220F02" w:rsidRPr="0004176C" w:rsidRDefault="005827CB" w:rsidP="005827CB">
            <w:pPr>
              <w:jc w:val="center"/>
              <w:rPr>
                <w:sz w:val="20"/>
                <w:szCs w:val="20"/>
              </w:rPr>
            </w:pPr>
            <w:r w:rsidRPr="0004176C">
              <w:rPr>
                <w:sz w:val="20"/>
                <w:szCs w:val="20"/>
              </w:rPr>
              <w:t>0</w:t>
            </w:r>
          </w:p>
        </w:tc>
        <w:tc>
          <w:tcPr>
            <w:tcW w:w="0" w:type="auto"/>
            <w:shd w:val="clear" w:color="auto" w:fill="FFFFFF" w:themeFill="background1"/>
          </w:tcPr>
          <w:p w14:paraId="627BA754" w14:textId="06A2E5F5" w:rsidR="00220F02" w:rsidRPr="0004176C" w:rsidRDefault="005827CB" w:rsidP="005827CB">
            <w:pPr>
              <w:jc w:val="center"/>
              <w:rPr>
                <w:sz w:val="20"/>
                <w:szCs w:val="20"/>
              </w:rPr>
            </w:pPr>
            <w:r w:rsidRPr="0004176C">
              <w:rPr>
                <w:sz w:val="20"/>
                <w:szCs w:val="20"/>
              </w:rPr>
              <w:t>0</w:t>
            </w:r>
          </w:p>
        </w:tc>
        <w:tc>
          <w:tcPr>
            <w:tcW w:w="0" w:type="auto"/>
            <w:shd w:val="clear" w:color="auto" w:fill="FFFFFF" w:themeFill="background1"/>
          </w:tcPr>
          <w:p w14:paraId="74E56F5A" w14:textId="3F343B0B" w:rsidR="00220F02" w:rsidRPr="0004176C" w:rsidRDefault="005827CB" w:rsidP="005827CB">
            <w:pPr>
              <w:jc w:val="center"/>
              <w:rPr>
                <w:sz w:val="20"/>
                <w:szCs w:val="20"/>
              </w:rPr>
            </w:pPr>
            <w:r w:rsidRPr="0004176C">
              <w:rPr>
                <w:sz w:val="20"/>
                <w:szCs w:val="20"/>
              </w:rPr>
              <w:t>0</w:t>
            </w:r>
          </w:p>
        </w:tc>
        <w:tc>
          <w:tcPr>
            <w:tcW w:w="0" w:type="auto"/>
            <w:shd w:val="clear" w:color="auto" w:fill="FFFFFF" w:themeFill="background1"/>
          </w:tcPr>
          <w:p w14:paraId="5B53BEA5" w14:textId="6D805D14" w:rsidR="00220F02" w:rsidRPr="0004176C" w:rsidRDefault="005827CB" w:rsidP="005827CB">
            <w:pPr>
              <w:jc w:val="center"/>
              <w:rPr>
                <w:sz w:val="20"/>
                <w:szCs w:val="20"/>
              </w:rPr>
            </w:pPr>
            <w:r w:rsidRPr="0004176C">
              <w:rPr>
                <w:sz w:val="20"/>
                <w:szCs w:val="20"/>
              </w:rPr>
              <w:t>0</w:t>
            </w:r>
          </w:p>
        </w:tc>
        <w:tc>
          <w:tcPr>
            <w:tcW w:w="0" w:type="auto"/>
            <w:shd w:val="clear" w:color="auto" w:fill="FFFFFF" w:themeFill="background1"/>
          </w:tcPr>
          <w:p w14:paraId="5A5DC924" w14:textId="740848E0" w:rsidR="00220F02" w:rsidRPr="0004176C" w:rsidRDefault="005827CB" w:rsidP="005827CB">
            <w:pPr>
              <w:jc w:val="center"/>
              <w:rPr>
                <w:sz w:val="20"/>
                <w:szCs w:val="20"/>
              </w:rPr>
            </w:pPr>
            <w:r w:rsidRPr="0004176C">
              <w:rPr>
                <w:sz w:val="20"/>
                <w:szCs w:val="20"/>
              </w:rPr>
              <w:t>0</w:t>
            </w:r>
          </w:p>
        </w:tc>
        <w:tc>
          <w:tcPr>
            <w:tcW w:w="0" w:type="auto"/>
            <w:shd w:val="clear" w:color="auto" w:fill="FFFFFF" w:themeFill="background1"/>
          </w:tcPr>
          <w:p w14:paraId="4DECC177" w14:textId="6640EDE5" w:rsidR="00220F02" w:rsidRPr="0004176C" w:rsidRDefault="005827CB" w:rsidP="005827CB">
            <w:pPr>
              <w:jc w:val="center"/>
              <w:rPr>
                <w:sz w:val="20"/>
                <w:szCs w:val="20"/>
              </w:rPr>
            </w:pPr>
            <w:r w:rsidRPr="0004176C">
              <w:rPr>
                <w:sz w:val="20"/>
                <w:szCs w:val="20"/>
              </w:rPr>
              <w:t>0</w:t>
            </w:r>
          </w:p>
        </w:tc>
        <w:tc>
          <w:tcPr>
            <w:tcW w:w="0" w:type="auto"/>
            <w:shd w:val="clear" w:color="auto" w:fill="FFFFFF" w:themeFill="background1"/>
          </w:tcPr>
          <w:p w14:paraId="7C89B4F5" w14:textId="3C8300B7" w:rsidR="00220F02" w:rsidRPr="0004176C" w:rsidRDefault="005827CB" w:rsidP="005827CB">
            <w:pPr>
              <w:jc w:val="center"/>
              <w:rPr>
                <w:sz w:val="20"/>
                <w:szCs w:val="20"/>
              </w:rPr>
            </w:pPr>
            <w:r w:rsidRPr="0004176C">
              <w:rPr>
                <w:sz w:val="20"/>
                <w:szCs w:val="20"/>
              </w:rPr>
              <w:t>0</w:t>
            </w:r>
          </w:p>
        </w:tc>
        <w:tc>
          <w:tcPr>
            <w:tcW w:w="0" w:type="auto"/>
            <w:shd w:val="clear" w:color="auto" w:fill="FFFFFF" w:themeFill="background1"/>
          </w:tcPr>
          <w:p w14:paraId="19428998" w14:textId="5A5C12BB" w:rsidR="00220F02" w:rsidRPr="0004176C" w:rsidRDefault="005827CB" w:rsidP="005827CB">
            <w:pPr>
              <w:jc w:val="center"/>
              <w:rPr>
                <w:sz w:val="20"/>
                <w:szCs w:val="20"/>
              </w:rPr>
            </w:pPr>
            <w:r w:rsidRPr="0004176C">
              <w:rPr>
                <w:sz w:val="20"/>
                <w:szCs w:val="20"/>
              </w:rPr>
              <w:t>N/A</w:t>
            </w:r>
          </w:p>
        </w:tc>
        <w:tc>
          <w:tcPr>
            <w:tcW w:w="0" w:type="auto"/>
            <w:shd w:val="clear" w:color="auto" w:fill="FFFFFF" w:themeFill="background1"/>
          </w:tcPr>
          <w:p w14:paraId="6A40D687" w14:textId="61CFE750" w:rsidR="00220F02" w:rsidRPr="0004176C" w:rsidRDefault="005827CB" w:rsidP="005827CB">
            <w:pPr>
              <w:jc w:val="center"/>
              <w:rPr>
                <w:sz w:val="20"/>
                <w:szCs w:val="20"/>
              </w:rPr>
            </w:pPr>
            <w:r w:rsidRPr="0004176C">
              <w:rPr>
                <w:sz w:val="20"/>
                <w:szCs w:val="20"/>
              </w:rPr>
              <w:t>0</w:t>
            </w:r>
          </w:p>
        </w:tc>
        <w:tc>
          <w:tcPr>
            <w:tcW w:w="0" w:type="auto"/>
            <w:shd w:val="clear" w:color="auto" w:fill="FFFFFF" w:themeFill="background1"/>
          </w:tcPr>
          <w:p w14:paraId="568C3D31" w14:textId="227C91E8" w:rsidR="00220F02" w:rsidRPr="0004176C" w:rsidRDefault="005827CB" w:rsidP="005827CB">
            <w:pPr>
              <w:jc w:val="center"/>
              <w:rPr>
                <w:sz w:val="20"/>
                <w:szCs w:val="20"/>
              </w:rPr>
            </w:pPr>
            <w:r w:rsidRPr="0004176C">
              <w:rPr>
                <w:sz w:val="20"/>
                <w:szCs w:val="20"/>
              </w:rPr>
              <w:t>0</w:t>
            </w:r>
          </w:p>
        </w:tc>
      </w:tr>
      <w:tr w:rsidR="005827CB" w:rsidRPr="0004176C" w14:paraId="73643E66" w14:textId="77777777" w:rsidTr="003C3D04">
        <w:trPr>
          <w:trHeight w:val="179"/>
        </w:trPr>
        <w:tc>
          <w:tcPr>
            <w:tcW w:w="0" w:type="auto"/>
            <w:tcBorders>
              <w:bottom w:val="single" w:sz="4" w:space="0" w:color="auto"/>
            </w:tcBorders>
            <w:shd w:val="clear" w:color="auto" w:fill="FFFFFF" w:themeFill="background1"/>
          </w:tcPr>
          <w:p w14:paraId="725326D3" w14:textId="729C7B19" w:rsidR="005827CB" w:rsidRPr="0004176C" w:rsidRDefault="005827CB" w:rsidP="005827CB">
            <w:pPr>
              <w:rPr>
                <w:sz w:val="20"/>
                <w:szCs w:val="20"/>
              </w:rPr>
            </w:pPr>
            <w:r w:rsidRPr="0004176C">
              <w:rPr>
                <w:sz w:val="20"/>
                <w:szCs w:val="20"/>
              </w:rPr>
              <w:t>N/A</w:t>
            </w:r>
          </w:p>
        </w:tc>
        <w:tc>
          <w:tcPr>
            <w:tcW w:w="0" w:type="auto"/>
            <w:tcBorders>
              <w:bottom w:val="single" w:sz="4" w:space="0" w:color="auto"/>
            </w:tcBorders>
            <w:shd w:val="clear" w:color="auto" w:fill="FFFFFF" w:themeFill="background1"/>
          </w:tcPr>
          <w:p w14:paraId="7B0553C0" w14:textId="782B5FE5" w:rsidR="005827CB" w:rsidRPr="0004176C" w:rsidRDefault="005827CB" w:rsidP="005827CB">
            <w:pPr>
              <w:jc w:val="center"/>
              <w:rPr>
                <w:sz w:val="20"/>
                <w:szCs w:val="20"/>
              </w:rPr>
            </w:pPr>
            <w:r w:rsidRPr="0004176C">
              <w:rPr>
                <w:sz w:val="20"/>
                <w:szCs w:val="20"/>
              </w:rPr>
              <w:t>0</w:t>
            </w:r>
          </w:p>
        </w:tc>
        <w:tc>
          <w:tcPr>
            <w:tcW w:w="0" w:type="auto"/>
            <w:tcBorders>
              <w:bottom w:val="single" w:sz="4" w:space="0" w:color="auto"/>
            </w:tcBorders>
            <w:shd w:val="clear" w:color="auto" w:fill="FFFFFF" w:themeFill="background1"/>
          </w:tcPr>
          <w:p w14:paraId="166AEA8F" w14:textId="330AD119" w:rsidR="005827CB" w:rsidRPr="0004176C" w:rsidRDefault="005827CB" w:rsidP="005827CB">
            <w:pPr>
              <w:jc w:val="center"/>
              <w:rPr>
                <w:sz w:val="20"/>
                <w:szCs w:val="20"/>
              </w:rPr>
            </w:pPr>
            <w:r w:rsidRPr="0004176C">
              <w:rPr>
                <w:sz w:val="20"/>
                <w:szCs w:val="20"/>
              </w:rPr>
              <w:t>0</w:t>
            </w:r>
          </w:p>
        </w:tc>
        <w:tc>
          <w:tcPr>
            <w:tcW w:w="0" w:type="auto"/>
            <w:tcBorders>
              <w:bottom w:val="single" w:sz="4" w:space="0" w:color="auto"/>
            </w:tcBorders>
            <w:shd w:val="clear" w:color="auto" w:fill="FFFFFF" w:themeFill="background1"/>
          </w:tcPr>
          <w:p w14:paraId="1EB52287" w14:textId="41047E21" w:rsidR="005827CB" w:rsidRPr="0004176C" w:rsidRDefault="005827CB" w:rsidP="005827CB">
            <w:pPr>
              <w:jc w:val="center"/>
              <w:rPr>
                <w:sz w:val="20"/>
                <w:szCs w:val="20"/>
              </w:rPr>
            </w:pPr>
            <w:r w:rsidRPr="0004176C">
              <w:rPr>
                <w:sz w:val="20"/>
                <w:szCs w:val="20"/>
              </w:rPr>
              <w:t>0</w:t>
            </w:r>
          </w:p>
        </w:tc>
        <w:tc>
          <w:tcPr>
            <w:tcW w:w="0" w:type="auto"/>
            <w:tcBorders>
              <w:bottom w:val="single" w:sz="4" w:space="0" w:color="auto"/>
            </w:tcBorders>
            <w:shd w:val="clear" w:color="auto" w:fill="FFFFFF" w:themeFill="background1"/>
          </w:tcPr>
          <w:p w14:paraId="25FA5FD3" w14:textId="64678DDB" w:rsidR="005827CB" w:rsidRPr="0004176C" w:rsidRDefault="005827CB" w:rsidP="005827CB">
            <w:pPr>
              <w:jc w:val="center"/>
              <w:rPr>
                <w:sz w:val="20"/>
                <w:szCs w:val="20"/>
              </w:rPr>
            </w:pPr>
            <w:r w:rsidRPr="0004176C">
              <w:rPr>
                <w:sz w:val="20"/>
                <w:szCs w:val="20"/>
              </w:rPr>
              <w:t>0</w:t>
            </w:r>
          </w:p>
        </w:tc>
        <w:tc>
          <w:tcPr>
            <w:tcW w:w="0" w:type="auto"/>
            <w:tcBorders>
              <w:bottom w:val="single" w:sz="4" w:space="0" w:color="auto"/>
            </w:tcBorders>
            <w:shd w:val="clear" w:color="auto" w:fill="FFFFFF" w:themeFill="background1"/>
          </w:tcPr>
          <w:p w14:paraId="113ADFC5" w14:textId="73B9EA8A" w:rsidR="005827CB" w:rsidRPr="0004176C" w:rsidRDefault="005827CB" w:rsidP="005827CB">
            <w:pPr>
              <w:jc w:val="center"/>
              <w:rPr>
                <w:sz w:val="20"/>
                <w:szCs w:val="20"/>
              </w:rPr>
            </w:pPr>
            <w:r w:rsidRPr="0004176C">
              <w:rPr>
                <w:sz w:val="20"/>
                <w:szCs w:val="20"/>
              </w:rPr>
              <w:t>0</w:t>
            </w:r>
          </w:p>
        </w:tc>
        <w:tc>
          <w:tcPr>
            <w:tcW w:w="0" w:type="auto"/>
            <w:tcBorders>
              <w:bottom w:val="single" w:sz="4" w:space="0" w:color="auto"/>
            </w:tcBorders>
            <w:shd w:val="clear" w:color="auto" w:fill="FFFFFF" w:themeFill="background1"/>
          </w:tcPr>
          <w:p w14:paraId="1AA7524C" w14:textId="3E67A41F" w:rsidR="005827CB" w:rsidRPr="0004176C" w:rsidRDefault="005827CB" w:rsidP="005827CB">
            <w:pPr>
              <w:jc w:val="center"/>
              <w:rPr>
                <w:sz w:val="20"/>
                <w:szCs w:val="20"/>
              </w:rPr>
            </w:pPr>
            <w:r w:rsidRPr="0004176C">
              <w:rPr>
                <w:sz w:val="20"/>
                <w:szCs w:val="20"/>
              </w:rPr>
              <w:t>0</w:t>
            </w:r>
          </w:p>
        </w:tc>
        <w:tc>
          <w:tcPr>
            <w:tcW w:w="0" w:type="auto"/>
            <w:tcBorders>
              <w:bottom w:val="single" w:sz="4" w:space="0" w:color="auto"/>
            </w:tcBorders>
            <w:shd w:val="clear" w:color="auto" w:fill="FFFFFF" w:themeFill="background1"/>
          </w:tcPr>
          <w:p w14:paraId="200CFD43" w14:textId="291019FF" w:rsidR="005827CB" w:rsidRPr="0004176C" w:rsidRDefault="005827CB" w:rsidP="005827CB">
            <w:pPr>
              <w:jc w:val="center"/>
              <w:rPr>
                <w:sz w:val="20"/>
                <w:szCs w:val="20"/>
              </w:rPr>
            </w:pPr>
            <w:r w:rsidRPr="0004176C">
              <w:rPr>
                <w:sz w:val="20"/>
                <w:szCs w:val="20"/>
              </w:rPr>
              <w:t>0</w:t>
            </w:r>
          </w:p>
        </w:tc>
        <w:tc>
          <w:tcPr>
            <w:tcW w:w="0" w:type="auto"/>
            <w:tcBorders>
              <w:bottom w:val="single" w:sz="4" w:space="0" w:color="auto"/>
            </w:tcBorders>
            <w:shd w:val="clear" w:color="auto" w:fill="FFFFFF" w:themeFill="background1"/>
          </w:tcPr>
          <w:p w14:paraId="2D5CAA0A" w14:textId="69C21238" w:rsidR="005827CB" w:rsidRPr="0004176C" w:rsidRDefault="005827CB" w:rsidP="005827CB">
            <w:pPr>
              <w:jc w:val="center"/>
              <w:rPr>
                <w:sz w:val="20"/>
                <w:szCs w:val="20"/>
              </w:rPr>
            </w:pPr>
            <w:r w:rsidRPr="0004176C">
              <w:rPr>
                <w:sz w:val="20"/>
                <w:szCs w:val="20"/>
              </w:rPr>
              <w:t>N/A</w:t>
            </w:r>
          </w:p>
        </w:tc>
        <w:tc>
          <w:tcPr>
            <w:tcW w:w="0" w:type="auto"/>
            <w:tcBorders>
              <w:bottom w:val="single" w:sz="4" w:space="0" w:color="auto"/>
            </w:tcBorders>
            <w:shd w:val="clear" w:color="auto" w:fill="FFFFFF" w:themeFill="background1"/>
          </w:tcPr>
          <w:p w14:paraId="56F40C09" w14:textId="5541CC3A" w:rsidR="005827CB" w:rsidRPr="0004176C" w:rsidRDefault="005827CB" w:rsidP="005827CB">
            <w:pPr>
              <w:jc w:val="center"/>
              <w:rPr>
                <w:sz w:val="20"/>
                <w:szCs w:val="20"/>
              </w:rPr>
            </w:pPr>
            <w:r w:rsidRPr="0004176C">
              <w:rPr>
                <w:sz w:val="20"/>
                <w:szCs w:val="20"/>
              </w:rPr>
              <w:t>0</w:t>
            </w:r>
          </w:p>
        </w:tc>
        <w:tc>
          <w:tcPr>
            <w:tcW w:w="0" w:type="auto"/>
            <w:tcBorders>
              <w:bottom w:val="single" w:sz="4" w:space="0" w:color="auto"/>
            </w:tcBorders>
            <w:shd w:val="clear" w:color="auto" w:fill="FFFFFF" w:themeFill="background1"/>
          </w:tcPr>
          <w:p w14:paraId="6B7E9D45" w14:textId="5844BDC3" w:rsidR="005827CB" w:rsidRPr="0004176C" w:rsidRDefault="005827CB" w:rsidP="005827CB">
            <w:pPr>
              <w:jc w:val="center"/>
              <w:rPr>
                <w:sz w:val="20"/>
                <w:szCs w:val="20"/>
              </w:rPr>
            </w:pPr>
            <w:r w:rsidRPr="0004176C">
              <w:rPr>
                <w:sz w:val="20"/>
                <w:szCs w:val="20"/>
              </w:rPr>
              <w:t>0</w:t>
            </w:r>
          </w:p>
        </w:tc>
      </w:tr>
      <w:tr w:rsidR="005827CB" w:rsidRPr="0004176C" w14:paraId="3239B2C1" w14:textId="77777777" w:rsidTr="003C3D04">
        <w:trPr>
          <w:trHeight w:val="179"/>
        </w:trPr>
        <w:tc>
          <w:tcPr>
            <w:tcW w:w="0" w:type="auto"/>
            <w:tcBorders>
              <w:bottom w:val="single" w:sz="4" w:space="0" w:color="auto"/>
            </w:tcBorders>
            <w:shd w:val="clear" w:color="auto" w:fill="FFFFFF" w:themeFill="background1"/>
          </w:tcPr>
          <w:p w14:paraId="67BAC344" w14:textId="690F6561" w:rsidR="005827CB" w:rsidRPr="0004176C" w:rsidRDefault="005827CB" w:rsidP="005827CB">
            <w:pPr>
              <w:rPr>
                <w:sz w:val="20"/>
                <w:szCs w:val="20"/>
              </w:rPr>
            </w:pPr>
            <w:r w:rsidRPr="0004176C">
              <w:rPr>
                <w:sz w:val="20"/>
                <w:szCs w:val="20"/>
              </w:rPr>
              <w:t>N/A</w:t>
            </w:r>
          </w:p>
        </w:tc>
        <w:tc>
          <w:tcPr>
            <w:tcW w:w="0" w:type="auto"/>
            <w:tcBorders>
              <w:bottom w:val="single" w:sz="4" w:space="0" w:color="auto"/>
            </w:tcBorders>
            <w:shd w:val="clear" w:color="auto" w:fill="FFFFFF" w:themeFill="background1"/>
          </w:tcPr>
          <w:p w14:paraId="02E1FD6B" w14:textId="0EB136C6" w:rsidR="005827CB" w:rsidRPr="0004176C" w:rsidRDefault="005827CB" w:rsidP="005827CB">
            <w:pPr>
              <w:jc w:val="center"/>
              <w:rPr>
                <w:sz w:val="20"/>
                <w:szCs w:val="20"/>
              </w:rPr>
            </w:pPr>
            <w:r w:rsidRPr="0004176C">
              <w:rPr>
                <w:sz w:val="20"/>
                <w:szCs w:val="20"/>
              </w:rPr>
              <w:t>0</w:t>
            </w:r>
          </w:p>
        </w:tc>
        <w:tc>
          <w:tcPr>
            <w:tcW w:w="0" w:type="auto"/>
            <w:tcBorders>
              <w:bottom w:val="single" w:sz="4" w:space="0" w:color="auto"/>
            </w:tcBorders>
            <w:shd w:val="clear" w:color="auto" w:fill="FFFFFF" w:themeFill="background1"/>
          </w:tcPr>
          <w:p w14:paraId="32C3B30F" w14:textId="3F8EF90F" w:rsidR="005827CB" w:rsidRPr="0004176C" w:rsidRDefault="005827CB" w:rsidP="005827CB">
            <w:pPr>
              <w:jc w:val="center"/>
              <w:rPr>
                <w:sz w:val="20"/>
                <w:szCs w:val="20"/>
              </w:rPr>
            </w:pPr>
            <w:r w:rsidRPr="0004176C">
              <w:rPr>
                <w:sz w:val="20"/>
                <w:szCs w:val="20"/>
              </w:rPr>
              <w:t>0</w:t>
            </w:r>
          </w:p>
        </w:tc>
        <w:tc>
          <w:tcPr>
            <w:tcW w:w="0" w:type="auto"/>
            <w:tcBorders>
              <w:bottom w:val="single" w:sz="4" w:space="0" w:color="auto"/>
            </w:tcBorders>
            <w:shd w:val="clear" w:color="auto" w:fill="FFFFFF" w:themeFill="background1"/>
          </w:tcPr>
          <w:p w14:paraId="18B92158" w14:textId="6AF597F4" w:rsidR="005827CB" w:rsidRPr="0004176C" w:rsidRDefault="005827CB" w:rsidP="005827CB">
            <w:pPr>
              <w:jc w:val="center"/>
              <w:rPr>
                <w:sz w:val="20"/>
                <w:szCs w:val="20"/>
              </w:rPr>
            </w:pPr>
            <w:r w:rsidRPr="0004176C">
              <w:rPr>
                <w:sz w:val="20"/>
                <w:szCs w:val="20"/>
              </w:rPr>
              <w:t>0</w:t>
            </w:r>
          </w:p>
        </w:tc>
        <w:tc>
          <w:tcPr>
            <w:tcW w:w="0" w:type="auto"/>
            <w:tcBorders>
              <w:bottom w:val="single" w:sz="4" w:space="0" w:color="auto"/>
            </w:tcBorders>
            <w:shd w:val="clear" w:color="auto" w:fill="FFFFFF" w:themeFill="background1"/>
          </w:tcPr>
          <w:p w14:paraId="1140DDC0" w14:textId="6AD34DDF" w:rsidR="005827CB" w:rsidRPr="0004176C" w:rsidRDefault="005827CB" w:rsidP="005827CB">
            <w:pPr>
              <w:jc w:val="center"/>
              <w:rPr>
                <w:sz w:val="20"/>
                <w:szCs w:val="20"/>
              </w:rPr>
            </w:pPr>
            <w:r w:rsidRPr="0004176C">
              <w:rPr>
                <w:sz w:val="20"/>
                <w:szCs w:val="20"/>
              </w:rPr>
              <w:t>0</w:t>
            </w:r>
          </w:p>
        </w:tc>
        <w:tc>
          <w:tcPr>
            <w:tcW w:w="0" w:type="auto"/>
            <w:tcBorders>
              <w:bottom w:val="single" w:sz="4" w:space="0" w:color="auto"/>
            </w:tcBorders>
            <w:shd w:val="clear" w:color="auto" w:fill="FFFFFF" w:themeFill="background1"/>
          </w:tcPr>
          <w:p w14:paraId="0087CBBF" w14:textId="475F42F2" w:rsidR="005827CB" w:rsidRPr="0004176C" w:rsidRDefault="005827CB" w:rsidP="005827CB">
            <w:pPr>
              <w:jc w:val="center"/>
              <w:rPr>
                <w:sz w:val="20"/>
                <w:szCs w:val="20"/>
              </w:rPr>
            </w:pPr>
            <w:r w:rsidRPr="0004176C">
              <w:rPr>
                <w:sz w:val="20"/>
                <w:szCs w:val="20"/>
              </w:rPr>
              <w:t>0</w:t>
            </w:r>
          </w:p>
        </w:tc>
        <w:tc>
          <w:tcPr>
            <w:tcW w:w="0" w:type="auto"/>
            <w:tcBorders>
              <w:bottom w:val="single" w:sz="4" w:space="0" w:color="auto"/>
            </w:tcBorders>
            <w:shd w:val="clear" w:color="auto" w:fill="FFFFFF" w:themeFill="background1"/>
          </w:tcPr>
          <w:p w14:paraId="74A00C51" w14:textId="2C981D26" w:rsidR="005827CB" w:rsidRPr="0004176C" w:rsidRDefault="005827CB" w:rsidP="005827CB">
            <w:pPr>
              <w:jc w:val="center"/>
              <w:rPr>
                <w:sz w:val="20"/>
                <w:szCs w:val="20"/>
              </w:rPr>
            </w:pPr>
            <w:r w:rsidRPr="0004176C">
              <w:rPr>
                <w:sz w:val="20"/>
                <w:szCs w:val="20"/>
              </w:rPr>
              <w:t>0</w:t>
            </w:r>
          </w:p>
        </w:tc>
        <w:tc>
          <w:tcPr>
            <w:tcW w:w="0" w:type="auto"/>
            <w:tcBorders>
              <w:bottom w:val="single" w:sz="4" w:space="0" w:color="auto"/>
            </w:tcBorders>
            <w:shd w:val="clear" w:color="auto" w:fill="FFFFFF" w:themeFill="background1"/>
          </w:tcPr>
          <w:p w14:paraId="3B056687" w14:textId="62A30F79" w:rsidR="005827CB" w:rsidRPr="0004176C" w:rsidRDefault="005827CB" w:rsidP="005827CB">
            <w:pPr>
              <w:jc w:val="center"/>
              <w:rPr>
                <w:sz w:val="20"/>
                <w:szCs w:val="20"/>
              </w:rPr>
            </w:pPr>
            <w:r w:rsidRPr="0004176C">
              <w:rPr>
                <w:sz w:val="20"/>
                <w:szCs w:val="20"/>
              </w:rPr>
              <w:t>0</w:t>
            </w:r>
          </w:p>
        </w:tc>
        <w:tc>
          <w:tcPr>
            <w:tcW w:w="0" w:type="auto"/>
            <w:tcBorders>
              <w:bottom w:val="single" w:sz="4" w:space="0" w:color="auto"/>
            </w:tcBorders>
            <w:shd w:val="clear" w:color="auto" w:fill="FFFFFF" w:themeFill="background1"/>
          </w:tcPr>
          <w:p w14:paraId="593B2C06" w14:textId="2495788A" w:rsidR="005827CB" w:rsidRPr="0004176C" w:rsidRDefault="005827CB" w:rsidP="005827CB">
            <w:pPr>
              <w:jc w:val="center"/>
              <w:rPr>
                <w:sz w:val="20"/>
                <w:szCs w:val="20"/>
              </w:rPr>
            </w:pPr>
            <w:r w:rsidRPr="0004176C">
              <w:rPr>
                <w:sz w:val="20"/>
                <w:szCs w:val="20"/>
              </w:rPr>
              <w:t>N/A</w:t>
            </w:r>
          </w:p>
        </w:tc>
        <w:tc>
          <w:tcPr>
            <w:tcW w:w="0" w:type="auto"/>
            <w:tcBorders>
              <w:bottom w:val="single" w:sz="4" w:space="0" w:color="auto"/>
            </w:tcBorders>
            <w:shd w:val="clear" w:color="auto" w:fill="FFFFFF" w:themeFill="background1"/>
          </w:tcPr>
          <w:p w14:paraId="4E14B9FF" w14:textId="153E08F9" w:rsidR="005827CB" w:rsidRPr="0004176C" w:rsidRDefault="005827CB" w:rsidP="005827CB">
            <w:pPr>
              <w:jc w:val="center"/>
              <w:rPr>
                <w:sz w:val="20"/>
                <w:szCs w:val="20"/>
              </w:rPr>
            </w:pPr>
            <w:r w:rsidRPr="0004176C">
              <w:rPr>
                <w:sz w:val="20"/>
                <w:szCs w:val="20"/>
              </w:rPr>
              <w:t>0</w:t>
            </w:r>
          </w:p>
        </w:tc>
        <w:tc>
          <w:tcPr>
            <w:tcW w:w="0" w:type="auto"/>
            <w:tcBorders>
              <w:bottom w:val="single" w:sz="4" w:space="0" w:color="auto"/>
            </w:tcBorders>
            <w:shd w:val="clear" w:color="auto" w:fill="FFFFFF" w:themeFill="background1"/>
          </w:tcPr>
          <w:p w14:paraId="0C3040FC" w14:textId="07EAECD6" w:rsidR="005827CB" w:rsidRPr="0004176C" w:rsidRDefault="005827CB" w:rsidP="005827CB">
            <w:pPr>
              <w:jc w:val="center"/>
              <w:rPr>
                <w:sz w:val="20"/>
                <w:szCs w:val="20"/>
              </w:rPr>
            </w:pPr>
            <w:r w:rsidRPr="0004176C">
              <w:rPr>
                <w:sz w:val="20"/>
                <w:szCs w:val="20"/>
              </w:rPr>
              <w:t>0</w:t>
            </w:r>
          </w:p>
        </w:tc>
      </w:tr>
      <w:tr w:rsidR="005827CB" w:rsidRPr="0004176C" w14:paraId="5CF068EB" w14:textId="77777777" w:rsidTr="003C3D04">
        <w:trPr>
          <w:trHeight w:val="179"/>
        </w:trPr>
        <w:tc>
          <w:tcPr>
            <w:tcW w:w="0" w:type="auto"/>
            <w:gridSpan w:val="7"/>
            <w:tcBorders>
              <w:top w:val="single" w:sz="4" w:space="0" w:color="auto"/>
              <w:left w:val="nil"/>
              <w:bottom w:val="nil"/>
              <w:right w:val="single" w:sz="4" w:space="0" w:color="auto"/>
            </w:tcBorders>
            <w:shd w:val="clear" w:color="auto" w:fill="FFFFFF" w:themeFill="background1"/>
          </w:tcPr>
          <w:p w14:paraId="6A8B5A39" w14:textId="77777777" w:rsidR="005827CB" w:rsidRPr="0004176C" w:rsidRDefault="005827CB" w:rsidP="005827CB">
            <w:pPr>
              <w:rPr>
                <w:b/>
                <w:sz w:val="20"/>
                <w:szCs w:val="20"/>
              </w:rPr>
            </w:pPr>
            <w:r w:rsidRPr="0004176C">
              <w:rPr>
                <w:b/>
                <w:sz w:val="20"/>
                <w:szCs w:val="20"/>
              </w:rPr>
              <w:t>Total Public Housing Units to be Added in the Plan Year</w:t>
            </w:r>
          </w:p>
        </w:tc>
        <w:tc>
          <w:tcPr>
            <w:tcW w:w="0" w:type="auto"/>
            <w:tcBorders>
              <w:top w:val="single" w:sz="4" w:space="0" w:color="auto"/>
              <w:left w:val="single" w:sz="4" w:space="0" w:color="auto"/>
              <w:right w:val="single" w:sz="4" w:space="0" w:color="auto"/>
            </w:tcBorders>
            <w:shd w:val="clear" w:color="auto" w:fill="BFBFBF" w:themeFill="background1" w:themeFillShade="BF"/>
          </w:tcPr>
          <w:p w14:paraId="7F111AD0" w14:textId="14C45F4A" w:rsidR="005827CB" w:rsidRPr="0004176C" w:rsidRDefault="005827CB" w:rsidP="005827CB">
            <w:pPr>
              <w:jc w:val="center"/>
              <w:rPr>
                <w:b/>
                <w:sz w:val="20"/>
                <w:szCs w:val="20"/>
              </w:rPr>
            </w:pPr>
            <w:r w:rsidRPr="0004176C">
              <w:rPr>
                <w:b/>
                <w:sz w:val="20"/>
                <w:szCs w:val="20"/>
              </w:rPr>
              <w:t>0</w:t>
            </w:r>
          </w:p>
        </w:tc>
        <w:tc>
          <w:tcPr>
            <w:tcW w:w="0" w:type="auto"/>
            <w:tcBorders>
              <w:top w:val="single" w:sz="4" w:space="0" w:color="auto"/>
              <w:left w:val="single" w:sz="4" w:space="0" w:color="auto"/>
              <w:bottom w:val="nil"/>
              <w:right w:val="nil"/>
            </w:tcBorders>
            <w:shd w:val="clear" w:color="auto" w:fill="FFFFFF" w:themeFill="background1"/>
          </w:tcPr>
          <w:p w14:paraId="4E3EA329" w14:textId="77777777" w:rsidR="005827CB" w:rsidRPr="0004176C" w:rsidRDefault="005827CB" w:rsidP="005827CB">
            <w:pPr>
              <w:rPr>
                <w:sz w:val="20"/>
                <w:szCs w:val="20"/>
              </w:rPr>
            </w:pPr>
          </w:p>
        </w:tc>
        <w:tc>
          <w:tcPr>
            <w:tcW w:w="0" w:type="auto"/>
            <w:tcBorders>
              <w:top w:val="single" w:sz="4" w:space="0" w:color="auto"/>
              <w:left w:val="nil"/>
              <w:bottom w:val="nil"/>
              <w:right w:val="nil"/>
            </w:tcBorders>
            <w:shd w:val="clear" w:color="auto" w:fill="FFFFFF" w:themeFill="background1"/>
          </w:tcPr>
          <w:p w14:paraId="540630A3" w14:textId="77777777" w:rsidR="005827CB" w:rsidRPr="0004176C" w:rsidRDefault="005827CB" w:rsidP="005827CB">
            <w:pPr>
              <w:rPr>
                <w:sz w:val="20"/>
                <w:szCs w:val="20"/>
              </w:rPr>
            </w:pPr>
          </w:p>
        </w:tc>
        <w:tc>
          <w:tcPr>
            <w:tcW w:w="0" w:type="auto"/>
            <w:tcBorders>
              <w:top w:val="single" w:sz="4" w:space="0" w:color="auto"/>
              <w:left w:val="nil"/>
              <w:bottom w:val="nil"/>
              <w:right w:val="nil"/>
            </w:tcBorders>
            <w:shd w:val="clear" w:color="auto" w:fill="FFFFFF" w:themeFill="background1"/>
          </w:tcPr>
          <w:p w14:paraId="0C84C7C4" w14:textId="77777777" w:rsidR="005827CB" w:rsidRPr="0004176C" w:rsidRDefault="005827CB" w:rsidP="005827CB">
            <w:pPr>
              <w:rPr>
                <w:sz w:val="20"/>
                <w:szCs w:val="20"/>
              </w:rPr>
            </w:pPr>
          </w:p>
        </w:tc>
      </w:tr>
    </w:tbl>
    <w:p w14:paraId="0DF5DA7D" w14:textId="77777777" w:rsidR="00220F02" w:rsidRPr="0004176C" w:rsidRDefault="00220F02" w:rsidP="00220F02">
      <w:pPr>
        <w:rPr>
          <w:sz w:val="20"/>
          <w:szCs w:val="20"/>
        </w:rPr>
      </w:pPr>
      <w:r w:rsidRPr="0004176C">
        <w:rPr>
          <w:sz w:val="20"/>
          <w:szCs w:val="20"/>
        </w:rPr>
        <w:t>*Population Type: General, Elderly, Disabled, Elderly/Disabled, Other</w:t>
      </w:r>
    </w:p>
    <w:p w14:paraId="654576F4" w14:textId="77777777" w:rsidR="00220F02" w:rsidRPr="0004176C" w:rsidRDefault="00220F02" w:rsidP="00A9486B">
      <w:pPr>
        <w:pStyle w:val="ListParagraph"/>
        <w:numPr>
          <w:ilvl w:val="0"/>
          <w:numId w:val="0"/>
        </w:numPr>
        <w:jc w:val="both"/>
      </w:pPr>
    </w:p>
    <w:p w14:paraId="0216FAF2" w14:textId="77777777" w:rsidR="005827CB" w:rsidRPr="0004176C" w:rsidRDefault="005827CB" w:rsidP="005827CB">
      <w:pPr>
        <w:rPr>
          <w:sz w:val="22"/>
          <w:szCs w:val="22"/>
        </w:rPr>
      </w:pPr>
      <w:r w:rsidRPr="0004176C">
        <w:rPr>
          <w:sz w:val="22"/>
          <w:szCs w:val="22"/>
        </w:rPr>
        <w:t>If “Population Type is “Other” please describe:</w:t>
      </w:r>
    </w:p>
    <w:tbl>
      <w:tblPr>
        <w:tblW w:w="0" w:type="auto"/>
        <w:tblLook w:val="04A0" w:firstRow="1" w:lastRow="0" w:firstColumn="1" w:lastColumn="0" w:noHBand="0" w:noVBand="1"/>
      </w:tblPr>
      <w:tblGrid>
        <w:gridCol w:w="9350"/>
      </w:tblGrid>
      <w:tr w:rsidR="005827CB" w:rsidRPr="0004176C" w14:paraId="635F39A7" w14:textId="77777777" w:rsidTr="00A22ED8">
        <w:tc>
          <w:tcPr>
            <w:tcW w:w="9350" w:type="dxa"/>
            <w:tcBorders>
              <w:top w:val="single" w:sz="4" w:space="0" w:color="auto"/>
              <w:left w:val="single" w:sz="4" w:space="0" w:color="auto"/>
              <w:bottom w:val="single" w:sz="4" w:space="0" w:color="auto"/>
              <w:right w:val="single" w:sz="4" w:space="0" w:color="auto"/>
            </w:tcBorders>
          </w:tcPr>
          <w:p w14:paraId="46A5D813" w14:textId="4DBF825B" w:rsidR="005827CB" w:rsidRPr="0004176C" w:rsidRDefault="00A22ED8" w:rsidP="005827CB">
            <w:pPr>
              <w:rPr>
                <w:sz w:val="20"/>
                <w:szCs w:val="20"/>
              </w:rPr>
            </w:pPr>
            <w:r w:rsidRPr="0004176C">
              <w:rPr>
                <w:sz w:val="20"/>
                <w:szCs w:val="20"/>
              </w:rPr>
              <w:t>N/A</w:t>
            </w:r>
          </w:p>
        </w:tc>
      </w:tr>
    </w:tbl>
    <w:p w14:paraId="445C35ED" w14:textId="282F907E" w:rsidR="00B35538" w:rsidRPr="0004176C" w:rsidRDefault="00B35538" w:rsidP="00A9486B">
      <w:pPr>
        <w:pStyle w:val="ListParagraph"/>
        <w:numPr>
          <w:ilvl w:val="0"/>
          <w:numId w:val="0"/>
        </w:numPr>
        <w:jc w:val="both"/>
      </w:pPr>
    </w:p>
    <w:p w14:paraId="0CA10982" w14:textId="77777777" w:rsidR="00A9486B" w:rsidRPr="0004176C" w:rsidRDefault="00A9486B" w:rsidP="00AA5A80">
      <w:pPr>
        <w:pStyle w:val="ListParagraph"/>
        <w:numPr>
          <w:ilvl w:val="0"/>
          <w:numId w:val="29"/>
        </w:numPr>
        <w:rPr>
          <w:b/>
          <w:i/>
          <w:szCs w:val="24"/>
        </w:rPr>
      </w:pPr>
      <w:bookmarkStart w:id="17" w:name="_Toc528576623"/>
      <w:r w:rsidRPr="0004176C">
        <w:rPr>
          <w:b/>
          <w:i/>
          <w:szCs w:val="24"/>
        </w:rPr>
        <w:t>Planned Public Housing Units to Be Removed</w:t>
      </w:r>
      <w:bookmarkEnd w:id="17"/>
    </w:p>
    <w:p w14:paraId="18F68683" w14:textId="77777777" w:rsidR="00A9486B" w:rsidRPr="0004176C" w:rsidRDefault="00A9486B" w:rsidP="00A9486B">
      <w:pPr>
        <w:jc w:val="both"/>
        <w:rPr>
          <w:sz w:val="22"/>
        </w:rPr>
      </w:pPr>
    </w:p>
    <w:p w14:paraId="59171BC2" w14:textId="5A8BBCE1" w:rsidR="00A9486B" w:rsidRPr="0004176C" w:rsidRDefault="00B35538" w:rsidP="00A9486B">
      <w:pPr>
        <w:jc w:val="both"/>
        <w:rPr>
          <w:sz w:val="22"/>
        </w:rPr>
      </w:pPr>
      <w:r w:rsidRPr="0004176C">
        <w:rPr>
          <w:sz w:val="22"/>
        </w:rPr>
        <w:t>DHCD does not administer a federal public housing program.</w:t>
      </w:r>
    </w:p>
    <w:p w14:paraId="622D59D1" w14:textId="77777777" w:rsidR="00B35538" w:rsidRPr="0004176C" w:rsidRDefault="00B35538" w:rsidP="001F2A56">
      <w:pPr>
        <w:pStyle w:val="Heading3"/>
        <w:rPr>
          <w:rStyle w:val="Heading4Char"/>
          <w:sz w:val="24"/>
          <w:szCs w:val="24"/>
        </w:rPr>
      </w:pPr>
      <w:bookmarkStart w:id="18" w:name="_Toc531163898"/>
    </w:p>
    <w:p w14:paraId="12A515FA" w14:textId="6E661D86" w:rsidR="00B35538" w:rsidRPr="0004176C" w:rsidRDefault="00B35538" w:rsidP="00424525">
      <w:pPr>
        <w:pStyle w:val="Heading4"/>
        <w:numPr>
          <w:ilvl w:val="0"/>
          <w:numId w:val="0"/>
        </w:numPr>
        <w:jc w:val="center"/>
        <w:rPr>
          <w:b w:val="0"/>
          <w:szCs w:val="20"/>
        </w:rPr>
      </w:pPr>
      <w:bookmarkStart w:id="19" w:name="_Toc33016917"/>
      <w:r w:rsidRPr="0004176C">
        <w:rPr>
          <w:rStyle w:val="Heading4Char"/>
          <w:b/>
          <w:sz w:val="20"/>
        </w:rPr>
        <w:t xml:space="preserve">Table 2:  Planned Public Housing Units to Be Removed in </w:t>
      </w:r>
      <w:bookmarkEnd w:id="18"/>
      <w:r w:rsidR="006D6331" w:rsidRPr="0004176C">
        <w:rPr>
          <w:rStyle w:val="Heading4Char"/>
          <w:b/>
          <w:sz w:val="20"/>
        </w:rPr>
        <w:t>FY 2021</w:t>
      </w:r>
      <w:bookmarkEnd w:id="19"/>
    </w:p>
    <w:p w14:paraId="3DD9F927" w14:textId="77777777" w:rsidR="00B35538" w:rsidRPr="0004176C" w:rsidRDefault="00B35538" w:rsidP="00A9486B">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1450"/>
        <w:gridCol w:w="4832"/>
      </w:tblGrid>
      <w:tr w:rsidR="00B35538" w:rsidRPr="0004176C" w14:paraId="7C31A788" w14:textId="77777777" w:rsidTr="00B35538">
        <w:trPr>
          <w:trHeight w:val="20"/>
          <w:tblHeader/>
        </w:trPr>
        <w:tc>
          <w:tcPr>
            <w:tcW w:w="3680" w:type="dxa"/>
            <w:shd w:val="clear" w:color="auto" w:fill="BFBFBF"/>
            <w:noWrap/>
            <w:hideMark/>
          </w:tcPr>
          <w:p w14:paraId="51A2FD44" w14:textId="77777777" w:rsidR="00B35538" w:rsidRPr="0004176C" w:rsidRDefault="00B35538" w:rsidP="002F0EF5">
            <w:pPr>
              <w:rPr>
                <w:b/>
                <w:color w:val="000000"/>
                <w:sz w:val="20"/>
                <w:szCs w:val="20"/>
              </w:rPr>
            </w:pPr>
            <w:r w:rsidRPr="0004176C">
              <w:rPr>
                <w:b/>
                <w:sz w:val="20"/>
                <w:szCs w:val="20"/>
              </w:rPr>
              <w:t>AMP Name and Number</w:t>
            </w:r>
          </w:p>
        </w:tc>
        <w:tc>
          <w:tcPr>
            <w:tcW w:w="1450" w:type="dxa"/>
            <w:shd w:val="clear" w:color="auto" w:fill="BFBFBF"/>
            <w:hideMark/>
          </w:tcPr>
          <w:p w14:paraId="74DAE8E6" w14:textId="77777777" w:rsidR="00B35538" w:rsidRPr="0004176C" w:rsidRDefault="00B35538" w:rsidP="002E29C6">
            <w:pPr>
              <w:jc w:val="center"/>
              <w:rPr>
                <w:b/>
                <w:color w:val="000000"/>
                <w:sz w:val="20"/>
                <w:szCs w:val="20"/>
              </w:rPr>
            </w:pPr>
            <w:r w:rsidRPr="0004176C">
              <w:rPr>
                <w:b/>
                <w:color w:val="000000"/>
                <w:sz w:val="20"/>
                <w:szCs w:val="20"/>
              </w:rPr>
              <w:t>Number  of Units to be Removed</w:t>
            </w:r>
          </w:p>
        </w:tc>
        <w:tc>
          <w:tcPr>
            <w:tcW w:w="4832" w:type="dxa"/>
            <w:shd w:val="clear" w:color="auto" w:fill="BFBFBF"/>
            <w:noWrap/>
            <w:hideMark/>
          </w:tcPr>
          <w:p w14:paraId="0D25BF89" w14:textId="77777777" w:rsidR="00B35538" w:rsidRPr="0004176C" w:rsidRDefault="00B35538" w:rsidP="002E29C6">
            <w:pPr>
              <w:jc w:val="center"/>
              <w:rPr>
                <w:b/>
                <w:color w:val="000000"/>
                <w:sz w:val="20"/>
                <w:szCs w:val="20"/>
              </w:rPr>
            </w:pPr>
            <w:r w:rsidRPr="0004176C">
              <w:rPr>
                <w:b/>
                <w:color w:val="000000"/>
                <w:sz w:val="20"/>
                <w:szCs w:val="20"/>
              </w:rPr>
              <w:t>Explanation for Removal</w:t>
            </w:r>
          </w:p>
        </w:tc>
      </w:tr>
      <w:tr w:rsidR="00B35538" w:rsidRPr="0004176C" w14:paraId="6D74C222" w14:textId="77777777" w:rsidTr="00B35538">
        <w:trPr>
          <w:trHeight w:val="20"/>
        </w:trPr>
        <w:tc>
          <w:tcPr>
            <w:tcW w:w="3680" w:type="dxa"/>
            <w:shd w:val="clear" w:color="auto" w:fill="FFFFFF" w:themeFill="background1"/>
            <w:noWrap/>
          </w:tcPr>
          <w:p w14:paraId="30BA99EF" w14:textId="644591E9" w:rsidR="00B35538" w:rsidRPr="0004176C" w:rsidRDefault="00B35538" w:rsidP="002E29C6">
            <w:pPr>
              <w:rPr>
                <w:color w:val="000000"/>
                <w:sz w:val="20"/>
                <w:szCs w:val="20"/>
              </w:rPr>
            </w:pPr>
            <w:r w:rsidRPr="0004176C">
              <w:rPr>
                <w:color w:val="000000"/>
                <w:sz w:val="20"/>
                <w:szCs w:val="20"/>
              </w:rPr>
              <w:t>N/A</w:t>
            </w:r>
          </w:p>
        </w:tc>
        <w:tc>
          <w:tcPr>
            <w:tcW w:w="1450" w:type="dxa"/>
            <w:shd w:val="clear" w:color="auto" w:fill="FFFFFF" w:themeFill="background1"/>
            <w:noWrap/>
          </w:tcPr>
          <w:p w14:paraId="01B023B8" w14:textId="3C1772CE" w:rsidR="00B35538" w:rsidRPr="0004176C" w:rsidRDefault="00B35538" w:rsidP="002E29C6">
            <w:pPr>
              <w:jc w:val="center"/>
              <w:rPr>
                <w:color w:val="000000"/>
                <w:sz w:val="20"/>
                <w:szCs w:val="20"/>
              </w:rPr>
            </w:pPr>
            <w:r w:rsidRPr="0004176C">
              <w:rPr>
                <w:color w:val="000000"/>
                <w:sz w:val="20"/>
                <w:szCs w:val="20"/>
              </w:rPr>
              <w:t>0</w:t>
            </w:r>
          </w:p>
        </w:tc>
        <w:tc>
          <w:tcPr>
            <w:tcW w:w="4832" w:type="dxa"/>
            <w:shd w:val="clear" w:color="auto" w:fill="FFFFFF" w:themeFill="background1"/>
            <w:noWrap/>
          </w:tcPr>
          <w:p w14:paraId="5D56FEAB" w14:textId="496D7E46" w:rsidR="00B35538" w:rsidRPr="0004176C" w:rsidRDefault="00B35538" w:rsidP="002E29C6">
            <w:pPr>
              <w:rPr>
                <w:color w:val="000000"/>
                <w:sz w:val="20"/>
                <w:szCs w:val="20"/>
              </w:rPr>
            </w:pPr>
            <w:r w:rsidRPr="0004176C">
              <w:rPr>
                <w:color w:val="000000"/>
                <w:sz w:val="20"/>
                <w:szCs w:val="20"/>
              </w:rPr>
              <w:t>N/A</w:t>
            </w:r>
          </w:p>
        </w:tc>
      </w:tr>
      <w:tr w:rsidR="00B35538" w:rsidRPr="0004176C" w14:paraId="0BAEDD1A" w14:textId="77777777" w:rsidTr="00B35538">
        <w:trPr>
          <w:trHeight w:val="20"/>
        </w:trPr>
        <w:tc>
          <w:tcPr>
            <w:tcW w:w="3680" w:type="dxa"/>
            <w:tcBorders>
              <w:bottom w:val="single" w:sz="4" w:space="0" w:color="auto"/>
            </w:tcBorders>
            <w:shd w:val="clear" w:color="auto" w:fill="FFFFFF" w:themeFill="background1"/>
            <w:noWrap/>
          </w:tcPr>
          <w:p w14:paraId="002E5A4D" w14:textId="08BD8DA9" w:rsidR="00B35538" w:rsidRPr="0004176C" w:rsidRDefault="00B35538" w:rsidP="00B35538">
            <w:pPr>
              <w:rPr>
                <w:color w:val="000000"/>
                <w:sz w:val="20"/>
                <w:szCs w:val="20"/>
              </w:rPr>
            </w:pPr>
            <w:r w:rsidRPr="0004176C">
              <w:rPr>
                <w:color w:val="000000"/>
                <w:sz w:val="20"/>
                <w:szCs w:val="20"/>
              </w:rPr>
              <w:t>N/A</w:t>
            </w:r>
          </w:p>
        </w:tc>
        <w:tc>
          <w:tcPr>
            <w:tcW w:w="1450" w:type="dxa"/>
            <w:tcBorders>
              <w:bottom w:val="single" w:sz="4" w:space="0" w:color="auto"/>
            </w:tcBorders>
            <w:shd w:val="clear" w:color="auto" w:fill="FFFFFF" w:themeFill="background1"/>
            <w:noWrap/>
          </w:tcPr>
          <w:p w14:paraId="0D4AFD77" w14:textId="6AF051ED" w:rsidR="00B35538" w:rsidRPr="0004176C" w:rsidRDefault="00B35538" w:rsidP="00B35538">
            <w:pPr>
              <w:jc w:val="center"/>
              <w:rPr>
                <w:color w:val="000000"/>
                <w:sz w:val="20"/>
                <w:szCs w:val="20"/>
              </w:rPr>
            </w:pPr>
            <w:r w:rsidRPr="0004176C">
              <w:rPr>
                <w:color w:val="000000"/>
                <w:sz w:val="20"/>
                <w:szCs w:val="20"/>
              </w:rPr>
              <w:t>0</w:t>
            </w:r>
          </w:p>
        </w:tc>
        <w:tc>
          <w:tcPr>
            <w:tcW w:w="4832" w:type="dxa"/>
            <w:tcBorders>
              <w:bottom w:val="single" w:sz="4" w:space="0" w:color="auto"/>
            </w:tcBorders>
            <w:shd w:val="clear" w:color="auto" w:fill="FFFFFF" w:themeFill="background1"/>
            <w:noWrap/>
          </w:tcPr>
          <w:p w14:paraId="10EA6845" w14:textId="2083E085" w:rsidR="00B35538" w:rsidRPr="0004176C" w:rsidRDefault="00B35538" w:rsidP="00B35538">
            <w:pPr>
              <w:rPr>
                <w:color w:val="000000"/>
                <w:sz w:val="20"/>
                <w:szCs w:val="20"/>
              </w:rPr>
            </w:pPr>
            <w:r w:rsidRPr="0004176C">
              <w:rPr>
                <w:color w:val="000000"/>
                <w:sz w:val="20"/>
                <w:szCs w:val="20"/>
              </w:rPr>
              <w:t>N/A</w:t>
            </w:r>
          </w:p>
        </w:tc>
      </w:tr>
      <w:tr w:rsidR="00B35538" w:rsidRPr="0004176C" w14:paraId="458A5500" w14:textId="77777777" w:rsidTr="00B35538">
        <w:trPr>
          <w:trHeight w:val="20"/>
        </w:trPr>
        <w:tc>
          <w:tcPr>
            <w:tcW w:w="3680" w:type="dxa"/>
            <w:tcBorders>
              <w:bottom w:val="single" w:sz="4" w:space="0" w:color="auto"/>
            </w:tcBorders>
            <w:shd w:val="clear" w:color="auto" w:fill="FFFFFF" w:themeFill="background1"/>
            <w:noWrap/>
          </w:tcPr>
          <w:p w14:paraId="0F3D5C58" w14:textId="49068892" w:rsidR="00B35538" w:rsidRPr="0004176C" w:rsidRDefault="00B35538" w:rsidP="00B35538">
            <w:pPr>
              <w:rPr>
                <w:color w:val="000000"/>
                <w:sz w:val="20"/>
                <w:szCs w:val="20"/>
              </w:rPr>
            </w:pPr>
            <w:r w:rsidRPr="0004176C">
              <w:rPr>
                <w:color w:val="000000"/>
                <w:sz w:val="20"/>
                <w:szCs w:val="20"/>
              </w:rPr>
              <w:t>N/A</w:t>
            </w:r>
          </w:p>
        </w:tc>
        <w:tc>
          <w:tcPr>
            <w:tcW w:w="1450" w:type="dxa"/>
            <w:tcBorders>
              <w:bottom w:val="single" w:sz="4" w:space="0" w:color="auto"/>
            </w:tcBorders>
            <w:shd w:val="clear" w:color="auto" w:fill="FFFFFF" w:themeFill="background1"/>
            <w:noWrap/>
          </w:tcPr>
          <w:p w14:paraId="400C6027" w14:textId="1AB22FEB" w:rsidR="00B35538" w:rsidRPr="0004176C" w:rsidRDefault="00B35538" w:rsidP="00B35538">
            <w:pPr>
              <w:jc w:val="center"/>
              <w:rPr>
                <w:color w:val="000000"/>
                <w:sz w:val="20"/>
                <w:szCs w:val="20"/>
              </w:rPr>
            </w:pPr>
            <w:r w:rsidRPr="0004176C">
              <w:rPr>
                <w:color w:val="000000"/>
                <w:sz w:val="20"/>
                <w:szCs w:val="20"/>
              </w:rPr>
              <w:t>0</w:t>
            </w:r>
          </w:p>
        </w:tc>
        <w:tc>
          <w:tcPr>
            <w:tcW w:w="4832" w:type="dxa"/>
            <w:tcBorders>
              <w:bottom w:val="single" w:sz="4" w:space="0" w:color="auto"/>
            </w:tcBorders>
            <w:shd w:val="clear" w:color="auto" w:fill="FFFFFF" w:themeFill="background1"/>
            <w:noWrap/>
          </w:tcPr>
          <w:p w14:paraId="35D19D3F" w14:textId="40E50CE8" w:rsidR="00B35538" w:rsidRPr="0004176C" w:rsidRDefault="00B35538" w:rsidP="00B35538">
            <w:pPr>
              <w:rPr>
                <w:color w:val="000000"/>
                <w:sz w:val="20"/>
                <w:szCs w:val="20"/>
              </w:rPr>
            </w:pPr>
            <w:r w:rsidRPr="0004176C">
              <w:rPr>
                <w:color w:val="000000"/>
                <w:sz w:val="20"/>
                <w:szCs w:val="20"/>
              </w:rPr>
              <w:t>N/A</w:t>
            </w:r>
          </w:p>
        </w:tc>
      </w:tr>
      <w:tr w:rsidR="00B35538" w:rsidRPr="0004176C" w14:paraId="42E0CCE6" w14:textId="77777777" w:rsidTr="00B35538">
        <w:trPr>
          <w:trHeight w:val="20"/>
        </w:trPr>
        <w:tc>
          <w:tcPr>
            <w:tcW w:w="3680" w:type="dxa"/>
            <w:tcBorders>
              <w:top w:val="single" w:sz="4" w:space="0" w:color="auto"/>
              <w:left w:val="nil"/>
              <w:bottom w:val="nil"/>
              <w:right w:val="single" w:sz="4" w:space="0" w:color="auto"/>
            </w:tcBorders>
            <w:shd w:val="clear" w:color="auto" w:fill="FFFFFF" w:themeFill="background1"/>
            <w:noWrap/>
          </w:tcPr>
          <w:p w14:paraId="66EBB60B" w14:textId="77777777" w:rsidR="00B35538" w:rsidRPr="0004176C" w:rsidRDefault="00B35538" w:rsidP="00B35538">
            <w:pPr>
              <w:rPr>
                <w:color w:val="000000"/>
                <w:sz w:val="20"/>
                <w:szCs w:val="20"/>
              </w:rPr>
            </w:pPr>
          </w:p>
        </w:tc>
        <w:tc>
          <w:tcPr>
            <w:tcW w:w="145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BB3A40D" w14:textId="7F5DC642" w:rsidR="00B35538" w:rsidRPr="0004176C" w:rsidRDefault="00B35538" w:rsidP="00B35538">
            <w:pPr>
              <w:jc w:val="center"/>
              <w:rPr>
                <w:color w:val="000000"/>
                <w:sz w:val="20"/>
                <w:szCs w:val="20"/>
              </w:rPr>
            </w:pPr>
            <w:r w:rsidRPr="0004176C">
              <w:rPr>
                <w:b/>
                <w:sz w:val="20"/>
                <w:szCs w:val="20"/>
              </w:rPr>
              <w:t>0</w:t>
            </w:r>
          </w:p>
        </w:tc>
        <w:tc>
          <w:tcPr>
            <w:tcW w:w="4832" w:type="dxa"/>
            <w:tcBorders>
              <w:top w:val="single" w:sz="4" w:space="0" w:color="auto"/>
              <w:left w:val="single" w:sz="4" w:space="0" w:color="auto"/>
              <w:bottom w:val="nil"/>
              <w:right w:val="nil"/>
            </w:tcBorders>
            <w:shd w:val="clear" w:color="auto" w:fill="FFFFFF" w:themeFill="background1"/>
            <w:noWrap/>
          </w:tcPr>
          <w:p w14:paraId="35A981AE" w14:textId="77777777" w:rsidR="00B35538" w:rsidRPr="0004176C" w:rsidRDefault="00B35538" w:rsidP="00B35538">
            <w:pPr>
              <w:rPr>
                <w:color w:val="000000"/>
                <w:sz w:val="20"/>
                <w:szCs w:val="20"/>
              </w:rPr>
            </w:pPr>
            <w:r w:rsidRPr="0004176C">
              <w:rPr>
                <w:b/>
                <w:sz w:val="20"/>
                <w:szCs w:val="20"/>
              </w:rPr>
              <w:t>Total Public Housing Units to be Removed in the Plan Year</w:t>
            </w:r>
          </w:p>
        </w:tc>
      </w:tr>
    </w:tbl>
    <w:p w14:paraId="793E70F2" w14:textId="3370ED3C" w:rsidR="00B35538" w:rsidRPr="0004176C" w:rsidRDefault="00B35538" w:rsidP="00A9486B">
      <w:pPr>
        <w:jc w:val="both"/>
        <w:rPr>
          <w:sz w:val="22"/>
          <w:szCs w:val="22"/>
        </w:rPr>
      </w:pPr>
    </w:p>
    <w:p w14:paraId="5A495A44" w14:textId="1F2BC7CB" w:rsidR="00A9486B" w:rsidRPr="0004176C" w:rsidRDefault="00A9486B" w:rsidP="00AA5A80">
      <w:pPr>
        <w:pStyle w:val="ListParagraph"/>
        <w:numPr>
          <w:ilvl w:val="0"/>
          <w:numId w:val="29"/>
        </w:numPr>
        <w:rPr>
          <w:b/>
          <w:i/>
        </w:rPr>
      </w:pPr>
      <w:bookmarkStart w:id="20" w:name="_Toc528576624"/>
      <w:r w:rsidRPr="0004176C">
        <w:rPr>
          <w:b/>
          <w:i/>
        </w:rPr>
        <w:t>Planned New Project Based Vouchers</w:t>
      </w:r>
      <w:bookmarkEnd w:id="20"/>
    </w:p>
    <w:p w14:paraId="13C2FB98" w14:textId="77777777" w:rsidR="00F32C7C" w:rsidRPr="0004176C" w:rsidRDefault="00F32C7C" w:rsidP="00111F4B">
      <w:pPr>
        <w:rPr>
          <w:sz w:val="22"/>
          <w:szCs w:val="22"/>
        </w:rPr>
      </w:pPr>
    </w:p>
    <w:p w14:paraId="5BDD0428" w14:textId="2E96D258" w:rsidR="00E37422" w:rsidRPr="0004176C" w:rsidRDefault="00F32C7C" w:rsidP="00424525">
      <w:pPr>
        <w:pStyle w:val="Heading4"/>
        <w:numPr>
          <w:ilvl w:val="0"/>
          <w:numId w:val="0"/>
        </w:numPr>
        <w:ind w:left="360" w:hanging="360"/>
        <w:jc w:val="center"/>
        <w:rPr>
          <w:sz w:val="20"/>
          <w:szCs w:val="20"/>
        </w:rPr>
      </w:pPr>
      <w:bookmarkStart w:id="21" w:name="_Toc33016918"/>
      <w:r w:rsidRPr="0004176C">
        <w:rPr>
          <w:sz w:val="20"/>
          <w:szCs w:val="20"/>
        </w:rPr>
        <w:t xml:space="preserve">Table </w:t>
      </w:r>
      <w:r w:rsidR="00B35538" w:rsidRPr="0004176C">
        <w:rPr>
          <w:sz w:val="20"/>
          <w:szCs w:val="20"/>
        </w:rPr>
        <w:t>3:</w:t>
      </w:r>
      <w:r w:rsidRPr="0004176C">
        <w:rPr>
          <w:sz w:val="20"/>
          <w:szCs w:val="20"/>
        </w:rPr>
        <w:t xml:space="preserve"> </w:t>
      </w:r>
      <w:r w:rsidR="00A9486B" w:rsidRPr="0004176C">
        <w:rPr>
          <w:sz w:val="20"/>
          <w:szCs w:val="20"/>
        </w:rPr>
        <w:t>Planned</w:t>
      </w:r>
      <w:r w:rsidRPr="0004176C">
        <w:rPr>
          <w:sz w:val="20"/>
          <w:szCs w:val="20"/>
        </w:rPr>
        <w:t xml:space="preserve"> New Project Based Vouchers</w:t>
      </w:r>
      <w:r w:rsidR="00E37422" w:rsidRPr="0004176C">
        <w:rPr>
          <w:sz w:val="20"/>
          <w:szCs w:val="20"/>
        </w:rPr>
        <w:t>*</w:t>
      </w:r>
      <w:bookmarkEnd w:id="21"/>
    </w:p>
    <w:p w14:paraId="6B10571A" w14:textId="77777777" w:rsidR="00D21CCE" w:rsidRPr="0004176C" w:rsidRDefault="00D21CCE" w:rsidP="00D21CCE"/>
    <w:p w14:paraId="3C95A915" w14:textId="730094C4" w:rsidR="00DD5C54" w:rsidRPr="0004176C" w:rsidRDefault="00DD5C54" w:rsidP="00074854">
      <w:pPr>
        <w:jc w:val="both"/>
        <w:rPr>
          <w:sz w:val="22"/>
          <w:szCs w:val="22"/>
        </w:rPr>
      </w:pPr>
      <w:r w:rsidRPr="0004176C">
        <w:rPr>
          <w:sz w:val="22"/>
          <w:szCs w:val="22"/>
        </w:rPr>
        <w:t>*</w:t>
      </w:r>
      <w:r w:rsidRPr="0004176C">
        <w:rPr>
          <w:i/>
          <w:iCs/>
          <w:sz w:val="22"/>
          <w:szCs w:val="22"/>
        </w:rPr>
        <w:t>The new 50900 requires reporting of planned PBVs</w:t>
      </w:r>
      <w:r w:rsidR="00AB32AA" w:rsidRPr="0004176C">
        <w:rPr>
          <w:i/>
          <w:iCs/>
          <w:sz w:val="22"/>
          <w:szCs w:val="22"/>
        </w:rPr>
        <w:t>,</w:t>
      </w:r>
      <w:r w:rsidRPr="0004176C">
        <w:rPr>
          <w:i/>
          <w:iCs/>
          <w:sz w:val="22"/>
          <w:szCs w:val="22"/>
        </w:rPr>
        <w:t xml:space="preserve"> which will be either under AHAP or HAP during the Annual Plan fiscal year. DHCD’s PBVs are allocated through the state’s competitive rental round and in concert with the award of Low Income Housing Tax Credits. Proposals are due in February of each year, with fun</w:t>
      </w:r>
      <w:r w:rsidR="00185B41" w:rsidRPr="0004176C">
        <w:rPr>
          <w:i/>
          <w:iCs/>
          <w:sz w:val="22"/>
          <w:szCs w:val="22"/>
        </w:rPr>
        <w:t>ding announcements made in the s</w:t>
      </w:r>
      <w:r w:rsidRPr="0004176C">
        <w:rPr>
          <w:i/>
          <w:iCs/>
          <w:sz w:val="22"/>
          <w:szCs w:val="22"/>
        </w:rPr>
        <w:t xml:space="preserve">pring.  Given DHCD’s MTW Plan is due to HUD prior to the award of </w:t>
      </w:r>
      <w:r w:rsidR="006D6331" w:rsidRPr="0004176C">
        <w:rPr>
          <w:i/>
          <w:iCs/>
          <w:sz w:val="22"/>
          <w:szCs w:val="22"/>
        </w:rPr>
        <w:t>FY 2021</w:t>
      </w:r>
      <w:r w:rsidRPr="0004176C">
        <w:rPr>
          <w:i/>
          <w:iCs/>
          <w:sz w:val="22"/>
          <w:szCs w:val="22"/>
        </w:rPr>
        <w:t xml:space="preserve"> PBV funding, DHCD cannot identify which projects will be awarded PBVs at this time.  Further, of the awards made, DHCD cannot determine at this time which proposals will pass all screening thresholds and enter into AHAP or HAP contracts.  DHCD will report on all projects and PBVs committed and leased/issued in </w:t>
      </w:r>
      <w:r w:rsidR="006D6331" w:rsidRPr="0004176C">
        <w:rPr>
          <w:i/>
          <w:iCs/>
          <w:sz w:val="22"/>
          <w:szCs w:val="22"/>
        </w:rPr>
        <w:t>FY 2021</w:t>
      </w:r>
      <w:r w:rsidRPr="0004176C">
        <w:rPr>
          <w:i/>
          <w:iCs/>
          <w:sz w:val="22"/>
          <w:szCs w:val="22"/>
        </w:rPr>
        <w:t xml:space="preserve"> in the </w:t>
      </w:r>
      <w:r w:rsidR="006D6331" w:rsidRPr="0004176C">
        <w:rPr>
          <w:i/>
          <w:iCs/>
          <w:sz w:val="22"/>
          <w:szCs w:val="22"/>
        </w:rPr>
        <w:t>FY 2021</w:t>
      </w:r>
      <w:r w:rsidRPr="0004176C">
        <w:rPr>
          <w:i/>
          <w:iCs/>
          <w:sz w:val="22"/>
          <w:szCs w:val="22"/>
        </w:rPr>
        <w:t xml:space="preserve"> Annual Report. </w:t>
      </w:r>
    </w:p>
    <w:p w14:paraId="423A61A5" w14:textId="77777777" w:rsidR="00DD5C54" w:rsidRPr="0004176C" w:rsidRDefault="00DD5C54" w:rsidP="00E37422">
      <w:pPr>
        <w:rPr>
          <w:color w:val="000000"/>
          <w:szCs w:val="20"/>
        </w:rPr>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1620"/>
        <w:gridCol w:w="809"/>
        <w:gridCol w:w="4229"/>
      </w:tblGrid>
      <w:tr w:rsidR="00A9486B" w:rsidRPr="0004176C" w14:paraId="57C4013F" w14:textId="77777777" w:rsidTr="00926815">
        <w:trPr>
          <w:tblHeader/>
        </w:trPr>
        <w:tc>
          <w:tcPr>
            <w:tcW w:w="1371" w:type="pct"/>
            <w:shd w:val="clear" w:color="auto" w:fill="BFBFBF" w:themeFill="background1" w:themeFillShade="BF"/>
          </w:tcPr>
          <w:p w14:paraId="7B52B7E1" w14:textId="77777777" w:rsidR="00A9486B" w:rsidRPr="0004176C" w:rsidRDefault="00A9486B" w:rsidP="002F0EF5">
            <w:pPr>
              <w:rPr>
                <w:b/>
                <w:sz w:val="20"/>
                <w:szCs w:val="20"/>
              </w:rPr>
            </w:pPr>
            <w:r w:rsidRPr="0004176C">
              <w:rPr>
                <w:b/>
                <w:sz w:val="20"/>
                <w:szCs w:val="20"/>
              </w:rPr>
              <w:t>Property Name</w:t>
            </w:r>
          </w:p>
        </w:tc>
        <w:tc>
          <w:tcPr>
            <w:tcW w:w="883" w:type="pct"/>
            <w:shd w:val="clear" w:color="auto" w:fill="BFBFBF" w:themeFill="background1" w:themeFillShade="BF"/>
          </w:tcPr>
          <w:p w14:paraId="2F652EE5" w14:textId="10345B67" w:rsidR="00A9486B" w:rsidRPr="0004176C" w:rsidRDefault="00926815" w:rsidP="00A9486B">
            <w:pPr>
              <w:jc w:val="center"/>
              <w:rPr>
                <w:b/>
                <w:sz w:val="20"/>
                <w:szCs w:val="20"/>
              </w:rPr>
            </w:pPr>
            <w:r w:rsidRPr="0004176C">
              <w:rPr>
                <w:b/>
                <w:sz w:val="20"/>
                <w:szCs w:val="20"/>
              </w:rPr>
              <w:t># of Vouchers to be Project-Based</w:t>
            </w:r>
          </w:p>
        </w:tc>
        <w:tc>
          <w:tcPr>
            <w:tcW w:w="441" w:type="pct"/>
            <w:shd w:val="clear" w:color="auto" w:fill="BFBFBF" w:themeFill="background1" w:themeFillShade="BF"/>
          </w:tcPr>
          <w:p w14:paraId="57C4E048" w14:textId="77777777" w:rsidR="00A9486B" w:rsidRPr="0004176C" w:rsidRDefault="00A9486B" w:rsidP="00A9486B">
            <w:pPr>
              <w:jc w:val="center"/>
              <w:rPr>
                <w:b/>
                <w:sz w:val="20"/>
                <w:szCs w:val="20"/>
              </w:rPr>
            </w:pPr>
            <w:r w:rsidRPr="0004176C">
              <w:rPr>
                <w:b/>
                <w:sz w:val="20"/>
                <w:szCs w:val="20"/>
              </w:rPr>
              <w:t>RAD?</w:t>
            </w:r>
          </w:p>
        </w:tc>
        <w:tc>
          <w:tcPr>
            <w:tcW w:w="2305" w:type="pct"/>
            <w:shd w:val="clear" w:color="auto" w:fill="BFBFBF" w:themeFill="background1" w:themeFillShade="BF"/>
          </w:tcPr>
          <w:p w14:paraId="36DD02DF" w14:textId="77777777" w:rsidR="00A9486B" w:rsidRPr="0004176C" w:rsidRDefault="00A9486B" w:rsidP="00A9486B">
            <w:pPr>
              <w:jc w:val="center"/>
              <w:rPr>
                <w:b/>
                <w:sz w:val="20"/>
                <w:szCs w:val="20"/>
              </w:rPr>
            </w:pPr>
            <w:r w:rsidRPr="0004176C">
              <w:rPr>
                <w:b/>
                <w:sz w:val="20"/>
                <w:szCs w:val="20"/>
              </w:rPr>
              <w:t>Description of Project</w:t>
            </w:r>
          </w:p>
        </w:tc>
      </w:tr>
      <w:tr w:rsidR="00EC218C" w:rsidRPr="0004176C" w14:paraId="04D407CA" w14:textId="77777777" w:rsidTr="00926815">
        <w:trPr>
          <w:trHeight w:val="20"/>
        </w:trPr>
        <w:tc>
          <w:tcPr>
            <w:tcW w:w="1371" w:type="pct"/>
            <w:tcBorders>
              <w:bottom w:val="single" w:sz="4" w:space="0" w:color="auto"/>
            </w:tcBorders>
            <w:vAlign w:val="center"/>
          </w:tcPr>
          <w:p w14:paraId="2DFCBEEF" w14:textId="1E93BDD0" w:rsidR="00EC218C" w:rsidRPr="0004176C" w:rsidRDefault="00A22ED8" w:rsidP="00EC218C">
            <w:pPr>
              <w:rPr>
                <w:sz w:val="20"/>
                <w:szCs w:val="20"/>
              </w:rPr>
            </w:pPr>
            <w:r w:rsidRPr="0004176C">
              <w:rPr>
                <w:sz w:val="20"/>
                <w:szCs w:val="20"/>
              </w:rPr>
              <w:t>See explanation above</w:t>
            </w:r>
          </w:p>
        </w:tc>
        <w:tc>
          <w:tcPr>
            <w:tcW w:w="883" w:type="pct"/>
            <w:tcBorders>
              <w:bottom w:val="single" w:sz="4" w:space="0" w:color="auto"/>
            </w:tcBorders>
            <w:vAlign w:val="center"/>
          </w:tcPr>
          <w:p w14:paraId="5435A234" w14:textId="4609BD82" w:rsidR="00EC218C" w:rsidRPr="0004176C" w:rsidRDefault="00EC218C" w:rsidP="00EC218C">
            <w:pPr>
              <w:jc w:val="center"/>
              <w:rPr>
                <w:sz w:val="20"/>
                <w:szCs w:val="20"/>
              </w:rPr>
            </w:pPr>
          </w:p>
        </w:tc>
        <w:tc>
          <w:tcPr>
            <w:tcW w:w="441" w:type="pct"/>
            <w:tcBorders>
              <w:bottom w:val="single" w:sz="4" w:space="0" w:color="auto"/>
            </w:tcBorders>
          </w:tcPr>
          <w:p w14:paraId="289C7464" w14:textId="78FABBF6" w:rsidR="00EC218C" w:rsidRPr="0004176C" w:rsidRDefault="00EC218C" w:rsidP="00EC218C">
            <w:pPr>
              <w:jc w:val="center"/>
              <w:rPr>
                <w:sz w:val="20"/>
                <w:szCs w:val="20"/>
              </w:rPr>
            </w:pPr>
          </w:p>
        </w:tc>
        <w:tc>
          <w:tcPr>
            <w:tcW w:w="2305" w:type="pct"/>
            <w:tcBorders>
              <w:bottom w:val="single" w:sz="4" w:space="0" w:color="auto"/>
            </w:tcBorders>
            <w:vAlign w:val="center"/>
          </w:tcPr>
          <w:p w14:paraId="1529EF75" w14:textId="3BEC72BE" w:rsidR="00EC218C" w:rsidRPr="0004176C" w:rsidRDefault="00EC218C" w:rsidP="00EC218C">
            <w:pPr>
              <w:rPr>
                <w:sz w:val="20"/>
                <w:szCs w:val="20"/>
              </w:rPr>
            </w:pPr>
          </w:p>
        </w:tc>
      </w:tr>
      <w:tr w:rsidR="00EC218C" w:rsidRPr="0004176C" w14:paraId="589C8B06" w14:textId="77777777" w:rsidTr="00926815">
        <w:trPr>
          <w:trHeight w:val="20"/>
        </w:trPr>
        <w:tc>
          <w:tcPr>
            <w:tcW w:w="1371" w:type="pct"/>
            <w:tcBorders>
              <w:bottom w:val="single" w:sz="4" w:space="0" w:color="auto"/>
            </w:tcBorders>
            <w:vAlign w:val="center"/>
          </w:tcPr>
          <w:p w14:paraId="72D6EE51" w14:textId="156C6A5E" w:rsidR="00EC218C" w:rsidRPr="0004176C" w:rsidRDefault="00EC218C" w:rsidP="00EC218C">
            <w:pPr>
              <w:rPr>
                <w:sz w:val="20"/>
                <w:szCs w:val="20"/>
              </w:rPr>
            </w:pPr>
          </w:p>
        </w:tc>
        <w:tc>
          <w:tcPr>
            <w:tcW w:w="883" w:type="pct"/>
            <w:tcBorders>
              <w:bottom w:val="single" w:sz="4" w:space="0" w:color="auto"/>
            </w:tcBorders>
            <w:vAlign w:val="center"/>
          </w:tcPr>
          <w:p w14:paraId="3A819668" w14:textId="1D3856F3" w:rsidR="00EC218C" w:rsidRPr="0004176C" w:rsidRDefault="00EC218C" w:rsidP="00EC218C">
            <w:pPr>
              <w:jc w:val="center"/>
              <w:rPr>
                <w:sz w:val="20"/>
                <w:szCs w:val="20"/>
              </w:rPr>
            </w:pPr>
          </w:p>
        </w:tc>
        <w:tc>
          <w:tcPr>
            <w:tcW w:w="441" w:type="pct"/>
            <w:tcBorders>
              <w:bottom w:val="single" w:sz="4" w:space="0" w:color="auto"/>
            </w:tcBorders>
          </w:tcPr>
          <w:p w14:paraId="1873ECB9" w14:textId="162825A1" w:rsidR="00EC218C" w:rsidRPr="0004176C" w:rsidRDefault="00EC218C" w:rsidP="00EC218C">
            <w:pPr>
              <w:jc w:val="center"/>
              <w:rPr>
                <w:sz w:val="20"/>
                <w:szCs w:val="20"/>
              </w:rPr>
            </w:pPr>
          </w:p>
        </w:tc>
        <w:tc>
          <w:tcPr>
            <w:tcW w:w="2305" w:type="pct"/>
            <w:tcBorders>
              <w:bottom w:val="single" w:sz="4" w:space="0" w:color="auto"/>
            </w:tcBorders>
            <w:vAlign w:val="center"/>
          </w:tcPr>
          <w:p w14:paraId="324D3FFD" w14:textId="75389139" w:rsidR="00EC218C" w:rsidRPr="0004176C" w:rsidRDefault="00EC218C" w:rsidP="00EC218C">
            <w:pPr>
              <w:rPr>
                <w:sz w:val="20"/>
                <w:szCs w:val="20"/>
              </w:rPr>
            </w:pPr>
          </w:p>
        </w:tc>
      </w:tr>
      <w:tr w:rsidR="00EC218C" w:rsidRPr="0004176C" w14:paraId="635128F6" w14:textId="77777777" w:rsidTr="00926815">
        <w:trPr>
          <w:trHeight w:val="20"/>
        </w:trPr>
        <w:tc>
          <w:tcPr>
            <w:tcW w:w="1371" w:type="pct"/>
            <w:tcBorders>
              <w:bottom w:val="single" w:sz="4" w:space="0" w:color="auto"/>
            </w:tcBorders>
            <w:vAlign w:val="center"/>
          </w:tcPr>
          <w:p w14:paraId="1335C9F0" w14:textId="33D9EB38" w:rsidR="00EC218C" w:rsidRPr="0004176C" w:rsidRDefault="00EC218C" w:rsidP="00EC218C">
            <w:pPr>
              <w:rPr>
                <w:sz w:val="20"/>
                <w:szCs w:val="20"/>
              </w:rPr>
            </w:pPr>
          </w:p>
        </w:tc>
        <w:tc>
          <w:tcPr>
            <w:tcW w:w="883" w:type="pct"/>
            <w:tcBorders>
              <w:bottom w:val="single" w:sz="4" w:space="0" w:color="auto"/>
            </w:tcBorders>
            <w:vAlign w:val="center"/>
          </w:tcPr>
          <w:p w14:paraId="1190A95F" w14:textId="182DE5E9" w:rsidR="00EC218C" w:rsidRPr="0004176C" w:rsidRDefault="00EC218C" w:rsidP="00EC218C">
            <w:pPr>
              <w:jc w:val="center"/>
              <w:rPr>
                <w:sz w:val="20"/>
                <w:szCs w:val="20"/>
              </w:rPr>
            </w:pPr>
          </w:p>
        </w:tc>
        <w:tc>
          <w:tcPr>
            <w:tcW w:w="441" w:type="pct"/>
            <w:tcBorders>
              <w:bottom w:val="single" w:sz="4" w:space="0" w:color="auto"/>
            </w:tcBorders>
          </w:tcPr>
          <w:p w14:paraId="75BE694A" w14:textId="6147BD16" w:rsidR="00EC218C" w:rsidRPr="0004176C" w:rsidRDefault="00EC218C" w:rsidP="00EC218C">
            <w:pPr>
              <w:jc w:val="center"/>
              <w:rPr>
                <w:sz w:val="20"/>
                <w:szCs w:val="20"/>
              </w:rPr>
            </w:pPr>
          </w:p>
        </w:tc>
        <w:tc>
          <w:tcPr>
            <w:tcW w:w="2305" w:type="pct"/>
            <w:tcBorders>
              <w:bottom w:val="single" w:sz="4" w:space="0" w:color="auto"/>
            </w:tcBorders>
            <w:vAlign w:val="center"/>
          </w:tcPr>
          <w:p w14:paraId="24DA3C89" w14:textId="7B395390" w:rsidR="00EC218C" w:rsidRPr="0004176C" w:rsidRDefault="00EC218C" w:rsidP="00EC218C">
            <w:pPr>
              <w:rPr>
                <w:sz w:val="20"/>
                <w:szCs w:val="20"/>
              </w:rPr>
            </w:pPr>
          </w:p>
        </w:tc>
      </w:tr>
      <w:tr w:rsidR="00926815" w:rsidRPr="0004176C" w14:paraId="412FD712" w14:textId="77777777" w:rsidTr="00926815">
        <w:trPr>
          <w:trHeight w:val="477"/>
        </w:trPr>
        <w:tc>
          <w:tcPr>
            <w:tcW w:w="1371" w:type="pct"/>
            <w:tcBorders>
              <w:top w:val="single" w:sz="4" w:space="0" w:color="auto"/>
              <w:left w:val="nil"/>
              <w:bottom w:val="nil"/>
              <w:right w:val="single" w:sz="4" w:space="0" w:color="auto"/>
            </w:tcBorders>
          </w:tcPr>
          <w:p w14:paraId="4A29C5AB" w14:textId="56F065A6" w:rsidR="00926815" w:rsidRPr="0004176C" w:rsidRDefault="00926815" w:rsidP="00976208">
            <w:pPr>
              <w:rPr>
                <w:sz w:val="20"/>
                <w:szCs w:val="20"/>
              </w:rPr>
            </w:pPr>
          </w:p>
        </w:tc>
        <w:tc>
          <w:tcPr>
            <w:tcW w:w="8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10CAF" w14:textId="6501353A" w:rsidR="00926815" w:rsidRPr="0004176C" w:rsidRDefault="00926815" w:rsidP="00A9486B">
            <w:pPr>
              <w:jc w:val="center"/>
              <w:rPr>
                <w:b/>
                <w:sz w:val="20"/>
                <w:szCs w:val="20"/>
              </w:rPr>
            </w:pPr>
          </w:p>
        </w:tc>
        <w:tc>
          <w:tcPr>
            <w:tcW w:w="2746" w:type="pct"/>
            <w:gridSpan w:val="2"/>
            <w:tcBorders>
              <w:top w:val="single" w:sz="4" w:space="0" w:color="auto"/>
              <w:left w:val="single" w:sz="4" w:space="0" w:color="auto"/>
              <w:bottom w:val="nil"/>
              <w:right w:val="nil"/>
            </w:tcBorders>
            <w:vAlign w:val="center"/>
          </w:tcPr>
          <w:p w14:paraId="37AB4982" w14:textId="538E1959" w:rsidR="00926815" w:rsidRPr="0004176C" w:rsidRDefault="00926815" w:rsidP="00976208">
            <w:pPr>
              <w:rPr>
                <w:sz w:val="20"/>
                <w:szCs w:val="20"/>
              </w:rPr>
            </w:pPr>
            <w:r w:rsidRPr="0004176C">
              <w:rPr>
                <w:b/>
                <w:sz w:val="20"/>
                <w:szCs w:val="20"/>
              </w:rPr>
              <w:t>Planned Total Vouchers to be Newly Project-Based</w:t>
            </w:r>
          </w:p>
        </w:tc>
      </w:tr>
    </w:tbl>
    <w:p w14:paraId="635A9505" w14:textId="23FC1A72" w:rsidR="00320AFD" w:rsidRPr="0004176C" w:rsidRDefault="00320AFD" w:rsidP="00111F4B">
      <w:pPr>
        <w:rPr>
          <w:sz w:val="22"/>
          <w:szCs w:val="22"/>
        </w:rPr>
      </w:pPr>
    </w:p>
    <w:p w14:paraId="2513C599" w14:textId="77777777" w:rsidR="00D56B14" w:rsidRPr="0004176C" w:rsidRDefault="00510108" w:rsidP="00AA5A80">
      <w:pPr>
        <w:pStyle w:val="ListParagraph"/>
        <w:numPr>
          <w:ilvl w:val="0"/>
          <w:numId w:val="29"/>
        </w:numPr>
        <w:rPr>
          <w:b/>
          <w:i/>
        </w:rPr>
      </w:pPr>
      <w:bookmarkStart w:id="22" w:name="_Toc528576625"/>
      <w:r w:rsidRPr="0004176C">
        <w:rPr>
          <w:b/>
          <w:i/>
        </w:rPr>
        <w:t>Planned</w:t>
      </w:r>
      <w:r w:rsidR="00D56B14" w:rsidRPr="0004176C">
        <w:rPr>
          <w:b/>
          <w:i/>
        </w:rPr>
        <w:t xml:space="preserve"> Existing Project Based Vouchers</w:t>
      </w:r>
      <w:bookmarkEnd w:id="22"/>
    </w:p>
    <w:p w14:paraId="02903DD3" w14:textId="77777777" w:rsidR="00D56B14" w:rsidRPr="0004176C" w:rsidRDefault="00D56B14" w:rsidP="00D56B14">
      <w:pPr>
        <w:rPr>
          <w:sz w:val="22"/>
          <w:szCs w:val="22"/>
        </w:rPr>
      </w:pPr>
    </w:p>
    <w:p w14:paraId="0A3DBF88" w14:textId="7A238981" w:rsidR="00BB7DE5" w:rsidRPr="0004176C" w:rsidRDefault="00F32C7C" w:rsidP="00424525">
      <w:pPr>
        <w:pStyle w:val="Heading4"/>
        <w:numPr>
          <w:ilvl w:val="0"/>
          <w:numId w:val="0"/>
        </w:numPr>
        <w:jc w:val="center"/>
        <w:rPr>
          <w:sz w:val="20"/>
          <w:szCs w:val="18"/>
        </w:rPr>
      </w:pPr>
      <w:bookmarkStart w:id="23" w:name="_Toc33016919"/>
      <w:r w:rsidRPr="0004176C">
        <w:rPr>
          <w:sz w:val="20"/>
          <w:szCs w:val="18"/>
        </w:rPr>
        <w:t xml:space="preserve">Table </w:t>
      </w:r>
      <w:r w:rsidR="00341E60" w:rsidRPr="0004176C">
        <w:rPr>
          <w:sz w:val="20"/>
          <w:szCs w:val="18"/>
        </w:rPr>
        <w:t>4</w:t>
      </w:r>
      <w:r w:rsidRPr="0004176C">
        <w:rPr>
          <w:sz w:val="20"/>
          <w:szCs w:val="18"/>
        </w:rPr>
        <w:t xml:space="preserve">: </w:t>
      </w:r>
      <w:r w:rsidR="00510108" w:rsidRPr="0004176C">
        <w:rPr>
          <w:sz w:val="20"/>
          <w:szCs w:val="18"/>
        </w:rPr>
        <w:t>Planned</w:t>
      </w:r>
      <w:r w:rsidRPr="0004176C">
        <w:rPr>
          <w:sz w:val="20"/>
          <w:szCs w:val="18"/>
        </w:rPr>
        <w:t xml:space="preserve"> Existing Project Based Vouchers</w:t>
      </w:r>
      <w:bookmarkEnd w:id="23"/>
    </w:p>
    <w:p w14:paraId="405F21DC" w14:textId="77777777" w:rsidR="00665586" w:rsidRPr="0004176C" w:rsidRDefault="00665586" w:rsidP="00665586"/>
    <w:p w14:paraId="639028C5" w14:textId="476E097E" w:rsidR="009B1E44" w:rsidRPr="0004176C" w:rsidRDefault="00665586" w:rsidP="009B1E44">
      <w:pPr>
        <w:rPr>
          <w:sz w:val="22"/>
        </w:rPr>
      </w:pPr>
      <w:r w:rsidRPr="0004176C">
        <w:rPr>
          <w:sz w:val="22"/>
        </w:rPr>
        <w:t xml:space="preserve">The projects listed on the table below represent the existing projects which </w:t>
      </w:r>
      <w:r w:rsidR="001D0505" w:rsidRPr="0004176C">
        <w:rPr>
          <w:sz w:val="22"/>
        </w:rPr>
        <w:t>are committed/leased in</w:t>
      </w:r>
      <w:r w:rsidRPr="0004176C">
        <w:rPr>
          <w:sz w:val="22"/>
        </w:rPr>
        <w:t xml:space="preserve"> DHCD’s PBV portfolio. </w:t>
      </w:r>
    </w:p>
    <w:p w14:paraId="61DBC357" w14:textId="05F554CD" w:rsidR="009B1E44" w:rsidRPr="0004176C" w:rsidRDefault="009B1E44" w:rsidP="009B1E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0"/>
        <w:gridCol w:w="1115"/>
        <w:gridCol w:w="1260"/>
        <w:gridCol w:w="1172"/>
        <w:gridCol w:w="3323"/>
      </w:tblGrid>
      <w:tr w:rsidR="00665586" w:rsidRPr="0004176C" w14:paraId="4DE3889B" w14:textId="77777777" w:rsidTr="00665586">
        <w:trPr>
          <w:trHeight w:val="1160"/>
          <w:tblHeader/>
        </w:trPr>
        <w:tc>
          <w:tcPr>
            <w:tcW w:w="1326" w:type="pct"/>
            <w:shd w:val="clear" w:color="auto" w:fill="D9D9D9" w:themeFill="background1" w:themeFillShade="D9"/>
            <w:vAlign w:val="center"/>
            <w:hideMark/>
          </w:tcPr>
          <w:p w14:paraId="20EFF5F5" w14:textId="77777777" w:rsidR="00665586" w:rsidRPr="0004176C" w:rsidRDefault="00665586" w:rsidP="00665586">
            <w:pPr>
              <w:jc w:val="center"/>
              <w:rPr>
                <w:b/>
                <w:bCs/>
                <w:color w:val="000000"/>
                <w:sz w:val="18"/>
                <w:szCs w:val="18"/>
              </w:rPr>
            </w:pPr>
            <w:r w:rsidRPr="0004176C">
              <w:rPr>
                <w:b/>
                <w:bCs/>
                <w:color w:val="000000"/>
                <w:sz w:val="18"/>
                <w:szCs w:val="18"/>
              </w:rPr>
              <w:t>Property Name</w:t>
            </w:r>
          </w:p>
        </w:tc>
        <w:tc>
          <w:tcPr>
            <w:tcW w:w="596" w:type="pct"/>
            <w:shd w:val="clear" w:color="auto" w:fill="D9D9D9" w:themeFill="background1" w:themeFillShade="D9"/>
            <w:vAlign w:val="center"/>
          </w:tcPr>
          <w:p w14:paraId="30BB893A" w14:textId="77777777" w:rsidR="00665586" w:rsidRPr="0004176C" w:rsidRDefault="00665586" w:rsidP="00665586">
            <w:pPr>
              <w:jc w:val="center"/>
              <w:rPr>
                <w:b/>
                <w:bCs/>
                <w:color w:val="000000"/>
                <w:sz w:val="18"/>
                <w:szCs w:val="18"/>
              </w:rPr>
            </w:pPr>
            <w:r w:rsidRPr="0004176C">
              <w:rPr>
                <w:b/>
                <w:bCs/>
                <w:color w:val="000000"/>
                <w:sz w:val="18"/>
                <w:szCs w:val="18"/>
              </w:rPr>
              <w:t>Number of Project-Based Vouchers</w:t>
            </w:r>
          </w:p>
        </w:tc>
        <w:tc>
          <w:tcPr>
            <w:tcW w:w="674" w:type="pct"/>
            <w:shd w:val="clear" w:color="auto" w:fill="D9D9D9" w:themeFill="background1" w:themeFillShade="D9"/>
            <w:vAlign w:val="center"/>
            <w:hideMark/>
          </w:tcPr>
          <w:p w14:paraId="258C4C04" w14:textId="77777777" w:rsidR="00665586" w:rsidRPr="0004176C" w:rsidRDefault="00665586" w:rsidP="00665586">
            <w:pPr>
              <w:jc w:val="center"/>
              <w:rPr>
                <w:b/>
                <w:bCs/>
                <w:color w:val="000000"/>
                <w:sz w:val="18"/>
                <w:szCs w:val="18"/>
              </w:rPr>
            </w:pPr>
            <w:r w:rsidRPr="0004176C">
              <w:rPr>
                <w:b/>
                <w:bCs/>
                <w:color w:val="000000"/>
                <w:sz w:val="18"/>
                <w:szCs w:val="18"/>
              </w:rPr>
              <w:t>Status at End of FY 2019</w:t>
            </w:r>
          </w:p>
        </w:tc>
        <w:tc>
          <w:tcPr>
            <w:tcW w:w="627" w:type="pct"/>
            <w:shd w:val="clear" w:color="auto" w:fill="D9D9D9" w:themeFill="background1" w:themeFillShade="D9"/>
            <w:vAlign w:val="center"/>
            <w:hideMark/>
          </w:tcPr>
          <w:p w14:paraId="124CF60B" w14:textId="6AFF96AC" w:rsidR="00665586" w:rsidRPr="0004176C" w:rsidRDefault="0000182A" w:rsidP="00665586">
            <w:pPr>
              <w:jc w:val="center"/>
              <w:rPr>
                <w:b/>
                <w:bCs/>
                <w:color w:val="000000"/>
                <w:sz w:val="18"/>
                <w:szCs w:val="18"/>
              </w:rPr>
            </w:pPr>
            <w:r w:rsidRPr="0004176C">
              <w:rPr>
                <w:b/>
                <w:bCs/>
                <w:color w:val="000000"/>
                <w:sz w:val="18"/>
                <w:szCs w:val="18"/>
              </w:rPr>
              <w:t xml:space="preserve">RAD? </w:t>
            </w:r>
          </w:p>
        </w:tc>
        <w:tc>
          <w:tcPr>
            <w:tcW w:w="1777" w:type="pct"/>
            <w:shd w:val="clear" w:color="auto" w:fill="D9D9D9" w:themeFill="background1" w:themeFillShade="D9"/>
            <w:vAlign w:val="center"/>
            <w:hideMark/>
          </w:tcPr>
          <w:p w14:paraId="2D87CD81" w14:textId="77777777" w:rsidR="00665586" w:rsidRPr="0004176C" w:rsidRDefault="00665586" w:rsidP="00665586">
            <w:pPr>
              <w:jc w:val="center"/>
              <w:rPr>
                <w:b/>
                <w:bCs/>
                <w:color w:val="000000"/>
                <w:sz w:val="18"/>
                <w:szCs w:val="18"/>
              </w:rPr>
            </w:pPr>
            <w:r w:rsidRPr="0004176C">
              <w:rPr>
                <w:b/>
                <w:bCs/>
                <w:color w:val="000000"/>
                <w:sz w:val="18"/>
                <w:szCs w:val="18"/>
              </w:rPr>
              <w:t>Description of Project</w:t>
            </w:r>
          </w:p>
        </w:tc>
      </w:tr>
      <w:tr w:rsidR="00665586" w:rsidRPr="0004176C" w14:paraId="3777929E" w14:textId="77777777" w:rsidTr="00665586">
        <w:trPr>
          <w:trHeight w:val="240"/>
        </w:trPr>
        <w:tc>
          <w:tcPr>
            <w:tcW w:w="1326" w:type="pct"/>
            <w:shd w:val="clear" w:color="auto" w:fill="auto"/>
            <w:vAlign w:val="center"/>
            <w:hideMark/>
          </w:tcPr>
          <w:p w14:paraId="2CFC8BBC" w14:textId="77777777" w:rsidR="00665586" w:rsidRPr="0004176C" w:rsidRDefault="00665586" w:rsidP="00665586">
            <w:pPr>
              <w:jc w:val="center"/>
              <w:rPr>
                <w:color w:val="000000"/>
                <w:sz w:val="18"/>
                <w:szCs w:val="18"/>
              </w:rPr>
            </w:pPr>
            <w:r w:rsidRPr="0004176C">
              <w:rPr>
                <w:color w:val="000000"/>
                <w:sz w:val="18"/>
                <w:szCs w:val="18"/>
              </w:rPr>
              <w:t>1060 Belmont Street</w:t>
            </w:r>
          </w:p>
        </w:tc>
        <w:tc>
          <w:tcPr>
            <w:tcW w:w="596" w:type="pct"/>
            <w:shd w:val="clear" w:color="auto" w:fill="auto"/>
            <w:vAlign w:val="center"/>
            <w:hideMark/>
          </w:tcPr>
          <w:p w14:paraId="6F897493" w14:textId="77777777" w:rsidR="00665586" w:rsidRPr="0004176C" w:rsidRDefault="00665586" w:rsidP="00665586">
            <w:pPr>
              <w:jc w:val="center"/>
              <w:rPr>
                <w:color w:val="000000"/>
                <w:sz w:val="18"/>
                <w:szCs w:val="18"/>
              </w:rPr>
            </w:pPr>
            <w:r w:rsidRPr="0004176C">
              <w:rPr>
                <w:color w:val="000000"/>
                <w:sz w:val="18"/>
                <w:szCs w:val="18"/>
              </w:rPr>
              <w:t>7</w:t>
            </w:r>
          </w:p>
        </w:tc>
        <w:tc>
          <w:tcPr>
            <w:tcW w:w="674" w:type="pct"/>
            <w:shd w:val="clear" w:color="auto" w:fill="auto"/>
            <w:vAlign w:val="center"/>
            <w:hideMark/>
          </w:tcPr>
          <w:p w14:paraId="074A1DF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16C8298"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ADAD057"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5FDAEFC1" w14:textId="77777777" w:rsidTr="00665586">
        <w:trPr>
          <w:trHeight w:val="240"/>
        </w:trPr>
        <w:tc>
          <w:tcPr>
            <w:tcW w:w="1326" w:type="pct"/>
            <w:shd w:val="clear" w:color="auto" w:fill="auto"/>
            <w:vAlign w:val="center"/>
            <w:hideMark/>
          </w:tcPr>
          <w:p w14:paraId="0140785E" w14:textId="77777777" w:rsidR="00665586" w:rsidRPr="0004176C" w:rsidRDefault="00665586" w:rsidP="00665586">
            <w:pPr>
              <w:jc w:val="center"/>
              <w:rPr>
                <w:color w:val="000000"/>
                <w:sz w:val="18"/>
                <w:szCs w:val="18"/>
              </w:rPr>
            </w:pPr>
            <w:r w:rsidRPr="0004176C">
              <w:rPr>
                <w:color w:val="000000"/>
                <w:sz w:val="18"/>
                <w:szCs w:val="18"/>
              </w:rPr>
              <w:t>108 Newbury Street</w:t>
            </w:r>
          </w:p>
        </w:tc>
        <w:tc>
          <w:tcPr>
            <w:tcW w:w="596" w:type="pct"/>
            <w:shd w:val="clear" w:color="auto" w:fill="auto"/>
            <w:vAlign w:val="center"/>
            <w:hideMark/>
          </w:tcPr>
          <w:p w14:paraId="21564DC5"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06F24B13"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836C1FA"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7BC5A25" w14:textId="77777777" w:rsidR="00665586" w:rsidRPr="0004176C" w:rsidRDefault="00665586" w:rsidP="00665586">
            <w:pPr>
              <w:jc w:val="center"/>
              <w:rPr>
                <w:color w:val="000000"/>
                <w:sz w:val="18"/>
                <w:szCs w:val="18"/>
              </w:rPr>
            </w:pPr>
            <w:r w:rsidRPr="0004176C">
              <w:rPr>
                <w:color w:val="000000"/>
                <w:sz w:val="18"/>
                <w:szCs w:val="18"/>
              </w:rPr>
              <w:t>Family - New construction of four-story building</w:t>
            </w:r>
          </w:p>
        </w:tc>
      </w:tr>
      <w:tr w:rsidR="00665586" w:rsidRPr="0004176C" w14:paraId="7031E8E3" w14:textId="77777777" w:rsidTr="00665586">
        <w:trPr>
          <w:trHeight w:val="240"/>
        </w:trPr>
        <w:tc>
          <w:tcPr>
            <w:tcW w:w="1326" w:type="pct"/>
            <w:shd w:val="clear" w:color="auto" w:fill="auto"/>
            <w:vAlign w:val="center"/>
            <w:hideMark/>
          </w:tcPr>
          <w:p w14:paraId="6D2CAB0C" w14:textId="77777777" w:rsidR="00665586" w:rsidRPr="0004176C" w:rsidRDefault="00665586" w:rsidP="00665586">
            <w:pPr>
              <w:jc w:val="center"/>
              <w:rPr>
                <w:color w:val="000000"/>
                <w:sz w:val="18"/>
                <w:szCs w:val="18"/>
              </w:rPr>
            </w:pPr>
            <w:r w:rsidRPr="0004176C">
              <w:rPr>
                <w:color w:val="000000"/>
                <w:sz w:val="18"/>
                <w:szCs w:val="18"/>
              </w:rPr>
              <w:t>109 Gilman Street</w:t>
            </w:r>
          </w:p>
        </w:tc>
        <w:tc>
          <w:tcPr>
            <w:tcW w:w="596" w:type="pct"/>
            <w:shd w:val="clear" w:color="auto" w:fill="auto"/>
            <w:vAlign w:val="center"/>
            <w:hideMark/>
          </w:tcPr>
          <w:p w14:paraId="65AACB1E" w14:textId="77777777" w:rsidR="00665586" w:rsidRPr="0004176C" w:rsidRDefault="00665586" w:rsidP="00665586">
            <w:pPr>
              <w:jc w:val="center"/>
              <w:rPr>
                <w:color w:val="000000"/>
                <w:sz w:val="18"/>
                <w:szCs w:val="18"/>
              </w:rPr>
            </w:pPr>
            <w:r w:rsidRPr="0004176C">
              <w:rPr>
                <w:color w:val="000000"/>
                <w:sz w:val="18"/>
                <w:szCs w:val="18"/>
              </w:rPr>
              <w:t>1</w:t>
            </w:r>
          </w:p>
        </w:tc>
        <w:tc>
          <w:tcPr>
            <w:tcW w:w="674" w:type="pct"/>
            <w:shd w:val="clear" w:color="auto" w:fill="auto"/>
            <w:vAlign w:val="center"/>
            <w:hideMark/>
          </w:tcPr>
          <w:p w14:paraId="643F1D21"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44D7605"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AB58166" w14:textId="77777777" w:rsidR="00665586" w:rsidRPr="0004176C" w:rsidRDefault="00665586" w:rsidP="00665586">
            <w:pPr>
              <w:jc w:val="center"/>
              <w:rPr>
                <w:color w:val="000000"/>
                <w:sz w:val="18"/>
                <w:szCs w:val="18"/>
              </w:rPr>
            </w:pPr>
            <w:r w:rsidRPr="0004176C">
              <w:rPr>
                <w:color w:val="000000"/>
                <w:sz w:val="18"/>
                <w:szCs w:val="18"/>
              </w:rPr>
              <w:t>Family unit</w:t>
            </w:r>
          </w:p>
        </w:tc>
      </w:tr>
      <w:tr w:rsidR="00665586" w:rsidRPr="0004176C" w14:paraId="77E35156" w14:textId="77777777" w:rsidTr="00665586">
        <w:trPr>
          <w:trHeight w:val="240"/>
        </w:trPr>
        <w:tc>
          <w:tcPr>
            <w:tcW w:w="1326" w:type="pct"/>
            <w:shd w:val="clear" w:color="auto" w:fill="auto"/>
            <w:vAlign w:val="center"/>
            <w:hideMark/>
          </w:tcPr>
          <w:p w14:paraId="45C04D91" w14:textId="77777777" w:rsidR="00665586" w:rsidRPr="0004176C" w:rsidRDefault="00665586" w:rsidP="00665586">
            <w:pPr>
              <w:jc w:val="center"/>
              <w:rPr>
                <w:color w:val="000000"/>
                <w:sz w:val="18"/>
                <w:szCs w:val="18"/>
              </w:rPr>
            </w:pPr>
            <w:r w:rsidRPr="0004176C">
              <w:rPr>
                <w:color w:val="000000"/>
                <w:sz w:val="18"/>
                <w:szCs w:val="18"/>
              </w:rPr>
              <w:t>1129 Dorchester Avenue</w:t>
            </w:r>
          </w:p>
        </w:tc>
        <w:tc>
          <w:tcPr>
            <w:tcW w:w="596" w:type="pct"/>
            <w:shd w:val="clear" w:color="auto" w:fill="auto"/>
            <w:vAlign w:val="center"/>
            <w:hideMark/>
          </w:tcPr>
          <w:p w14:paraId="7D6C8C50"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484FD4B2"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99F7F6A"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6E7DBAD"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7861DD79" w14:textId="77777777" w:rsidTr="00665586">
        <w:trPr>
          <w:trHeight w:val="240"/>
        </w:trPr>
        <w:tc>
          <w:tcPr>
            <w:tcW w:w="1326" w:type="pct"/>
            <w:shd w:val="clear" w:color="auto" w:fill="auto"/>
            <w:vAlign w:val="center"/>
            <w:hideMark/>
          </w:tcPr>
          <w:p w14:paraId="66B45A1C" w14:textId="77777777" w:rsidR="00665586" w:rsidRPr="0004176C" w:rsidRDefault="00665586" w:rsidP="00665586">
            <w:pPr>
              <w:jc w:val="center"/>
              <w:rPr>
                <w:color w:val="000000"/>
                <w:sz w:val="18"/>
                <w:szCs w:val="18"/>
              </w:rPr>
            </w:pPr>
            <w:r w:rsidRPr="0004176C">
              <w:rPr>
                <w:color w:val="000000"/>
                <w:sz w:val="18"/>
                <w:szCs w:val="18"/>
              </w:rPr>
              <w:t>1202 Commonwealth Avenue</w:t>
            </w:r>
          </w:p>
        </w:tc>
        <w:tc>
          <w:tcPr>
            <w:tcW w:w="596" w:type="pct"/>
            <w:shd w:val="clear" w:color="auto" w:fill="auto"/>
            <w:vAlign w:val="center"/>
            <w:hideMark/>
          </w:tcPr>
          <w:p w14:paraId="2FF1C667" w14:textId="77777777" w:rsidR="00665586" w:rsidRPr="0004176C" w:rsidRDefault="00665586" w:rsidP="00665586">
            <w:pPr>
              <w:jc w:val="center"/>
              <w:rPr>
                <w:color w:val="000000"/>
                <w:sz w:val="18"/>
                <w:szCs w:val="18"/>
              </w:rPr>
            </w:pPr>
            <w:r w:rsidRPr="0004176C">
              <w:rPr>
                <w:color w:val="000000"/>
                <w:sz w:val="18"/>
                <w:szCs w:val="18"/>
              </w:rPr>
              <w:t>6</w:t>
            </w:r>
          </w:p>
        </w:tc>
        <w:tc>
          <w:tcPr>
            <w:tcW w:w="674" w:type="pct"/>
            <w:shd w:val="clear" w:color="auto" w:fill="auto"/>
            <w:vAlign w:val="center"/>
            <w:hideMark/>
          </w:tcPr>
          <w:p w14:paraId="69553C46"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5F647F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434605E" w14:textId="77777777" w:rsidR="00665586" w:rsidRPr="0004176C" w:rsidRDefault="00665586" w:rsidP="00665586">
            <w:pPr>
              <w:jc w:val="center"/>
              <w:rPr>
                <w:color w:val="000000"/>
                <w:sz w:val="18"/>
                <w:szCs w:val="18"/>
              </w:rPr>
            </w:pPr>
            <w:r w:rsidRPr="0004176C">
              <w:rPr>
                <w:color w:val="000000"/>
                <w:sz w:val="18"/>
                <w:szCs w:val="18"/>
              </w:rPr>
              <w:t>Units for homeless individuals</w:t>
            </w:r>
          </w:p>
        </w:tc>
      </w:tr>
      <w:tr w:rsidR="00665586" w:rsidRPr="0004176C" w14:paraId="28A7B27F" w14:textId="77777777" w:rsidTr="00665586">
        <w:trPr>
          <w:trHeight w:val="480"/>
        </w:trPr>
        <w:tc>
          <w:tcPr>
            <w:tcW w:w="1326" w:type="pct"/>
            <w:shd w:val="clear" w:color="auto" w:fill="auto"/>
            <w:vAlign w:val="center"/>
          </w:tcPr>
          <w:p w14:paraId="5D7A574D" w14:textId="05CA8337" w:rsidR="00665586" w:rsidRPr="0004176C" w:rsidRDefault="00665586" w:rsidP="00665586">
            <w:pPr>
              <w:jc w:val="center"/>
              <w:rPr>
                <w:sz w:val="18"/>
                <w:szCs w:val="18"/>
              </w:rPr>
            </w:pPr>
            <w:r w:rsidRPr="0004176C">
              <w:rPr>
                <w:sz w:val="18"/>
                <w:szCs w:val="18"/>
              </w:rPr>
              <w:t>126 Chandler Street, Worcester **</w:t>
            </w:r>
          </w:p>
        </w:tc>
        <w:tc>
          <w:tcPr>
            <w:tcW w:w="596" w:type="pct"/>
            <w:shd w:val="clear" w:color="auto" w:fill="auto"/>
            <w:vAlign w:val="center"/>
          </w:tcPr>
          <w:p w14:paraId="397417FD"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35C917C8"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7EA22972"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2E1CF9CB" w14:textId="77777777" w:rsidR="00665586" w:rsidRPr="0004176C" w:rsidRDefault="00665586" w:rsidP="00665586">
            <w:pPr>
              <w:jc w:val="center"/>
              <w:rPr>
                <w:sz w:val="18"/>
                <w:szCs w:val="18"/>
              </w:rPr>
            </w:pPr>
            <w:r w:rsidRPr="0004176C">
              <w:rPr>
                <w:sz w:val="18"/>
                <w:szCs w:val="18"/>
              </w:rPr>
              <w:t>New Construction – Family Housing</w:t>
            </w:r>
          </w:p>
        </w:tc>
      </w:tr>
      <w:tr w:rsidR="00665586" w:rsidRPr="0004176C" w14:paraId="76FB1036" w14:textId="77777777" w:rsidTr="00665586">
        <w:trPr>
          <w:trHeight w:val="240"/>
        </w:trPr>
        <w:tc>
          <w:tcPr>
            <w:tcW w:w="1326" w:type="pct"/>
            <w:shd w:val="clear" w:color="auto" w:fill="auto"/>
            <w:vAlign w:val="center"/>
            <w:hideMark/>
          </w:tcPr>
          <w:p w14:paraId="44776C22" w14:textId="77777777" w:rsidR="00665586" w:rsidRPr="0004176C" w:rsidRDefault="00665586" w:rsidP="00665586">
            <w:pPr>
              <w:jc w:val="center"/>
              <w:rPr>
                <w:color w:val="000000"/>
                <w:sz w:val="18"/>
                <w:szCs w:val="18"/>
              </w:rPr>
            </w:pPr>
            <w:r w:rsidRPr="0004176C">
              <w:rPr>
                <w:color w:val="000000"/>
                <w:sz w:val="18"/>
                <w:szCs w:val="18"/>
              </w:rPr>
              <w:t>1285-1291 Mass Avenue</w:t>
            </w:r>
          </w:p>
        </w:tc>
        <w:tc>
          <w:tcPr>
            <w:tcW w:w="596" w:type="pct"/>
            <w:shd w:val="clear" w:color="auto" w:fill="auto"/>
            <w:vAlign w:val="center"/>
            <w:hideMark/>
          </w:tcPr>
          <w:p w14:paraId="347C1E75"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18A93AA2"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F3B214F"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A799FFB"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0048DED0" w14:textId="77777777" w:rsidTr="00665586">
        <w:trPr>
          <w:trHeight w:val="480"/>
        </w:trPr>
        <w:tc>
          <w:tcPr>
            <w:tcW w:w="1326" w:type="pct"/>
            <w:shd w:val="clear" w:color="auto" w:fill="auto"/>
            <w:vAlign w:val="center"/>
          </w:tcPr>
          <w:p w14:paraId="18A9D205" w14:textId="77777777" w:rsidR="00665586" w:rsidRPr="0004176C" w:rsidRDefault="00665586" w:rsidP="00665586">
            <w:pPr>
              <w:jc w:val="center"/>
              <w:rPr>
                <w:sz w:val="18"/>
                <w:szCs w:val="18"/>
              </w:rPr>
            </w:pPr>
            <w:r w:rsidRPr="0004176C">
              <w:rPr>
                <w:sz w:val="18"/>
                <w:szCs w:val="18"/>
              </w:rPr>
              <w:t>132 Chestnut Hill Ave.,</w:t>
            </w:r>
          </w:p>
          <w:p w14:paraId="45EABA98" w14:textId="77777777" w:rsidR="00665586" w:rsidRPr="0004176C" w:rsidRDefault="00665586" w:rsidP="00665586">
            <w:pPr>
              <w:jc w:val="center"/>
              <w:rPr>
                <w:color w:val="000000"/>
                <w:sz w:val="18"/>
                <w:szCs w:val="18"/>
              </w:rPr>
            </w:pPr>
            <w:r w:rsidRPr="0004176C">
              <w:rPr>
                <w:sz w:val="18"/>
                <w:szCs w:val="18"/>
              </w:rPr>
              <w:t>Boston</w:t>
            </w:r>
          </w:p>
        </w:tc>
        <w:tc>
          <w:tcPr>
            <w:tcW w:w="596" w:type="pct"/>
            <w:shd w:val="clear" w:color="auto" w:fill="auto"/>
            <w:vAlign w:val="center"/>
          </w:tcPr>
          <w:p w14:paraId="59053C93" w14:textId="77777777" w:rsidR="00665586" w:rsidRPr="0004176C" w:rsidRDefault="00665586" w:rsidP="00665586">
            <w:pPr>
              <w:jc w:val="center"/>
              <w:rPr>
                <w:color w:val="000000"/>
                <w:sz w:val="18"/>
                <w:szCs w:val="18"/>
              </w:rPr>
            </w:pPr>
            <w:r w:rsidRPr="0004176C">
              <w:rPr>
                <w:sz w:val="18"/>
                <w:szCs w:val="18"/>
              </w:rPr>
              <w:t>8</w:t>
            </w:r>
          </w:p>
        </w:tc>
        <w:tc>
          <w:tcPr>
            <w:tcW w:w="674" w:type="pct"/>
            <w:shd w:val="clear" w:color="auto" w:fill="auto"/>
            <w:vAlign w:val="center"/>
          </w:tcPr>
          <w:p w14:paraId="38F1A7B3" w14:textId="77777777" w:rsidR="00665586" w:rsidRPr="0004176C" w:rsidRDefault="00665586" w:rsidP="00665586">
            <w:pPr>
              <w:jc w:val="center"/>
              <w:rPr>
                <w:color w:val="000000"/>
                <w:sz w:val="18"/>
                <w:szCs w:val="18"/>
              </w:rPr>
            </w:pPr>
            <w:r w:rsidRPr="0004176C">
              <w:rPr>
                <w:sz w:val="18"/>
                <w:szCs w:val="18"/>
              </w:rPr>
              <w:t>Leased/Issued</w:t>
            </w:r>
          </w:p>
        </w:tc>
        <w:tc>
          <w:tcPr>
            <w:tcW w:w="627" w:type="pct"/>
            <w:shd w:val="clear" w:color="auto" w:fill="auto"/>
            <w:vAlign w:val="center"/>
          </w:tcPr>
          <w:p w14:paraId="29BB3EC4"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0F63BCA6" w14:textId="77777777" w:rsidR="00665586" w:rsidRPr="0004176C" w:rsidRDefault="00665586" w:rsidP="00665586">
            <w:pPr>
              <w:jc w:val="center"/>
              <w:rPr>
                <w:color w:val="000000"/>
                <w:sz w:val="18"/>
                <w:szCs w:val="18"/>
              </w:rPr>
            </w:pPr>
            <w:r w:rsidRPr="0004176C">
              <w:rPr>
                <w:rFonts w:eastAsia="Calibri"/>
                <w:sz w:val="18"/>
                <w:szCs w:val="18"/>
              </w:rPr>
              <w:t>New Construction – Elderly Housing</w:t>
            </w:r>
          </w:p>
        </w:tc>
      </w:tr>
      <w:tr w:rsidR="00665586" w:rsidRPr="0004176C" w14:paraId="055B61EE" w14:textId="77777777" w:rsidTr="00665586">
        <w:trPr>
          <w:trHeight w:val="240"/>
        </w:trPr>
        <w:tc>
          <w:tcPr>
            <w:tcW w:w="1326" w:type="pct"/>
            <w:shd w:val="clear" w:color="auto" w:fill="auto"/>
            <w:vAlign w:val="center"/>
            <w:hideMark/>
          </w:tcPr>
          <w:p w14:paraId="06986F03" w14:textId="77777777" w:rsidR="00665586" w:rsidRPr="0004176C" w:rsidRDefault="00665586" w:rsidP="00665586">
            <w:pPr>
              <w:jc w:val="center"/>
              <w:rPr>
                <w:color w:val="000000"/>
                <w:sz w:val="18"/>
                <w:szCs w:val="18"/>
              </w:rPr>
            </w:pPr>
            <w:r w:rsidRPr="0004176C">
              <w:rPr>
                <w:color w:val="000000"/>
                <w:sz w:val="18"/>
                <w:szCs w:val="18"/>
              </w:rPr>
              <w:t>140 East Street</w:t>
            </w:r>
          </w:p>
        </w:tc>
        <w:tc>
          <w:tcPr>
            <w:tcW w:w="596" w:type="pct"/>
            <w:shd w:val="clear" w:color="auto" w:fill="auto"/>
            <w:vAlign w:val="center"/>
            <w:hideMark/>
          </w:tcPr>
          <w:p w14:paraId="20E78855" w14:textId="77777777" w:rsidR="00665586" w:rsidRPr="0004176C" w:rsidRDefault="00665586" w:rsidP="00665586">
            <w:pPr>
              <w:jc w:val="center"/>
              <w:rPr>
                <w:color w:val="000000"/>
                <w:sz w:val="18"/>
                <w:szCs w:val="18"/>
              </w:rPr>
            </w:pPr>
            <w:r w:rsidRPr="0004176C">
              <w:rPr>
                <w:color w:val="000000"/>
                <w:sz w:val="18"/>
                <w:szCs w:val="18"/>
              </w:rPr>
              <w:t>2</w:t>
            </w:r>
          </w:p>
        </w:tc>
        <w:tc>
          <w:tcPr>
            <w:tcW w:w="674" w:type="pct"/>
            <w:shd w:val="clear" w:color="auto" w:fill="auto"/>
            <w:vAlign w:val="center"/>
            <w:hideMark/>
          </w:tcPr>
          <w:p w14:paraId="6D65D63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6D8E65E"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A0AA4A6"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2C41258B" w14:textId="77777777" w:rsidTr="00665586">
        <w:trPr>
          <w:trHeight w:val="240"/>
        </w:trPr>
        <w:tc>
          <w:tcPr>
            <w:tcW w:w="1326" w:type="pct"/>
            <w:shd w:val="clear" w:color="auto" w:fill="auto"/>
            <w:vAlign w:val="center"/>
            <w:hideMark/>
          </w:tcPr>
          <w:p w14:paraId="1DC8910C" w14:textId="77777777" w:rsidR="00665586" w:rsidRPr="0004176C" w:rsidRDefault="00665586" w:rsidP="00665586">
            <w:pPr>
              <w:jc w:val="center"/>
              <w:rPr>
                <w:color w:val="000000"/>
                <w:sz w:val="18"/>
                <w:szCs w:val="18"/>
              </w:rPr>
            </w:pPr>
            <w:r w:rsidRPr="0004176C">
              <w:rPr>
                <w:color w:val="000000"/>
                <w:sz w:val="18"/>
                <w:szCs w:val="18"/>
              </w:rPr>
              <w:t>14-24 Roach Street</w:t>
            </w:r>
          </w:p>
        </w:tc>
        <w:tc>
          <w:tcPr>
            <w:tcW w:w="596" w:type="pct"/>
            <w:shd w:val="clear" w:color="auto" w:fill="auto"/>
            <w:vAlign w:val="center"/>
            <w:hideMark/>
          </w:tcPr>
          <w:p w14:paraId="32714BEE"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F7AC9BF"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49A6785"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2824FEE"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1FEB1A29" w14:textId="77777777" w:rsidTr="00665586">
        <w:trPr>
          <w:trHeight w:val="240"/>
        </w:trPr>
        <w:tc>
          <w:tcPr>
            <w:tcW w:w="1326" w:type="pct"/>
            <w:shd w:val="clear" w:color="auto" w:fill="auto"/>
            <w:vAlign w:val="center"/>
            <w:hideMark/>
          </w:tcPr>
          <w:p w14:paraId="5A4A154B" w14:textId="77777777" w:rsidR="00665586" w:rsidRPr="0004176C" w:rsidRDefault="00665586" w:rsidP="00665586">
            <w:pPr>
              <w:jc w:val="center"/>
              <w:rPr>
                <w:color w:val="000000"/>
                <w:sz w:val="18"/>
                <w:szCs w:val="18"/>
              </w:rPr>
            </w:pPr>
            <w:r w:rsidRPr="0004176C">
              <w:rPr>
                <w:color w:val="000000"/>
                <w:sz w:val="18"/>
                <w:szCs w:val="18"/>
              </w:rPr>
              <w:t>154-168 Eagle Street</w:t>
            </w:r>
          </w:p>
        </w:tc>
        <w:tc>
          <w:tcPr>
            <w:tcW w:w="596" w:type="pct"/>
            <w:shd w:val="clear" w:color="auto" w:fill="auto"/>
            <w:vAlign w:val="center"/>
            <w:hideMark/>
          </w:tcPr>
          <w:p w14:paraId="671FC93E"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4978380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40B0D1C"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702C276" w14:textId="77777777" w:rsidR="00665586" w:rsidRPr="0004176C" w:rsidRDefault="00665586" w:rsidP="00665586">
            <w:pPr>
              <w:jc w:val="center"/>
              <w:rPr>
                <w:color w:val="000000"/>
                <w:sz w:val="18"/>
                <w:szCs w:val="18"/>
              </w:rPr>
            </w:pPr>
            <w:r w:rsidRPr="0004176C">
              <w:rPr>
                <w:color w:val="000000"/>
                <w:sz w:val="18"/>
                <w:szCs w:val="18"/>
              </w:rPr>
              <w:t>Family units; supportive services</w:t>
            </w:r>
          </w:p>
        </w:tc>
      </w:tr>
      <w:tr w:rsidR="00665586" w:rsidRPr="0004176C" w14:paraId="5C614C44" w14:textId="77777777" w:rsidTr="00665586">
        <w:trPr>
          <w:trHeight w:val="240"/>
        </w:trPr>
        <w:tc>
          <w:tcPr>
            <w:tcW w:w="1326" w:type="pct"/>
            <w:shd w:val="clear" w:color="auto" w:fill="auto"/>
            <w:vAlign w:val="center"/>
            <w:hideMark/>
          </w:tcPr>
          <w:p w14:paraId="195762F3" w14:textId="3530EB8B" w:rsidR="00665586" w:rsidRPr="0004176C" w:rsidRDefault="00665586" w:rsidP="00665586">
            <w:pPr>
              <w:jc w:val="center"/>
              <w:rPr>
                <w:color w:val="000000"/>
                <w:sz w:val="18"/>
                <w:szCs w:val="18"/>
              </w:rPr>
            </w:pPr>
            <w:r w:rsidRPr="0004176C">
              <w:rPr>
                <w:color w:val="000000"/>
                <w:sz w:val="18"/>
                <w:szCs w:val="18"/>
              </w:rPr>
              <w:t>165 Winter Street</w:t>
            </w:r>
          </w:p>
        </w:tc>
        <w:tc>
          <w:tcPr>
            <w:tcW w:w="596" w:type="pct"/>
            <w:shd w:val="clear" w:color="auto" w:fill="auto"/>
            <w:vAlign w:val="center"/>
            <w:hideMark/>
          </w:tcPr>
          <w:p w14:paraId="487BC5C4" w14:textId="77777777" w:rsidR="00665586" w:rsidRPr="0004176C" w:rsidRDefault="00665586" w:rsidP="00665586">
            <w:pPr>
              <w:jc w:val="center"/>
              <w:rPr>
                <w:color w:val="000000"/>
                <w:sz w:val="18"/>
                <w:szCs w:val="18"/>
              </w:rPr>
            </w:pPr>
            <w:r w:rsidRPr="0004176C">
              <w:rPr>
                <w:color w:val="000000"/>
                <w:sz w:val="18"/>
                <w:szCs w:val="18"/>
              </w:rPr>
              <w:t>3</w:t>
            </w:r>
          </w:p>
        </w:tc>
        <w:tc>
          <w:tcPr>
            <w:tcW w:w="674" w:type="pct"/>
            <w:shd w:val="clear" w:color="auto" w:fill="auto"/>
            <w:vAlign w:val="center"/>
            <w:hideMark/>
          </w:tcPr>
          <w:p w14:paraId="4F5EC09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10FA9F8"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0F83049" w14:textId="77777777" w:rsidR="00665586" w:rsidRPr="0004176C" w:rsidRDefault="00665586" w:rsidP="00665586">
            <w:pPr>
              <w:jc w:val="center"/>
              <w:rPr>
                <w:color w:val="000000"/>
                <w:sz w:val="18"/>
                <w:szCs w:val="18"/>
              </w:rPr>
            </w:pPr>
            <w:r w:rsidRPr="0004176C">
              <w:rPr>
                <w:color w:val="000000"/>
                <w:sz w:val="18"/>
                <w:szCs w:val="18"/>
              </w:rPr>
              <w:t>Family - Substantial rehab of historic former school</w:t>
            </w:r>
          </w:p>
        </w:tc>
      </w:tr>
      <w:tr w:rsidR="00665586" w:rsidRPr="0004176C" w14:paraId="0008BCC8" w14:textId="77777777" w:rsidTr="00665586">
        <w:trPr>
          <w:trHeight w:val="240"/>
        </w:trPr>
        <w:tc>
          <w:tcPr>
            <w:tcW w:w="1326" w:type="pct"/>
            <w:shd w:val="clear" w:color="auto" w:fill="auto"/>
            <w:vAlign w:val="center"/>
            <w:hideMark/>
          </w:tcPr>
          <w:p w14:paraId="1BB7B9A7" w14:textId="77777777" w:rsidR="00665586" w:rsidRPr="0004176C" w:rsidRDefault="00665586" w:rsidP="00665586">
            <w:pPr>
              <w:jc w:val="center"/>
              <w:rPr>
                <w:color w:val="000000"/>
                <w:sz w:val="18"/>
                <w:szCs w:val="18"/>
              </w:rPr>
            </w:pPr>
            <w:r w:rsidRPr="0004176C">
              <w:rPr>
                <w:color w:val="000000"/>
                <w:sz w:val="18"/>
                <w:szCs w:val="18"/>
              </w:rPr>
              <w:t>1-7 Piedmont Street</w:t>
            </w:r>
          </w:p>
        </w:tc>
        <w:tc>
          <w:tcPr>
            <w:tcW w:w="596" w:type="pct"/>
            <w:shd w:val="clear" w:color="auto" w:fill="auto"/>
            <w:vAlign w:val="center"/>
            <w:hideMark/>
          </w:tcPr>
          <w:p w14:paraId="7259F330" w14:textId="77777777" w:rsidR="00665586" w:rsidRPr="0004176C" w:rsidRDefault="00665586" w:rsidP="00665586">
            <w:pPr>
              <w:jc w:val="center"/>
              <w:rPr>
                <w:color w:val="000000"/>
                <w:sz w:val="18"/>
                <w:szCs w:val="18"/>
              </w:rPr>
            </w:pPr>
            <w:r w:rsidRPr="0004176C">
              <w:rPr>
                <w:color w:val="000000"/>
                <w:sz w:val="18"/>
                <w:szCs w:val="18"/>
              </w:rPr>
              <w:t>3</w:t>
            </w:r>
          </w:p>
        </w:tc>
        <w:tc>
          <w:tcPr>
            <w:tcW w:w="674" w:type="pct"/>
            <w:shd w:val="clear" w:color="auto" w:fill="auto"/>
            <w:vAlign w:val="center"/>
            <w:hideMark/>
          </w:tcPr>
          <w:p w14:paraId="7FD36920"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C74F805"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E5BBA58"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75B8B852" w14:textId="77777777" w:rsidTr="00665586">
        <w:trPr>
          <w:trHeight w:val="240"/>
        </w:trPr>
        <w:tc>
          <w:tcPr>
            <w:tcW w:w="1326" w:type="pct"/>
            <w:shd w:val="clear" w:color="auto" w:fill="auto"/>
            <w:vAlign w:val="center"/>
            <w:hideMark/>
          </w:tcPr>
          <w:p w14:paraId="6A3EECF7" w14:textId="77777777" w:rsidR="00665586" w:rsidRPr="0004176C" w:rsidRDefault="00665586" w:rsidP="00665586">
            <w:pPr>
              <w:jc w:val="center"/>
              <w:rPr>
                <w:color w:val="000000"/>
                <w:sz w:val="18"/>
                <w:szCs w:val="18"/>
              </w:rPr>
            </w:pPr>
            <w:r w:rsidRPr="0004176C">
              <w:rPr>
                <w:color w:val="000000"/>
                <w:sz w:val="18"/>
                <w:szCs w:val="18"/>
              </w:rPr>
              <w:t>1740 Washington Street</w:t>
            </w:r>
          </w:p>
        </w:tc>
        <w:tc>
          <w:tcPr>
            <w:tcW w:w="596" w:type="pct"/>
            <w:shd w:val="clear" w:color="auto" w:fill="auto"/>
            <w:vAlign w:val="center"/>
            <w:hideMark/>
          </w:tcPr>
          <w:p w14:paraId="0B15B54C"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5AD8E57F"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DE91E8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3447E94" w14:textId="77777777" w:rsidR="00665586" w:rsidRPr="0004176C" w:rsidRDefault="00665586" w:rsidP="00665586">
            <w:pPr>
              <w:jc w:val="center"/>
              <w:rPr>
                <w:color w:val="000000"/>
                <w:sz w:val="18"/>
                <w:szCs w:val="18"/>
              </w:rPr>
            </w:pPr>
            <w:r w:rsidRPr="0004176C">
              <w:rPr>
                <w:color w:val="000000"/>
                <w:sz w:val="18"/>
                <w:szCs w:val="18"/>
              </w:rPr>
              <w:t>Units for homeless individuals</w:t>
            </w:r>
          </w:p>
        </w:tc>
      </w:tr>
      <w:tr w:rsidR="00665586" w:rsidRPr="0004176C" w14:paraId="15F1FE52" w14:textId="77777777" w:rsidTr="00665586">
        <w:trPr>
          <w:trHeight w:val="240"/>
        </w:trPr>
        <w:tc>
          <w:tcPr>
            <w:tcW w:w="1326" w:type="pct"/>
            <w:shd w:val="clear" w:color="auto" w:fill="auto"/>
            <w:vAlign w:val="center"/>
            <w:hideMark/>
          </w:tcPr>
          <w:p w14:paraId="4A8429B6" w14:textId="77777777" w:rsidR="00665586" w:rsidRPr="0004176C" w:rsidRDefault="00665586" w:rsidP="00665586">
            <w:pPr>
              <w:jc w:val="center"/>
              <w:rPr>
                <w:color w:val="000000"/>
                <w:sz w:val="18"/>
                <w:szCs w:val="18"/>
              </w:rPr>
            </w:pPr>
            <w:r w:rsidRPr="0004176C">
              <w:rPr>
                <w:color w:val="000000"/>
                <w:sz w:val="18"/>
                <w:szCs w:val="18"/>
              </w:rPr>
              <w:t>181 Washington Street</w:t>
            </w:r>
          </w:p>
        </w:tc>
        <w:tc>
          <w:tcPr>
            <w:tcW w:w="596" w:type="pct"/>
            <w:shd w:val="clear" w:color="auto" w:fill="auto"/>
            <w:vAlign w:val="center"/>
            <w:hideMark/>
          </w:tcPr>
          <w:p w14:paraId="4B4108B4"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18F7B636"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21600C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1286686" w14:textId="77777777" w:rsidR="00665586" w:rsidRPr="0004176C" w:rsidRDefault="00665586" w:rsidP="00665586">
            <w:pPr>
              <w:jc w:val="center"/>
              <w:rPr>
                <w:color w:val="000000"/>
                <w:sz w:val="18"/>
                <w:szCs w:val="18"/>
              </w:rPr>
            </w:pPr>
            <w:r w:rsidRPr="0004176C">
              <w:rPr>
                <w:color w:val="000000"/>
                <w:sz w:val="18"/>
                <w:szCs w:val="18"/>
              </w:rPr>
              <w:t>Family - New construction of four-story, mixed-use building</w:t>
            </w:r>
          </w:p>
        </w:tc>
      </w:tr>
      <w:tr w:rsidR="00665586" w:rsidRPr="0004176C" w14:paraId="27F81525" w14:textId="77777777" w:rsidTr="00665586">
        <w:trPr>
          <w:trHeight w:val="240"/>
        </w:trPr>
        <w:tc>
          <w:tcPr>
            <w:tcW w:w="1326" w:type="pct"/>
            <w:shd w:val="clear" w:color="auto" w:fill="auto"/>
            <w:vAlign w:val="center"/>
            <w:hideMark/>
          </w:tcPr>
          <w:p w14:paraId="7FB648E2" w14:textId="77777777" w:rsidR="00665586" w:rsidRPr="0004176C" w:rsidRDefault="00665586" w:rsidP="00665586">
            <w:pPr>
              <w:jc w:val="center"/>
              <w:rPr>
                <w:color w:val="000000"/>
                <w:sz w:val="18"/>
                <w:szCs w:val="18"/>
              </w:rPr>
            </w:pPr>
            <w:r w:rsidRPr="0004176C">
              <w:rPr>
                <w:color w:val="000000"/>
                <w:sz w:val="18"/>
                <w:szCs w:val="18"/>
              </w:rPr>
              <w:t>19 Hancock Street</w:t>
            </w:r>
          </w:p>
        </w:tc>
        <w:tc>
          <w:tcPr>
            <w:tcW w:w="596" w:type="pct"/>
            <w:shd w:val="clear" w:color="auto" w:fill="auto"/>
            <w:vAlign w:val="center"/>
            <w:hideMark/>
          </w:tcPr>
          <w:p w14:paraId="0F16EFAE" w14:textId="77777777" w:rsidR="00665586" w:rsidRPr="0004176C" w:rsidRDefault="00665586" w:rsidP="00665586">
            <w:pPr>
              <w:jc w:val="center"/>
              <w:rPr>
                <w:color w:val="000000"/>
                <w:sz w:val="18"/>
                <w:szCs w:val="18"/>
              </w:rPr>
            </w:pPr>
            <w:r w:rsidRPr="0004176C">
              <w:rPr>
                <w:color w:val="000000"/>
                <w:sz w:val="18"/>
                <w:szCs w:val="18"/>
              </w:rPr>
              <w:t>3</w:t>
            </w:r>
          </w:p>
        </w:tc>
        <w:tc>
          <w:tcPr>
            <w:tcW w:w="674" w:type="pct"/>
            <w:shd w:val="clear" w:color="auto" w:fill="auto"/>
            <w:vAlign w:val="center"/>
            <w:hideMark/>
          </w:tcPr>
          <w:p w14:paraId="7DF59723"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1B40B01"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31717C8" w14:textId="77777777" w:rsidR="00665586" w:rsidRPr="0004176C" w:rsidRDefault="00665586" w:rsidP="00665586">
            <w:pPr>
              <w:jc w:val="center"/>
              <w:rPr>
                <w:color w:val="000000"/>
                <w:sz w:val="18"/>
                <w:szCs w:val="18"/>
              </w:rPr>
            </w:pPr>
            <w:r w:rsidRPr="0004176C">
              <w:rPr>
                <w:color w:val="000000"/>
                <w:sz w:val="18"/>
                <w:szCs w:val="18"/>
              </w:rPr>
              <w:t>Units for homeless individuals</w:t>
            </w:r>
          </w:p>
        </w:tc>
      </w:tr>
      <w:tr w:rsidR="00665586" w:rsidRPr="0004176C" w14:paraId="43D84DEF" w14:textId="77777777" w:rsidTr="00665586">
        <w:trPr>
          <w:trHeight w:val="240"/>
        </w:trPr>
        <w:tc>
          <w:tcPr>
            <w:tcW w:w="1326" w:type="pct"/>
            <w:shd w:val="clear" w:color="auto" w:fill="auto"/>
            <w:vAlign w:val="center"/>
            <w:hideMark/>
          </w:tcPr>
          <w:p w14:paraId="734FFCD7" w14:textId="77777777" w:rsidR="00665586" w:rsidRPr="0004176C" w:rsidRDefault="00665586" w:rsidP="00665586">
            <w:pPr>
              <w:jc w:val="center"/>
              <w:rPr>
                <w:color w:val="000000"/>
                <w:sz w:val="18"/>
                <w:szCs w:val="18"/>
              </w:rPr>
            </w:pPr>
            <w:r w:rsidRPr="0004176C">
              <w:rPr>
                <w:color w:val="000000"/>
                <w:sz w:val="18"/>
                <w:szCs w:val="18"/>
              </w:rPr>
              <w:t>220 Orchard Hill Drive</w:t>
            </w:r>
          </w:p>
        </w:tc>
        <w:tc>
          <w:tcPr>
            <w:tcW w:w="596" w:type="pct"/>
            <w:shd w:val="clear" w:color="auto" w:fill="auto"/>
            <w:vAlign w:val="center"/>
            <w:hideMark/>
          </w:tcPr>
          <w:p w14:paraId="5EA3B120" w14:textId="77777777" w:rsidR="00665586" w:rsidRPr="0004176C" w:rsidRDefault="00665586" w:rsidP="00665586">
            <w:pPr>
              <w:jc w:val="center"/>
              <w:rPr>
                <w:color w:val="000000"/>
                <w:sz w:val="18"/>
                <w:szCs w:val="18"/>
              </w:rPr>
            </w:pPr>
            <w:r w:rsidRPr="0004176C">
              <w:rPr>
                <w:color w:val="000000"/>
                <w:sz w:val="18"/>
                <w:szCs w:val="18"/>
              </w:rPr>
              <w:t>25</w:t>
            </w:r>
          </w:p>
        </w:tc>
        <w:tc>
          <w:tcPr>
            <w:tcW w:w="674" w:type="pct"/>
            <w:shd w:val="clear" w:color="auto" w:fill="auto"/>
            <w:vAlign w:val="center"/>
            <w:hideMark/>
          </w:tcPr>
          <w:p w14:paraId="48CEFD8E"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7E1FDC3"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3D0FF20"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19909725" w14:textId="77777777" w:rsidTr="00665586">
        <w:trPr>
          <w:trHeight w:val="240"/>
        </w:trPr>
        <w:tc>
          <w:tcPr>
            <w:tcW w:w="1326" w:type="pct"/>
            <w:shd w:val="clear" w:color="auto" w:fill="auto"/>
            <w:vAlign w:val="center"/>
            <w:hideMark/>
          </w:tcPr>
          <w:p w14:paraId="5C32A576" w14:textId="77777777" w:rsidR="00665586" w:rsidRPr="0004176C" w:rsidRDefault="00665586" w:rsidP="00665586">
            <w:pPr>
              <w:jc w:val="center"/>
              <w:rPr>
                <w:color w:val="000000"/>
                <w:sz w:val="18"/>
                <w:szCs w:val="18"/>
              </w:rPr>
            </w:pPr>
            <w:r w:rsidRPr="0004176C">
              <w:rPr>
                <w:color w:val="000000"/>
                <w:sz w:val="18"/>
                <w:szCs w:val="18"/>
              </w:rPr>
              <w:t>250 Gull Pond Road, Wellfleet</w:t>
            </w:r>
          </w:p>
        </w:tc>
        <w:tc>
          <w:tcPr>
            <w:tcW w:w="596" w:type="pct"/>
            <w:shd w:val="clear" w:color="auto" w:fill="auto"/>
            <w:vAlign w:val="center"/>
            <w:hideMark/>
          </w:tcPr>
          <w:p w14:paraId="1E027F54" w14:textId="77777777" w:rsidR="00665586" w:rsidRPr="0004176C" w:rsidRDefault="00665586" w:rsidP="00665586">
            <w:pPr>
              <w:jc w:val="center"/>
              <w:rPr>
                <w:color w:val="000000"/>
                <w:sz w:val="18"/>
                <w:szCs w:val="18"/>
              </w:rPr>
            </w:pPr>
            <w:r w:rsidRPr="0004176C">
              <w:rPr>
                <w:color w:val="000000"/>
                <w:sz w:val="18"/>
                <w:szCs w:val="18"/>
              </w:rPr>
              <w:t>2</w:t>
            </w:r>
          </w:p>
        </w:tc>
        <w:tc>
          <w:tcPr>
            <w:tcW w:w="674" w:type="pct"/>
            <w:shd w:val="clear" w:color="auto" w:fill="auto"/>
            <w:vAlign w:val="center"/>
            <w:hideMark/>
          </w:tcPr>
          <w:p w14:paraId="60DB7CB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F4CC2C9"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ED98358" w14:textId="77777777" w:rsidR="00665586" w:rsidRPr="0004176C" w:rsidRDefault="00665586" w:rsidP="00665586">
            <w:pPr>
              <w:jc w:val="center"/>
              <w:rPr>
                <w:color w:val="000000"/>
                <w:sz w:val="18"/>
                <w:szCs w:val="18"/>
              </w:rPr>
            </w:pPr>
            <w:r w:rsidRPr="0004176C">
              <w:rPr>
                <w:color w:val="000000"/>
                <w:sz w:val="18"/>
                <w:szCs w:val="18"/>
              </w:rPr>
              <w:t>Family - New construction of three two-unit townhouses</w:t>
            </w:r>
          </w:p>
        </w:tc>
      </w:tr>
      <w:tr w:rsidR="00665586" w:rsidRPr="0004176C" w14:paraId="27B1188A" w14:textId="77777777" w:rsidTr="00665586">
        <w:trPr>
          <w:trHeight w:val="240"/>
        </w:trPr>
        <w:tc>
          <w:tcPr>
            <w:tcW w:w="1326" w:type="pct"/>
            <w:shd w:val="clear" w:color="auto" w:fill="auto"/>
            <w:vAlign w:val="center"/>
            <w:hideMark/>
          </w:tcPr>
          <w:p w14:paraId="5B03278E" w14:textId="77777777" w:rsidR="00665586" w:rsidRPr="0004176C" w:rsidRDefault="00665586" w:rsidP="00665586">
            <w:pPr>
              <w:jc w:val="center"/>
              <w:rPr>
                <w:color w:val="000000"/>
                <w:sz w:val="18"/>
                <w:szCs w:val="18"/>
              </w:rPr>
            </w:pPr>
            <w:r w:rsidRPr="0004176C">
              <w:rPr>
                <w:color w:val="000000"/>
                <w:sz w:val="18"/>
                <w:szCs w:val="18"/>
              </w:rPr>
              <w:t>28 Mount Pleasant Street</w:t>
            </w:r>
          </w:p>
        </w:tc>
        <w:tc>
          <w:tcPr>
            <w:tcW w:w="596" w:type="pct"/>
            <w:shd w:val="clear" w:color="auto" w:fill="auto"/>
            <w:vAlign w:val="center"/>
            <w:hideMark/>
          </w:tcPr>
          <w:p w14:paraId="23114682" w14:textId="77777777" w:rsidR="00665586" w:rsidRPr="0004176C" w:rsidRDefault="00665586" w:rsidP="00665586">
            <w:pPr>
              <w:jc w:val="center"/>
              <w:rPr>
                <w:color w:val="000000"/>
                <w:sz w:val="18"/>
                <w:szCs w:val="18"/>
              </w:rPr>
            </w:pPr>
            <w:r w:rsidRPr="0004176C">
              <w:rPr>
                <w:color w:val="000000"/>
                <w:sz w:val="18"/>
                <w:szCs w:val="18"/>
              </w:rPr>
              <w:t>2</w:t>
            </w:r>
          </w:p>
        </w:tc>
        <w:tc>
          <w:tcPr>
            <w:tcW w:w="674" w:type="pct"/>
            <w:shd w:val="clear" w:color="auto" w:fill="auto"/>
            <w:vAlign w:val="center"/>
            <w:hideMark/>
          </w:tcPr>
          <w:p w14:paraId="68CAAD7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26E5A18"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E8321B6" w14:textId="77777777" w:rsidR="00665586" w:rsidRPr="0004176C" w:rsidRDefault="00665586" w:rsidP="00665586">
            <w:pPr>
              <w:jc w:val="center"/>
              <w:rPr>
                <w:color w:val="000000"/>
                <w:sz w:val="18"/>
                <w:szCs w:val="18"/>
              </w:rPr>
            </w:pPr>
            <w:r w:rsidRPr="0004176C">
              <w:rPr>
                <w:color w:val="000000"/>
                <w:sz w:val="18"/>
                <w:szCs w:val="18"/>
              </w:rPr>
              <w:t>Units for homeless individuals</w:t>
            </w:r>
          </w:p>
        </w:tc>
      </w:tr>
      <w:tr w:rsidR="00665586" w:rsidRPr="0004176C" w14:paraId="5D26A30F" w14:textId="77777777" w:rsidTr="00665586">
        <w:trPr>
          <w:trHeight w:val="240"/>
        </w:trPr>
        <w:tc>
          <w:tcPr>
            <w:tcW w:w="1326" w:type="pct"/>
            <w:shd w:val="clear" w:color="auto" w:fill="auto"/>
            <w:vAlign w:val="center"/>
            <w:hideMark/>
          </w:tcPr>
          <w:p w14:paraId="50071C4E" w14:textId="77777777" w:rsidR="00665586" w:rsidRPr="0004176C" w:rsidRDefault="00665586" w:rsidP="00665586">
            <w:pPr>
              <w:jc w:val="center"/>
              <w:rPr>
                <w:color w:val="000000"/>
                <w:sz w:val="18"/>
                <w:szCs w:val="18"/>
              </w:rPr>
            </w:pPr>
            <w:r w:rsidRPr="0004176C">
              <w:rPr>
                <w:color w:val="000000"/>
                <w:sz w:val="18"/>
                <w:szCs w:val="18"/>
              </w:rPr>
              <w:t>32 Kent Street</w:t>
            </w:r>
          </w:p>
        </w:tc>
        <w:tc>
          <w:tcPr>
            <w:tcW w:w="596" w:type="pct"/>
            <w:shd w:val="clear" w:color="auto" w:fill="auto"/>
            <w:vAlign w:val="center"/>
            <w:hideMark/>
          </w:tcPr>
          <w:p w14:paraId="3BD5C2B0"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129AB86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4A1E2F2"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18C4457"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19B81415" w14:textId="77777777" w:rsidTr="00665586">
        <w:trPr>
          <w:trHeight w:val="240"/>
        </w:trPr>
        <w:tc>
          <w:tcPr>
            <w:tcW w:w="1326" w:type="pct"/>
            <w:shd w:val="clear" w:color="auto" w:fill="auto"/>
            <w:vAlign w:val="center"/>
            <w:hideMark/>
          </w:tcPr>
          <w:p w14:paraId="2E4A4E0B" w14:textId="77777777" w:rsidR="00665586" w:rsidRPr="0004176C" w:rsidRDefault="00665586" w:rsidP="00665586">
            <w:pPr>
              <w:jc w:val="center"/>
              <w:rPr>
                <w:color w:val="000000"/>
                <w:sz w:val="18"/>
                <w:szCs w:val="18"/>
              </w:rPr>
            </w:pPr>
            <w:r w:rsidRPr="0004176C">
              <w:rPr>
                <w:color w:val="000000"/>
                <w:sz w:val="18"/>
                <w:szCs w:val="18"/>
              </w:rPr>
              <w:t>32 Old Ann Page Way</w:t>
            </w:r>
          </w:p>
        </w:tc>
        <w:tc>
          <w:tcPr>
            <w:tcW w:w="596" w:type="pct"/>
            <w:shd w:val="clear" w:color="auto" w:fill="auto"/>
            <w:vAlign w:val="center"/>
            <w:hideMark/>
          </w:tcPr>
          <w:p w14:paraId="73A0BC6E" w14:textId="77777777" w:rsidR="00665586" w:rsidRPr="0004176C" w:rsidRDefault="00665586" w:rsidP="00665586">
            <w:pPr>
              <w:jc w:val="center"/>
              <w:rPr>
                <w:color w:val="000000"/>
                <w:sz w:val="18"/>
                <w:szCs w:val="18"/>
              </w:rPr>
            </w:pPr>
            <w:r w:rsidRPr="0004176C">
              <w:rPr>
                <w:color w:val="000000"/>
                <w:sz w:val="18"/>
                <w:szCs w:val="18"/>
              </w:rPr>
              <w:t>2</w:t>
            </w:r>
          </w:p>
        </w:tc>
        <w:tc>
          <w:tcPr>
            <w:tcW w:w="674" w:type="pct"/>
            <w:shd w:val="clear" w:color="auto" w:fill="auto"/>
            <w:vAlign w:val="center"/>
            <w:hideMark/>
          </w:tcPr>
          <w:p w14:paraId="7869D041"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E67370A"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8B743FD"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4DD88100" w14:textId="77777777" w:rsidTr="00665586">
        <w:trPr>
          <w:trHeight w:val="480"/>
        </w:trPr>
        <w:tc>
          <w:tcPr>
            <w:tcW w:w="1326" w:type="pct"/>
            <w:shd w:val="clear" w:color="auto" w:fill="auto"/>
            <w:vAlign w:val="center"/>
          </w:tcPr>
          <w:p w14:paraId="45E734EF" w14:textId="77777777" w:rsidR="00665586" w:rsidRPr="0004176C" w:rsidRDefault="00665586" w:rsidP="00665586">
            <w:pPr>
              <w:jc w:val="center"/>
              <w:rPr>
                <w:color w:val="000000"/>
                <w:sz w:val="18"/>
                <w:szCs w:val="18"/>
              </w:rPr>
            </w:pPr>
            <w:r w:rsidRPr="0004176C">
              <w:rPr>
                <w:color w:val="000000"/>
                <w:sz w:val="18"/>
                <w:szCs w:val="18"/>
              </w:rPr>
              <w:t>370 Harvard Street,</w:t>
            </w:r>
          </w:p>
          <w:p w14:paraId="51E67D5B" w14:textId="32505EEF" w:rsidR="00665586" w:rsidRPr="0004176C" w:rsidRDefault="00665586" w:rsidP="00665586">
            <w:pPr>
              <w:jc w:val="center"/>
              <w:rPr>
                <w:color w:val="000000"/>
                <w:sz w:val="18"/>
                <w:szCs w:val="18"/>
              </w:rPr>
            </w:pPr>
            <w:r w:rsidRPr="0004176C">
              <w:rPr>
                <w:color w:val="000000"/>
                <w:sz w:val="18"/>
                <w:szCs w:val="18"/>
              </w:rPr>
              <w:t>Brookline</w:t>
            </w:r>
            <w:r w:rsidR="001D0505" w:rsidRPr="0004176C">
              <w:rPr>
                <w:color w:val="000000"/>
                <w:sz w:val="18"/>
                <w:szCs w:val="18"/>
              </w:rPr>
              <w:t xml:space="preserve"> *</w:t>
            </w:r>
          </w:p>
        </w:tc>
        <w:tc>
          <w:tcPr>
            <w:tcW w:w="596" w:type="pct"/>
            <w:shd w:val="clear" w:color="auto" w:fill="auto"/>
            <w:vAlign w:val="center"/>
          </w:tcPr>
          <w:p w14:paraId="1263DF4F" w14:textId="77777777" w:rsidR="00665586" w:rsidRPr="0004176C" w:rsidRDefault="00665586" w:rsidP="00665586">
            <w:pPr>
              <w:jc w:val="center"/>
              <w:rPr>
                <w:color w:val="000000"/>
                <w:sz w:val="18"/>
                <w:szCs w:val="18"/>
              </w:rPr>
            </w:pPr>
            <w:r w:rsidRPr="0004176C">
              <w:rPr>
                <w:sz w:val="18"/>
                <w:szCs w:val="18"/>
              </w:rPr>
              <w:t>8</w:t>
            </w:r>
          </w:p>
        </w:tc>
        <w:tc>
          <w:tcPr>
            <w:tcW w:w="674" w:type="pct"/>
            <w:shd w:val="clear" w:color="auto" w:fill="auto"/>
            <w:vAlign w:val="center"/>
          </w:tcPr>
          <w:p w14:paraId="1C7A859C" w14:textId="77777777" w:rsidR="00665586" w:rsidRPr="0004176C" w:rsidRDefault="00665586" w:rsidP="00665586">
            <w:pPr>
              <w:jc w:val="center"/>
              <w:rPr>
                <w:color w:val="000000"/>
                <w:sz w:val="18"/>
                <w:szCs w:val="18"/>
              </w:rPr>
            </w:pPr>
            <w:r w:rsidRPr="0004176C">
              <w:rPr>
                <w:sz w:val="18"/>
                <w:szCs w:val="18"/>
              </w:rPr>
              <w:t>Committed</w:t>
            </w:r>
          </w:p>
        </w:tc>
        <w:tc>
          <w:tcPr>
            <w:tcW w:w="627" w:type="pct"/>
            <w:shd w:val="clear" w:color="auto" w:fill="auto"/>
            <w:vAlign w:val="center"/>
          </w:tcPr>
          <w:p w14:paraId="23647615"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6012D73F" w14:textId="77777777" w:rsidR="00665586" w:rsidRPr="0004176C" w:rsidRDefault="00665586" w:rsidP="00665586">
            <w:pPr>
              <w:jc w:val="center"/>
              <w:rPr>
                <w:color w:val="000000"/>
                <w:sz w:val="18"/>
                <w:szCs w:val="18"/>
              </w:rPr>
            </w:pPr>
            <w:r w:rsidRPr="0004176C">
              <w:rPr>
                <w:color w:val="000000"/>
                <w:sz w:val="18"/>
                <w:szCs w:val="18"/>
              </w:rPr>
              <w:t>New construction - Elderly Housing</w:t>
            </w:r>
          </w:p>
        </w:tc>
      </w:tr>
      <w:tr w:rsidR="00665586" w:rsidRPr="0004176C" w14:paraId="2BBF4FA2" w14:textId="77777777" w:rsidTr="00665586">
        <w:trPr>
          <w:trHeight w:val="240"/>
        </w:trPr>
        <w:tc>
          <w:tcPr>
            <w:tcW w:w="1326" w:type="pct"/>
            <w:shd w:val="clear" w:color="auto" w:fill="auto"/>
            <w:vAlign w:val="center"/>
            <w:hideMark/>
          </w:tcPr>
          <w:p w14:paraId="05D9B32C" w14:textId="77777777" w:rsidR="00665586" w:rsidRPr="0004176C" w:rsidRDefault="00665586" w:rsidP="00665586">
            <w:pPr>
              <w:jc w:val="center"/>
              <w:rPr>
                <w:color w:val="000000"/>
                <w:sz w:val="18"/>
                <w:szCs w:val="18"/>
              </w:rPr>
            </w:pPr>
            <w:r w:rsidRPr="0004176C">
              <w:rPr>
                <w:color w:val="000000"/>
                <w:sz w:val="18"/>
                <w:szCs w:val="18"/>
              </w:rPr>
              <w:t>40A Nelson Avenue</w:t>
            </w:r>
          </w:p>
        </w:tc>
        <w:tc>
          <w:tcPr>
            <w:tcW w:w="596" w:type="pct"/>
            <w:shd w:val="clear" w:color="auto" w:fill="auto"/>
            <w:vAlign w:val="center"/>
            <w:hideMark/>
          </w:tcPr>
          <w:p w14:paraId="0BBB4E1E" w14:textId="77777777" w:rsidR="00665586" w:rsidRPr="0004176C" w:rsidRDefault="00665586" w:rsidP="00665586">
            <w:pPr>
              <w:jc w:val="center"/>
              <w:rPr>
                <w:color w:val="000000"/>
                <w:sz w:val="18"/>
                <w:szCs w:val="18"/>
              </w:rPr>
            </w:pPr>
            <w:r w:rsidRPr="0004176C">
              <w:rPr>
                <w:color w:val="000000"/>
                <w:sz w:val="18"/>
                <w:szCs w:val="18"/>
              </w:rPr>
              <w:t>3</w:t>
            </w:r>
          </w:p>
        </w:tc>
        <w:tc>
          <w:tcPr>
            <w:tcW w:w="674" w:type="pct"/>
            <w:shd w:val="clear" w:color="auto" w:fill="auto"/>
            <w:vAlign w:val="center"/>
            <w:hideMark/>
          </w:tcPr>
          <w:p w14:paraId="2BB0920B"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FDF6BD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939DC25"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6BE3C117" w14:textId="77777777" w:rsidTr="00665586">
        <w:trPr>
          <w:trHeight w:val="240"/>
        </w:trPr>
        <w:tc>
          <w:tcPr>
            <w:tcW w:w="1326" w:type="pct"/>
            <w:shd w:val="clear" w:color="auto" w:fill="auto"/>
            <w:vAlign w:val="center"/>
            <w:hideMark/>
          </w:tcPr>
          <w:p w14:paraId="655ECBAC" w14:textId="77777777" w:rsidR="00665586" w:rsidRPr="0004176C" w:rsidRDefault="00665586" w:rsidP="00665586">
            <w:pPr>
              <w:jc w:val="center"/>
              <w:rPr>
                <w:color w:val="000000"/>
                <w:sz w:val="18"/>
                <w:szCs w:val="18"/>
              </w:rPr>
            </w:pPr>
            <w:r w:rsidRPr="0004176C">
              <w:rPr>
                <w:color w:val="000000"/>
                <w:sz w:val="18"/>
                <w:szCs w:val="18"/>
              </w:rPr>
              <w:t>430-436 Dudley Street</w:t>
            </w:r>
          </w:p>
        </w:tc>
        <w:tc>
          <w:tcPr>
            <w:tcW w:w="596" w:type="pct"/>
            <w:shd w:val="clear" w:color="auto" w:fill="auto"/>
            <w:vAlign w:val="center"/>
            <w:hideMark/>
          </w:tcPr>
          <w:p w14:paraId="00B86CD1" w14:textId="77777777" w:rsidR="00665586" w:rsidRPr="0004176C" w:rsidRDefault="00665586" w:rsidP="00665586">
            <w:pPr>
              <w:jc w:val="center"/>
              <w:rPr>
                <w:color w:val="000000"/>
                <w:sz w:val="18"/>
                <w:szCs w:val="18"/>
              </w:rPr>
            </w:pPr>
            <w:r w:rsidRPr="0004176C">
              <w:rPr>
                <w:color w:val="000000"/>
                <w:sz w:val="18"/>
                <w:szCs w:val="18"/>
              </w:rPr>
              <w:t>3</w:t>
            </w:r>
          </w:p>
        </w:tc>
        <w:tc>
          <w:tcPr>
            <w:tcW w:w="674" w:type="pct"/>
            <w:shd w:val="clear" w:color="auto" w:fill="auto"/>
            <w:vAlign w:val="center"/>
            <w:hideMark/>
          </w:tcPr>
          <w:p w14:paraId="3E332D8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C67205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B51602F" w14:textId="77777777" w:rsidR="00665586" w:rsidRPr="0004176C" w:rsidRDefault="00665586" w:rsidP="00665586">
            <w:pPr>
              <w:jc w:val="center"/>
              <w:rPr>
                <w:color w:val="000000"/>
                <w:sz w:val="18"/>
                <w:szCs w:val="18"/>
              </w:rPr>
            </w:pPr>
            <w:r w:rsidRPr="0004176C">
              <w:rPr>
                <w:color w:val="000000"/>
                <w:sz w:val="18"/>
                <w:szCs w:val="18"/>
              </w:rPr>
              <w:t>Units for homeless individuals</w:t>
            </w:r>
          </w:p>
        </w:tc>
      </w:tr>
      <w:tr w:rsidR="00665586" w:rsidRPr="0004176C" w14:paraId="0C2000FB" w14:textId="77777777" w:rsidTr="00665586">
        <w:trPr>
          <w:trHeight w:val="240"/>
        </w:trPr>
        <w:tc>
          <w:tcPr>
            <w:tcW w:w="1326" w:type="pct"/>
            <w:shd w:val="clear" w:color="auto" w:fill="auto"/>
            <w:vAlign w:val="center"/>
            <w:hideMark/>
          </w:tcPr>
          <w:p w14:paraId="1B737D47" w14:textId="77777777" w:rsidR="00665586" w:rsidRPr="0004176C" w:rsidRDefault="00665586" w:rsidP="00665586">
            <w:pPr>
              <w:jc w:val="center"/>
              <w:rPr>
                <w:color w:val="000000"/>
                <w:sz w:val="18"/>
                <w:szCs w:val="18"/>
              </w:rPr>
            </w:pPr>
            <w:r w:rsidRPr="0004176C">
              <w:rPr>
                <w:color w:val="000000"/>
                <w:sz w:val="18"/>
                <w:szCs w:val="18"/>
              </w:rPr>
              <w:t>447 Concord Road</w:t>
            </w:r>
          </w:p>
        </w:tc>
        <w:tc>
          <w:tcPr>
            <w:tcW w:w="596" w:type="pct"/>
            <w:shd w:val="clear" w:color="auto" w:fill="auto"/>
            <w:vAlign w:val="center"/>
            <w:hideMark/>
          </w:tcPr>
          <w:p w14:paraId="3899D241"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0023C9B4"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7FDB9CE"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BCE159D"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10E31524" w14:textId="77777777" w:rsidTr="00665586">
        <w:trPr>
          <w:trHeight w:val="240"/>
        </w:trPr>
        <w:tc>
          <w:tcPr>
            <w:tcW w:w="1326" w:type="pct"/>
            <w:shd w:val="clear" w:color="auto" w:fill="auto"/>
            <w:vAlign w:val="center"/>
            <w:hideMark/>
          </w:tcPr>
          <w:p w14:paraId="42D24199" w14:textId="77777777" w:rsidR="00665586" w:rsidRPr="0004176C" w:rsidRDefault="00665586" w:rsidP="00665586">
            <w:pPr>
              <w:jc w:val="center"/>
              <w:rPr>
                <w:color w:val="000000"/>
                <w:sz w:val="18"/>
                <w:szCs w:val="18"/>
              </w:rPr>
            </w:pPr>
            <w:r w:rsidRPr="0004176C">
              <w:rPr>
                <w:color w:val="000000"/>
                <w:sz w:val="18"/>
                <w:szCs w:val="18"/>
              </w:rPr>
              <w:t>4-6 Ashland Street</w:t>
            </w:r>
          </w:p>
        </w:tc>
        <w:tc>
          <w:tcPr>
            <w:tcW w:w="596" w:type="pct"/>
            <w:shd w:val="clear" w:color="auto" w:fill="auto"/>
            <w:vAlign w:val="center"/>
            <w:hideMark/>
          </w:tcPr>
          <w:p w14:paraId="172B6F10" w14:textId="77777777" w:rsidR="00665586" w:rsidRPr="0004176C" w:rsidRDefault="00665586" w:rsidP="00665586">
            <w:pPr>
              <w:jc w:val="center"/>
              <w:rPr>
                <w:color w:val="000000"/>
                <w:sz w:val="18"/>
                <w:szCs w:val="18"/>
              </w:rPr>
            </w:pPr>
            <w:r w:rsidRPr="0004176C">
              <w:rPr>
                <w:color w:val="000000"/>
                <w:sz w:val="18"/>
                <w:szCs w:val="18"/>
              </w:rPr>
              <w:t>3</w:t>
            </w:r>
          </w:p>
        </w:tc>
        <w:tc>
          <w:tcPr>
            <w:tcW w:w="674" w:type="pct"/>
            <w:shd w:val="clear" w:color="auto" w:fill="auto"/>
            <w:vAlign w:val="center"/>
            <w:hideMark/>
          </w:tcPr>
          <w:p w14:paraId="7850828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3ACDE25"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9D30E93" w14:textId="77777777" w:rsidR="00665586" w:rsidRPr="0004176C" w:rsidRDefault="00665586" w:rsidP="00665586">
            <w:pPr>
              <w:jc w:val="center"/>
              <w:rPr>
                <w:color w:val="000000"/>
                <w:sz w:val="18"/>
                <w:szCs w:val="18"/>
              </w:rPr>
            </w:pPr>
            <w:r w:rsidRPr="0004176C">
              <w:rPr>
                <w:color w:val="000000"/>
                <w:sz w:val="18"/>
                <w:szCs w:val="18"/>
              </w:rPr>
              <w:t>Units for homeless individuals</w:t>
            </w:r>
          </w:p>
        </w:tc>
      </w:tr>
      <w:tr w:rsidR="00665586" w:rsidRPr="0004176C" w14:paraId="6B6D0AED" w14:textId="77777777" w:rsidTr="00665586">
        <w:trPr>
          <w:trHeight w:val="240"/>
        </w:trPr>
        <w:tc>
          <w:tcPr>
            <w:tcW w:w="1326" w:type="pct"/>
            <w:shd w:val="clear" w:color="auto" w:fill="auto"/>
            <w:vAlign w:val="center"/>
            <w:hideMark/>
          </w:tcPr>
          <w:p w14:paraId="72AEC397" w14:textId="77777777" w:rsidR="00665586" w:rsidRPr="0004176C" w:rsidRDefault="00665586" w:rsidP="00665586">
            <w:pPr>
              <w:jc w:val="center"/>
              <w:rPr>
                <w:color w:val="000000"/>
                <w:sz w:val="18"/>
                <w:szCs w:val="18"/>
              </w:rPr>
            </w:pPr>
            <w:r w:rsidRPr="0004176C">
              <w:rPr>
                <w:color w:val="000000"/>
                <w:sz w:val="18"/>
                <w:szCs w:val="18"/>
              </w:rPr>
              <w:t>46-48 School Street</w:t>
            </w:r>
          </w:p>
        </w:tc>
        <w:tc>
          <w:tcPr>
            <w:tcW w:w="596" w:type="pct"/>
            <w:shd w:val="clear" w:color="auto" w:fill="auto"/>
            <w:vAlign w:val="center"/>
            <w:hideMark/>
          </w:tcPr>
          <w:p w14:paraId="35927CEE" w14:textId="77777777" w:rsidR="00665586" w:rsidRPr="0004176C" w:rsidRDefault="00665586" w:rsidP="00665586">
            <w:pPr>
              <w:jc w:val="center"/>
              <w:rPr>
                <w:color w:val="000000"/>
                <w:sz w:val="18"/>
                <w:szCs w:val="18"/>
              </w:rPr>
            </w:pPr>
            <w:r w:rsidRPr="0004176C">
              <w:rPr>
                <w:color w:val="000000"/>
                <w:sz w:val="18"/>
                <w:szCs w:val="18"/>
              </w:rPr>
              <w:t>2</w:t>
            </w:r>
          </w:p>
        </w:tc>
        <w:tc>
          <w:tcPr>
            <w:tcW w:w="674" w:type="pct"/>
            <w:shd w:val="clear" w:color="auto" w:fill="auto"/>
            <w:vAlign w:val="center"/>
            <w:hideMark/>
          </w:tcPr>
          <w:p w14:paraId="4FCF80B7"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689C68B"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E92A913"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36CEEA69" w14:textId="77777777" w:rsidTr="00665586">
        <w:trPr>
          <w:trHeight w:val="240"/>
        </w:trPr>
        <w:tc>
          <w:tcPr>
            <w:tcW w:w="1326" w:type="pct"/>
            <w:shd w:val="clear" w:color="auto" w:fill="auto"/>
            <w:vAlign w:val="center"/>
            <w:hideMark/>
          </w:tcPr>
          <w:p w14:paraId="51491BCF" w14:textId="77777777" w:rsidR="00665586" w:rsidRPr="0004176C" w:rsidRDefault="00665586" w:rsidP="00665586">
            <w:pPr>
              <w:jc w:val="center"/>
              <w:rPr>
                <w:color w:val="000000"/>
                <w:sz w:val="18"/>
                <w:szCs w:val="18"/>
              </w:rPr>
            </w:pPr>
            <w:r w:rsidRPr="0004176C">
              <w:rPr>
                <w:color w:val="000000"/>
                <w:sz w:val="18"/>
                <w:szCs w:val="18"/>
              </w:rPr>
              <w:t>470 Main Street</w:t>
            </w:r>
          </w:p>
        </w:tc>
        <w:tc>
          <w:tcPr>
            <w:tcW w:w="596" w:type="pct"/>
            <w:shd w:val="clear" w:color="auto" w:fill="auto"/>
            <w:vAlign w:val="center"/>
            <w:hideMark/>
          </w:tcPr>
          <w:p w14:paraId="7CBCBBD2" w14:textId="77777777" w:rsidR="00665586" w:rsidRPr="0004176C" w:rsidRDefault="00665586" w:rsidP="00665586">
            <w:pPr>
              <w:jc w:val="center"/>
              <w:rPr>
                <w:color w:val="000000"/>
                <w:sz w:val="18"/>
                <w:szCs w:val="18"/>
              </w:rPr>
            </w:pPr>
            <w:r w:rsidRPr="0004176C">
              <w:rPr>
                <w:color w:val="000000"/>
                <w:sz w:val="18"/>
                <w:szCs w:val="18"/>
              </w:rPr>
              <w:t>7</w:t>
            </w:r>
          </w:p>
        </w:tc>
        <w:tc>
          <w:tcPr>
            <w:tcW w:w="674" w:type="pct"/>
            <w:shd w:val="clear" w:color="auto" w:fill="auto"/>
            <w:vAlign w:val="center"/>
            <w:hideMark/>
          </w:tcPr>
          <w:p w14:paraId="6F7E6F82"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088B0C1"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6F1D6EB"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54A82266" w14:textId="77777777" w:rsidTr="00665586">
        <w:trPr>
          <w:trHeight w:val="480"/>
        </w:trPr>
        <w:tc>
          <w:tcPr>
            <w:tcW w:w="1326" w:type="pct"/>
            <w:shd w:val="clear" w:color="auto" w:fill="auto"/>
            <w:vAlign w:val="center"/>
            <w:hideMark/>
          </w:tcPr>
          <w:p w14:paraId="3B038D7F" w14:textId="77777777" w:rsidR="00665586" w:rsidRPr="0004176C" w:rsidRDefault="00665586" w:rsidP="00665586">
            <w:pPr>
              <w:jc w:val="center"/>
              <w:rPr>
                <w:sz w:val="18"/>
                <w:szCs w:val="18"/>
              </w:rPr>
            </w:pPr>
            <w:r w:rsidRPr="0004176C">
              <w:rPr>
                <w:sz w:val="18"/>
                <w:szCs w:val="18"/>
              </w:rPr>
              <w:t xml:space="preserve">48 &amp; 52 Franklin St </w:t>
            </w:r>
            <w:r w:rsidRPr="0004176C">
              <w:rPr>
                <w:sz w:val="18"/>
                <w:szCs w:val="18"/>
              </w:rPr>
              <w:br/>
              <w:t>&amp; 348 Chestnut St</w:t>
            </w:r>
          </w:p>
        </w:tc>
        <w:tc>
          <w:tcPr>
            <w:tcW w:w="596" w:type="pct"/>
            <w:shd w:val="clear" w:color="auto" w:fill="auto"/>
            <w:vAlign w:val="center"/>
            <w:hideMark/>
          </w:tcPr>
          <w:p w14:paraId="12580254" w14:textId="77777777" w:rsidR="00665586" w:rsidRPr="0004176C" w:rsidRDefault="00665586" w:rsidP="00665586">
            <w:pPr>
              <w:jc w:val="center"/>
              <w:rPr>
                <w:color w:val="000000"/>
                <w:sz w:val="18"/>
                <w:szCs w:val="18"/>
              </w:rPr>
            </w:pPr>
            <w:r w:rsidRPr="0004176C">
              <w:rPr>
                <w:color w:val="000000"/>
                <w:sz w:val="18"/>
                <w:szCs w:val="18"/>
              </w:rPr>
              <w:t>24</w:t>
            </w:r>
          </w:p>
        </w:tc>
        <w:tc>
          <w:tcPr>
            <w:tcW w:w="674" w:type="pct"/>
            <w:shd w:val="clear" w:color="auto" w:fill="auto"/>
            <w:vAlign w:val="center"/>
            <w:hideMark/>
          </w:tcPr>
          <w:p w14:paraId="555E050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2F43723"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DF3FFC6" w14:textId="77777777" w:rsidR="00665586" w:rsidRPr="0004176C" w:rsidRDefault="00665586" w:rsidP="00665586">
            <w:pPr>
              <w:jc w:val="center"/>
              <w:rPr>
                <w:color w:val="000000"/>
                <w:sz w:val="18"/>
                <w:szCs w:val="18"/>
              </w:rPr>
            </w:pPr>
            <w:r w:rsidRPr="0004176C">
              <w:rPr>
                <w:color w:val="000000"/>
                <w:sz w:val="18"/>
                <w:szCs w:val="18"/>
              </w:rPr>
              <w:t>Family - Rehab with 1, 2, and 3 BR units</w:t>
            </w:r>
          </w:p>
        </w:tc>
      </w:tr>
      <w:tr w:rsidR="00665586" w:rsidRPr="0004176C" w14:paraId="5DD4465A" w14:textId="77777777" w:rsidTr="00665586">
        <w:trPr>
          <w:trHeight w:val="240"/>
        </w:trPr>
        <w:tc>
          <w:tcPr>
            <w:tcW w:w="1326" w:type="pct"/>
            <w:shd w:val="clear" w:color="auto" w:fill="auto"/>
            <w:vAlign w:val="center"/>
            <w:hideMark/>
          </w:tcPr>
          <w:p w14:paraId="513C8A3B" w14:textId="77777777" w:rsidR="00665586" w:rsidRPr="0004176C" w:rsidRDefault="00665586" w:rsidP="00665586">
            <w:pPr>
              <w:jc w:val="center"/>
              <w:rPr>
                <w:color w:val="000000"/>
                <w:sz w:val="18"/>
                <w:szCs w:val="18"/>
              </w:rPr>
            </w:pPr>
            <w:r w:rsidRPr="0004176C">
              <w:rPr>
                <w:color w:val="000000"/>
                <w:sz w:val="18"/>
                <w:szCs w:val="18"/>
              </w:rPr>
              <w:t>48 Water Street</w:t>
            </w:r>
          </w:p>
        </w:tc>
        <w:tc>
          <w:tcPr>
            <w:tcW w:w="596" w:type="pct"/>
            <w:shd w:val="clear" w:color="auto" w:fill="auto"/>
            <w:vAlign w:val="center"/>
            <w:hideMark/>
          </w:tcPr>
          <w:p w14:paraId="1A8FD7D9" w14:textId="77777777" w:rsidR="00665586" w:rsidRPr="0004176C" w:rsidRDefault="00665586" w:rsidP="00665586">
            <w:pPr>
              <w:jc w:val="center"/>
              <w:rPr>
                <w:color w:val="000000"/>
                <w:sz w:val="18"/>
                <w:szCs w:val="18"/>
              </w:rPr>
            </w:pPr>
            <w:r w:rsidRPr="0004176C">
              <w:rPr>
                <w:color w:val="000000"/>
                <w:sz w:val="18"/>
                <w:szCs w:val="18"/>
              </w:rPr>
              <w:t>6</w:t>
            </w:r>
          </w:p>
        </w:tc>
        <w:tc>
          <w:tcPr>
            <w:tcW w:w="674" w:type="pct"/>
            <w:shd w:val="clear" w:color="auto" w:fill="auto"/>
            <w:vAlign w:val="center"/>
            <w:hideMark/>
          </w:tcPr>
          <w:p w14:paraId="1B584E37"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5BD582B"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BEC2855" w14:textId="77777777" w:rsidR="00665586" w:rsidRPr="0004176C" w:rsidRDefault="00665586" w:rsidP="00665586">
            <w:pPr>
              <w:jc w:val="center"/>
              <w:rPr>
                <w:color w:val="000000"/>
                <w:sz w:val="18"/>
                <w:szCs w:val="18"/>
              </w:rPr>
            </w:pPr>
            <w:r w:rsidRPr="0004176C">
              <w:rPr>
                <w:color w:val="000000"/>
                <w:sz w:val="18"/>
                <w:szCs w:val="18"/>
              </w:rPr>
              <w:t>Units for homeless individuals</w:t>
            </w:r>
          </w:p>
        </w:tc>
      </w:tr>
      <w:tr w:rsidR="00665586" w:rsidRPr="0004176C" w14:paraId="083F03D1" w14:textId="77777777" w:rsidTr="00665586">
        <w:trPr>
          <w:trHeight w:val="240"/>
        </w:trPr>
        <w:tc>
          <w:tcPr>
            <w:tcW w:w="1326" w:type="pct"/>
            <w:shd w:val="clear" w:color="auto" w:fill="auto"/>
            <w:vAlign w:val="center"/>
            <w:hideMark/>
          </w:tcPr>
          <w:p w14:paraId="339BE61A" w14:textId="77777777" w:rsidR="00665586" w:rsidRPr="0004176C" w:rsidRDefault="00665586" w:rsidP="00665586">
            <w:pPr>
              <w:jc w:val="center"/>
              <w:rPr>
                <w:color w:val="000000"/>
                <w:sz w:val="18"/>
                <w:szCs w:val="18"/>
              </w:rPr>
            </w:pPr>
            <w:r w:rsidRPr="0004176C">
              <w:rPr>
                <w:color w:val="000000"/>
                <w:sz w:val="18"/>
                <w:szCs w:val="18"/>
              </w:rPr>
              <w:t>48-64 Middlesex Street</w:t>
            </w:r>
          </w:p>
        </w:tc>
        <w:tc>
          <w:tcPr>
            <w:tcW w:w="596" w:type="pct"/>
            <w:shd w:val="clear" w:color="auto" w:fill="auto"/>
            <w:vAlign w:val="center"/>
            <w:hideMark/>
          </w:tcPr>
          <w:p w14:paraId="7ED75380" w14:textId="77777777" w:rsidR="00665586" w:rsidRPr="0004176C" w:rsidRDefault="00665586" w:rsidP="00665586">
            <w:pPr>
              <w:jc w:val="center"/>
              <w:rPr>
                <w:color w:val="000000"/>
                <w:sz w:val="18"/>
                <w:szCs w:val="18"/>
              </w:rPr>
            </w:pPr>
            <w:r w:rsidRPr="0004176C">
              <w:rPr>
                <w:color w:val="000000"/>
                <w:sz w:val="18"/>
                <w:szCs w:val="18"/>
              </w:rPr>
              <w:t>6</w:t>
            </w:r>
          </w:p>
        </w:tc>
        <w:tc>
          <w:tcPr>
            <w:tcW w:w="674" w:type="pct"/>
            <w:shd w:val="clear" w:color="auto" w:fill="auto"/>
            <w:vAlign w:val="center"/>
            <w:hideMark/>
          </w:tcPr>
          <w:p w14:paraId="25AB5076"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83A7531"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5AEA6BA"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24F55A5D" w14:textId="77777777" w:rsidTr="00665586">
        <w:trPr>
          <w:trHeight w:val="240"/>
        </w:trPr>
        <w:tc>
          <w:tcPr>
            <w:tcW w:w="1326" w:type="pct"/>
            <w:shd w:val="clear" w:color="auto" w:fill="auto"/>
            <w:vAlign w:val="center"/>
            <w:hideMark/>
          </w:tcPr>
          <w:p w14:paraId="74821F05" w14:textId="77777777" w:rsidR="00665586" w:rsidRPr="0004176C" w:rsidRDefault="00665586" w:rsidP="00665586">
            <w:pPr>
              <w:jc w:val="center"/>
              <w:rPr>
                <w:color w:val="000000"/>
                <w:sz w:val="18"/>
                <w:szCs w:val="18"/>
              </w:rPr>
            </w:pPr>
            <w:r w:rsidRPr="0004176C">
              <w:rPr>
                <w:color w:val="000000"/>
                <w:sz w:val="18"/>
                <w:szCs w:val="18"/>
              </w:rPr>
              <w:t>5 Benefit Street</w:t>
            </w:r>
          </w:p>
        </w:tc>
        <w:tc>
          <w:tcPr>
            <w:tcW w:w="596" w:type="pct"/>
            <w:shd w:val="clear" w:color="auto" w:fill="auto"/>
            <w:vAlign w:val="center"/>
            <w:hideMark/>
          </w:tcPr>
          <w:p w14:paraId="3EED0890"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266E5EFF"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33F189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69ECB98"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7AC3DE3F" w14:textId="77777777" w:rsidTr="00665586">
        <w:trPr>
          <w:trHeight w:val="480"/>
        </w:trPr>
        <w:tc>
          <w:tcPr>
            <w:tcW w:w="1326" w:type="pct"/>
            <w:shd w:val="clear" w:color="auto" w:fill="auto"/>
            <w:vAlign w:val="center"/>
            <w:hideMark/>
          </w:tcPr>
          <w:p w14:paraId="73987AF2" w14:textId="77777777" w:rsidR="00665586" w:rsidRPr="0004176C" w:rsidRDefault="00665586" w:rsidP="00665586">
            <w:pPr>
              <w:jc w:val="center"/>
              <w:rPr>
                <w:color w:val="000000"/>
                <w:sz w:val="18"/>
                <w:szCs w:val="18"/>
              </w:rPr>
            </w:pPr>
            <w:r w:rsidRPr="0004176C">
              <w:rPr>
                <w:color w:val="000000"/>
                <w:sz w:val="18"/>
                <w:szCs w:val="18"/>
              </w:rPr>
              <w:t>525 Beach Street</w:t>
            </w:r>
          </w:p>
        </w:tc>
        <w:tc>
          <w:tcPr>
            <w:tcW w:w="596" w:type="pct"/>
            <w:shd w:val="clear" w:color="auto" w:fill="auto"/>
            <w:vAlign w:val="center"/>
            <w:hideMark/>
          </w:tcPr>
          <w:p w14:paraId="3BB19BF6" w14:textId="77777777" w:rsidR="00665586" w:rsidRPr="0004176C" w:rsidRDefault="00665586" w:rsidP="00665586">
            <w:pPr>
              <w:jc w:val="center"/>
              <w:rPr>
                <w:color w:val="000000"/>
                <w:sz w:val="18"/>
                <w:szCs w:val="18"/>
              </w:rPr>
            </w:pPr>
            <w:r w:rsidRPr="0004176C">
              <w:rPr>
                <w:color w:val="000000"/>
                <w:sz w:val="18"/>
                <w:szCs w:val="18"/>
              </w:rPr>
              <w:t>7</w:t>
            </w:r>
          </w:p>
        </w:tc>
        <w:tc>
          <w:tcPr>
            <w:tcW w:w="674" w:type="pct"/>
            <w:shd w:val="clear" w:color="auto" w:fill="auto"/>
            <w:vAlign w:val="center"/>
            <w:hideMark/>
          </w:tcPr>
          <w:p w14:paraId="27B9048F"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FF0B3C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02D73E4" w14:textId="77777777" w:rsidR="00665586" w:rsidRPr="0004176C" w:rsidRDefault="00665586" w:rsidP="00665586">
            <w:pPr>
              <w:jc w:val="center"/>
              <w:rPr>
                <w:color w:val="000000"/>
                <w:sz w:val="18"/>
                <w:szCs w:val="18"/>
              </w:rPr>
            </w:pPr>
            <w:r w:rsidRPr="0004176C">
              <w:rPr>
                <w:color w:val="000000"/>
                <w:sz w:val="18"/>
                <w:szCs w:val="18"/>
              </w:rPr>
              <w:t>Family and Disabled - Three units reserved for disabled - new construction of four-story building</w:t>
            </w:r>
          </w:p>
        </w:tc>
      </w:tr>
      <w:tr w:rsidR="00665586" w:rsidRPr="0004176C" w14:paraId="1B9FB0FE" w14:textId="77777777" w:rsidTr="00665586">
        <w:trPr>
          <w:trHeight w:val="240"/>
        </w:trPr>
        <w:tc>
          <w:tcPr>
            <w:tcW w:w="1326" w:type="pct"/>
            <w:shd w:val="clear" w:color="auto" w:fill="auto"/>
            <w:vAlign w:val="center"/>
            <w:hideMark/>
          </w:tcPr>
          <w:p w14:paraId="473210B8" w14:textId="77777777" w:rsidR="00665586" w:rsidRPr="0004176C" w:rsidRDefault="00665586" w:rsidP="00665586">
            <w:pPr>
              <w:jc w:val="center"/>
              <w:rPr>
                <w:color w:val="000000"/>
                <w:sz w:val="18"/>
                <w:szCs w:val="18"/>
              </w:rPr>
            </w:pPr>
            <w:r w:rsidRPr="0004176C">
              <w:rPr>
                <w:color w:val="000000"/>
                <w:sz w:val="18"/>
                <w:szCs w:val="18"/>
              </w:rPr>
              <w:t>57 Main Street</w:t>
            </w:r>
          </w:p>
        </w:tc>
        <w:tc>
          <w:tcPr>
            <w:tcW w:w="596" w:type="pct"/>
            <w:shd w:val="clear" w:color="auto" w:fill="auto"/>
            <w:vAlign w:val="center"/>
            <w:hideMark/>
          </w:tcPr>
          <w:p w14:paraId="66B84A2B"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47023FF8"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C5CD999"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1148784" w14:textId="77777777" w:rsidR="00665586" w:rsidRPr="0004176C" w:rsidRDefault="00665586" w:rsidP="00665586">
            <w:pPr>
              <w:jc w:val="center"/>
              <w:rPr>
                <w:color w:val="000000"/>
                <w:sz w:val="18"/>
                <w:szCs w:val="18"/>
              </w:rPr>
            </w:pPr>
            <w:r w:rsidRPr="0004176C">
              <w:rPr>
                <w:color w:val="000000"/>
                <w:sz w:val="18"/>
                <w:szCs w:val="18"/>
              </w:rPr>
              <w:t>Family - PHA-owned rehab of three-story, mixed-use building</w:t>
            </w:r>
          </w:p>
        </w:tc>
      </w:tr>
      <w:tr w:rsidR="00665586" w:rsidRPr="0004176C" w14:paraId="10D0E0B9" w14:textId="77777777" w:rsidTr="00665586">
        <w:trPr>
          <w:trHeight w:val="240"/>
        </w:trPr>
        <w:tc>
          <w:tcPr>
            <w:tcW w:w="1326" w:type="pct"/>
            <w:shd w:val="clear" w:color="auto" w:fill="auto"/>
            <w:vAlign w:val="center"/>
            <w:hideMark/>
          </w:tcPr>
          <w:p w14:paraId="5855B22D" w14:textId="77777777" w:rsidR="00665586" w:rsidRPr="0004176C" w:rsidRDefault="00665586" w:rsidP="00665586">
            <w:pPr>
              <w:jc w:val="center"/>
              <w:rPr>
                <w:color w:val="000000"/>
                <w:sz w:val="18"/>
                <w:szCs w:val="18"/>
              </w:rPr>
            </w:pPr>
            <w:r w:rsidRPr="0004176C">
              <w:rPr>
                <w:color w:val="000000"/>
                <w:sz w:val="18"/>
                <w:szCs w:val="18"/>
              </w:rPr>
              <w:t>58 Harry Kemp Way</w:t>
            </w:r>
          </w:p>
        </w:tc>
        <w:tc>
          <w:tcPr>
            <w:tcW w:w="596" w:type="pct"/>
            <w:shd w:val="clear" w:color="auto" w:fill="auto"/>
            <w:vAlign w:val="center"/>
            <w:hideMark/>
          </w:tcPr>
          <w:p w14:paraId="6AA14123"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474CBEEB"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6452A17"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66CA3B4"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25BE3EC1" w14:textId="77777777" w:rsidTr="00665586">
        <w:trPr>
          <w:trHeight w:val="240"/>
        </w:trPr>
        <w:tc>
          <w:tcPr>
            <w:tcW w:w="1326" w:type="pct"/>
            <w:shd w:val="clear" w:color="auto" w:fill="auto"/>
            <w:vAlign w:val="center"/>
            <w:hideMark/>
          </w:tcPr>
          <w:p w14:paraId="3849D2C1" w14:textId="77777777" w:rsidR="00665586" w:rsidRPr="0004176C" w:rsidRDefault="00665586" w:rsidP="00665586">
            <w:pPr>
              <w:jc w:val="center"/>
              <w:rPr>
                <w:sz w:val="18"/>
                <w:szCs w:val="18"/>
              </w:rPr>
            </w:pPr>
            <w:r w:rsidRPr="0004176C">
              <w:rPr>
                <w:sz w:val="18"/>
                <w:szCs w:val="18"/>
              </w:rPr>
              <w:t>580 South Summer Street</w:t>
            </w:r>
          </w:p>
        </w:tc>
        <w:tc>
          <w:tcPr>
            <w:tcW w:w="596" w:type="pct"/>
            <w:shd w:val="clear" w:color="auto" w:fill="auto"/>
            <w:vAlign w:val="center"/>
            <w:hideMark/>
          </w:tcPr>
          <w:p w14:paraId="0326FCC6" w14:textId="77777777" w:rsidR="00665586" w:rsidRPr="0004176C" w:rsidRDefault="00665586" w:rsidP="00665586">
            <w:pPr>
              <w:jc w:val="center"/>
              <w:rPr>
                <w:sz w:val="18"/>
                <w:szCs w:val="18"/>
              </w:rPr>
            </w:pPr>
            <w:r w:rsidRPr="0004176C">
              <w:rPr>
                <w:sz w:val="18"/>
                <w:szCs w:val="18"/>
              </w:rPr>
              <w:t>12</w:t>
            </w:r>
          </w:p>
        </w:tc>
        <w:tc>
          <w:tcPr>
            <w:tcW w:w="674" w:type="pct"/>
            <w:shd w:val="clear" w:color="auto" w:fill="auto"/>
            <w:vAlign w:val="center"/>
            <w:hideMark/>
          </w:tcPr>
          <w:p w14:paraId="09BBF66C" w14:textId="77777777" w:rsidR="00665586" w:rsidRPr="0004176C" w:rsidRDefault="00665586" w:rsidP="00665586">
            <w:pPr>
              <w:jc w:val="center"/>
              <w:rPr>
                <w:sz w:val="18"/>
                <w:szCs w:val="18"/>
              </w:rPr>
            </w:pPr>
            <w:r w:rsidRPr="0004176C">
              <w:rPr>
                <w:sz w:val="18"/>
                <w:szCs w:val="18"/>
              </w:rPr>
              <w:t>Leased/Issued</w:t>
            </w:r>
          </w:p>
        </w:tc>
        <w:tc>
          <w:tcPr>
            <w:tcW w:w="627" w:type="pct"/>
            <w:shd w:val="clear" w:color="auto" w:fill="auto"/>
            <w:vAlign w:val="center"/>
            <w:hideMark/>
          </w:tcPr>
          <w:p w14:paraId="0AE95373"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hideMark/>
          </w:tcPr>
          <w:p w14:paraId="34330E74" w14:textId="77777777" w:rsidR="00665586" w:rsidRPr="0004176C" w:rsidRDefault="00665586" w:rsidP="00665586">
            <w:pPr>
              <w:jc w:val="center"/>
              <w:rPr>
                <w:sz w:val="18"/>
                <w:szCs w:val="18"/>
              </w:rPr>
            </w:pPr>
            <w:r w:rsidRPr="0004176C">
              <w:rPr>
                <w:sz w:val="18"/>
                <w:szCs w:val="18"/>
              </w:rPr>
              <w:t>Family - Rehab with 1, 2, and 3 BR units</w:t>
            </w:r>
          </w:p>
        </w:tc>
      </w:tr>
      <w:tr w:rsidR="00665586" w:rsidRPr="0004176C" w14:paraId="22836EB3" w14:textId="77777777" w:rsidTr="00665586">
        <w:trPr>
          <w:trHeight w:val="240"/>
        </w:trPr>
        <w:tc>
          <w:tcPr>
            <w:tcW w:w="1326" w:type="pct"/>
            <w:shd w:val="clear" w:color="auto" w:fill="auto"/>
            <w:vAlign w:val="center"/>
            <w:hideMark/>
          </w:tcPr>
          <w:p w14:paraId="0E7A310E" w14:textId="77777777" w:rsidR="00665586" w:rsidRPr="0004176C" w:rsidRDefault="00665586" w:rsidP="00665586">
            <w:pPr>
              <w:jc w:val="center"/>
              <w:rPr>
                <w:color w:val="000000"/>
                <w:sz w:val="18"/>
                <w:szCs w:val="18"/>
              </w:rPr>
            </w:pPr>
            <w:r w:rsidRPr="0004176C">
              <w:rPr>
                <w:color w:val="000000"/>
                <w:sz w:val="18"/>
                <w:szCs w:val="18"/>
              </w:rPr>
              <w:t>6 Fort Street</w:t>
            </w:r>
          </w:p>
        </w:tc>
        <w:tc>
          <w:tcPr>
            <w:tcW w:w="596" w:type="pct"/>
            <w:shd w:val="clear" w:color="auto" w:fill="auto"/>
            <w:vAlign w:val="center"/>
            <w:hideMark/>
          </w:tcPr>
          <w:p w14:paraId="00B8AFBF"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483AD4B4"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3FEDE9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3AD82E6"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2F5B39F4" w14:textId="77777777" w:rsidTr="00665586">
        <w:trPr>
          <w:trHeight w:val="480"/>
        </w:trPr>
        <w:tc>
          <w:tcPr>
            <w:tcW w:w="1326" w:type="pct"/>
            <w:shd w:val="clear" w:color="auto" w:fill="auto"/>
            <w:vAlign w:val="center"/>
            <w:hideMark/>
          </w:tcPr>
          <w:p w14:paraId="273A84E6" w14:textId="77777777" w:rsidR="00665586" w:rsidRPr="0004176C" w:rsidRDefault="00665586" w:rsidP="00665586">
            <w:pPr>
              <w:jc w:val="center"/>
              <w:rPr>
                <w:color w:val="000000"/>
                <w:sz w:val="18"/>
                <w:szCs w:val="18"/>
              </w:rPr>
            </w:pPr>
            <w:r w:rsidRPr="0004176C">
              <w:rPr>
                <w:color w:val="000000"/>
                <w:sz w:val="18"/>
                <w:szCs w:val="18"/>
              </w:rPr>
              <w:t>66 Hudson at One Greenway</w:t>
            </w:r>
          </w:p>
        </w:tc>
        <w:tc>
          <w:tcPr>
            <w:tcW w:w="596" w:type="pct"/>
            <w:shd w:val="clear" w:color="auto" w:fill="auto"/>
            <w:vAlign w:val="center"/>
            <w:hideMark/>
          </w:tcPr>
          <w:p w14:paraId="0B09240E"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8B8DEE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74C88D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E2A1457" w14:textId="77777777" w:rsidR="00665586" w:rsidRPr="0004176C" w:rsidRDefault="00665586" w:rsidP="00665586">
            <w:pPr>
              <w:jc w:val="center"/>
              <w:rPr>
                <w:color w:val="000000"/>
                <w:sz w:val="18"/>
                <w:szCs w:val="18"/>
              </w:rPr>
            </w:pPr>
            <w:r w:rsidRPr="0004176C">
              <w:rPr>
                <w:color w:val="000000"/>
                <w:sz w:val="18"/>
                <w:szCs w:val="18"/>
              </w:rPr>
              <w:t>Disabled - PBV units reserved for disabled; new construction of 10-story high-rise</w:t>
            </w:r>
          </w:p>
        </w:tc>
      </w:tr>
      <w:tr w:rsidR="00665586" w:rsidRPr="0004176C" w14:paraId="03D26E59" w14:textId="77777777" w:rsidTr="00665586">
        <w:trPr>
          <w:trHeight w:val="240"/>
        </w:trPr>
        <w:tc>
          <w:tcPr>
            <w:tcW w:w="1326" w:type="pct"/>
            <w:shd w:val="clear" w:color="auto" w:fill="auto"/>
            <w:vAlign w:val="center"/>
            <w:hideMark/>
          </w:tcPr>
          <w:p w14:paraId="59CB124B" w14:textId="77777777" w:rsidR="00665586" w:rsidRPr="0004176C" w:rsidRDefault="00665586" w:rsidP="00665586">
            <w:pPr>
              <w:jc w:val="center"/>
              <w:rPr>
                <w:color w:val="000000"/>
                <w:sz w:val="18"/>
                <w:szCs w:val="18"/>
              </w:rPr>
            </w:pPr>
            <w:r w:rsidRPr="0004176C">
              <w:rPr>
                <w:color w:val="000000"/>
                <w:sz w:val="18"/>
                <w:szCs w:val="18"/>
              </w:rPr>
              <w:t>75 Amory Avenue</w:t>
            </w:r>
          </w:p>
        </w:tc>
        <w:tc>
          <w:tcPr>
            <w:tcW w:w="596" w:type="pct"/>
            <w:shd w:val="clear" w:color="auto" w:fill="auto"/>
            <w:vAlign w:val="center"/>
            <w:hideMark/>
          </w:tcPr>
          <w:p w14:paraId="5E899A1E"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5FEA46B1"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9A6CD51"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F1F6E2C" w14:textId="77777777" w:rsidR="00665586" w:rsidRPr="0004176C" w:rsidRDefault="00665586" w:rsidP="00665586">
            <w:pPr>
              <w:jc w:val="center"/>
              <w:rPr>
                <w:color w:val="000000"/>
                <w:sz w:val="18"/>
                <w:szCs w:val="18"/>
              </w:rPr>
            </w:pPr>
            <w:r w:rsidRPr="0004176C">
              <w:rPr>
                <w:color w:val="000000"/>
                <w:sz w:val="18"/>
                <w:szCs w:val="18"/>
              </w:rPr>
              <w:t>Family - New construction rental PBVs at 30% AMI</w:t>
            </w:r>
          </w:p>
        </w:tc>
      </w:tr>
      <w:tr w:rsidR="00665586" w:rsidRPr="0004176C" w14:paraId="6866E949" w14:textId="77777777" w:rsidTr="00665586">
        <w:trPr>
          <w:trHeight w:val="240"/>
        </w:trPr>
        <w:tc>
          <w:tcPr>
            <w:tcW w:w="1326" w:type="pct"/>
            <w:shd w:val="clear" w:color="auto" w:fill="auto"/>
            <w:vAlign w:val="center"/>
            <w:hideMark/>
          </w:tcPr>
          <w:p w14:paraId="3ADFF013" w14:textId="77777777" w:rsidR="00665586" w:rsidRPr="0004176C" w:rsidRDefault="00665586" w:rsidP="00665586">
            <w:pPr>
              <w:jc w:val="center"/>
              <w:rPr>
                <w:color w:val="000000"/>
                <w:sz w:val="18"/>
                <w:szCs w:val="18"/>
              </w:rPr>
            </w:pPr>
            <w:r w:rsidRPr="0004176C">
              <w:rPr>
                <w:color w:val="000000"/>
                <w:sz w:val="18"/>
                <w:szCs w:val="18"/>
              </w:rPr>
              <w:t>75 Cross Street</w:t>
            </w:r>
          </w:p>
        </w:tc>
        <w:tc>
          <w:tcPr>
            <w:tcW w:w="596" w:type="pct"/>
            <w:shd w:val="clear" w:color="auto" w:fill="auto"/>
            <w:vAlign w:val="center"/>
            <w:hideMark/>
          </w:tcPr>
          <w:p w14:paraId="3C09D508"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603E5C5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36A2810"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A8FC435" w14:textId="77777777" w:rsidR="00665586" w:rsidRPr="0004176C" w:rsidRDefault="00665586" w:rsidP="00665586">
            <w:pPr>
              <w:jc w:val="center"/>
              <w:rPr>
                <w:color w:val="000000"/>
                <w:sz w:val="18"/>
                <w:szCs w:val="18"/>
              </w:rPr>
            </w:pPr>
            <w:r w:rsidRPr="0004176C">
              <w:rPr>
                <w:color w:val="000000"/>
                <w:sz w:val="18"/>
                <w:szCs w:val="18"/>
              </w:rPr>
              <w:t>Supportive services</w:t>
            </w:r>
          </w:p>
        </w:tc>
      </w:tr>
      <w:tr w:rsidR="00665586" w:rsidRPr="0004176C" w14:paraId="4C0704B8" w14:textId="77777777" w:rsidTr="00665586">
        <w:trPr>
          <w:trHeight w:val="240"/>
        </w:trPr>
        <w:tc>
          <w:tcPr>
            <w:tcW w:w="1326" w:type="pct"/>
            <w:shd w:val="clear" w:color="auto" w:fill="auto"/>
            <w:vAlign w:val="center"/>
            <w:hideMark/>
          </w:tcPr>
          <w:p w14:paraId="4F109306" w14:textId="77777777" w:rsidR="00665586" w:rsidRPr="0004176C" w:rsidRDefault="00665586" w:rsidP="00665586">
            <w:pPr>
              <w:jc w:val="center"/>
              <w:rPr>
                <w:color w:val="000000"/>
                <w:sz w:val="18"/>
                <w:szCs w:val="18"/>
              </w:rPr>
            </w:pPr>
            <w:r w:rsidRPr="0004176C">
              <w:rPr>
                <w:color w:val="000000"/>
                <w:sz w:val="18"/>
                <w:szCs w:val="18"/>
              </w:rPr>
              <w:t>82 Green Street</w:t>
            </w:r>
          </w:p>
        </w:tc>
        <w:tc>
          <w:tcPr>
            <w:tcW w:w="596" w:type="pct"/>
            <w:shd w:val="clear" w:color="auto" w:fill="auto"/>
            <w:vAlign w:val="center"/>
            <w:hideMark/>
          </w:tcPr>
          <w:p w14:paraId="49E53089" w14:textId="77777777" w:rsidR="00665586" w:rsidRPr="0004176C" w:rsidRDefault="00665586" w:rsidP="00665586">
            <w:pPr>
              <w:jc w:val="center"/>
              <w:rPr>
                <w:color w:val="000000"/>
                <w:sz w:val="18"/>
                <w:szCs w:val="18"/>
              </w:rPr>
            </w:pPr>
            <w:r w:rsidRPr="0004176C">
              <w:rPr>
                <w:color w:val="000000"/>
                <w:sz w:val="18"/>
                <w:szCs w:val="18"/>
              </w:rPr>
              <w:t>10</w:t>
            </w:r>
          </w:p>
        </w:tc>
        <w:tc>
          <w:tcPr>
            <w:tcW w:w="674" w:type="pct"/>
            <w:shd w:val="clear" w:color="auto" w:fill="auto"/>
            <w:vAlign w:val="center"/>
            <w:hideMark/>
          </w:tcPr>
          <w:p w14:paraId="7883CC10"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33868E9"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61DB073" w14:textId="77777777" w:rsidR="00665586" w:rsidRPr="0004176C" w:rsidRDefault="00665586" w:rsidP="00665586">
            <w:pPr>
              <w:jc w:val="center"/>
              <w:rPr>
                <w:color w:val="000000"/>
                <w:sz w:val="18"/>
                <w:szCs w:val="18"/>
              </w:rPr>
            </w:pPr>
            <w:r w:rsidRPr="0004176C">
              <w:rPr>
                <w:color w:val="000000"/>
                <w:sz w:val="18"/>
                <w:szCs w:val="18"/>
              </w:rPr>
              <w:t>Units for homeless individuals</w:t>
            </w:r>
          </w:p>
        </w:tc>
      </w:tr>
      <w:tr w:rsidR="00665586" w:rsidRPr="0004176C" w14:paraId="5B2FF2D2" w14:textId="77777777" w:rsidTr="00665586">
        <w:trPr>
          <w:trHeight w:val="240"/>
        </w:trPr>
        <w:tc>
          <w:tcPr>
            <w:tcW w:w="1326" w:type="pct"/>
            <w:shd w:val="clear" w:color="auto" w:fill="auto"/>
            <w:vAlign w:val="center"/>
            <w:hideMark/>
          </w:tcPr>
          <w:p w14:paraId="444CD19F" w14:textId="77777777" w:rsidR="00665586" w:rsidRPr="0004176C" w:rsidRDefault="00665586" w:rsidP="00665586">
            <w:pPr>
              <w:jc w:val="center"/>
              <w:rPr>
                <w:color w:val="000000"/>
                <w:sz w:val="18"/>
                <w:szCs w:val="18"/>
              </w:rPr>
            </w:pPr>
            <w:r w:rsidRPr="0004176C">
              <w:rPr>
                <w:color w:val="000000"/>
                <w:sz w:val="18"/>
                <w:szCs w:val="18"/>
              </w:rPr>
              <w:t>86 Dummer Street</w:t>
            </w:r>
          </w:p>
        </w:tc>
        <w:tc>
          <w:tcPr>
            <w:tcW w:w="596" w:type="pct"/>
            <w:shd w:val="clear" w:color="auto" w:fill="auto"/>
            <w:vAlign w:val="center"/>
            <w:hideMark/>
          </w:tcPr>
          <w:p w14:paraId="5212A53D" w14:textId="77777777" w:rsidR="00665586" w:rsidRPr="0004176C" w:rsidRDefault="00665586" w:rsidP="00665586">
            <w:pPr>
              <w:jc w:val="center"/>
              <w:rPr>
                <w:color w:val="000000"/>
                <w:sz w:val="18"/>
                <w:szCs w:val="18"/>
              </w:rPr>
            </w:pPr>
            <w:r w:rsidRPr="0004176C">
              <w:rPr>
                <w:color w:val="000000"/>
                <w:sz w:val="18"/>
                <w:szCs w:val="18"/>
              </w:rPr>
              <w:t>2</w:t>
            </w:r>
          </w:p>
        </w:tc>
        <w:tc>
          <w:tcPr>
            <w:tcW w:w="674" w:type="pct"/>
            <w:shd w:val="clear" w:color="auto" w:fill="auto"/>
            <w:vAlign w:val="center"/>
            <w:hideMark/>
          </w:tcPr>
          <w:p w14:paraId="305A0541"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8885E4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2950D66" w14:textId="77777777" w:rsidR="00665586" w:rsidRPr="0004176C" w:rsidRDefault="00665586" w:rsidP="00665586">
            <w:pPr>
              <w:jc w:val="center"/>
              <w:rPr>
                <w:color w:val="000000"/>
                <w:sz w:val="18"/>
                <w:szCs w:val="18"/>
              </w:rPr>
            </w:pPr>
            <w:r w:rsidRPr="0004176C">
              <w:rPr>
                <w:color w:val="000000"/>
                <w:sz w:val="18"/>
                <w:szCs w:val="18"/>
              </w:rPr>
              <w:t>Family - New construction of rental in a three-story building</w:t>
            </w:r>
          </w:p>
        </w:tc>
      </w:tr>
      <w:tr w:rsidR="00665586" w:rsidRPr="0004176C" w14:paraId="175683C8" w14:textId="77777777" w:rsidTr="00665586">
        <w:trPr>
          <w:trHeight w:val="240"/>
        </w:trPr>
        <w:tc>
          <w:tcPr>
            <w:tcW w:w="1326" w:type="pct"/>
            <w:shd w:val="clear" w:color="auto" w:fill="auto"/>
            <w:vAlign w:val="center"/>
            <w:hideMark/>
          </w:tcPr>
          <w:p w14:paraId="59834A5D" w14:textId="77777777" w:rsidR="00665586" w:rsidRPr="0004176C" w:rsidRDefault="00665586" w:rsidP="00665586">
            <w:pPr>
              <w:jc w:val="center"/>
              <w:rPr>
                <w:color w:val="000000"/>
                <w:sz w:val="18"/>
                <w:szCs w:val="18"/>
              </w:rPr>
            </w:pPr>
            <w:r w:rsidRPr="0004176C">
              <w:rPr>
                <w:color w:val="000000"/>
                <w:sz w:val="18"/>
                <w:szCs w:val="18"/>
              </w:rPr>
              <w:t>885C State Highway</w:t>
            </w:r>
          </w:p>
        </w:tc>
        <w:tc>
          <w:tcPr>
            <w:tcW w:w="596" w:type="pct"/>
            <w:shd w:val="clear" w:color="auto" w:fill="auto"/>
            <w:vAlign w:val="center"/>
            <w:hideMark/>
          </w:tcPr>
          <w:p w14:paraId="1CC8B717" w14:textId="77777777" w:rsidR="00665586" w:rsidRPr="0004176C" w:rsidRDefault="00665586" w:rsidP="00665586">
            <w:pPr>
              <w:jc w:val="center"/>
              <w:rPr>
                <w:color w:val="000000"/>
                <w:sz w:val="18"/>
                <w:szCs w:val="18"/>
              </w:rPr>
            </w:pPr>
            <w:r w:rsidRPr="0004176C">
              <w:rPr>
                <w:color w:val="000000"/>
                <w:sz w:val="18"/>
                <w:szCs w:val="18"/>
              </w:rPr>
              <w:t>1</w:t>
            </w:r>
          </w:p>
        </w:tc>
        <w:tc>
          <w:tcPr>
            <w:tcW w:w="674" w:type="pct"/>
            <w:shd w:val="clear" w:color="auto" w:fill="auto"/>
            <w:vAlign w:val="center"/>
            <w:hideMark/>
          </w:tcPr>
          <w:p w14:paraId="5B24B702"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A8DB6C6"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9A984C0" w14:textId="77777777" w:rsidR="00665586" w:rsidRPr="0004176C" w:rsidRDefault="00665586" w:rsidP="00665586">
            <w:pPr>
              <w:jc w:val="center"/>
              <w:rPr>
                <w:color w:val="000000"/>
                <w:sz w:val="18"/>
                <w:szCs w:val="18"/>
              </w:rPr>
            </w:pPr>
            <w:r w:rsidRPr="0004176C">
              <w:rPr>
                <w:color w:val="000000"/>
                <w:sz w:val="18"/>
                <w:szCs w:val="18"/>
              </w:rPr>
              <w:t>Family - New construction - 40B project</w:t>
            </w:r>
          </w:p>
        </w:tc>
      </w:tr>
      <w:tr w:rsidR="00665586" w:rsidRPr="0004176C" w14:paraId="6129219F" w14:textId="77777777" w:rsidTr="00665586">
        <w:trPr>
          <w:trHeight w:val="240"/>
        </w:trPr>
        <w:tc>
          <w:tcPr>
            <w:tcW w:w="1326" w:type="pct"/>
            <w:shd w:val="clear" w:color="auto" w:fill="auto"/>
            <w:vAlign w:val="center"/>
            <w:hideMark/>
          </w:tcPr>
          <w:p w14:paraId="6D0A54D0" w14:textId="77777777" w:rsidR="00665586" w:rsidRPr="0004176C" w:rsidRDefault="00665586" w:rsidP="00665586">
            <w:pPr>
              <w:jc w:val="center"/>
              <w:rPr>
                <w:color w:val="000000"/>
                <w:sz w:val="18"/>
                <w:szCs w:val="18"/>
              </w:rPr>
            </w:pPr>
            <w:r w:rsidRPr="0004176C">
              <w:rPr>
                <w:color w:val="000000"/>
                <w:sz w:val="18"/>
                <w:szCs w:val="18"/>
              </w:rPr>
              <w:t>9 May Street</w:t>
            </w:r>
          </w:p>
        </w:tc>
        <w:tc>
          <w:tcPr>
            <w:tcW w:w="596" w:type="pct"/>
            <w:shd w:val="clear" w:color="auto" w:fill="auto"/>
            <w:vAlign w:val="center"/>
            <w:hideMark/>
          </w:tcPr>
          <w:p w14:paraId="4064A281"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6FBAFAE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338CADB"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4CB2A78"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4E029386" w14:textId="77777777" w:rsidTr="00665586">
        <w:trPr>
          <w:trHeight w:val="240"/>
        </w:trPr>
        <w:tc>
          <w:tcPr>
            <w:tcW w:w="1326" w:type="pct"/>
            <w:shd w:val="clear" w:color="auto" w:fill="auto"/>
            <w:vAlign w:val="center"/>
            <w:hideMark/>
          </w:tcPr>
          <w:p w14:paraId="01FBBD69" w14:textId="77777777" w:rsidR="00665586" w:rsidRPr="0004176C" w:rsidRDefault="00665586" w:rsidP="00665586">
            <w:pPr>
              <w:jc w:val="center"/>
              <w:rPr>
                <w:color w:val="000000"/>
                <w:sz w:val="18"/>
                <w:szCs w:val="18"/>
              </w:rPr>
            </w:pPr>
            <w:r w:rsidRPr="0004176C">
              <w:rPr>
                <w:color w:val="000000"/>
                <w:sz w:val="18"/>
                <w:szCs w:val="18"/>
              </w:rPr>
              <w:t>Acre High School Apartments</w:t>
            </w:r>
          </w:p>
        </w:tc>
        <w:tc>
          <w:tcPr>
            <w:tcW w:w="596" w:type="pct"/>
            <w:shd w:val="clear" w:color="auto" w:fill="auto"/>
            <w:vAlign w:val="center"/>
            <w:hideMark/>
          </w:tcPr>
          <w:p w14:paraId="319E2728"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1B51045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E209A82"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3D42E58"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7B93582C" w14:textId="77777777" w:rsidTr="00665586">
        <w:trPr>
          <w:trHeight w:val="240"/>
        </w:trPr>
        <w:tc>
          <w:tcPr>
            <w:tcW w:w="1326" w:type="pct"/>
            <w:shd w:val="clear" w:color="auto" w:fill="auto"/>
            <w:vAlign w:val="center"/>
            <w:hideMark/>
          </w:tcPr>
          <w:p w14:paraId="53E2664D" w14:textId="77777777" w:rsidR="00665586" w:rsidRPr="0004176C" w:rsidRDefault="00665586" w:rsidP="00665586">
            <w:pPr>
              <w:jc w:val="center"/>
              <w:rPr>
                <w:color w:val="000000"/>
                <w:sz w:val="18"/>
                <w:szCs w:val="18"/>
              </w:rPr>
            </w:pPr>
            <w:r w:rsidRPr="0004176C">
              <w:rPr>
                <w:color w:val="000000"/>
                <w:sz w:val="18"/>
                <w:szCs w:val="18"/>
              </w:rPr>
              <w:t>Acushnet Commons</w:t>
            </w:r>
          </w:p>
        </w:tc>
        <w:tc>
          <w:tcPr>
            <w:tcW w:w="596" w:type="pct"/>
            <w:shd w:val="clear" w:color="auto" w:fill="auto"/>
            <w:vAlign w:val="center"/>
            <w:hideMark/>
          </w:tcPr>
          <w:p w14:paraId="2F7B8405" w14:textId="77777777" w:rsidR="00665586" w:rsidRPr="0004176C" w:rsidRDefault="00665586" w:rsidP="00665586">
            <w:pPr>
              <w:jc w:val="center"/>
              <w:rPr>
                <w:color w:val="000000"/>
                <w:sz w:val="18"/>
                <w:szCs w:val="18"/>
              </w:rPr>
            </w:pPr>
            <w:r w:rsidRPr="0004176C">
              <w:rPr>
                <w:color w:val="000000"/>
                <w:sz w:val="18"/>
                <w:szCs w:val="18"/>
              </w:rPr>
              <w:t>3</w:t>
            </w:r>
          </w:p>
        </w:tc>
        <w:tc>
          <w:tcPr>
            <w:tcW w:w="674" w:type="pct"/>
            <w:shd w:val="clear" w:color="auto" w:fill="auto"/>
            <w:vAlign w:val="center"/>
            <w:hideMark/>
          </w:tcPr>
          <w:p w14:paraId="30848ACF"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7CDFC9E"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46115EF"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032BBD04" w14:textId="77777777" w:rsidTr="00665586">
        <w:trPr>
          <w:trHeight w:val="240"/>
        </w:trPr>
        <w:tc>
          <w:tcPr>
            <w:tcW w:w="1326" w:type="pct"/>
            <w:shd w:val="clear" w:color="auto" w:fill="auto"/>
            <w:vAlign w:val="center"/>
            <w:hideMark/>
          </w:tcPr>
          <w:p w14:paraId="5EAA94D5" w14:textId="77777777" w:rsidR="00665586" w:rsidRPr="0004176C" w:rsidRDefault="00665586" w:rsidP="00665586">
            <w:pPr>
              <w:jc w:val="center"/>
              <w:rPr>
                <w:color w:val="000000"/>
                <w:sz w:val="18"/>
                <w:szCs w:val="18"/>
              </w:rPr>
            </w:pPr>
            <w:r w:rsidRPr="0004176C">
              <w:rPr>
                <w:color w:val="000000"/>
                <w:sz w:val="18"/>
                <w:szCs w:val="18"/>
              </w:rPr>
              <w:t>Ames Privilege 2</w:t>
            </w:r>
          </w:p>
        </w:tc>
        <w:tc>
          <w:tcPr>
            <w:tcW w:w="596" w:type="pct"/>
            <w:shd w:val="clear" w:color="auto" w:fill="auto"/>
            <w:vAlign w:val="center"/>
            <w:hideMark/>
          </w:tcPr>
          <w:p w14:paraId="511C8B2A"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4F13B7A7"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2796300"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5D7CEF7" w14:textId="77777777" w:rsidR="00665586" w:rsidRPr="0004176C" w:rsidRDefault="00665586" w:rsidP="00665586">
            <w:pPr>
              <w:jc w:val="center"/>
              <w:rPr>
                <w:color w:val="000000"/>
                <w:sz w:val="18"/>
                <w:szCs w:val="18"/>
              </w:rPr>
            </w:pPr>
            <w:r w:rsidRPr="0004176C">
              <w:rPr>
                <w:color w:val="000000"/>
                <w:sz w:val="18"/>
                <w:szCs w:val="18"/>
              </w:rPr>
              <w:t>Family - Substantial rehab of historic mill complex</w:t>
            </w:r>
          </w:p>
        </w:tc>
      </w:tr>
      <w:tr w:rsidR="00665586" w:rsidRPr="0004176C" w14:paraId="28930A38" w14:textId="77777777" w:rsidTr="00665586">
        <w:trPr>
          <w:trHeight w:val="240"/>
        </w:trPr>
        <w:tc>
          <w:tcPr>
            <w:tcW w:w="1326" w:type="pct"/>
            <w:shd w:val="clear" w:color="auto" w:fill="auto"/>
            <w:vAlign w:val="center"/>
            <w:hideMark/>
          </w:tcPr>
          <w:p w14:paraId="3FFEE96B" w14:textId="77777777" w:rsidR="00665586" w:rsidRPr="0004176C" w:rsidRDefault="00665586" w:rsidP="00665586">
            <w:pPr>
              <w:jc w:val="center"/>
              <w:rPr>
                <w:color w:val="000000"/>
                <w:sz w:val="18"/>
                <w:szCs w:val="18"/>
              </w:rPr>
            </w:pPr>
            <w:r w:rsidRPr="0004176C">
              <w:rPr>
                <w:color w:val="000000"/>
                <w:sz w:val="18"/>
                <w:szCs w:val="18"/>
              </w:rPr>
              <w:t>Ames Shovel Works/Main and Oliver Streets</w:t>
            </w:r>
          </w:p>
        </w:tc>
        <w:tc>
          <w:tcPr>
            <w:tcW w:w="596" w:type="pct"/>
            <w:shd w:val="clear" w:color="auto" w:fill="auto"/>
            <w:vAlign w:val="center"/>
            <w:hideMark/>
          </w:tcPr>
          <w:p w14:paraId="314D72BC"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03375E02"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E1E1FAE"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4B255D0" w14:textId="77777777" w:rsidR="00665586" w:rsidRPr="0004176C" w:rsidRDefault="00665586" w:rsidP="00665586">
            <w:pPr>
              <w:jc w:val="center"/>
              <w:rPr>
                <w:color w:val="000000"/>
                <w:sz w:val="18"/>
                <w:szCs w:val="18"/>
              </w:rPr>
            </w:pPr>
            <w:r w:rsidRPr="0004176C">
              <w:rPr>
                <w:color w:val="000000"/>
                <w:sz w:val="18"/>
                <w:szCs w:val="18"/>
              </w:rPr>
              <w:t>Family - Substantial rehab of historic factory complex</w:t>
            </w:r>
          </w:p>
        </w:tc>
      </w:tr>
      <w:tr w:rsidR="00665586" w:rsidRPr="0004176C" w14:paraId="722DD5EA" w14:textId="77777777" w:rsidTr="00665586">
        <w:trPr>
          <w:trHeight w:val="240"/>
        </w:trPr>
        <w:tc>
          <w:tcPr>
            <w:tcW w:w="1326" w:type="pct"/>
            <w:shd w:val="clear" w:color="auto" w:fill="auto"/>
            <w:vAlign w:val="center"/>
            <w:hideMark/>
          </w:tcPr>
          <w:p w14:paraId="2BFBD146" w14:textId="77777777" w:rsidR="00665586" w:rsidRPr="0004176C" w:rsidRDefault="00665586" w:rsidP="00665586">
            <w:pPr>
              <w:jc w:val="center"/>
              <w:rPr>
                <w:color w:val="000000"/>
                <w:sz w:val="18"/>
                <w:szCs w:val="18"/>
              </w:rPr>
            </w:pPr>
            <w:r w:rsidRPr="0004176C">
              <w:rPr>
                <w:color w:val="000000"/>
                <w:sz w:val="18"/>
                <w:szCs w:val="18"/>
              </w:rPr>
              <w:t>Amory Street/10 and 20 Amory Avenue</w:t>
            </w:r>
          </w:p>
        </w:tc>
        <w:tc>
          <w:tcPr>
            <w:tcW w:w="596" w:type="pct"/>
            <w:shd w:val="clear" w:color="auto" w:fill="auto"/>
            <w:vAlign w:val="center"/>
            <w:hideMark/>
          </w:tcPr>
          <w:p w14:paraId="7698367B" w14:textId="77777777" w:rsidR="00665586" w:rsidRPr="0004176C" w:rsidRDefault="00665586" w:rsidP="00665586">
            <w:pPr>
              <w:jc w:val="center"/>
              <w:rPr>
                <w:color w:val="000000"/>
                <w:sz w:val="18"/>
                <w:szCs w:val="18"/>
              </w:rPr>
            </w:pPr>
            <w:r w:rsidRPr="0004176C">
              <w:rPr>
                <w:color w:val="000000"/>
                <w:sz w:val="18"/>
                <w:szCs w:val="18"/>
              </w:rPr>
              <w:t>10</w:t>
            </w:r>
          </w:p>
        </w:tc>
        <w:tc>
          <w:tcPr>
            <w:tcW w:w="674" w:type="pct"/>
            <w:shd w:val="clear" w:color="auto" w:fill="auto"/>
            <w:vAlign w:val="center"/>
            <w:hideMark/>
          </w:tcPr>
          <w:p w14:paraId="486EF48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3A7FC51"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E879361"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6D2114E6" w14:textId="77777777" w:rsidTr="00665586">
        <w:trPr>
          <w:trHeight w:val="480"/>
        </w:trPr>
        <w:tc>
          <w:tcPr>
            <w:tcW w:w="1326" w:type="pct"/>
            <w:shd w:val="clear" w:color="auto" w:fill="auto"/>
            <w:vAlign w:val="center"/>
            <w:hideMark/>
          </w:tcPr>
          <w:p w14:paraId="63745E81" w14:textId="77777777" w:rsidR="00665586" w:rsidRPr="0004176C" w:rsidRDefault="00665586" w:rsidP="00665586">
            <w:pPr>
              <w:jc w:val="center"/>
              <w:rPr>
                <w:color w:val="000000"/>
                <w:sz w:val="18"/>
                <w:szCs w:val="18"/>
              </w:rPr>
            </w:pPr>
            <w:r w:rsidRPr="0004176C">
              <w:rPr>
                <w:color w:val="000000"/>
                <w:sz w:val="18"/>
                <w:szCs w:val="18"/>
              </w:rPr>
              <w:t>Armory Street Apartments</w:t>
            </w:r>
          </w:p>
        </w:tc>
        <w:tc>
          <w:tcPr>
            <w:tcW w:w="596" w:type="pct"/>
            <w:shd w:val="clear" w:color="auto" w:fill="auto"/>
            <w:vAlign w:val="center"/>
            <w:hideMark/>
          </w:tcPr>
          <w:p w14:paraId="025A554E" w14:textId="77777777" w:rsidR="00665586" w:rsidRPr="0004176C" w:rsidRDefault="00665586" w:rsidP="00665586">
            <w:pPr>
              <w:jc w:val="center"/>
              <w:rPr>
                <w:color w:val="000000"/>
                <w:sz w:val="18"/>
                <w:szCs w:val="18"/>
              </w:rPr>
            </w:pPr>
            <w:r w:rsidRPr="0004176C">
              <w:rPr>
                <w:color w:val="000000"/>
                <w:sz w:val="18"/>
                <w:szCs w:val="18"/>
              </w:rPr>
              <w:t>1</w:t>
            </w:r>
          </w:p>
        </w:tc>
        <w:tc>
          <w:tcPr>
            <w:tcW w:w="674" w:type="pct"/>
            <w:shd w:val="clear" w:color="auto" w:fill="auto"/>
            <w:vAlign w:val="center"/>
            <w:hideMark/>
          </w:tcPr>
          <w:p w14:paraId="5E874E07"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7C94155"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EDC1BBE" w14:textId="77777777" w:rsidR="00665586" w:rsidRPr="0004176C" w:rsidRDefault="00665586" w:rsidP="00665586">
            <w:pPr>
              <w:jc w:val="center"/>
              <w:rPr>
                <w:color w:val="000000"/>
                <w:sz w:val="18"/>
                <w:szCs w:val="18"/>
              </w:rPr>
            </w:pPr>
            <w:r w:rsidRPr="0004176C">
              <w:rPr>
                <w:color w:val="000000"/>
                <w:sz w:val="18"/>
                <w:szCs w:val="18"/>
              </w:rPr>
              <w:t>Disabled - PBV unit reserved for disabled; new construction of four-unit building</w:t>
            </w:r>
          </w:p>
        </w:tc>
      </w:tr>
      <w:tr w:rsidR="00665586" w:rsidRPr="0004176C" w14:paraId="4CFEE37A" w14:textId="77777777" w:rsidTr="00665586">
        <w:trPr>
          <w:trHeight w:val="240"/>
        </w:trPr>
        <w:tc>
          <w:tcPr>
            <w:tcW w:w="1326" w:type="pct"/>
            <w:shd w:val="clear" w:color="auto" w:fill="auto"/>
            <w:vAlign w:val="center"/>
            <w:hideMark/>
          </w:tcPr>
          <w:p w14:paraId="292BA355" w14:textId="77777777" w:rsidR="00665586" w:rsidRPr="0004176C" w:rsidRDefault="00665586" w:rsidP="00665586">
            <w:pPr>
              <w:jc w:val="center"/>
              <w:rPr>
                <w:color w:val="000000"/>
                <w:sz w:val="18"/>
                <w:szCs w:val="18"/>
              </w:rPr>
            </w:pPr>
            <w:r w:rsidRPr="0004176C">
              <w:rPr>
                <w:color w:val="000000"/>
                <w:sz w:val="18"/>
                <w:szCs w:val="18"/>
              </w:rPr>
              <w:t>Austin Corridor II</w:t>
            </w:r>
          </w:p>
        </w:tc>
        <w:tc>
          <w:tcPr>
            <w:tcW w:w="596" w:type="pct"/>
            <w:shd w:val="clear" w:color="auto" w:fill="auto"/>
            <w:vAlign w:val="center"/>
            <w:hideMark/>
          </w:tcPr>
          <w:p w14:paraId="0A25BD63" w14:textId="77777777" w:rsidR="00665586" w:rsidRPr="0004176C" w:rsidRDefault="00665586" w:rsidP="00665586">
            <w:pPr>
              <w:jc w:val="center"/>
              <w:rPr>
                <w:color w:val="000000"/>
                <w:sz w:val="18"/>
                <w:szCs w:val="18"/>
              </w:rPr>
            </w:pPr>
            <w:r w:rsidRPr="0004176C">
              <w:rPr>
                <w:color w:val="000000"/>
                <w:sz w:val="18"/>
                <w:szCs w:val="18"/>
              </w:rPr>
              <w:t>5</w:t>
            </w:r>
          </w:p>
        </w:tc>
        <w:tc>
          <w:tcPr>
            <w:tcW w:w="674" w:type="pct"/>
            <w:shd w:val="clear" w:color="auto" w:fill="auto"/>
            <w:vAlign w:val="center"/>
            <w:hideMark/>
          </w:tcPr>
          <w:p w14:paraId="64DF39B5"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2B5BE2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14DB3FD" w14:textId="77777777" w:rsidR="00665586" w:rsidRPr="0004176C" w:rsidRDefault="00665586" w:rsidP="00665586">
            <w:pPr>
              <w:jc w:val="center"/>
              <w:rPr>
                <w:color w:val="000000"/>
                <w:sz w:val="18"/>
                <w:szCs w:val="18"/>
              </w:rPr>
            </w:pPr>
            <w:r w:rsidRPr="0004176C">
              <w:rPr>
                <w:color w:val="000000"/>
                <w:sz w:val="18"/>
                <w:szCs w:val="18"/>
              </w:rPr>
              <w:t>Family - Substantial rehab of six separate buildings</w:t>
            </w:r>
          </w:p>
        </w:tc>
      </w:tr>
      <w:tr w:rsidR="00665586" w:rsidRPr="0004176C" w14:paraId="7C56CADF" w14:textId="77777777" w:rsidTr="00665586">
        <w:trPr>
          <w:trHeight w:val="240"/>
        </w:trPr>
        <w:tc>
          <w:tcPr>
            <w:tcW w:w="1326" w:type="pct"/>
            <w:shd w:val="clear" w:color="auto" w:fill="auto"/>
            <w:vAlign w:val="center"/>
            <w:hideMark/>
          </w:tcPr>
          <w:p w14:paraId="69698ED1" w14:textId="77777777" w:rsidR="00665586" w:rsidRPr="0004176C" w:rsidRDefault="00665586" w:rsidP="00665586">
            <w:pPr>
              <w:jc w:val="center"/>
              <w:rPr>
                <w:color w:val="000000"/>
                <w:sz w:val="18"/>
                <w:szCs w:val="18"/>
              </w:rPr>
            </w:pPr>
            <w:r w:rsidRPr="0004176C">
              <w:rPr>
                <w:color w:val="000000"/>
                <w:sz w:val="18"/>
                <w:szCs w:val="18"/>
              </w:rPr>
              <w:t>Baker Street</w:t>
            </w:r>
          </w:p>
        </w:tc>
        <w:tc>
          <w:tcPr>
            <w:tcW w:w="596" w:type="pct"/>
            <w:shd w:val="clear" w:color="auto" w:fill="auto"/>
            <w:vAlign w:val="center"/>
            <w:hideMark/>
          </w:tcPr>
          <w:p w14:paraId="1198DD6B" w14:textId="77777777" w:rsidR="00665586" w:rsidRPr="0004176C" w:rsidRDefault="00665586" w:rsidP="00665586">
            <w:pPr>
              <w:jc w:val="center"/>
              <w:rPr>
                <w:color w:val="000000"/>
                <w:sz w:val="18"/>
                <w:szCs w:val="18"/>
              </w:rPr>
            </w:pPr>
            <w:r w:rsidRPr="0004176C">
              <w:rPr>
                <w:color w:val="000000"/>
                <w:sz w:val="18"/>
                <w:szCs w:val="18"/>
              </w:rPr>
              <w:t>20</w:t>
            </w:r>
          </w:p>
        </w:tc>
        <w:tc>
          <w:tcPr>
            <w:tcW w:w="674" w:type="pct"/>
            <w:shd w:val="clear" w:color="auto" w:fill="auto"/>
            <w:vAlign w:val="center"/>
            <w:hideMark/>
          </w:tcPr>
          <w:p w14:paraId="3072FE28"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68D056B"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B15BF40"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443BF2DD" w14:textId="77777777" w:rsidTr="00665586">
        <w:trPr>
          <w:trHeight w:val="480"/>
        </w:trPr>
        <w:tc>
          <w:tcPr>
            <w:tcW w:w="1326" w:type="pct"/>
            <w:shd w:val="clear" w:color="auto" w:fill="auto"/>
            <w:vAlign w:val="center"/>
          </w:tcPr>
          <w:p w14:paraId="28B1B7F0" w14:textId="0F4FE5FC" w:rsidR="00665586" w:rsidRPr="0004176C" w:rsidRDefault="00665586" w:rsidP="00665586">
            <w:pPr>
              <w:jc w:val="center"/>
              <w:rPr>
                <w:sz w:val="18"/>
                <w:szCs w:val="18"/>
              </w:rPr>
            </w:pPr>
            <w:r w:rsidRPr="0004176C">
              <w:rPr>
                <w:sz w:val="18"/>
                <w:szCs w:val="18"/>
              </w:rPr>
              <w:t>Barlett Station (Bldg A), Boston **</w:t>
            </w:r>
          </w:p>
        </w:tc>
        <w:tc>
          <w:tcPr>
            <w:tcW w:w="596" w:type="pct"/>
            <w:shd w:val="clear" w:color="auto" w:fill="auto"/>
            <w:vAlign w:val="center"/>
          </w:tcPr>
          <w:p w14:paraId="44EA2D75"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66DEAEFA"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07EBA5FC"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764B5D01" w14:textId="77777777" w:rsidR="00665586" w:rsidRPr="0004176C" w:rsidRDefault="00665586" w:rsidP="00665586">
            <w:pPr>
              <w:jc w:val="center"/>
              <w:rPr>
                <w:sz w:val="18"/>
                <w:szCs w:val="18"/>
              </w:rPr>
            </w:pPr>
            <w:r w:rsidRPr="0004176C">
              <w:rPr>
                <w:sz w:val="18"/>
                <w:szCs w:val="18"/>
              </w:rPr>
              <w:t>New Construction – Mixed Used, Family Housing</w:t>
            </w:r>
          </w:p>
        </w:tc>
      </w:tr>
      <w:tr w:rsidR="00665586" w:rsidRPr="0004176C" w14:paraId="7A9F872E" w14:textId="77777777" w:rsidTr="00665586">
        <w:trPr>
          <w:trHeight w:val="240"/>
        </w:trPr>
        <w:tc>
          <w:tcPr>
            <w:tcW w:w="1326" w:type="pct"/>
            <w:shd w:val="clear" w:color="auto" w:fill="auto"/>
            <w:vAlign w:val="center"/>
            <w:hideMark/>
          </w:tcPr>
          <w:p w14:paraId="4AE0D9BB" w14:textId="77777777" w:rsidR="00665586" w:rsidRPr="0004176C" w:rsidRDefault="00665586" w:rsidP="00665586">
            <w:pPr>
              <w:jc w:val="center"/>
              <w:rPr>
                <w:color w:val="000000"/>
                <w:sz w:val="18"/>
                <w:szCs w:val="18"/>
              </w:rPr>
            </w:pPr>
            <w:r w:rsidRPr="0004176C">
              <w:rPr>
                <w:color w:val="000000"/>
                <w:sz w:val="18"/>
                <w:szCs w:val="18"/>
              </w:rPr>
              <w:t>Barnstable Family/Kimber Woods</w:t>
            </w:r>
          </w:p>
        </w:tc>
        <w:tc>
          <w:tcPr>
            <w:tcW w:w="596" w:type="pct"/>
            <w:shd w:val="clear" w:color="auto" w:fill="auto"/>
            <w:vAlign w:val="center"/>
            <w:hideMark/>
          </w:tcPr>
          <w:p w14:paraId="2F0DC5C8" w14:textId="77777777" w:rsidR="00665586" w:rsidRPr="0004176C" w:rsidRDefault="00665586" w:rsidP="00665586">
            <w:pPr>
              <w:jc w:val="center"/>
              <w:rPr>
                <w:color w:val="000000"/>
                <w:sz w:val="18"/>
                <w:szCs w:val="18"/>
              </w:rPr>
            </w:pPr>
            <w:r w:rsidRPr="0004176C">
              <w:rPr>
                <w:color w:val="000000"/>
                <w:sz w:val="18"/>
                <w:szCs w:val="18"/>
              </w:rPr>
              <w:t>7</w:t>
            </w:r>
          </w:p>
        </w:tc>
        <w:tc>
          <w:tcPr>
            <w:tcW w:w="674" w:type="pct"/>
            <w:shd w:val="clear" w:color="auto" w:fill="auto"/>
            <w:vAlign w:val="center"/>
            <w:hideMark/>
          </w:tcPr>
          <w:p w14:paraId="3E69643F"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C378F83"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A89917F"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5648BD55" w14:textId="77777777" w:rsidTr="00665586">
        <w:trPr>
          <w:trHeight w:val="240"/>
        </w:trPr>
        <w:tc>
          <w:tcPr>
            <w:tcW w:w="1326" w:type="pct"/>
            <w:shd w:val="clear" w:color="auto" w:fill="auto"/>
            <w:vAlign w:val="center"/>
            <w:hideMark/>
          </w:tcPr>
          <w:p w14:paraId="5511EBF1" w14:textId="77777777" w:rsidR="00665586" w:rsidRPr="0004176C" w:rsidRDefault="00665586" w:rsidP="00665586">
            <w:pPr>
              <w:jc w:val="center"/>
              <w:rPr>
                <w:color w:val="000000"/>
                <w:sz w:val="18"/>
                <w:szCs w:val="18"/>
              </w:rPr>
            </w:pPr>
            <w:r w:rsidRPr="0004176C">
              <w:rPr>
                <w:color w:val="000000"/>
                <w:sz w:val="18"/>
                <w:szCs w:val="18"/>
              </w:rPr>
              <w:t>Barnstable Senior/Lombard Farm</w:t>
            </w:r>
          </w:p>
        </w:tc>
        <w:tc>
          <w:tcPr>
            <w:tcW w:w="596" w:type="pct"/>
            <w:shd w:val="clear" w:color="auto" w:fill="auto"/>
            <w:vAlign w:val="center"/>
            <w:hideMark/>
          </w:tcPr>
          <w:p w14:paraId="2B955CAF"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1C118124"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693F43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50C5C96"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221DDA85" w14:textId="77777777" w:rsidTr="00665586">
        <w:trPr>
          <w:trHeight w:val="240"/>
        </w:trPr>
        <w:tc>
          <w:tcPr>
            <w:tcW w:w="1326" w:type="pct"/>
            <w:shd w:val="clear" w:color="auto" w:fill="auto"/>
            <w:vAlign w:val="center"/>
            <w:hideMark/>
          </w:tcPr>
          <w:p w14:paraId="3F9453B9" w14:textId="77777777" w:rsidR="00665586" w:rsidRPr="0004176C" w:rsidRDefault="00665586" w:rsidP="00665586">
            <w:pPr>
              <w:jc w:val="center"/>
              <w:rPr>
                <w:color w:val="000000"/>
                <w:sz w:val="18"/>
                <w:szCs w:val="18"/>
              </w:rPr>
            </w:pPr>
            <w:r w:rsidRPr="0004176C">
              <w:rPr>
                <w:color w:val="000000"/>
                <w:sz w:val="18"/>
                <w:szCs w:val="18"/>
              </w:rPr>
              <w:t>Bedford Green Apts.</w:t>
            </w:r>
          </w:p>
        </w:tc>
        <w:tc>
          <w:tcPr>
            <w:tcW w:w="596" w:type="pct"/>
            <w:shd w:val="clear" w:color="auto" w:fill="auto"/>
            <w:vAlign w:val="center"/>
            <w:hideMark/>
          </w:tcPr>
          <w:p w14:paraId="385CC4FD" w14:textId="77777777" w:rsidR="00665586" w:rsidRPr="0004176C" w:rsidRDefault="00665586" w:rsidP="00665586">
            <w:pPr>
              <w:jc w:val="center"/>
              <w:rPr>
                <w:color w:val="000000"/>
                <w:sz w:val="18"/>
                <w:szCs w:val="18"/>
              </w:rPr>
            </w:pPr>
            <w:r w:rsidRPr="0004176C">
              <w:rPr>
                <w:color w:val="000000"/>
                <w:sz w:val="18"/>
                <w:szCs w:val="18"/>
              </w:rPr>
              <w:t>69</w:t>
            </w:r>
          </w:p>
        </w:tc>
        <w:tc>
          <w:tcPr>
            <w:tcW w:w="674" w:type="pct"/>
            <w:shd w:val="clear" w:color="auto" w:fill="auto"/>
            <w:vAlign w:val="center"/>
            <w:hideMark/>
          </w:tcPr>
          <w:p w14:paraId="59FDDD26"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B19E05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ABFFB71" w14:textId="77777777" w:rsidR="00665586" w:rsidRPr="0004176C" w:rsidRDefault="00665586" w:rsidP="00665586">
            <w:pPr>
              <w:jc w:val="center"/>
              <w:rPr>
                <w:color w:val="000000"/>
                <w:sz w:val="18"/>
                <w:szCs w:val="18"/>
              </w:rPr>
            </w:pPr>
            <w:r w:rsidRPr="0004176C">
              <w:rPr>
                <w:color w:val="000000"/>
                <w:sz w:val="18"/>
                <w:szCs w:val="18"/>
              </w:rPr>
              <w:t>VASH PBV rental on VA campus</w:t>
            </w:r>
          </w:p>
        </w:tc>
      </w:tr>
      <w:tr w:rsidR="00665586" w:rsidRPr="0004176C" w14:paraId="5F23912A" w14:textId="77777777" w:rsidTr="00665586">
        <w:trPr>
          <w:trHeight w:val="720"/>
        </w:trPr>
        <w:tc>
          <w:tcPr>
            <w:tcW w:w="1326" w:type="pct"/>
            <w:shd w:val="clear" w:color="auto" w:fill="auto"/>
            <w:vAlign w:val="center"/>
            <w:hideMark/>
          </w:tcPr>
          <w:p w14:paraId="6E54EA31" w14:textId="77777777" w:rsidR="00665586" w:rsidRPr="0004176C" w:rsidRDefault="00665586" w:rsidP="00665586">
            <w:pPr>
              <w:jc w:val="center"/>
              <w:rPr>
                <w:color w:val="000000"/>
                <w:sz w:val="18"/>
                <w:szCs w:val="18"/>
              </w:rPr>
            </w:pPr>
            <w:r w:rsidRPr="0004176C">
              <w:rPr>
                <w:color w:val="000000"/>
                <w:sz w:val="18"/>
                <w:szCs w:val="18"/>
              </w:rPr>
              <w:t>Bellingham Hill Family Homes</w:t>
            </w:r>
          </w:p>
        </w:tc>
        <w:tc>
          <w:tcPr>
            <w:tcW w:w="596" w:type="pct"/>
            <w:shd w:val="clear" w:color="auto" w:fill="auto"/>
            <w:vAlign w:val="center"/>
            <w:hideMark/>
          </w:tcPr>
          <w:p w14:paraId="4AA95DC0" w14:textId="77777777" w:rsidR="00665586" w:rsidRPr="0004176C" w:rsidRDefault="00665586" w:rsidP="00665586">
            <w:pPr>
              <w:jc w:val="center"/>
              <w:rPr>
                <w:color w:val="000000"/>
                <w:sz w:val="18"/>
                <w:szCs w:val="18"/>
              </w:rPr>
            </w:pPr>
            <w:r w:rsidRPr="0004176C">
              <w:rPr>
                <w:color w:val="000000"/>
                <w:sz w:val="18"/>
                <w:szCs w:val="18"/>
              </w:rPr>
              <w:t>7</w:t>
            </w:r>
          </w:p>
        </w:tc>
        <w:tc>
          <w:tcPr>
            <w:tcW w:w="674" w:type="pct"/>
            <w:shd w:val="clear" w:color="auto" w:fill="auto"/>
            <w:vAlign w:val="center"/>
            <w:hideMark/>
          </w:tcPr>
          <w:p w14:paraId="5E7E63A4"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1C18310"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7CDD9A6" w14:textId="77777777" w:rsidR="00665586" w:rsidRPr="0004176C" w:rsidRDefault="00665586" w:rsidP="00665586">
            <w:pPr>
              <w:jc w:val="center"/>
              <w:rPr>
                <w:color w:val="000000"/>
                <w:sz w:val="18"/>
                <w:szCs w:val="18"/>
              </w:rPr>
            </w:pPr>
            <w:r w:rsidRPr="0004176C">
              <w:rPr>
                <w:color w:val="000000"/>
                <w:sz w:val="18"/>
                <w:szCs w:val="18"/>
              </w:rPr>
              <w:t>Supportive - Individual Service Plans (ISP) tailored to tenant needs.  Services vary and can include: GED, parenting classes,  employment training, financial management, referrals to other provider agencies</w:t>
            </w:r>
          </w:p>
        </w:tc>
      </w:tr>
      <w:tr w:rsidR="00665586" w:rsidRPr="0004176C" w14:paraId="1E49C0EC" w14:textId="77777777" w:rsidTr="00665586">
        <w:trPr>
          <w:trHeight w:val="240"/>
        </w:trPr>
        <w:tc>
          <w:tcPr>
            <w:tcW w:w="1326" w:type="pct"/>
            <w:shd w:val="clear" w:color="auto" w:fill="auto"/>
            <w:vAlign w:val="center"/>
            <w:hideMark/>
          </w:tcPr>
          <w:p w14:paraId="7284EC9E" w14:textId="77777777" w:rsidR="00665586" w:rsidRPr="0004176C" w:rsidRDefault="00665586" w:rsidP="00665586">
            <w:pPr>
              <w:jc w:val="center"/>
              <w:rPr>
                <w:color w:val="000000"/>
                <w:sz w:val="18"/>
                <w:szCs w:val="18"/>
              </w:rPr>
            </w:pPr>
            <w:r w:rsidRPr="0004176C">
              <w:rPr>
                <w:color w:val="000000"/>
                <w:sz w:val="18"/>
                <w:szCs w:val="18"/>
              </w:rPr>
              <w:t>Benfield Farms/South Street</w:t>
            </w:r>
          </w:p>
        </w:tc>
        <w:tc>
          <w:tcPr>
            <w:tcW w:w="596" w:type="pct"/>
            <w:shd w:val="clear" w:color="auto" w:fill="auto"/>
            <w:vAlign w:val="center"/>
            <w:hideMark/>
          </w:tcPr>
          <w:p w14:paraId="70766CF8" w14:textId="77777777" w:rsidR="00665586" w:rsidRPr="0004176C" w:rsidRDefault="00665586" w:rsidP="00665586">
            <w:pPr>
              <w:jc w:val="center"/>
              <w:rPr>
                <w:color w:val="000000"/>
                <w:sz w:val="18"/>
                <w:szCs w:val="18"/>
              </w:rPr>
            </w:pPr>
            <w:r w:rsidRPr="0004176C">
              <w:rPr>
                <w:color w:val="000000"/>
                <w:sz w:val="18"/>
                <w:szCs w:val="18"/>
              </w:rPr>
              <w:t>5</w:t>
            </w:r>
          </w:p>
        </w:tc>
        <w:tc>
          <w:tcPr>
            <w:tcW w:w="674" w:type="pct"/>
            <w:shd w:val="clear" w:color="auto" w:fill="auto"/>
            <w:vAlign w:val="center"/>
            <w:hideMark/>
          </w:tcPr>
          <w:p w14:paraId="0A3F64C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D0AC5F1"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158949A" w14:textId="77777777" w:rsidR="00665586" w:rsidRPr="0004176C" w:rsidRDefault="00665586" w:rsidP="00665586">
            <w:pPr>
              <w:jc w:val="center"/>
              <w:rPr>
                <w:color w:val="000000"/>
                <w:sz w:val="18"/>
                <w:szCs w:val="18"/>
              </w:rPr>
            </w:pPr>
            <w:r w:rsidRPr="0004176C">
              <w:rPr>
                <w:color w:val="000000"/>
                <w:sz w:val="18"/>
                <w:szCs w:val="18"/>
              </w:rPr>
              <w:t>Elderly - New construction facility for the elderly</w:t>
            </w:r>
          </w:p>
        </w:tc>
      </w:tr>
      <w:tr w:rsidR="00665586" w:rsidRPr="0004176C" w14:paraId="29455414" w14:textId="77777777" w:rsidTr="00665586">
        <w:trPr>
          <w:trHeight w:val="240"/>
        </w:trPr>
        <w:tc>
          <w:tcPr>
            <w:tcW w:w="1326" w:type="pct"/>
            <w:shd w:val="clear" w:color="auto" w:fill="auto"/>
            <w:vAlign w:val="center"/>
            <w:hideMark/>
          </w:tcPr>
          <w:p w14:paraId="0E7AE392" w14:textId="77777777" w:rsidR="00665586" w:rsidRPr="0004176C" w:rsidRDefault="00665586" w:rsidP="00665586">
            <w:pPr>
              <w:jc w:val="center"/>
              <w:rPr>
                <w:color w:val="000000"/>
                <w:sz w:val="18"/>
                <w:szCs w:val="18"/>
              </w:rPr>
            </w:pPr>
            <w:r w:rsidRPr="0004176C">
              <w:rPr>
                <w:color w:val="000000"/>
                <w:sz w:val="18"/>
                <w:szCs w:val="18"/>
              </w:rPr>
              <w:t>Berkshire Peak (formerly Riverview Homes)</w:t>
            </w:r>
          </w:p>
        </w:tc>
        <w:tc>
          <w:tcPr>
            <w:tcW w:w="596" w:type="pct"/>
            <w:shd w:val="clear" w:color="auto" w:fill="auto"/>
            <w:vAlign w:val="center"/>
            <w:hideMark/>
          </w:tcPr>
          <w:p w14:paraId="1B79169B"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0F65057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1904355"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673F331" w14:textId="77777777" w:rsidR="00665586" w:rsidRPr="0004176C" w:rsidRDefault="00665586" w:rsidP="00665586">
            <w:pPr>
              <w:jc w:val="center"/>
              <w:rPr>
                <w:color w:val="000000"/>
                <w:sz w:val="18"/>
                <w:szCs w:val="18"/>
              </w:rPr>
            </w:pPr>
            <w:r w:rsidRPr="0004176C">
              <w:rPr>
                <w:color w:val="000000"/>
                <w:sz w:val="18"/>
                <w:szCs w:val="18"/>
              </w:rPr>
              <w:t>Disabled - Units reserved for disabled; new construction</w:t>
            </w:r>
          </w:p>
        </w:tc>
      </w:tr>
      <w:tr w:rsidR="00665586" w:rsidRPr="0004176C" w14:paraId="6346C4E2" w14:textId="77777777" w:rsidTr="00665586">
        <w:trPr>
          <w:trHeight w:val="240"/>
        </w:trPr>
        <w:tc>
          <w:tcPr>
            <w:tcW w:w="1326" w:type="pct"/>
            <w:shd w:val="clear" w:color="auto" w:fill="auto"/>
            <w:vAlign w:val="center"/>
            <w:hideMark/>
          </w:tcPr>
          <w:p w14:paraId="63B73C5C" w14:textId="77777777" w:rsidR="00665586" w:rsidRPr="0004176C" w:rsidRDefault="00665586" w:rsidP="00665586">
            <w:pPr>
              <w:jc w:val="center"/>
              <w:rPr>
                <w:color w:val="000000"/>
                <w:sz w:val="18"/>
                <w:szCs w:val="18"/>
              </w:rPr>
            </w:pPr>
            <w:r w:rsidRPr="0004176C">
              <w:rPr>
                <w:color w:val="000000"/>
                <w:sz w:val="18"/>
                <w:szCs w:val="18"/>
              </w:rPr>
              <w:t>Bethany Hill School</w:t>
            </w:r>
          </w:p>
        </w:tc>
        <w:tc>
          <w:tcPr>
            <w:tcW w:w="596" w:type="pct"/>
            <w:shd w:val="clear" w:color="auto" w:fill="auto"/>
            <w:vAlign w:val="center"/>
            <w:hideMark/>
          </w:tcPr>
          <w:p w14:paraId="07937F00" w14:textId="77777777" w:rsidR="00665586" w:rsidRPr="0004176C" w:rsidRDefault="00665586" w:rsidP="00665586">
            <w:pPr>
              <w:jc w:val="center"/>
              <w:rPr>
                <w:color w:val="000000"/>
                <w:sz w:val="18"/>
                <w:szCs w:val="18"/>
              </w:rPr>
            </w:pPr>
            <w:r w:rsidRPr="0004176C">
              <w:rPr>
                <w:color w:val="000000"/>
                <w:sz w:val="18"/>
                <w:szCs w:val="18"/>
              </w:rPr>
              <w:t>10</w:t>
            </w:r>
          </w:p>
        </w:tc>
        <w:tc>
          <w:tcPr>
            <w:tcW w:w="674" w:type="pct"/>
            <w:shd w:val="clear" w:color="auto" w:fill="auto"/>
            <w:vAlign w:val="center"/>
            <w:hideMark/>
          </w:tcPr>
          <w:p w14:paraId="407BD3DB"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97B3C8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7CD8A7E"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0E6EE5BD" w14:textId="77777777" w:rsidTr="00665586">
        <w:trPr>
          <w:trHeight w:val="480"/>
        </w:trPr>
        <w:tc>
          <w:tcPr>
            <w:tcW w:w="1326" w:type="pct"/>
            <w:shd w:val="clear" w:color="auto" w:fill="auto"/>
            <w:vAlign w:val="center"/>
          </w:tcPr>
          <w:p w14:paraId="2CFC0C63" w14:textId="77777777" w:rsidR="00665586" w:rsidRPr="0004176C" w:rsidRDefault="00665586" w:rsidP="00665586">
            <w:pPr>
              <w:jc w:val="center"/>
              <w:rPr>
                <w:sz w:val="18"/>
                <w:szCs w:val="18"/>
              </w:rPr>
            </w:pPr>
            <w:r w:rsidRPr="0004176C">
              <w:rPr>
                <w:sz w:val="18"/>
                <w:szCs w:val="18"/>
              </w:rPr>
              <w:t>Blancard School,</w:t>
            </w:r>
          </w:p>
          <w:p w14:paraId="5C73F639" w14:textId="77777777" w:rsidR="00665586" w:rsidRPr="0004176C" w:rsidRDefault="00665586" w:rsidP="00665586">
            <w:pPr>
              <w:jc w:val="center"/>
              <w:rPr>
                <w:color w:val="000000"/>
                <w:sz w:val="18"/>
                <w:szCs w:val="18"/>
              </w:rPr>
            </w:pPr>
            <w:r w:rsidRPr="0004176C">
              <w:rPr>
                <w:sz w:val="18"/>
                <w:szCs w:val="18"/>
              </w:rPr>
              <w:t>Uxbridge</w:t>
            </w:r>
          </w:p>
        </w:tc>
        <w:tc>
          <w:tcPr>
            <w:tcW w:w="596" w:type="pct"/>
            <w:shd w:val="clear" w:color="auto" w:fill="auto"/>
            <w:vAlign w:val="center"/>
          </w:tcPr>
          <w:p w14:paraId="67B9D4C0" w14:textId="77777777" w:rsidR="00665586" w:rsidRPr="0004176C" w:rsidRDefault="00665586" w:rsidP="00665586">
            <w:pPr>
              <w:jc w:val="center"/>
              <w:rPr>
                <w:color w:val="000000"/>
                <w:sz w:val="18"/>
                <w:szCs w:val="18"/>
              </w:rPr>
            </w:pPr>
            <w:r w:rsidRPr="0004176C">
              <w:rPr>
                <w:sz w:val="18"/>
                <w:szCs w:val="18"/>
              </w:rPr>
              <w:t>6</w:t>
            </w:r>
          </w:p>
        </w:tc>
        <w:tc>
          <w:tcPr>
            <w:tcW w:w="674" w:type="pct"/>
            <w:shd w:val="clear" w:color="auto" w:fill="auto"/>
            <w:vAlign w:val="center"/>
          </w:tcPr>
          <w:p w14:paraId="5F23C71A" w14:textId="77777777" w:rsidR="00665586" w:rsidRPr="0004176C" w:rsidRDefault="00665586" w:rsidP="00665586">
            <w:pPr>
              <w:jc w:val="center"/>
              <w:rPr>
                <w:color w:val="000000"/>
                <w:sz w:val="18"/>
                <w:szCs w:val="18"/>
              </w:rPr>
            </w:pPr>
            <w:r w:rsidRPr="0004176C">
              <w:rPr>
                <w:sz w:val="18"/>
                <w:szCs w:val="18"/>
              </w:rPr>
              <w:t>Leased/Issued</w:t>
            </w:r>
          </w:p>
        </w:tc>
        <w:tc>
          <w:tcPr>
            <w:tcW w:w="627" w:type="pct"/>
            <w:shd w:val="clear" w:color="auto" w:fill="auto"/>
            <w:vAlign w:val="center"/>
          </w:tcPr>
          <w:p w14:paraId="7A9A2C39"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079F899C" w14:textId="77777777" w:rsidR="00665586" w:rsidRPr="0004176C" w:rsidRDefault="00665586" w:rsidP="00665586">
            <w:pPr>
              <w:jc w:val="center"/>
              <w:rPr>
                <w:color w:val="000000"/>
                <w:sz w:val="18"/>
                <w:szCs w:val="18"/>
              </w:rPr>
            </w:pPr>
            <w:r w:rsidRPr="0004176C">
              <w:rPr>
                <w:sz w:val="18"/>
                <w:szCs w:val="18"/>
              </w:rPr>
              <w:t>Historic rehab – Family Housing</w:t>
            </w:r>
          </w:p>
        </w:tc>
      </w:tr>
      <w:tr w:rsidR="00665586" w:rsidRPr="0004176C" w14:paraId="037136E9" w14:textId="77777777" w:rsidTr="00665586">
        <w:trPr>
          <w:trHeight w:val="240"/>
        </w:trPr>
        <w:tc>
          <w:tcPr>
            <w:tcW w:w="1326" w:type="pct"/>
            <w:shd w:val="clear" w:color="auto" w:fill="auto"/>
            <w:vAlign w:val="center"/>
            <w:hideMark/>
          </w:tcPr>
          <w:p w14:paraId="4F7042C0" w14:textId="77777777" w:rsidR="00665586" w:rsidRPr="0004176C" w:rsidRDefault="00665586" w:rsidP="00665586">
            <w:pPr>
              <w:jc w:val="center"/>
              <w:rPr>
                <w:color w:val="000000"/>
                <w:sz w:val="18"/>
                <w:szCs w:val="18"/>
              </w:rPr>
            </w:pPr>
            <w:r w:rsidRPr="0004176C">
              <w:rPr>
                <w:color w:val="000000"/>
                <w:sz w:val="18"/>
                <w:szCs w:val="18"/>
              </w:rPr>
              <w:t>Bliss School</w:t>
            </w:r>
          </w:p>
        </w:tc>
        <w:tc>
          <w:tcPr>
            <w:tcW w:w="596" w:type="pct"/>
            <w:shd w:val="clear" w:color="auto" w:fill="auto"/>
            <w:vAlign w:val="center"/>
            <w:hideMark/>
          </w:tcPr>
          <w:p w14:paraId="20BD9758"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2463CB6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37F36B7"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262CD77"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4DD53096" w14:textId="77777777" w:rsidTr="00665586">
        <w:trPr>
          <w:trHeight w:val="240"/>
        </w:trPr>
        <w:tc>
          <w:tcPr>
            <w:tcW w:w="1326" w:type="pct"/>
            <w:shd w:val="clear" w:color="auto" w:fill="auto"/>
            <w:vAlign w:val="center"/>
            <w:hideMark/>
          </w:tcPr>
          <w:p w14:paraId="2954329B" w14:textId="77777777" w:rsidR="00665586" w:rsidRPr="0004176C" w:rsidRDefault="00665586" w:rsidP="00665586">
            <w:pPr>
              <w:jc w:val="center"/>
              <w:rPr>
                <w:color w:val="000000"/>
                <w:sz w:val="18"/>
                <w:szCs w:val="18"/>
              </w:rPr>
            </w:pPr>
            <w:r w:rsidRPr="0004176C">
              <w:rPr>
                <w:color w:val="000000"/>
                <w:sz w:val="18"/>
                <w:szCs w:val="18"/>
              </w:rPr>
              <w:t>Borinquen Apartments (formerly Villa Borinquen)</w:t>
            </w:r>
          </w:p>
        </w:tc>
        <w:tc>
          <w:tcPr>
            <w:tcW w:w="596" w:type="pct"/>
            <w:shd w:val="clear" w:color="auto" w:fill="auto"/>
            <w:vAlign w:val="center"/>
            <w:hideMark/>
          </w:tcPr>
          <w:p w14:paraId="1E26335C"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A8D1C1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27BD67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3DF0524"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53650C72" w14:textId="77777777" w:rsidTr="00665586">
        <w:trPr>
          <w:trHeight w:val="240"/>
        </w:trPr>
        <w:tc>
          <w:tcPr>
            <w:tcW w:w="1326" w:type="pct"/>
            <w:shd w:val="clear" w:color="auto" w:fill="auto"/>
            <w:vAlign w:val="center"/>
            <w:hideMark/>
          </w:tcPr>
          <w:p w14:paraId="06B5C3BC" w14:textId="77777777" w:rsidR="00665586" w:rsidRPr="0004176C" w:rsidRDefault="00665586" w:rsidP="00665586">
            <w:pPr>
              <w:jc w:val="center"/>
              <w:rPr>
                <w:color w:val="000000"/>
                <w:sz w:val="18"/>
                <w:szCs w:val="18"/>
              </w:rPr>
            </w:pPr>
            <w:r w:rsidRPr="0004176C">
              <w:rPr>
                <w:color w:val="000000"/>
                <w:sz w:val="18"/>
                <w:szCs w:val="18"/>
              </w:rPr>
              <w:t>Boston YWCA</w:t>
            </w:r>
          </w:p>
        </w:tc>
        <w:tc>
          <w:tcPr>
            <w:tcW w:w="596" w:type="pct"/>
            <w:shd w:val="clear" w:color="auto" w:fill="auto"/>
            <w:vAlign w:val="center"/>
            <w:hideMark/>
          </w:tcPr>
          <w:p w14:paraId="0622C397" w14:textId="77777777" w:rsidR="00665586" w:rsidRPr="0004176C" w:rsidRDefault="00665586" w:rsidP="00665586">
            <w:pPr>
              <w:jc w:val="center"/>
              <w:rPr>
                <w:color w:val="000000"/>
                <w:sz w:val="18"/>
                <w:szCs w:val="18"/>
              </w:rPr>
            </w:pPr>
            <w:r w:rsidRPr="0004176C">
              <w:rPr>
                <w:color w:val="000000"/>
                <w:sz w:val="18"/>
                <w:szCs w:val="18"/>
              </w:rPr>
              <w:t>20</w:t>
            </w:r>
          </w:p>
        </w:tc>
        <w:tc>
          <w:tcPr>
            <w:tcW w:w="674" w:type="pct"/>
            <w:shd w:val="clear" w:color="auto" w:fill="auto"/>
            <w:vAlign w:val="center"/>
            <w:hideMark/>
          </w:tcPr>
          <w:p w14:paraId="7EB6257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CC8F7A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4D11024" w14:textId="77777777" w:rsidR="00665586" w:rsidRPr="0004176C" w:rsidRDefault="00665586" w:rsidP="00665586">
            <w:pPr>
              <w:jc w:val="center"/>
              <w:rPr>
                <w:color w:val="000000"/>
                <w:sz w:val="18"/>
                <w:szCs w:val="18"/>
              </w:rPr>
            </w:pPr>
            <w:r w:rsidRPr="0004176C">
              <w:rPr>
                <w:color w:val="000000"/>
                <w:sz w:val="18"/>
                <w:szCs w:val="18"/>
              </w:rPr>
              <w:t>Units for homeless individuals</w:t>
            </w:r>
          </w:p>
        </w:tc>
      </w:tr>
      <w:tr w:rsidR="00665586" w:rsidRPr="0004176C" w14:paraId="4F9BF16C" w14:textId="77777777" w:rsidTr="00665586">
        <w:trPr>
          <w:trHeight w:val="480"/>
        </w:trPr>
        <w:tc>
          <w:tcPr>
            <w:tcW w:w="1326" w:type="pct"/>
            <w:shd w:val="clear" w:color="auto" w:fill="auto"/>
            <w:vAlign w:val="center"/>
          </w:tcPr>
          <w:p w14:paraId="669B434F" w14:textId="77777777" w:rsidR="00665586" w:rsidRPr="0004176C" w:rsidRDefault="00665586" w:rsidP="00665586">
            <w:pPr>
              <w:jc w:val="center"/>
              <w:rPr>
                <w:sz w:val="18"/>
                <w:szCs w:val="18"/>
              </w:rPr>
            </w:pPr>
            <w:r w:rsidRPr="0004176C">
              <w:rPr>
                <w:sz w:val="18"/>
                <w:szCs w:val="18"/>
              </w:rPr>
              <w:t>Bostwick Gardens,</w:t>
            </w:r>
          </w:p>
          <w:p w14:paraId="6D721BFE" w14:textId="77777777" w:rsidR="00665586" w:rsidRPr="0004176C" w:rsidRDefault="00665586" w:rsidP="00665586">
            <w:pPr>
              <w:jc w:val="center"/>
              <w:rPr>
                <w:color w:val="000000"/>
                <w:sz w:val="18"/>
                <w:szCs w:val="18"/>
              </w:rPr>
            </w:pPr>
            <w:r w:rsidRPr="0004176C">
              <w:rPr>
                <w:sz w:val="18"/>
                <w:szCs w:val="18"/>
              </w:rPr>
              <w:t>Great Barrington</w:t>
            </w:r>
          </w:p>
        </w:tc>
        <w:tc>
          <w:tcPr>
            <w:tcW w:w="596" w:type="pct"/>
            <w:shd w:val="clear" w:color="auto" w:fill="auto"/>
            <w:vAlign w:val="center"/>
          </w:tcPr>
          <w:p w14:paraId="4DA8C780" w14:textId="77777777" w:rsidR="00665586" w:rsidRPr="0004176C" w:rsidRDefault="00665586" w:rsidP="00665586">
            <w:pPr>
              <w:jc w:val="center"/>
              <w:rPr>
                <w:color w:val="000000"/>
                <w:sz w:val="18"/>
                <w:szCs w:val="18"/>
              </w:rPr>
            </w:pPr>
            <w:r w:rsidRPr="0004176C">
              <w:rPr>
                <w:sz w:val="18"/>
                <w:szCs w:val="18"/>
              </w:rPr>
              <w:t>8</w:t>
            </w:r>
          </w:p>
        </w:tc>
        <w:tc>
          <w:tcPr>
            <w:tcW w:w="674" w:type="pct"/>
            <w:shd w:val="clear" w:color="auto" w:fill="auto"/>
            <w:vAlign w:val="center"/>
          </w:tcPr>
          <w:p w14:paraId="5EFA4673" w14:textId="77777777" w:rsidR="00665586" w:rsidRPr="0004176C" w:rsidRDefault="00665586" w:rsidP="00665586">
            <w:pPr>
              <w:jc w:val="center"/>
              <w:rPr>
                <w:color w:val="000000"/>
                <w:sz w:val="18"/>
                <w:szCs w:val="18"/>
              </w:rPr>
            </w:pPr>
            <w:r w:rsidRPr="0004176C">
              <w:rPr>
                <w:sz w:val="18"/>
                <w:szCs w:val="18"/>
              </w:rPr>
              <w:t>Leased/Issued</w:t>
            </w:r>
          </w:p>
        </w:tc>
        <w:tc>
          <w:tcPr>
            <w:tcW w:w="627" w:type="pct"/>
            <w:shd w:val="clear" w:color="auto" w:fill="auto"/>
            <w:vAlign w:val="center"/>
          </w:tcPr>
          <w:p w14:paraId="426D9886"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018111FE" w14:textId="77777777" w:rsidR="00665586" w:rsidRPr="0004176C" w:rsidRDefault="00665586" w:rsidP="00665586">
            <w:pPr>
              <w:jc w:val="center"/>
              <w:rPr>
                <w:color w:val="000000"/>
                <w:sz w:val="18"/>
                <w:szCs w:val="18"/>
              </w:rPr>
            </w:pPr>
            <w:r w:rsidRPr="0004176C">
              <w:rPr>
                <w:rFonts w:eastAsia="Calibri"/>
                <w:sz w:val="18"/>
                <w:szCs w:val="18"/>
              </w:rPr>
              <w:t>New Construction &amp; Rehab – Elderly Housing</w:t>
            </w:r>
          </w:p>
        </w:tc>
      </w:tr>
      <w:tr w:rsidR="00665586" w:rsidRPr="0004176C" w14:paraId="034503D9" w14:textId="77777777" w:rsidTr="00665586">
        <w:trPr>
          <w:trHeight w:val="240"/>
        </w:trPr>
        <w:tc>
          <w:tcPr>
            <w:tcW w:w="1326" w:type="pct"/>
            <w:shd w:val="clear" w:color="auto" w:fill="auto"/>
            <w:vAlign w:val="center"/>
            <w:hideMark/>
          </w:tcPr>
          <w:p w14:paraId="2C89A643" w14:textId="77777777" w:rsidR="00665586" w:rsidRPr="0004176C" w:rsidRDefault="00665586" w:rsidP="00665586">
            <w:pPr>
              <w:jc w:val="center"/>
              <w:rPr>
                <w:color w:val="000000"/>
                <w:sz w:val="18"/>
                <w:szCs w:val="18"/>
              </w:rPr>
            </w:pPr>
            <w:r w:rsidRPr="0004176C">
              <w:rPr>
                <w:color w:val="000000"/>
                <w:sz w:val="18"/>
                <w:szCs w:val="18"/>
              </w:rPr>
              <w:t>Bowers Brook</w:t>
            </w:r>
          </w:p>
        </w:tc>
        <w:tc>
          <w:tcPr>
            <w:tcW w:w="596" w:type="pct"/>
            <w:shd w:val="clear" w:color="auto" w:fill="auto"/>
            <w:vAlign w:val="center"/>
            <w:hideMark/>
          </w:tcPr>
          <w:p w14:paraId="37BC181B"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45F58D63"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83DF70A"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C3B1FEF"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5FABDEC4" w14:textId="77777777" w:rsidTr="00665586">
        <w:trPr>
          <w:trHeight w:val="240"/>
        </w:trPr>
        <w:tc>
          <w:tcPr>
            <w:tcW w:w="1326" w:type="pct"/>
            <w:shd w:val="clear" w:color="auto" w:fill="auto"/>
            <w:vAlign w:val="center"/>
            <w:hideMark/>
          </w:tcPr>
          <w:p w14:paraId="09B13E3A" w14:textId="77777777" w:rsidR="00665586" w:rsidRPr="0004176C" w:rsidRDefault="00665586" w:rsidP="00665586">
            <w:pPr>
              <w:jc w:val="center"/>
              <w:rPr>
                <w:color w:val="000000"/>
                <w:sz w:val="18"/>
                <w:szCs w:val="18"/>
              </w:rPr>
            </w:pPr>
            <w:r w:rsidRPr="0004176C">
              <w:rPr>
                <w:color w:val="000000"/>
                <w:sz w:val="18"/>
                <w:szCs w:val="18"/>
              </w:rPr>
              <w:t>Breezy Acres Expansion/Great Cove Community</w:t>
            </w:r>
          </w:p>
        </w:tc>
        <w:tc>
          <w:tcPr>
            <w:tcW w:w="596" w:type="pct"/>
            <w:shd w:val="clear" w:color="auto" w:fill="auto"/>
            <w:vAlign w:val="center"/>
            <w:hideMark/>
          </w:tcPr>
          <w:p w14:paraId="6FACF8DB"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59D3ECD3"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2312E59"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3CBE20D" w14:textId="77777777" w:rsidR="00665586" w:rsidRPr="0004176C" w:rsidRDefault="00665586" w:rsidP="00665586">
            <w:pPr>
              <w:jc w:val="center"/>
              <w:rPr>
                <w:color w:val="000000"/>
                <w:sz w:val="18"/>
                <w:szCs w:val="18"/>
              </w:rPr>
            </w:pPr>
            <w:r w:rsidRPr="0004176C">
              <w:rPr>
                <w:color w:val="000000"/>
                <w:sz w:val="18"/>
                <w:szCs w:val="18"/>
              </w:rPr>
              <w:t>Family - New construction of five duplex buildings</w:t>
            </w:r>
          </w:p>
        </w:tc>
      </w:tr>
      <w:tr w:rsidR="00665586" w:rsidRPr="0004176C" w14:paraId="37565C1E" w14:textId="77777777" w:rsidTr="00665586">
        <w:trPr>
          <w:trHeight w:val="480"/>
        </w:trPr>
        <w:tc>
          <w:tcPr>
            <w:tcW w:w="1326" w:type="pct"/>
            <w:shd w:val="clear" w:color="auto" w:fill="auto"/>
            <w:vAlign w:val="center"/>
            <w:hideMark/>
          </w:tcPr>
          <w:p w14:paraId="5F8E016F" w14:textId="77777777" w:rsidR="00665586" w:rsidRPr="0004176C" w:rsidRDefault="00665586" w:rsidP="00665586">
            <w:pPr>
              <w:jc w:val="center"/>
              <w:rPr>
                <w:color w:val="000000"/>
                <w:sz w:val="18"/>
                <w:szCs w:val="18"/>
              </w:rPr>
            </w:pPr>
            <w:r w:rsidRPr="0004176C">
              <w:rPr>
                <w:color w:val="000000"/>
                <w:sz w:val="18"/>
                <w:szCs w:val="18"/>
              </w:rPr>
              <w:t>Bridgeview Center</w:t>
            </w:r>
          </w:p>
        </w:tc>
        <w:tc>
          <w:tcPr>
            <w:tcW w:w="596" w:type="pct"/>
            <w:shd w:val="clear" w:color="auto" w:fill="auto"/>
            <w:vAlign w:val="center"/>
            <w:hideMark/>
          </w:tcPr>
          <w:p w14:paraId="65D9DF4E"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258A752"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E17FBE2"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926FA20" w14:textId="77777777" w:rsidR="00665586" w:rsidRPr="0004176C" w:rsidRDefault="00665586" w:rsidP="00665586">
            <w:pPr>
              <w:jc w:val="center"/>
              <w:rPr>
                <w:color w:val="000000"/>
                <w:sz w:val="18"/>
                <w:szCs w:val="18"/>
              </w:rPr>
            </w:pPr>
            <w:r w:rsidRPr="0004176C">
              <w:rPr>
                <w:color w:val="000000"/>
                <w:sz w:val="18"/>
                <w:szCs w:val="18"/>
              </w:rPr>
              <w:t>Family and Disabled - New construction of mixed-use, multi-story building</w:t>
            </w:r>
          </w:p>
        </w:tc>
      </w:tr>
      <w:tr w:rsidR="00665586" w:rsidRPr="0004176C" w14:paraId="3C926A91" w14:textId="77777777" w:rsidTr="00665586">
        <w:trPr>
          <w:trHeight w:val="480"/>
        </w:trPr>
        <w:tc>
          <w:tcPr>
            <w:tcW w:w="1326" w:type="pct"/>
            <w:shd w:val="clear" w:color="auto" w:fill="auto"/>
            <w:vAlign w:val="center"/>
          </w:tcPr>
          <w:p w14:paraId="639F387F" w14:textId="77777777" w:rsidR="00665586" w:rsidRPr="0004176C" w:rsidRDefault="00665586" w:rsidP="00665586">
            <w:pPr>
              <w:jc w:val="center"/>
              <w:rPr>
                <w:sz w:val="18"/>
                <w:szCs w:val="18"/>
              </w:rPr>
            </w:pPr>
            <w:r w:rsidRPr="0004176C">
              <w:rPr>
                <w:sz w:val="18"/>
                <w:szCs w:val="18"/>
              </w:rPr>
              <w:t xml:space="preserve">Broadway Building, </w:t>
            </w:r>
          </w:p>
          <w:p w14:paraId="0718B11C" w14:textId="578C5086" w:rsidR="00665586" w:rsidRPr="0004176C" w:rsidRDefault="00665586" w:rsidP="00665586">
            <w:pPr>
              <w:jc w:val="center"/>
              <w:rPr>
                <w:sz w:val="18"/>
                <w:szCs w:val="18"/>
              </w:rPr>
            </w:pPr>
            <w:r w:rsidRPr="0004176C">
              <w:rPr>
                <w:sz w:val="18"/>
                <w:szCs w:val="18"/>
              </w:rPr>
              <w:t>Methuen **</w:t>
            </w:r>
          </w:p>
        </w:tc>
        <w:tc>
          <w:tcPr>
            <w:tcW w:w="596" w:type="pct"/>
            <w:shd w:val="clear" w:color="auto" w:fill="auto"/>
            <w:vAlign w:val="center"/>
          </w:tcPr>
          <w:p w14:paraId="594F3A37" w14:textId="77777777" w:rsidR="00665586" w:rsidRPr="0004176C" w:rsidRDefault="00665586" w:rsidP="00665586">
            <w:pPr>
              <w:jc w:val="center"/>
              <w:rPr>
                <w:sz w:val="18"/>
                <w:szCs w:val="18"/>
              </w:rPr>
            </w:pPr>
            <w:r w:rsidRPr="0004176C">
              <w:rPr>
                <w:sz w:val="18"/>
                <w:szCs w:val="18"/>
              </w:rPr>
              <w:t>4</w:t>
            </w:r>
          </w:p>
        </w:tc>
        <w:tc>
          <w:tcPr>
            <w:tcW w:w="674" w:type="pct"/>
            <w:shd w:val="clear" w:color="auto" w:fill="auto"/>
            <w:vAlign w:val="center"/>
          </w:tcPr>
          <w:p w14:paraId="4F792EEA"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7709A62A"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48388D52" w14:textId="77777777" w:rsidR="00665586" w:rsidRPr="0004176C" w:rsidRDefault="00665586" w:rsidP="00665586">
            <w:pPr>
              <w:jc w:val="center"/>
              <w:rPr>
                <w:sz w:val="18"/>
                <w:szCs w:val="18"/>
              </w:rPr>
            </w:pPr>
            <w:r w:rsidRPr="0004176C">
              <w:rPr>
                <w:sz w:val="18"/>
                <w:szCs w:val="18"/>
              </w:rPr>
              <w:t>New Construction – Family Housing</w:t>
            </w:r>
          </w:p>
        </w:tc>
      </w:tr>
      <w:tr w:rsidR="00665586" w:rsidRPr="0004176C" w14:paraId="1F6B1950" w14:textId="77777777" w:rsidTr="00665586">
        <w:trPr>
          <w:trHeight w:val="480"/>
        </w:trPr>
        <w:tc>
          <w:tcPr>
            <w:tcW w:w="1326" w:type="pct"/>
            <w:shd w:val="clear" w:color="auto" w:fill="auto"/>
            <w:vAlign w:val="center"/>
          </w:tcPr>
          <w:p w14:paraId="580F061B" w14:textId="77777777" w:rsidR="00665586" w:rsidRPr="0004176C" w:rsidRDefault="00665586" w:rsidP="00665586">
            <w:pPr>
              <w:jc w:val="center"/>
              <w:rPr>
                <w:sz w:val="18"/>
                <w:szCs w:val="18"/>
              </w:rPr>
            </w:pPr>
            <w:r w:rsidRPr="0004176C">
              <w:rPr>
                <w:sz w:val="18"/>
                <w:szCs w:val="18"/>
              </w:rPr>
              <w:t>Brook Avenue,</w:t>
            </w:r>
          </w:p>
          <w:p w14:paraId="536A13F2" w14:textId="77777777" w:rsidR="00665586" w:rsidRPr="0004176C" w:rsidRDefault="00665586" w:rsidP="00665586">
            <w:pPr>
              <w:jc w:val="center"/>
              <w:rPr>
                <w:color w:val="000000"/>
                <w:sz w:val="18"/>
                <w:szCs w:val="18"/>
              </w:rPr>
            </w:pPr>
            <w:r w:rsidRPr="0004176C">
              <w:rPr>
                <w:sz w:val="18"/>
                <w:szCs w:val="18"/>
              </w:rPr>
              <w:t>Boston</w:t>
            </w:r>
          </w:p>
        </w:tc>
        <w:tc>
          <w:tcPr>
            <w:tcW w:w="596" w:type="pct"/>
            <w:shd w:val="clear" w:color="auto" w:fill="auto"/>
            <w:vAlign w:val="center"/>
          </w:tcPr>
          <w:p w14:paraId="278C1876" w14:textId="77777777" w:rsidR="00665586" w:rsidRPr="0004176C" w:rsidRDefault="00665586" w:rsidP="00665586">
            <w:pPr>
              <w:jc w:val="center"/>
              <w:rPr>
                <w:color w:val="000000"/>
                <w:sz w:val="18"/>
                <w:szCs w:val="18"/>
              </w:rPr>
            </w:pPr>
            <w:r w:rsidRPr="0004176C">
              <w:rPr>
                <w:sz w:val="18"/>
                <w:szCs w:val="18"/>
              </w:rPr>
              <w:t>4</w:t>
            </w:r>
          </w:p>
        </w:tc>
        <w:tc>
          <w:tcPr>
            <w:tcW w:w="674" w:type="pct"/>
            <w:shd w:val="clear" w:color="auto" w:fill="auto"/>
            <w:vAlign w:val="center"/>
          </w:tcPr>
          <w:p w14:paraId="44932FC6" w14:textId="4E796C79" w:rsidR="00665586" w:rsidRPr="0004176C" w:rsidRDefault="00C83974" w:rsidP="00665586">
            <w:pPr>
              <w:jc w:val="center"/>
              <w:rPr>
                <w:color w:val="000000"/>
                <w:sz w:val="18"/>
                <w:szCs w:val="18"/>
              </w:rPr>
            </w:pPr>
            <w:r w:rsidRPr="0004176C">
              <w:rPr>
                <w:sz w:val="18"/>
                <w:szCs w:val="18"/>
              </w:rPr>
              <w:t>Lease</w:t>
            </w:r>
            <w:r w:rsidR="00665586" w:rsidRPr="0004176C">
              <w:rPr>
                <w:sz w:val="18"/>
                <w:szCs w:val="18"/>
              </w:rPr>
              <w:t>d</w:t>
            </w:r>
            <w:r w:rsidRPr="0004176C">
              <w:rPr>
                <w:sz w:val="18"/>
                <w:szCs w:val="18"/>
              </w:rPr>
              <w:t>/Issued</w:t>
            </w:r>
          </w:p>
        </w:tc>
        <w:tc>
          <w:tcPr>
            <w:tcW w:w="627" w:type="pct"/>
            <w:shd w:val="clear" w:color="auto" w:fill="auto"/>
            <w:vAlign w:val="center"/>
          </w:tcPr>
          <w:p w14:paraId="5D9C8EA7"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5A1980B2" w14:textId="77777777" w:rsidR="00665586" w:rsidRPr="0004176C" w:rsidRDefault="00665586" w:rsidP="00665586">
            <w:pPr>
              <w:jc w:val="center"/>
              <w:rPr>
                <w:color w:val="000000"/>
                <w:sz w:val="18"/>
                <w:szCs w:val="18"/>
              </w:rPr>
            </w:pPr>
            <w:r w:rsidRPr="0004176C">
              <w:rPr>
                <w:color w:val="000000"/>
                <w:sz w:val="18"/>
                <w:szCs w:val="18"/>
              </w:rPr>
              <w:t>Moderate Rehab – Family Housing</w:t>
            </w:r>
          </w:p>
        </w:tc>
      </w:tr>
      <w:tr w:rsidR="00665586" w:rsidRPr="0004176C" w14:paraId="35090D1F" w14:textId="77777777" w:rsidTr="00665586">
        <w:trPr>
          <w:trHeight w:val="480"/>
        </w:trPr>
        <w:tc>
          <w:tcPr>
            <w:tcW w:w="1326" w:type="pct"/>
            <w:shd w:val="clear" w:color="auto" w:fill="auto"/>
            <w:vAlign w:val="center"/>
          </w:tcPr>
          <w:p w14:paraId="6AB6D412" w14:textId="77777777" w:rsidR="00665586" w:rsidRPr="0004176C" w:rsidRDefault="00665586" w:rsidP="00665586">
            <w:pPr>
              <w:jc w:val="center"/>
              <w:rPr>
                <w:sz w:val="18"/>
                <w:szCs w:val="18"/>
              </w:rPr>
            </w:pPr>
            <w:r w:rsidRPr="0004176C">
              <w:rPr>
                <w:sz w:val="18"/>
                <w:szCs w:val="18"/>
              </w:rPr>
              <w:t>Cabot Housing,</w:t>
            </w:r>
          </w:p>
          <w:p w14:paraId="02F2B7B8" w14:textId="43144CDF" w:rsidR="00665586" w:rsidRPr="0004176C" w:rsidRDefault="00665586" w:rsidP="00665586">
            <w:pPr>
              <w:jc w:val="center"/>
              <w:rPr>
                <w:sz w:val="18"/>
                <w:szCs w:val="18"/>
              </w:rPr>
            </w:pPr>
            <w:r w:rsidRPr="0004176C">
              <w:rPr>
                <w:sz w:val="18"/>
                <w:szCs w:val="18"/>
              </w:rPr>
              <w:t>Beverly **</w:t>
            </w:r>
          </w:p>
        </w:tc>
        <w:tc>
          <w:tcPr>
            <w:tcW w:w="596" w:type="pct"/>
            <w:shd w:val="clear" w:color="auto" w:fill="auto"/>
            <w:vAlign w:val="center"/>
          </w:tcPr>
          <w:p w14:paraId="347EC704"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7EA5AEA2"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352966F3"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105F59EA" w14:textId="77777777" w:rsidR="00665586" w:rsidRPr="0004176C" w:rsidRDefault="00665586" w:rsidP="00665586">
            <w:pPr>
              <w:jc w:val="center"/>
              <w:rPr>
                <w:sz w:val="18"/>
                <w:szCs w:val="18"/>
              </w:rPr>
            </w:pPr>
            <w:r w:rsidRPr="0004176C">
              <w:rPr>
                <w:sz w:val="18"/>
                <w:szCs w:val="18"/>
              </w:rPr>
              <w:t>New Construction - SRO</w:t>
            </w:r>
          </w:p>
        </w:tc>
      </w:tr>
      <w:tr w:rsidR="00665586" w:rsidRPr="0004176C" w14:paraId="77776BDE" w14:textId="77777777" w:rsidTr="00665586">
        <w:trPr>
          <w:trHeight w:val="240"/>
        </w:trPr>
        <w:tc>
          <w:tcPr>
            <w:tcW w:w="1326" w:type="pct"/>
            <w:shd w:val="clear" w:color="auto" w:fill="auto"/>
            <w:vAlign w:val="center"/>
            <w:hideMark/>
          </w:tcPr>
          <w:p w14:paraId="3749310F" w14:textId="77777777" w:rsidR="00665586" w:rsidRPr="0004176C" w:rsidRDefault="00665586" w:rsidP="00665586">
            <w:pPr>
              <w:jc w:val="center"/>
              <w:rPr>
                <w:color w:val="000000"/>
                <w:sz w:val="18"/>
                <w:szCs w:val="18"/>
              </w:rPr>
            </w:pPr>
            <w:r w:rsidRPr="0004176C">
              <w:rPr>
                <w:color w:val="000000"/>
                <w:sz w:val="18"/>
                <w:szCs w:val="18"/>
              </w:rPr>
              <w:t>Cabot Street Homes</w:t>
            </w:r>
          </w:p>
        </w:tc>
        <w:tc>
          <w:tcPr>
            <w:tcW w:w="596" w:type="pct"/>
            <w:shd w:val="clear" w:color="auto" w:fill="auto"/>
            <w:vAlign w:val="center"/>
            <w:hideMark/>
          </w:tcPr>
          <w:p w14:paraId="0DEBDB47"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2C47E991"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DD8310C"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9DE7D3D"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2411B8A8" w14:textId="77777777" w:rsidTr="00665586">
        <w:trPr>
          <w:trHeight w:val="480"/>
        </w:trPr>
        <w:tc>
          <w:tcPr>
            <w:tcW w:w="1326" w:type="pct"/>
            <w:shd w:val="clear" w:color="auto" w:fill="auto"/>
            <w:vAlign w:val="center"/>
          </w:tcPr>
          <w:p w14:paraId="3B721444" w14:textId="2629F371" w:rsidR="00665586" w:rsidRPr="0004176C" w:rsidRDefault="00665586" w:rsidP="00665586">
            <w:pPr>
              <w:jc w:val="center"/>
              <w:rPr>
                <w:sz w:val="18"/>
                <w:szCs w:val="18"/>
              </w:rPr>
            </w:pPr>
            <w:r w:rsidRPr="0004176C">
              <w:rPr>
                <w:sz w:val="18"/>
                <w:szCs w:val="18"/>
              </w:rPr>
              <w:t xml:space="preserve">Campbell-Purcell/Village at Nauset, Eastham </w:t>
            </w:r>
          </w:p>
        </w:tc>
        <w:tc>
          <w:tcPr>
            <w:tcW w:w="596" w:type="pct"/>
            <w:shd w:val="clear" w:color="auto" w:fill="auto"/>
            <w:vAlign w:val="center"/>
          </w:tcPr>
          <w:p w14:paraId="22804ED8" w14:textId="77777777" w:rsidR="00665586" w:rsidRPr="0004176C" w:rsidRDefault="00665586" w:rsidP="00665586">
            <w:pPr>
              <w:jc w:val="center"/>
              <w:rPr>
                <w:color w:val="000000"/>
                <w:sz w:val="18"/>
                <w:szCs w:val="18"/>
              </w:rPr>
            </w:pPr>
            <w:r w:rsidRPr="0004176C">
              <w:rPr>
                <w:sz w:val="18"/>
                <w:szCs w:val="18"/>
              </w:rPr>
              <w:t>8</w:t>
            </w:r>
          </w:p>
        </w:tc>
        <w:tc>
          <w:tcPr>
            <w:tcW w:w="674" w:type="pct"/>
            <w:shd w:val="clear" w:color="auto" w:fill="auto"/>
            <w:vAlign w:val="center"/>
          </w:tcPr>
          <w:p w14:paraId="2F5D7BA7" w14:textId="6513597B" w:rsidR="00665586" w:rsidRPr="0004176C" w:rsidRDefault="00C83974" w:rsidP="00C83974">
            <w:pPr>
              <w:rPr>
                <w:color w:val="000000"/>
                <w:sz w:val="18"/>
                <w:szCs w:val="18"/>
              </w:rPr>
            </w:pPr>
            <w:r w:rsidRPr="0004176C">
              <w:rPr>
                <w:sz w:val="18"/>
                <w:szCs w:val="18"/>
              </w:rPr>
              <w:t>Leased/Issued</w:t>
            </w:r>
          </w:p>
        </w:tc>
        <w:tc>
          <w:tcPr>
            <w:tcW w:w="627" w:type="pct"/>
            <w:shd w:val="clear" w:color="auto" w:fill="auto"/>
            <w:vAlign w:val="center"/>
          </w:tcPr>
          <w:p w14:paraId="305D7E93"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0DCD9D21" w14:textId="77777777" w:rsidR="00665586" w:rsidRPr="0004176C" w:rsidRDefault="00665586" w:rsidP="00665586">
            <w:pPr>
              <w:jc w:val="center"/>
              <w:rPr>
                <w:color w:val="000000"/>
                <w:sz w:val="18"/>
                <w:szCs w:val="18"/>
              </w:rPr>
            </w:pPr>
            <w:r w:rsidRPr="0004176C">
              <w:rPr>
                <w:rFonts w:eastAsia="Calibri"/>
                <w:sz w:val="18"/>
                <w:szCs w:val="18"/>
              </w:rPr>
              <w:t>New Construction - Family</w:t>
            </w:r>
          </w:p>
        </w:tc>
      </w:tr>
      <w:tr w:rsidR="00665586" w:rsidRPr="0004176C" w14:paraId="5D547D9A" w14:textId="77777777" w:rsidTr="00665586">
        <w:trPr>
          <w:trHeight w:val="480"/>
        </w:trPr>
        <w:tc>
          <w:tcPr>
            <w:tcW w:w="1326" w:type="pct"/>
            <w:shd w:val="clear" w:color="auto" w:fill="auto"/>
            <w:vAlign w:val="center"/>
          </w:tcPr>
          <w:p w14:paraId="56E5CB50" w14:textId="77777777" w:rsidR="00665586" w:rsidRPr="0004176C" w:rsidRDefault="00665586" w:rsidP="00665586">
            <w:pPr>
              <w:jc w:val="center"/>
              <w:rPr>
                <w:sz w:val="18"/>
                <w:szCs w:val="18"/>
              </w:rPr>
            </w:pPr>
            <w:r w:rsidRPr="0004176C">
              <w:rPr>
                <w:sz w:val="18"/>
                <w:szCs w:val="18"/>
              </w:rPr>
              <w:t>Canal Bluffs-Phase III,</w:t>
            </w:r>
          </w:p>
          <w:p w14:paraId="48B5A470" w14:textId="77777777" w:rsidR="00665586" w:rsidRPr="0004176C" w:rsidRDefault="00665586" w:rsidP="00665586">
            <w:pPr>
              <w:jc w:val="center"/>
              <w:rPr>
                <w:color w:val="000000"/>
                <w:sz w:val="18"/>
                <w:szCs w:val="18"/>
              </w:rPr>
            </w:pPr>
            <w:r w:rsidRPr="0004176C">
              <w:rPr>
                <w:sz w:val="18"/>
                <w:szCs w:val="18"/>
              </w:rPr>
              <w:t>Bourne</w:t>
            </w:r>
          </w:p>
        </w:tc>
        <w:tc>
          <w:tcPr>
            <w:tcW w:w="596" w:type="pct"/>
            <w:shd w:val="clear" w:color="auto" w:fill="auto"/>
            <w:vAlign w:val="center"/>
          </w:tcPr>
          <w:p w14:paraId="7B72377F" w14:textId="77777777" w:rsidR="00665586" w:rsidRPr="0004176C" w:rsidRDefault="00665586" w:rsidP="00665586">
            <w:pPr>
              <w:jc w:val="center"/>
              <w:rPr>
                <w:color w:val="000000"/>
                <w:sz w:val="18"/>
                <w:szCs w:val="18"/>
              </w:rPr>
            </w:pPr>
            <w:r w:rsidRPr="0004176C">
              <w:rPr>
                <w:sz w:val="18"/>
                <w:szCs w:val="18"/>
              </w:rPr>
              <w:t>7</w:t>
            </w:r>
          </w:p>
        </w:tc>
        <w:tc>
          <w:tcPr>
            <w:tcW w:w="674" w:type="pct"/>
            <w:shd w:val="clear" w:color="auto" w:fill="auto"/>
            <w:vAlign w:val="center"/>
          </w:tcPr>
          <w:p w14:paraId="67C80908" w14:textId="77777777" w:rsidR="00665586" w:rsidRPr="0004176C" w:rsidRDefault="00665586" w:rsidP="00665586">
            <w:pPr>
              <w:jc w:val="center"/>
              <w:rPr>
                <w:color w:val="000000"/>
                <w:sz w:val="18"/>
                <w:szCs w:val="18"/>
              </w:rPr>
            </w:pPr>
            <w:r w:rsidRPr="0004176C">
              <w:rPr>
                <w:sz w:val="18"/>
                <w:szCs w:val="18"/>
              </w:rPr>
              <w:t>Leased/Issued</w:t>
            </w:r>
          </w:p>
        </w:tc>
        <w:tc>
          <w:tcPr>
            <w:tcW w:w="627" w:type="pct"/>
            <w:shd w:val="clear" w:color="auto" w:fill="auto"/>
            <w:vAlign w:val="center"/>
          </w:tcPr>
          <w:p w14:paraId="000F6887"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6A29B6BE" w14:textId="77777777" w:rsidR="00665586" w:rsidRPr="0004176C" w:rsidRDefault="00665586" w:rsidP="00665586">
            <w:pPr>
              <w:jc w:val="center"/>
              <w:rPr>
                <w:color w:val="000000"/>
                <w:sz w:val="18"/>
                <w:szCs w:val="18"/>
              </w:rPr>
            </w:pPr>
            <w:r w:rsidRPr="0004176C">
              <w:rPr>
                <w:rFonts w:eastAsia="Calibri"/>
                <w:sz w:val="18"/>
                <w:szCs w:val="18"/>
              </w:rPr>
              <w:t>New Construction – Family Housing</w:t>
            </w:r>
          </w:p>
        </w:tc>
      </w:tr>
      <w:tr w:rsidR="00665586" w:rsidRPr="0004176C" w14:paraId="5811C90E" w14:textId="77777777" w:rsidTr="00665586">
        <w:trPr>
          <w:trHeight w:val="240"/>
        </w:trPr>
        <w:tc>
          <w:tcPr>
            <w:tcW w:w="1326" w:type="pct"/>
            <w:shd w:val="clear" w:color="auto" w:fill="auto"/>
            <w:vAlign w:val="center"/>
            <w:hideMark/>
          </w:tcPr>
          <w:p w14:paraId="0D63579D" w14:textId="77777777" w:rsidR="00665586" w:rsidRPr="0004176C" w:rsidRDefault="00665586" w:rsidP="00665586">
            <w:pPr>
              <w:jc w:val="center"/>
              <w:rPr>
                <w:color w:val="000000"/>
                <w:sz w:val="18"/>
                <w:szCs w:val="18"/>
              </w:rPr>
            </w:pPr>
            <w:r w:rsidRPr="0004176C">
              <w:rPr>
                <w:color w:val="000000"/>
                <w:sz w:val="18"/>
                <w:szCs w:val="18"/>
              </w:rPr>
              <w:t>Capen Court</w:t>
            </w:r>
          </w:p>
        </w:tc>
        <w:tc>
          <w:tcPr>
            <w:tcW w:w="596" w:type="pct"/>
            <w:shd w:val="clear" w:color="auto" w:fill="auto"/>
            <w:vAlign w:val="center"/>
            <w:hideMark/>
          </w:tcPr>
          <w:p w14:paraId="3724CD45"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19E3A27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CDD67C2"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4E248DA"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0421F7E5" w14:textId="77777777" w:rsidTr="00665586">
        <w:trPr>
          <w:trHeight w:val="240"/>
        </w:trPr>
        <w:tc>
          <w:tcPr>
            <w:tcW w:w="1326" w:type="pct"/>
            <w:shd w:val="clear" w:color="auto" w:fill="auto"/>
            <w:vAlign w:val="center"/>
            <w:hideMark/>
          </w:tcPr>
          <w:p w14:paraId="3D5B1393" w14:textId="77777777" w:rsidR="00665586" w:rsidRPr="0004176C" w:rsidRDefault="00665586" w:rsidP="00665586">
            <w:pPr>
              <w:jc w:val="center"/>
              <w:rPr>
                <w:color w:val="000000"/>
                <w:sz w:val="18"/>
                <w:szCs w:val="18"/>
              </w:rPr>
            </w:pPr>
            <w:r w:rsidRPr="0004176C">
              <w:rPr>
                <w:color w:val="000000"/>
                <w:sz w:val="18"/>
                <w:szCs w:val="18"/>
              </w:rPr>
              <w:t>Capital Square Apartments</w:t>
            </w:r>
          </w:p>
        </w:tc>
        <w:tc>
          <w:tcPr>
            <w:tcW w:w="596" w:type="pct"/>
            <w:shd w:val="clear" w:color="auto" w:fill="auto"/>
            <w:vAlign w:val="center"/>
            <w:hideMark/>
          </w:tcPr>
          <w:p w14:paraId="6A0AC10C"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99CD09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FFBD60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B4F8159"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1AB0E5AE" w14:textId="77777777" w:rsidTr="00665586">
        <w:trPr>
          <w:trHeight w:val="480"/>
        </w:trPr>
        <w:tc>
          <w:tcPr>
            <w:tcW w:w="1326" w:type="pct"/>
            <w:shd w:val="clear" w:color="auto" w:fill="auto"/>
            <w:vAlign w:val="center"/>
            <w:hideMark/>
          </w:tcPr>
          <w:p w14:paraId="262FC763" w14:textId="77777777" w:rsidR="00665586" w:rsidRPr="0004176C" w:rsidRDefault="00665586" w:rsidP="00665586">
            <w:pPr>
              <w:jc w:val="center"/>
              <w:rPr>
                <w:color w:val="000000"/>
                <w:sz w:val="18"/>
                <w:szCs w:val="18"/>
              </w:rPr>
            </w:pPr>
            <w:r w:rsidRPr="0004176C">
              <w:rPr>
                <w:color w:val="000000"/>
                <w:sz w:val="18"/>
                <w:szCs w:val="18"/>
              </w:rPr>
              <w:t>Carpenters Glen</w:t>
            </w:r>
          </w:p>
        </w:tc>
        <w:tc>
          <w:tcPr>
            <w:tcW w:w="596" w:type="pct"/>
            <w:shd w:val="clear" w:color="auto" w:fill="auto"/>
            <w:vAlign w:val="center"/>
            <w:hideMark/>
          </w:tcPr>
          <w:p w14:paraId="1200E77A"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47BCE3E0"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47ED6D3"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1043D50" w14:textId="77777777" w:rsidR="00665586" w:rsidRPr="0004176C" w:rsidRDefault="00665586" w:rsidP="00665586">
            <w:pPr>
              <w:jc w:val="center"/>
              <w:rPr>
                <w:color w:val="000000"/>
                <w:sz w:val="18"/>
                <w:szCs w:val="18"/>
              </w:rPr>
            </w:pPr>
            <w:r w:rsidRPr="0004176C">
              <w:rPr>
                <w:color w:val="000000"/>
                <w:sz w:val="18"/>
                <w:szCs w:val="18"/>
              </w:rPr>
              <w:t>Family - Rehab of existing townhouse-style development</w:t>
            </w:r>
          </w:p>
        </w:tc>
      </w:tr>
      <w:tr w:rsidR="00665586" w:rsidRPr="0004176C" w14:paraId="511E92D2" w14:textId="77777777" w:rsidTr="00665586">
        <w:trPr>
          <w:trHeight w:val="240"/>
        </w:trPr>
        <w:tc>
          <w:tcPr>
            <w:tcW w:w="1326" w:type="pct"/>
            <w:shd w:val="clear" w:color="auto" w:fill="auto"/>
            <w:vAlign w:val="center"/>
            <w:hideMark/>
          </w:tcPr>
          <w:p w14:paraId="0F67FFDC" w14:textId="77777777" w:rsidR="00665586" w:rsidRPr="0004176C" w:rsidRDefault="00665586" w:rsidP="00665586">
            <w:pPr>
              <w:jc w:val="center"/>
              <w:rPr>
                <w:color w:val="000000"/>
                <w:sz w:val="18"/>
                <w:szCs w:val="18"/>
              </w:rPr>
            </w:pPr>
            <w:r w:rsidRPr="0004176C">
              <w:rPr>
                <w:color w:val="000000"/>
                <w:sz w:val="18"/>
                <w:szCs w:val="18"/>
              </w:rPr>
              <w:t>Carter School</w:t>
            </w:r>
          </w:p>
        </w:tc>
        <w:tc>
          <w:tcPr>
            <w:tcW w:w="596" w:type="pct"/>
            <w:shd w:val="clear" w:color="auto" w:fill="auto"/>
            <w:vAlign w:val="center"/>
            <w:hideMark/>
          </w:tcPr>
          <w:p w14:paraId="23CF4A04"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6257484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97D365B"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39B1FC4" w14:textId="77777777" w:rsidR="00665586" w:rsidRPr="0004176C" w:rsidRDefault="00665586" w:rsidP="00665586">
            <w:pPr>
              <w:jc w:val="center"/>
              <w:rPr>
                <w:color w:val="000000"/>
                <w:sz w:val="18"/>
                <w:szCs w:val="18"/>
              </w:rPr>
            </w:pPr>
            <w:r w:rsidRPr="0004176C">
              <w:rPr>
                <w:color w:val="000000"/>
                <w:sz w:val="18"/>
                <w:szCs w:val="18"/>
              </w:rPr>
              <w:t>Substantial Rehab--Adaptive Reuse, Family units at 50% AMI</w:t>
            </w:r>
          </w:p>
        </w:tc>
      </w:tr>
      <w:tr w:rsidR="00C83974" w:rsidRPr="0004176C" w14:paraId="58A637D6" w14:textId="77777777" w:rsidTr="00665586">
        <w:trPr>
          <w:trHeight w:val="240"/>
        </w:trPr>
        <w:tc>
          <w:tcPr>
            <w:tcW w:w="1326" w:type="pct"/>
            <w:shd w:val="clear" w:color="auto" w:fill="auto"/>
            <w:vAlign w:val="center"/>
          </w:tcPr>
          <w:p w14:paraId="41E52B64" w14:textId="723F3F7B" w:rsidR="00C83974" w:rsidRPr="0004176C" w:rsidRDefault="00C83974" w:rsidP="00665586">
            <w:pPr>
              <w:jc w:val="center"/>
              <w:rPr>
                <w:color w:val="000000"/>
                <w:sz w:val="18"/>
                <w:szCs w:val="18"/>
              </w:rPr>
            </w:pPr>
            <w:r w:rsidRPr="0004176C">
              <w:rPr>
                <w:color w:val="000000"/>
                <w:sz w:val="18"/>
                <w:szCs w:val="18"/>
              </w:rPr>
              <w:t>Central Building</w:t>
            </w:r>
          </w:p>
        </w:tc>
        <w:tc>
          <w:tcPr>
            <w:tcW w:w="596" w:type="pct"/>
            <w:shd w:val="clear" w:color="auto" w:fill="auto"/>
            <w:vAlign w:val="center"/>
          </w:tcPr>
          <w:p w14:paraId="0FBE7971" w14:textId="5112FFA5" w:rsidR="00C83974" w:rsidRPr="0004176C" w:rsidRDefault="00C83974" w:rsidP="00665586">
            <w:pPr>
              <w:jc w:val="center"/>
              <w:rPr>
                <w:color w:val="000000"/>
                <w:sz w:val="18"/>
                <w:szCs w:val="18"/>
              </w:rPr>
            </w:pPr>
            <w:r w:rsidRPr="0004176C">
              <w:rPr>
                <w:color w:val="000000"/>
                <w:sz w:val="18"/>
                <w:szCs w:val="18"/>
              </w:rPr>
              <w:t>8</w:t>
            </w:r>
          </w:p>
        </w:tc>
        <w:tc>
          <w:tcPr>
            <w:tcW w:w="674" w:type="pct"/>
            <w:shd w:val="clear" w:color="auto" w:fill="auto"/>
            <w:vAlign w:val="center"/>
          </w:tcPr>
          <w:p w14:paraId="19459CED" w14:textId="577E59DB" w:rsidR="00C83974" w:rsidRPr="0004176C" w:rsidRDefault="00C83974" w:rsidP="00665586">
            <w:pPr>
              <w:jc w:val="center"/>
              <w:rPr>
                <w:color w:val="000000"/>
                <w:sz w:val="18"/>
                <w:szCs w:val="18"/>
              </w:rPr>
            </w:pPr>
            <w:r w:rsidRPr="0004176C">
              <w:rPr>
                <w:color w:val="000000"/>
                <w:sz w:val="18"/>
                <w:szCs w:val="18"/>
              </w:rPr>
              <w:t>Leased/Issued</w:t>
            </w:r>
          </w:p>
        </w:tc>
        <w:tc>
          <w:tcPr>
            <w:tcW w:w="627" w:type="pct"/>
            <w:shd w:val="clear" w:color="auto" w:fill="auto"/>
            <w:vAlign w:val="center"/>
          </w:tcPr>
          <w:p w14:paraId="1EA1DE68" w14:textId="633FAF25" w:rsidR="00C83974" w:rsidRPr="0004176C" w:rsidRDefault="00C83974" w:rsidP="00665586">
            <w:pPr>
              <w:jc w:val="center"/>
              <w:rPr>
                <w:color w:val="000000"/>
                <w:sz w:val="18"/>
                <w:szCs w:val="18"/>
              </w:rPr>
            </w:pPr>
            <w:r w:rsidRPr="0004176C">
              <w:rPr>
                <w:color w:val="000000"/>
                <w:sz w:val="18"/>
                <w:szCs w:val="18"/>
              </w:rPr>
              <w:t>Yes</w:t>
            </w:r>
          </w:p>
        </w:tc>
        <w:tc>
          <w:tcPr>
            <w:tcW w:w="1777" w:type="pct"/>
            <w:shd w:val="clear" w:color="auto" w:fill="auto"/>
            <w:vAlign w:val="center"/>
          </w:tcPr>
          <w:p w14:paraId="42DDF8FF" w14:textId="11ED81FD" w:rsidR="00C83974" w:rsidRPr="0004176C" w:rsidRDefault="00C83974" w:rsidP="00665586">
            <w:pPr>
              <w:jc w:val="center"/>
              <w:rPr>
                <w:color w:val="000000"/>
                <w:sz w:val="18"/>
                <w:szCs w:val="18"/>
              </w:rPr>
            </w:pPr>
            <w:r w:rsidRPr="0004176C">
              <w:rPr>
                <w:color w:val="000000"/>
                <w:sz w:val="18"/>
                <w:szCs w:val="18"/>
              </w:rPr>
              <w:t>Substantial Rehab of an historic building creating mixed income rental units, 50 affordable and 5 market rate</w:t>
            </w:r>
          </w:p>
        </w:tc>
      </w:tr>
      <w:tr w:rsidR="00665586" w:rsidRPr="0004176C" w14:paraId="3AF14446" w14:textId="77777777" w:rsidTr="00665586">
        <w:trPr>
          <w:trHeight w:val="240"/>
        </w:trPr>
        <w:tc>
          <w:tcPr>
            <w:tcW w:w="1326" w:type="pct"/>
            <w:shd w:val="clear" w:color="auto" w:fill="auto"/>
            <w:vAlign w:val="center"/>
            <w:hideMark/>
          </w:tcPr>
          <w:p w14:paraId="1CF35C5B" w14:textId="77777777" w:rsidR="00665586" w:rsidRPr="0004176C" w:rsidRDefault="00665586" w:rsidP="00665586">
            <w:pPr>
              <w:jc w:val="center"/>
              <w:rPr>
                <w:color w:val="000000"/>
                <w:sz w:val="18"/>
                <w:szCs w:val="18"/>
              </w:rPr>
            </w:pPr>
            <w:r w:rsidRPr="0004176C">
              <w:rPr>
                <w:color w:val="000000"/>
                <w:sz w:val="18"/>
                <w:szCs w:val="18"/>
              </w:rPr>
              <w:t>Chapin School Veterans Housing</w:t>
            </w:r>
          </w:p>
        </w:tc>
        <w:tc>
          <w:tcPr>
            <w:tcW w:w="596" w:type="pct"/>
            <w:shd w:val="clear" w:color="auto" w:fill="auto"/>
            <w:vAlign w:val="center"/>
            <w:hideMark/>
          </w:tcPr>
          <w:p w14:paraId="3F2ACF46" w14:textId="77777777" w:rsidR="00665586" w:rsidRPr="0004176C" w:rsidRDefault="00665586" w:rsidP="00665586">
            <w:pPr>
              <w:jc w:val="center"/>
              <w:rPr>
                <w:color w:val="000000"/>
                <w:sz w:val="18"/>
                <w:szCs w:val="18"/>
              </w:rPr>
            </w:pPr>
            <w:r w:rsidRPr="0004176C">
              <w:rPr>
                <w:color w:val="000000"/>
                <w:sz w:val="18"/>
                <w:szCs w:val="18"/>
              </w:rPr>
              <w:t>43</w:t>
            </w:r>
          </w:p>
        </w:tc>
        <w:tc>
          <w:tcPr>
            <w:tcW w:w="674" w:type="pct"/>
            <w:shd w:val="clear" w:color="auto" w:fill="auto"/>
            <w:vAlign w:val="center"/>
            <w:hideMark/>
          </w:tcPr>
          <w:p w14:paraId="685E7D74"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BFFC0DB"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D9652BE" w14:textId="77777777" w:rsidR="00665586" w:rsidRPr="0004176C" w:rsidRDefault="00665586" w:rsidP="00665586">
            <w:pPr>
              <w:jc w:val="center"/>
              <w:rPr>
                <w:color w:val="000000"/>
                <w:sz w:val="18"/>
                <w:szCs w:val="18"/>
              </w:rPr>
            </w:pPr>
            <w:r w:rsidRPr="0004176C">
              <w:rPr>
                <w:color w:val="000000"/>
                <w:sz w:val="18"/>
                <w:szCs w:val="18"/>
              </w:rPr>
              <w:t>Adaptive reuse of former school for Veterans</w:t>
            </w:r>
          </w:p>
        </w:tc>
      </w:tr>
      <w:tr w:rsidR="00665586" w:rsidRPr="0004176C" w14:paraId="2069CC3E" w14:textId="77777777" w:rsidTr="00665586">
        <w:trPr>
          <w:trHeight w:val="480"/>
        </w:trPr>
        <w:tc>
          <w:tcPr>
            <w:tcW w:w="1326" w:type="pct"/>
            <w:shd w:val="clear" w:color="auto" w:fill="auto"/>
            <w:vAlign w:val="center"/>
          </w:tcPr>
          <w:p w14:paraId="54D51801" w14:textId="77777777" w:rsidR="00665586" w:rsidRPr="0004176C" w:rsidRDefault="00665586" w:rsidP="00665586">
            <w:pPr>
              <w:jc w:val="center"/>
              <w:rPr>
                <w:sz w:val="18"/>
                <w:szCs w:val="18"/>
              </w:rPr>
            </w:pPr>
            <w:r w:rsidRPr="0004176C">
              <w:rPr>
                <w:sz w:val="18"/>
                <w:szCs w:val="18"/>
              </w:rPr>
              <w:t>Chestnut Crossing,</w:t>
            </w:r>
          </w:p>
          <w:p w14:paraId="0E06D1C2" w14:textId="3A91677C" w:rsidR="00665586" w:rsidRPr="0004176C" w:rsidRDefault="00665586" w:rsidP="00665586">
            <w:pPr>
              <w:jc w:val="center"/>
              <w:rPr>
                <w:color w:val="000000"/>
                <w:sz w:val="18"/>
                <w:szCs w:val="18"/>
              </w:rPr>
            </w:pPr>
            <w:r w:rsidRPr="0004176C">
              <w:rPr>
                <w:sz w:val="18"/>
                <w:szCs w:val="18"/>
              </w:rPr>
              <w:t xml:space="preserve">Springfield </w:t>
            </w:r>
          </w:p>
        </w:tc>
        <w:tc>
          <w:tcPr>
            <w:tcW w:w="596" w:type="pct"/>
            <w:shd w:val="clear" w:color="auto" w:fill="auto"/>
            <w:vAlign w:val="center"/>
          </w:tcPr>
          <w:p w14:paraId="36A9A877" w14:textId="77777777" w:rsidR="00665586" w:rsidRPr="0004176C" w:rsidRDefault="00665586" w:rsidP="00665586">
            <w:pPr>
              <w:jc w:val="center"/>
              <w:rPr>
                <w:color w:val="000000"/>
                <w:sz w:val="18"/>
                <w:szCs w:val="18"/>
              </w:rPr>
            </w:pPr>
            <w:r w:rsidRPr="0004176C">
              <w:rPr>
                <w:sz w:val="18"/>
                <w:szCs w:val="18"/>
              </w:rPr>
              <w:t>8</w:t>
            </w:r>
          </w:p>
        </w:tc>
        <w:tc>
          <w:tcPr>
            <w:tcW w:w="674" w:type="pct"/>
            <w:shd w:val="clear" w:color="auto" w:fill="auto"/>
            <w:vAlign w:val="center"/>
          </w:tcPr>
          <w:p w14:paraId="25B09E6C" w14:textId="43C2DCA1" w:rsidR="00665586" w:rsidRPr="0004176C" w:rsidRDefault="001D0505" w:rsidP="00665586">
            <w:pPr>
              <w:jc w:val="center"/>
              <w:rPr>
                <w:color w:val="000000"/>
                <w:sz w:val="18"/>
                <w:szCs w:val="18"/>
              </w:rPr>
            </w:pPr>
            <w:r w:rsidRPr="0004176C">
              <w:rPr>
                <w:sz w:val="18"/>
                <w:szCs w:val="18"/>
              </w:rPr>
              <w:t>Leased/Issued</w:t>
            </w:r>
          </w:p>
        </w:tc>
        <w:tc>
          <w:tcPr>
            <w:tcW w:w="627" w:type="pct"/>
            <w:shd w:val="clear" w:color="auto" w:fill="auto"/>
            <w:vAlign w:val="center"/>
          </w:tcPr>
          <w:p w14:paraId="03BA49C3"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1CAC7DFB" w14:textId="77777777" w:rsidR="00665586" w:rsidRPr="0004176C" w:rsidRDefault="00665586" w:rsidP="00665586">
            <w:pPr>
              <w:jc w:val="center"/>
              <w:rPr>
                <w:color w:val="000000"/>
                <w:sz w:val="18"/>
                <w:szCs w:val="18"/>
              </w:rPr>
            </w:pPr>
            <w:r w:rsidRPr="0004176C">
              <w:rPr>
                <w:rFonts w:eastAsia="Calibri"/>
                <w:sz w:val="18"/>
                <w:szCs w:val="18"/>
              </w:rPr>
              <w:t>Rehab – 0 BR units</w:t>
            </w:r>
          </w:p>
        </w:tc>
      </w:tr>
      <w:tr w:rsidR="00665586" w:rsidRPr="0004176C" w14:paraId="19E6A035" w14:textId="77777777" w:rsidTr="00665586">
        <w:trPr>
          <w:trHeight w:val="480"/>
        </w:trPr>
        <w:tc>
          <w:tcPr>
            <w:tcW w:w="1326" w:type="pct"/>
            <w:shd w:val="clear" w:color="auto" w:fill="auto"/>
            <w:vAlign w:val="center"/>
            <w:hideMark/>
          </w:tcPr>
          <w:p w14:paraId="15CD39FF" w14:textId="77777777" w:rsidR="00665586" w:rsidRPr="0004176C" w:rsidRDefault="00665586" w:rsidP="00665586">
            <w:pPr>
              <w:jc w:val="center"/>
              <w:rPr>
                <w:color w:val="000000"/>
                <w:sz w:val="18"/>
                <w:szCs w:val="18"/>
              </w:rPr>
            </w:pPr>
            <w:r w:rsidRPr="0004176C">
              <w:rPr>
                <w:color w:val="000000"/>
                <w:sz w:val="18"/>
                <w:szCs w:val="18"/>
              </w:rPr>
              <w:t>Chestnut Park Apartments</w:t>
            </w:r>
          </w:p>
        </w:tc>
        <w:tc>
          <w:tcPr>
            <w:tcW w:w="596" w:type="pct"/>
            <w:shd w:val="clear" w:color="auto" w:fill="auto"/>
            <w:vAlign w:val="center"/>
            <w:hideMark/>
          </w:tcPr>
          <w:p w14:paraId="7D36AC72"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5829630"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DC8842E"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083C342" w14:textId="77777777" w:rsidR="00665586" w:rsidRPr="0004176C" w:rsidRDefault="00665586" w:rsidP="00665586">
            <w:pPr>
              <w:jc w:val="center"/>
              <w:rPr>
                <w:color w:val="000000"/>
                <w:sz w:val="18"/>
                <w:szCs w:val="18"/>
              </w:rPr>
            </w:pPr>
            <w:r w:rsidRPr="0004176C">
              <w:rPr>
                <w:color w:val="000000"/>
                <w:sz w:val="18"/>
                <w:szCs w:val="18"/>
              </w:rPr>
              <w:t>Family - Adaptive reuse of former church and school; 85, 95, 57-60 Chestnut Street, 218 Hampden Street</w:t>
            </w:r>
          </w:p>
        </w:tc>
      </w:tr>
      <w:tr w:rsidR="00665586" w:rsidRPr="0004176C" w14:paraId="7D287821" w14:textId="77777777" w:rsidTr="00665586">
        <w:trPr>
          <w:trHeight w:val="240"/>
        </w:trPr>
        <w:tc>
          <w:tcPr>
            <w:tcW w:w="1326" w:type="pct"/>
            <w:shd w:val="clear" w:color="auto" w:fill="auto"/>
            <w:vAlign w:val="center"/>
            <w:hideMark/>
          </w:tcPr>
          <w:p w14:paraId="3F9CD3F1" w14:textId="77777777" w:rsidR="00665586" w:rsidRPr="0004176C" w:rsidRDefault="00665586" w:rsidP="00665586">
            <w:pPr>
              <w:jc w:val="center"/>
              <w:rPr>
                <w:color w:val="000000"/>
                <w:sz w:val="18"/>
                <w:szCs w:val="18"/>
              </w:rPr>
            </w:pPr>
            <w:r w:rsidRPr="0004176C">
              <w:rPr>
                <w:color w:val="000000"/>
                <w:sz w:val="18"/>
                <w:szCs w:val="18"/>
              </w:rPr>
              <w:t>Clay Pond Cove</w:t>
            </w:r>
          </w:p>
        </w:tc>
        <w:tc>
          <w:tcPr>
            <w:tcW w:w="596" w:type="pct"/>
            <w:shd w:val="clear" w:color="auto" w:fill="auto"/>
            <w:vAlign w:val="center"/>
            <w:hideMark/>
          </w:tcPr>
          <w:p w14:paraId="7E7B9159"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65840A80"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593C46B"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0E2F045"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7729AEC8" w14:textId="77777777" w:rsidTr="00665586">
        <w:trPr>
          <w:trHeight w:val="480"/>
        </w:trPr>
        <w:tc>
          <w:tcPr>
            <w:tcW w:w="1326" w:type="pct"/>
            <w:shd w:val="clear" w:color="auto" w:fill="auto"/>
            <w:vAlign w:val="center"/>
          </w:tcPr>
          <w:p w14:paraId="26F3107C" w14:textId="77777777" w:rsidR="00665586" w:rsidRPr="0004176C" w:rsidRDefault="00665586" w:rsidP="00665586">
            <w:pPr>
              <w:jc w:val="center"/>
              <w:rPr>
                <w:sz w:val="18"/>
                <w:szCs w:val="18"/>
              </w:rPr>
            </w:pPr>
            <w:r w:rsidRPr="0004176C">
              <w:rPr>
                <w:sz w:val="18"/>
                <w:szCs w:val="18"/>
              </w:rPr>
              <w:t xml:space="preserve">Cole Ave., </w:t>
            </w:r>
          </w:p>
          <w:p w14:paraId="14958DDD" w14:textId="40D53186" w:rsidR="00665586" w:rsidRPr="0004176C" w:rsidRDefault="00665586" w:rsidP="00665586">
            <w:pPr>
              <w:jc w:val="center"/>
              <w:rPr>
                <w:sz w:val="18"/>
                <w:szCs w:val="18"/>
              </w:rPr>
            </w:pPr>
            <w:r w:rsidRPr="0004176C">
              <w:rPr>
                <w:sz w:val="18"/>
                <w:szCs w:val="18"/>
              </w:rPr>
              <w:t>Williamstown **</w:t>
            </w:r>
          </w:p>
        </w:tc>
        <w:tc>
          <w:tcPr>
            <w:tcW w:w="596" w:type="pct"/>
            <w:shd w:val="clear" w:color="auto" w:fill="auto"/>
            <w:vAlign w:val="center"/>
          </w:tcPr>
          <w:p w14:paraId="48702523"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114D7EFE"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650D907E"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546D10C8" w14:textId="77777777" w:rsidR="00665586" w:rsidRPr="0004176C" w:rsidRDefault="00665586" w:rsidP="00665586">
            <w:pPr>
              <w:jc w:val="center"/>
              <w:rPr>
                <w:sz w:val="18"/>
                <w:szCs w:val="18"/>
              </w:rPr>
            </w:pPr>
            <w:r w:rsidRPr="0004176C">
              <w:rPr>
                <w:sz w:val="18"/>
                <w:szCs w:val="18"/>
              </w:rPr>
              <w:t>New Construction – Family Supportive Housing</w:t>
            </w:r>
          </w:p>
        </w:tc>
      </w:tr>
      <w:tr w:rsidR="00665586" w:rsidRPr="0004176C" w14:paraId="05FFB281" w14:textId="77777777" w:rsidTr="00665586">
        <w:trPr>
          <w:trHeight w:val="480"/>
        </w:trPr>
        <w:tc>
          <w:tcPr>
            <w:tcW w:w="1326" w:type="pct"/>
            <w:shd w:val="clear" w:color="auto" w:fill="auto"/>
            <w:vAlign w:val="center"/>
          </w:tcPr>
          <w:p w14:paraId="3F71F873" w14:textId="77777777" w:rsidR="00665586" w:rsidRPr="0004176C" w:rsidRDefault="00665586" w:rsidP="00665586">
            <w:pPr>
              <w:jc w:val="center"/>
              <w:rPr>
                <w:sz w:val="18"/>
                <w:szCs w:val="18"/>
              </w:rPr>
            </w:pPr>
            <w:r w:rsidRPr="0004176C">
              <w:rPr>
                <w:sz w:val="18"/>
                <w:szCs w:val="18"/>
              </w:rPr>
              <w:t>Colonel Lovell’s Gate Apartments</w:t>
            </w:r>
          </w:p>
          <w:p w14:paraId="15231E9A" w14:textId="0FA55420" w:rsidR="00665586" w:rsidRPr="0004176C" w:rsidRDefault="00665586" w:rsidP="00665586">
            <w:pPr>
              <w:jc w:val="center"/>
              <w:rPr>
                <w:sz w:val="18"/>
                <w:szCs w:val="18"/>
              </w:rPr>
            </w:pPr>
            <w:r w:rsidRPr="0004176C">
              <w:rPr>
                <w:sz w:val="18"/>
                <w:szCs w:val="18"/>
              </w:rPr>
              <w:t>Weymouth **</w:t>
            </w:r>
          </w:p>
        </w:tc>
        <w:tc>
          <w:tcPr>
            <w:tcW w:w="596" w:type="pct"/>
            <w:shd w:val="clear" w:color="auto" w:fill="auto"/>
            <w:vAlign w:val="center"/>
          </w:tcPr>
          <w:p w14:paraId="7F59BBCE" w14:textId="77777777" w:rsidR="00665586" w:rsidRPr="0004176C" w:rsidRDefault="00665586" w:rsidP="00665586">
            <w:pPr>
              <w:jc w:val="center"/>
              <w:rPr>
                <w:sz w:val="18"/>
                <w:szCs w:val="18"/>
              </w:rPr>
            </w:pPr>
            <w:r w:rsidRPr="0004176C">
              <w:rPr>
                <w:sz w:val="18"/>
                <w:szCs w:val="18"/>
              </w:rPr>
              <w:t>44</w:t>
            </w:r>
          </w:p>
        </w:tc>
        <w:tc>
          <w:tcPr>
            <w:tcW w:w="674" w:type="pct"/>
            <w:shd w:val="clear" w:color="auto" w:fill="auto"/>
            <w:vAlign w:val="center"/>
          </w:tcPr>
          <w:p w14:paraId="3086C114" w14:textId="0E5664A3" w:rsidR="00665586" w:rsidRPr="0004176C" w:rsidRDefault="00C83974" w:rsidP="00C83974">
            <w:pPr>
              <w:jc w:val="center"/>
              <w:rPr>
                <w:sz w:val="18"/>
                <w:szCs w:val="18"/>
              </w:rPr>
            </w:pPr>
            <w:r w:rsidRPr="0004176C">
              <w:rPr>
                <w:sz w:val="18"/>
                <w:szCs w:val="18"/>
              </w:rPr>
              <w:t>Leased/Issued</w:t>
            </w:r>
          </w:p>
        </w:tc>
        <w:tc>
          <w:tcPr>
            <w:tcW w:w="627" w:type="pct"/>
            <w:shd w:val="clear" w:color="auto" w:fill="auto"/>
            <w:vAlign w:val="center"/>
          </w:tcPr>
          <w:p w14:paraId="3CA9DDD4"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5BAFE561" w14:textId="77777777" w:rsidR="00665586" w:rsidRPr="0004176C" w:rsidRDefault="00665586" w:rsidP="00665586">
            <w:pPr>
              <w:jc w:val="center"/>
              <w:rPr>
                <w:sz w:val="18"/>
                <w:szCs w:val="18"/>
              </w:rPr>
            </w:pPr>
            <w:r w:rsidRPr="0004176C">
              <w:rPr>
                <w:sz w:val="18"/>
                <w:szCs w:val="18"/>
              </w:rPr>
              <w:t>Existing – Family Housing</w:t>
            </w:r>
          </w:p>
        </w:tc>
      </w:tr>
      <w:tr w:rsidR="00665586" w:rsidRPr="0004176C" w14:paraId="57F250B0" w14:textId="77777777" w:rsidTr="00665586">
        <w:trPr>
          <w:trHeight w:val="480"/>
        </w:trPr>
        <w:tc>
          <w:tcPr>
            <w:tcW w:w="1326" w:type="pct"/>
            <w:shd w:val="clear" w:color="auto" w:fill="auto"/>
            <w:vAlign w:val="center"/>
            <w:hideMark/>
          </w:tcPr>
          <w:p w14:paraId="3D6FA06F" w14:textId="77777777" w:rsidR="00665586" w:rsidRPr="0004176C" w:rsidRDefault="00665586" w:rsidP="00665586">
            <w:pPr>
              <w:jc w:val="center"/>
              <w:rPr>
                <w:color w:val="000000"/>
                <w:sz w:val="18"/>
                <w:szCs w:val="18"/>
              </w:rPr>
            </w:pPr>
            <w:r w:rsidRPr="0004176C">
              <w:rPr>
                <w:color w:val="000000"/>
                <w:sz w:val="18"/>
                <w:szCs w:val="18"/>
              </w:rPr>
              <w:t>Commonwealth Apartments</w:t>
            </w:r>
          </w:p>
        </w:tc>
        <w:tc>
          <w:tcPr>
            <w:tcW w:w="596" w:type="pct"/>
            <w:shd w:val="clear" w:color="auto" w:fill="auto"/>
            <w:vAlign w:val="center"/>
            <w:hideMark/>
          </w:tcPr>
          <w:p w14:paraId="7E6A842F" w14:textId="77777777" w:rsidR="00665586" w:rsidRPr="0004176C" w:rsidRDefault="00665586" w:rsidP="00665586">
            <w:pPr>
              <w:jc w:val="center"/>
              <w:rPr>
                <w:color w:val="000000"/>
                <w:sz w:val="18"/>
                <w:szCs w:val="18"/>
              </w:rPr>
            </w:pPr>
            <w:r w:rsidRPr="0004176C">
              <w:rPr>
                <w:color w:val="000000"/>
                <w:sz w:val="18"/>
                <w:szCs w:val="18"/>
              </w:rPr>
              <w:t>88</w:t>
            </w:r>
          </w:p>
        </w:tc>
        <w:tc>
          <w:tcPr>
            <w:tcW w:w="674" w:type="pct"/>
            <w:shd w:val="clear" w:color="auto" w:fill="auto"/>
            <w:vAlign w:val="center"/>
            <w:hideMark/>
          </w:tcPr>
          <w:p w14:paraId="575DF250"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A25CEF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7829747" w14:textId="77777777" w:rsidR="00665586" w:rsidRPr="0004176C" w:rsidRDefault="00665586" w:rsidP="00665586">
            <w:pPr>
              <w:jc w:val="center"/>
              <w:rPr>
                <w:color w:val="000000"/>
                <w:sz w:val="18"/>
                <w:szCs w:val="18"/>
              </w:rPr>
            </w:pPr>
            <w:r w:rsidRPr="0004176C">
              <w:rPr>
                <w:color w:val="000000"/>
                <w:sz w:val="18"/>
                <w:szCs w:val="18"/>
              </w:rPr>
              <w:t>Expiring Use Project - Family - 88 out of 106 EVs converted to PBVs</w:t>
            </w:r>
          </w:p>
        </w:tc>
      </w:tr>
      <w:tr w:rsidR="00665586" w:rsidRPr="0004176C" w14:paraId="34A0937A" w14:textId="77777777" w:rsidTr="00665586">
        <w:trPr>
          <w:trHeight w:val="240"/>
        </w:trPr>
        <w:tc>
          <w:tcPr>
            <w:tcW w:w="1326" w:type="pct"/>
            <w:shd w:val="clear" w:color="auto" w:fill="auto"/>
            <w:vAlign w:val="center"/>
            <w:hideMark/>
          </w:tcPr>
          <w:p w14:paraId="060E5E3C" w14:textId="77777777" w:rsidR="00665586" w:rsidRPr="0004176C" w:rsidRDefault="00665586" w:rsidP="00665586">
            <w:pPr>
              <w:jc w:val="center"/>
              <w:rPr>
                <w:color w:val="000000"/>
                <w:sz w:val="18"/>
                <w:szCs w:val="18"/>
              </w:rPr>
            </w:pPr>
            <w:r w:rsidRPr="0004176C">
              <w:rPr>
                <w:color w:val="000000"/>
                <w:sz w:val="18"/>
                <w:szCs w:val="18"/>
              </w:rPr>
              <w:t>Conant Village</w:t>
            </w:r>
          </w:p>
        </w:tc>
        <w:tc>
          <w:tcPr>
            <w:tcW w:w="596" w:type="pct"/>
            <w:shd w:val="clear" w:color="auto" w:fill="auto"/>
            <w:vAlign w:val="center"/>
            <w:hideMark/>
          </w:tcPr>
          <w:p w14:paraId="7041E5A8" w14:textId="77777777" w:rsidR="00665586" w:rsidRPr="0004176C" w:rsidRDefault="00665586" w:rsidP="00665586">
            <w:pPr>
              <w:jc w:val="center"/>
              <w:rPr>
                <w:color w:val="000000"/>
                <w:sz w:val="18"/>
                <w:szCs w:val="18"/>
              </w:rPr>
            </w:pPr>
            <w:r w:rsidRPr="0004176C">
              <w:rPr>
                <w:color w:val="000000"/>
                <w:sz w:val="18"/>
                <w:szCs w:val="18"/>
              </w:rPr>
              <w:t>15</w:t>
            </w:r>
          </w:p>
        </w:tc>
        <w:tc>
          <w:tcPr>
            <w:tcW w:w="674" w:type="pct"/>
            <w:shd w:val="clear" w:color="auto" w:fill="auto"/>
            <w:vAlign w:val="center"/>
            <w:hideMark/>
          </w:tcPr>
          <w:p w14:paraId="2B145146"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57EABFE"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79906A4"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59C89552" w14:textId="77777777" w:rsidTr="00665586">
        <w:trPr>
          <w:trHeight w:val="480"/>
        </w:trPr>
        <w:tc>
          <w:tcPr>
            <w:tcW w:w="1326" w:type="pct"/>
            <w:shd w:val="clear" w:color="auto" w:fill="auto"/>
            <w:vAlign w:val="center"/>
            <w:hideMark/>
          </w:tcPr>
          <w:p w14:paraId="0F467741" w14:textId="77777777" w:rsidR="00665586" w:rsidRPr="0004176C" w:rsidRDefault="00665586" w:rsidP="00665586">
            <w:pPr>
              <w:jc w:val="center"/>
              <w:rPr>
                <w:color w:val="000000"/>
                <w:sz w:val="18"/>
                <w:szCs w:val="18"/>
              </w:rPr>
            </w:pPr>
            <w:r w:rsidRPr="0004176C">
              <w:rPr>
                <w:color w:val="000000"/>
                <w:sz w:val="18"/>
                <w:szCs w:val="18"/>
              </w:rPr>
              <w:t>Congress Street Residences</w:t>
            </w:r>
          </w:p>
        </w:tc>
        <w:tc>
          <w:tcPr>
            <w:tcW w:w="596" w:type="pct"/>
            <w:shd w:val="clear" w:color="auto" w:fill="auto"/>
            <w:vAlign w:val="center"/>
            <w:hideMark/>
          </w:tcPr>
          <w:p w14:paraId="1D59BA7A"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1653A733"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24210F1"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B90B6FB" w14:textId="77777777" w:rsidR="00665586" w:rsidRPr="0004176C" w:rsidRDefault="00665586" w:rsidP="00665586">
            <w:pPr>
              <w:jc w:val="center"/>
              <w:rPr>
                <w:color w:val="000000"/>
                <w:sz w:val="18"/>
                <w:szCs w:val="18"/>
              </w:rPr>
            </w:pPr>
            <w:r w:rsidRPr="0004176C">
              <w:rPr>
                <w:color w:val="000000"/>
                <w:sz w:val="18"/>
                <w:szCs w:val="18"/>
              </w:rPr>
              <w:t>Family - New construction; Dow, Palmer, Congress, Perkins, Ward Streets</w:t>
            </w:r>
          </w:p>
        </w:tc>
      </w:tr>
      <w:tr w:rsidR="00665586" w:rsidRPr="0004176C" w14:paraId="7B85107C" w14:textId="77777777" w:rsidTr="00665586">
        <w:trPr>
          <w:trHeight w:val="480"/>
        </w:trPr>
        <w:tc>
          <w:tcPr>
            <w:tcW w:w="1326" w:type="pct"/>
            <w:shd w:val="clear" w:color="auto" w:fill="auto"/>
            <w:vAlign w:val="center"/>
            <w:hideMark/>
          </w:tcPr>
          <w:p w14:paraId="7F155855" w14:textId="77777777" w:rsidR="00665586" w:rsidRPr="0004176C" w:rsidRDefault="00665586" w:rsidP="00665586">
            <w:pPr>
              <w:jc w:val="center"/>
              <w:rPr>
                <w:color w:val="000000"/>
                <w:sz w:val="18"/>
                <w:szCs w:val="18"/>
              </w:rPr>
            </w:pPr>
            <w:r w:rsidRPr="0004176C">
              <w:rPr>
                <w:color w:val="000000"/>
                <w:sz w:val="18"/>
                <w:szCs w:val="18"/>
              </w:rPr>
              <w:t>Conifer Hill Commons II</w:t>
            </w:r>
          </w:p>
        </w:tc>
        <w:tc>
          <w:tcPr>
            <w:tcW w:w="596" w:type="pct"/>
            <w:shd w:val="clear" w:color="auto" w:fill="auto"/>
            <w:vAlign w:val="center"/>
            <w:hideMark/>
          </w:tcPr>
          <w:p w14:paraId="70EAA425"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4A8159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F51A00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974A906" w14:textId="77777777" w:rsidR="00665586" w:rsidRPr="0004176C" w:rsidRDefault="00665586" w:rsidP="00665586">
            <w:pPr>
              <w:jc w:val="center"/>
              <w:rPr>
                <w:color w:val="000000"/>
                <w:sz w:val="18"/>
                <w:szCs w:val="18"/>
              </w:rPr>
            </w:pPr>
            <w:r w:rsidRPr="0004176C">
              <w:rPr>
                <w:color w:val="000000"/>
                <w:sz w:val="18"/>
                <w:szCs w:val="18"/>
              </w:rPr>
              <w:t>Family - Six units have disabled preference; new construction of three-story townhouse</w:t>
            </w:r>
          </w:p>
        </w:tc>
      </w:tr>
      <w:tr w:rsidR="00665586" w:rsidRPr="0004176C" w14:paraId="654DEB48" w14:textId="77777777" w:rsidTr="00665586">
        <w:trPr>
          <w:trHeight w:val="480"/>
        </w:trPr>
        <w:tc>
          <w:tcPr>
            <w:tcW w:w="1326" w:type="pct"/>
            <w:shd w:val="clear" w:color="auto" w:fill="auto"/>
            <w:vAlign w:val="center"/>
            <w:hideMark/>
          </w:tcPr>
          <w:p w14:paraId="3AD665ED" w14:textId="77777777" w:rsidR="00665586" w:rsidRPr="0004176C" w:rsidRDefault="00665586" w:rsidP="00665586">
            <w:pPr>
              <w:jc w:val="center"/>
              <w:rPr>
                <w:color w:val="000000"/>
                <w:sz w:val="18"/>
                <w:szCs w:val="18"/>
              </w:rPr>
            </w:pPr>
            <w:r w:rsidRPr="0004176C">
              <w:rPr>
                <w:color w:val="000000"/>
                <w:sz w:val="18"/>
                <w:szCs w:val="18"/>
              </w:rPr>
              <w:t>Conifer Hill Commons Phase I</w:t>
            </w:r>
          </w:p>
        </w:tc>
        <w:tc>
          <w:tcPr>
            <w:tcW w:w="596" w:type="pct"/>
            <w:shd w:val="clear" w:color="auto" w:fill="auto"/>
            <w:vAlign w:val="center"/>
            <w:hideMark/>
          </w:tcPr>
          <w:p w14:paraId="4E10F8C2"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C240523"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CE607AE"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FC14A57" w14:textId="77777777" w:rsidR="00665586" w:rsidRPr="0004176C" w:rsidRDefault="00665586" w:rsidP="00665586">
            <w:pPr>
              <w:jc w:val="center"/>
              <w:rPr>
                <w:color w:val="000000"/>
                <w:sz w:val="18"/>
                <w:szCs w:val="18"/>
              </w:rPr>
            </w:pPr>
            <w:r w:rsidRPr="0004176C">
              <w:rPr>
                <w:color w:val="000000"/>
                <w:sz w:val="18"/>
                <w:szCs w:val="18"/>
              </w:rPr>
              <w:t>Family - Six units have disabled preference; new construction of three-story townhouse</w:t>
            </w:r>
          </w:p>
        </w:tc>
      </w:tr>
      <w:tr w:rsidR="00665586" w:rsidRPr="0004176C" w14:paraId="7F999EC8" w14:textId="77777777" w:rsidTr="00665586">
        <w:trPr>
          <w:trHeight w:val="480"/>
        </w:trPr>
        <w:tc>
          <w:tcPr>
            <w:tcW w:w="1326" w:type="pct"/>
            <w:shd w:val="clear" w:color="auto" w:fill="auto"/>
            <w:vAlign w:val="center"/>
          </w:tcPr>
          <w:p w14:paraId="794816C6" w14:textId="77777777" w:rsidR="00665586" w:rsidRPr="0004176C" w:rsidRDefault="00665586" w:rsidP="00665586">
            <w:pPr>
              <w:jc w:val="center"/>
              <w:rPr>
                <w:color w:val="000000"/>
                <w:sz w:val="18"/>
                <w:szCs w:val="18"/>
              </w:rPr>
            </w:pPr>
            <w:r w:rsidRPr="0004176C">
              <w:rPr>
                <w:color w:val="000000"/>
                <w:sz w:val="18"/>
                <w:szCs w:val="18"/>
              </w:rPr>
              <w:t>Coolidge at  Sudbury Phase II, Sudbury</w:t>
            </w:r>
          </w:p>
        </w:tc>
        <w:tc>
          <w:tcPr>
            <w:tcW w:w="596" w:type="pct"/>
            <w:shd w:val="clear" w:color="auto" w:fill="auto"/>
            <w:vAlign w:val="center"/>
          </w:tcPr>
          <w:p w14:paraId="5D9EA02A" w14:textId="77777777" w:rsidR="00665586" w:rsidRPr="0004176C" w:rsidRDefault="00665586" w:rsidP="00665586">
            <w:pPr>
              <w:jc w:val="center"/>
              <w:rPr>
                <w:color w:val="000000"/>
                <w:sz w:val="18"/>
                <w:szCs w:val="18"/>
              </w:rPr>
            </w:pPr>
            <w:r w:rsidRPr="0004176C">
              <w:rPr>
                <w:sz w:val="18"/>
                <w:szCs w:val="18"/>
              </w:rPr>
              <w:t>8</w:t>
            </w:r>
          </w:p>
        </w:tc>
        <w:tc>
          <w:tcPr>
            <w:tcW w:w="674" w:type="pct"/>
            <w:shd w:val="clear" w:color="auto" w:fill="auto"/>
            <w:vAlign w:val="center"/>
          </w:tcPr>
          <w:p w14:paraId="29735D60" w14:textId="60E9F37E" w:rsidR="00665586" w:rsidRPr="0004176C" w:rsidRDefault="00C83974" w:rsidP="00665586">
            <w:pPr>
              <w:jc w:val="center"/>
              <w:rPr>
                <w:color w:val="000000"/>
                <w:sz w:val="18"/>
                <w:szCs w:val="18"/>
              </w:rPr>
            </w:pPr>
            <w:r w:rsidRPr="0004176C">
              <w:rPr>
                <w:sz w:val="18"/>
                <w:szCs w:val="18"/>
              </w:rPr>
              <w:t>Leased/Issued</w:t>
            </w:r>
          </w:p>
        </w:tc>
        <w:tc>
          <w:tcPr>
            <w:tcW w:w="627" w:type="pct"/>
            <w:shd w:val="clear" w:color="auto" w:fill="auto"/>
            <w:vAlign w:val="center"/>
          </w:tcPr>
          <w:p w14:paraId="49D1F7DA"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171E4715" w14:textId="77777777" w:rsidR="00665586" w:rsidRPr="0004176C" w:rsidRDefault="00665586" w:rsidP="00665586">
            <w:pPr>
              <w:jc w:val="center"/>
              <w:rPr>
                <w:color w:val="000000"/>
                <w:sz w:val="18"/>
                <w:szCs w:val="18"/>
              </w:rPr>
            </w:pPr>
            <w:r w:rsidRPr="0004176C">
              <w:rPr>
                <w:color w:val="000000"/>
                <w:sz w:val="18"/>
                <w:szCs w:val="18"/>
              </w:rPr>
              <w:t>New Construction - Family Housing</w:t>
            </w:r>
          </w:p>
        </w:tc>
      </w:tr>
      <w:tr w:rsidR="00665586" w:rsidRPr="0004176C" w14:paraId="21136B28" w14:textId="77777777" w:rsidTr="00665586">
        <w:trPr>
          <w:trHeight w:val="240"/>
        </w:trPr>
        <w:tc>
          <w:tcPr>
            <w:tcW w:w="1326" w:type="pct"/>
            <w:shd w:val="clear" w:color="auto" w:fill="auto"/>
            <w:vAlign w:val="center"/>
            <w:hideMark/>
          </w:tcPr>
          <w:p w14:paraId="436D5AAA" w14:textId="77777777" w:rsidR="00665586" w:rsidRPr="0004176C" w:rsidRDefault="00665586" w:rsidP="00665586">
            <w:pPr>
              <w:jc w:val="center"/>
              <w:rPr>
                <w:color w:val="000000"/>
                <w:sz w:val="18"/>
                <w:szCs w:val="18"/>
              </w:rPr>
            </w:pPr>
            <w:r w:rsidRPr="0004176C">
              <w:rPr>
                <w:color w:val="000000"/>
                <w:sz w:val="18"/>
                <w:szCs w:val="18"/>
              </w:rPr>
              <w:t>Coolidge at Sudbury</w:t>
            </w:r>
          </w:p>
        </w:tc>
        <w:tc>
          <w:tcPr>
            <w:tcW w:w="596" w:type="pct"/>
            <w:shd w:val="clear" w:color="auto" w:fill="auto"/>
            <w:vAlign w:val="center"/>
            <w:hideMark/>
          </w:tcPr>
          <w:p w14:paraId="553BF6E9"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87C299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E54D46F"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76677EC" w14:textId="77777777" w:rsidR="00665586" w:rsidRPr="0004176C" w:rsidRDefault="00665586" w:rsidP="00665586">
            <w:pPr>
              <w:jc w:val="center"/>
              <w:rPr>
                <w:color w:val="000000"/>
                <w:sz w:val="18"/>
                <w:szCs w:val="18"/>
              </w:rPr>
            </w:pPr>
            <w:r w:rsidRPr="0004176C">
              <w:rPr>
                <w:color w:val="000000"/>
                <w:sz w:val="18"/>
                <w:szCs w:val="18"/>
              </w:rPr>
              <w:t>Age-Restricted (55+ older) - New construction of four-story building</w:t>
            </w:r>
          </w:p>
        </w:tc>
      </w:tr>
      <w:tr w:rsidR="00665586" w:rsidRPr="0004176C" w14:paraId="2D3EA295" w14:textId="77777777" w:rsidTr="00665586">
        <w:trPr>
          <w:trHeight w:val="240"/>
        </w:trPr>
        <w:tc>
          <w:tcPr>
            <w:tcW w:w="1326" w:type="pct"/>
            <w:shd w:val="clear" w:color="auto" w:fill="auto"/>
            <w:vAlign w:val="center"/>
            <w:hideMark/>
          </w:tcPr>
          <w:p w14:paraId="0102AFE2" w14:textId="77777777" w:rsidR="00665586" w:rsidRPr="0004176C" w:rsidRDefault="00665586" w:rsidP="00665586">
            <w:pPr>
              <w:jc w:val="center"/>
              <w:rPr>
                <w:color w:val="000000"/>
                <w:sz w:val="18"/>
                <w:szCs w:val="18"/>
              </w:rPr>
            </w:pPr>
            <w:r w:rsidRPr="0004176C">
              <w:rPr>
                <w:color w:val="000000"/>
                <w:sz w:val="18"/>
                <w:szCs w:val="18"/>
              </w:rPr>
              <w:t>Coolidge School Apts.</w:t>
            </w:r>
          </w:p>
        </w:tc>
        <w:tc>
          <w:tcPr>
            <w:tcW w:w="596" w:type="pct"/>
            <w:shd w:val="clear" w:color="auto" w:fill="auto"/>
            <w:vAlign w:val="center"/>
            <w:hideMark/>
          </w:tcPr>
          <w:p w14:paraId="5F22161D"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39B74C66"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7FABFA5"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996E791"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18724755" w14:textId="77777777" w:rsidTr="00665586">
        <w:trPr>
          <w:trHeight w:val="480"/>
        </w:trPr>
        <w:tc>
          <w:tcPr>
            <w:tcW w:w="1326" w:type="pct"/>
            <w:shd w:val="clear" w:color="auto" w:fill="auto"/>
            <w:vAlign w:val="center"/>
          </w:tcPr>
          <w:p w14:paraId="56F0002D" w14:textId="2ACA006D" w:rsidR="00665586" w:rsidRPr="0004176C" w:rsidRDefault="00665586" w:rsidP="00665586">
            <w:pPr>
              <w:jc w:val="center"/>
              <w:rPr>
                <w:sz w:val="18"/>
                <w:szCs w:val="18"/>
              </w:rPr>
            </w:pPr>
            <w:r w:rsidRPr="0004176C">
              <w:rPr>
                <w:sz w:val="18"/>
                <w:szCs w:val="18"/>
              </w:rPr>
              <w:t>Coppersmith Village Apartments, Boston</w:t>
            </w:r>
            <w:r w:rsidR="00533160" w:rsidRPr="0004176C">
              <w:rPr>
                <w:sz w:val="18"/>
                <w:szCs w:val="18"/>
              </w:rPr>
              <w:t>*</w:t>
            </w:r>
          </w:p>
        </w:tc>
        <w:tc>
          <w:tcPr>
            <w:tcW w:w="596" w:type="pct"/>
            <w:shd w:val="clear" w:color="auto" w:fill="auto"/>
            <w:vAlign w:val="center"/>
          </w:tcPr>
          <w:p w14:paraId="50439437" w14:textId="77777777" w:rsidR="00665586" w:rsidRPr="0004176C" w:rsidRDefault="00665586" w:rsidP="00665586">
            <w:pPr>
              <w:jc w:val="center"/>
              <w:rPr>
                <w:color w:val="000000"/>
                <w:sz w:val="18"/>
                <w:szCs w:val="18"/>
              </w:rPr>
            </w:pPr>
            <w:r w:rsidRPr="0004176C">
              <w:rPr>
                <w:sz w:val="18"/>
                <w:szCs w:val="18"/>
              </w:rPr>
              <w:t>8</w:t>
            </w:r>
          </w:p>
        </w:tc>
        <w:tc>
          <w:tcPr>
            <w:tcW w:w="674" w:type="pct"/>
            <w:shd w:val="clear" w:color="auto" w:fill="auto"/>
            <w:vAlign w:val="center"/>
          </w:tcPr>
          <w:p w14:paraId="4B99E1F7" w14:textId="77777777" w:rsidR="00665586" w:rsidRPr="0004176C" w:rsidRDefault="00665586" w:rsidP="00665586">
            <w:pPr>
              <w:jc w:val="center"/>
              <w:rPr>
                <w:color w:val="000000"/>
                <w:sz w:val="18"/>
                <w:szCs w:val="18"/>
              </w:rPr>
            </w:pPr>
            <w:r w:rsidRPr="0004176C">
              <w:rPr>
                <w:sz w:val="18"/>
                <w:szCs w:val="18"/>
              </w:rPr>
              <w:t>Leased/Issued</w:t>
            </w:r>
          </w:p>
        </w:tc>
        <w:tc>
          <w:tcPr>
            <w:tcW w:w="627" w:type="pct"/>
            <w:shd w:val="clear" w:color="auto" w:fill="auto"/>
            <w:vAlign w:val="center"/>
          </w:tcPr>
          <w:p w14:paraId="697E8E5B"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372819CB" w14:textId="77777777" w:rsidR="00665586" w:rsidRPr="0004176C" w:rsidRDefault="00665586" w:rsidP="00665586">
            <w:pPr>
              <w:jc w:val="center"/>
              <w:rPr>
                <w:color w:val="000000"/>
                <w:sz w:val="18"/>
                <w:szCs w:val="18"/>
              </w:rPr>
            </w:pPr>
            <w:r w:rsidRPr="0004176C">
              <w:rPr>
                <w:sz w:val="18"/>
                <w:szCs w:val="18"/>
              </w:rPr>
              <w:t>New Construction – Family Housing</w:t>
            </w:r>
          </w:p>
        </w:tc>
      </w:tr>
      <w:tr w:rsidR="00665586" w:rsidRPr="0004176C" w14:paraId="00B0D934" w14:textId="77777777" w:rsidTr="00665586">
        <w:trPr>
          <w:trHeight w:val="240"/>
        </w:trPr>
        <w:tc>
          <w:tcPr>
            <w:tcW w:w="1326" w:type="pct"/>
            <w:shd w:val="clear" w:color="auto" w:fill="auto"/>
            <w:vAlign w:val="center"/>
            <w:hideMark/>
          </w:tcPr>
          <w:p w14:paraId="73273F66" w14:textId="77777777" w:rsidR="00665586" w:rsidRPr="0004176C" w:rsidRDefault="00665586" w:rsidP="00665586">
            <w:pPr>
              <w:jc w:val="center"/>
              <w:rPr>
                <w:color w:val="000000"/>
                <w:sz w:val="18"/>
                <w:szCs w:val="18"/>
              </w:rPr>
            </w:pPr>
            <w:r w:rsidRPr="0004176C">
              <w:rPr>
                <w:color w:val="000000"/>
                <w:sz w:val="18"/>
                <w:szCs w:val="18"/>
              </w:rPr>
              <w:t>Cordovan at Haverhill Station</w:t>
            </w:r>
          </w:p>
        </w:tc>
        <w:tc>
          <w:tcPr>
            <w:tcW w:w="596" w:type="pct"/>
            <w:shd w:val="clear" w:color="auto" w:fill="auto"/>
            <w:vAlign w:val="center"/>
            <w:hideMark/>
          </w:tcPr>
          <w:p w14:paraId="43B81CBF"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0933AC6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E6A675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30ACEEA"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1786D599" w14:textId="77777777" w:rsidTr="00665586">
        <w:trPr>
          <w:trHeight w:val="240"/>
        </w:trPr>
        <w:tc>
          <w:tcPr>
            <w:tcW w:w="1326" w:type="pct"/>
            <w:shd w:val="clear" w:color="auto" w:fill="auto"/>
            <w:vAlign w:val="center"/>
            <w:hideMark/>
          </w:tcPr>
          <w:p w14:paraId="1B894C7A" w14:textId="77777777" w:rsidR="00665586" w:rsidRPr="0004176C" w:rsidRDefault="00665586" w:rsidP="00665586">
            <w:pPr>
              <w:jc w:val="center"/>
              <w:rPr>
                <w:color w:val="000000"/>
                <w:sz w:val="18"/>
                <w:szCs w:val="18"/>
              </w:rPr>
            </w:pPr>
            <w:r w:rsidRPr="0004176C">
              <w:rPr>
                <w:color w:val="000000"/>
                <w:sz w:val="18"/>
                <w:szCs w:val="18"/>
              </w:rPr>
              <w:t>Cottage Square</w:t>
            </w:r>
          </w:p>
        </w:tc>
        <w:tc>
          <w:tcPr>
            <w:tcW w:w="596" w:type="pct"/>
            <w:shd w:val="clear" w:color="auto" w:fill="auto"/>
            <w:vAlign w:val="center"/>
            <w:hideMark/>
          </w:tcPr>
          <w:p w14:paraId="7D479AB7"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F07653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9C3B60C"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42B9885" w14:textId="77777777" w:rsidR="00665586" w:rsidRPr="0004176C" w:rsidRDefault="00665586" w:rsidP="00665586">
            <w:pPr>
              <w:jc w:val="center"/>
              <w:rPr>
                <w:color w:val="000000"/>
                <w:sz w:val="18"/>
                <w:szCs w:val="18"/>
              </w:rPr>
            </w:pPr>
            <w:r w:rsidRPr="0004176C">
              <w:rPr>
                <w:color w:val="000000"/>
                <w:sz w:val="18"/>
                <w:szCs w:val="18"/>
              </w:rPr>
              <w:t>Family - Adaptive reuse of former mill (four stories)</w:t>
            </w:r>
          </w:p>
        </w:tc>
      </w:tr>
      <w:tr w:rsidR="00665586" w:rsidRPr="0004176C" w14:paraId="06E3144B" w14:textId="77777777" w:rsidTr="00665586">
        <w:trPr>
          <w:trHeight w:val="240"/>
        </w:trPr>
        <w:tc>
          <w:tcPr>
            <w:tcW w:w="1326" w:type="pct"/>
            <w:shd w:val="clear" w:color="auto" w:fill="auto"/>
            <w:vAlign w:val="center"/>
            <w:hideMark/>
          </w:tcPr>
          <w:p w14:paraId="2ABD19A9" w14:textId="77777777" w:rsidR="00665586" w:rsidRPr="0004176C" w:rsidRDefault="00665586" w:rsidP="00665586">
            <w:pPr>
              <w:jc w:val="center"/>
              <w:rPr>
                <w:color w:val="000000"/>
                <w:sz w:val="18"/>
                <w:szCs w:val="18"/>
              </w:rPr>
            </w:pPr>
            <w:r w:rsidRPr="0004176C">
              <w:rPr>
                <w:color w:val="000000"/>
                <w:sz w:val="18"/>
                <w:szCs w:val="18"/>
              </w:rPr>
              <w:t>Counting House Lofts</w:t>
            </w:r>
          </w:p>
        </w:tc>
        <w:tc>
          <w:tcPr>
            <w:tcW w:w="596" w:type="pct"/>
            <w:shd w:val="clear" w:color="auto" w:fill="auto"/>
            <w:vAlign w:val="center"/>
            <w:hideMark/>
          </w:tcPr>
          <w:p w14:paraId="338E4262" w14:textId="77777777" w:rsidR="00665586" w:rsidRPr="0004176C" w:rsidRDefault="00665586" w:rsidP="00665586">
            <w:pPr>
              <w:jc w:val="center"/>
              <w:rPr>
                <w:color w:val="000000"/>
                <w:sz w:val="18"/>
                <w:szCs w:val="18"/>
              </w:rPr>
            </w:pPr>
            <w:r w:rsidRPr="0004176C">
              <w:rPr>
                <w:color w:val="000000"/>
                <w:sz w:val="18"/>
                <w:szCs w:val="18"/>
              </w:rPr>
              <w:t>6</w:t>
            </w:r>
          </w:p>
        </w:tc>
        <w:tc>
          <w:tcPr>
            <w:tcW w:w="674" w:type="pct"/>
            <w:shd w:val="clear" w:color="auto" w:fill="auto"/>
            <w:vAlign w:val="center"/>
            <w:hideMark/>
          </w:tcPr>
          <w:p w14:paraId="73958935"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ABDADC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9C00740" w14:textId="77777777" w:rsidR="00665586" w:rsidRPr="0004176C" w:rsidRDefault="00665586" w:rsidP="00665586">
            <w:pPr>
              <w:jc w:val="center"/>
              <w:rPr>
                <w:color w:val="000000"/>
                <w:sz w:val="18"/>
                <w:szCs w:val="18"/>
              </w:rPr>
            </w:pPr>
            <w:r w:rsidRPr="0004176C">
              <w:rPr>
                <w:color w:val="000000"/>
                <w:sz w:val="18"/>
                <w:szCs w:val="18"/>
              </w:rPr>
              <w:t>Family - Adaptive reuse of historic mill (six stories)</w:t>
            </w:r>
          </w:p>
        </w:tc>
      </w:tr>
      <w:tr w:rsidR="00665586" w:rsidRPr="0004176C" w14:paraId="4A383246" w14:textId="77777777" w:rsidTr="00665586">
        <w:trPr>
          <w:trHeight w:val="480"/>
        </w:trPr>
        <w:tc>
          <w:tcPr>
            <w:tcW w:w="1326" w:type="pct"/>
            <w:shd w:val="clear" w:color="auto" w:fill="auto"/>
            <w:vAlign w:val="center"/>
            <w:hideMark/>
          </w:tcPr>
          <w:p w14:paraId="508E4641" w14:textId="77777777" w:rsidR="00665586" w:rsidRPr="0004176C" w:rsidRDefault="00665586" w:rsidP="00665586">
            <w:pPr>
              <w:jc w:val="center"/>
              <w:rPr>
                <w:color w:val="000000"/>
                <w:sz w:val="18"/>
                <w:szCs w:val="18"/>
              </w:rPr>
            </w:pPr>
            <w:r w:rsidRPr="0004176C">
              <w:rPr>
                <w:color w:val="000000"/>
                <w:sz w:val="18"/>
                <w:szCs w:val="18"/>
              </w:rPr>
              <w:t>Cumber Homes Apartments/Cumberland and Dwight</w:t>
            </w:r>
          </w:p>
        </w:tc>
        <w:tc>
          <w:tcPr>
            <w:tcW w:w="596" w:type="pct"/>
            <w:shd w:val="clear" w:color="auto" w:fill="auto"/>
            <w:vAlign w:val="center"/>
            <w:hideMark/>
          </w:tcPr>
          <w:p w14:paraId="7D2A109D"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51CC518B"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6611AB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64B84F2"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5ED903EC" w14:textId="77777777" w:rsidTr="00665586">
        <w:trPr>
          <w:trHeight w:val="240"/>
        </w:trPr>
        <w:tc>
          <w:tcPr>
            <w:tcW w:w="1326" w:type="pct"/>
            <w:shd w:val="clear" w:color="auto" w:fill="auto"/>
            <w:vAlign w:val="center"/>
            <w:hideMark/>
          </w:tcPr>
          <w:p w14:paraId="68ED72BB" w14:textId="77777777" w:rsidR="00665586" w:rsidRPr="0004176C" w:rsidRDefault="00665586" w:rsidP="00665586">
            <w:pPr>
              <w:jc w:val="center"/>
              <w:rPr>
                <w:color w:val="000000"/>
                <w:sz w:val="18"/>
                <w:szCs w:val="18"/>
              </w:rPr>
            </w:pPr>
            <w:r w:rsidRPr="0004176C">
              <w:rPr>
                <w:color w:val="000000"/>
                <w:sz w:val="18"/>
                <w:szCs w:val="18"/>
              </w:rPr>
              <w:t>Cutler Heights</w:t>
            </w:r>
          </w:p>
        </w:tc>
        <w:tc>
          <w:tcPr>
            <w:tcW w:w="596" w:type="pct"/>
            <w:shd w:val="clear" w:color="auto" w:fill="auto"/>
            <w:vAlign w:val="center"/>
            <w:hideMark/>
          </w:tcPr>
          <w:p w14:paraId="78575ED3" w14:textId="77777777" w:rsidR="00665586" w:rsidRPr="0004176C" w:rsidRDefault="00665586" w:rsidP="00665586">
            <w:pPr>
              <w:jc w:val="center"/>
              <w:rPr>
                <w:color w:val="000000"/>
                <w:sz w:val="18"/>
                <w:szCs w:val="18"/>
              </w:rPr>
            </w:pPr>
            <w:r w:rsidRPr="0004176C">
              <w:rPr>
                <w:color w:val="000000"/>
                <w:sz w:val="18"/>
                <w:szCs w:val="18"/>
              </w:rPr>
              <w:t>7</w:t>
            </w:r>
          </w:p>
        </w:tc>
        <w:tc>
          <w:tcPr>
            <w:tcW w:w="674" w:type="pct"/>
            <w:shd w:val="clear" w:color="auto" w:fill="auto"/>
            <w:vAlign w:val="center"/>
            <w:hideMark/>
          </w:tcPr>
          <w:p w14:paraId="4ADDBE43"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7D8E2B0"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67D4551"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0AC3F772" w14:textId="77777777" w:rsidTr="00665586">
        <w:trPr>
          <w:trHeight w:val="480"/>
        </w:trPr>
        <w:tc>
          <w:tcPr>
            <w:tcW w:w="1326" w:type="pct"/>
            <w:shd w:val="clear" w:color="auto" w:fill="auto"/>
            <w:vAlign w:val="center"/>
            <w:hideMark/>
          </w:tcPr>
          <w:p w14:paraId="46786A39" w14:textId="77777777" w:rsidR="00665586" w:rsidRPr="0004176C" w:rsidRDefault="00665586" w:rsidP="00665586">
            <w:pPr>
              <w:jc w:val="center"/>
              <w:rPr>
                <w:color w:val="000000"/>
                <w:sz w:val="18"/>
                <w:szCs w:val="18"/>
              </w:rPr>
            </w:pPr>
            <w:r w:rsidRPr="0004176C">
              <w:rPr>
                <w:color w:val="000000"/>
                <w:sz w:val="18"/>
                <w:szCs w:val="18"/>
              </w:rPr>
              <w:t>Dalton Apartments</w:t>
            </w:r>
          </w:p>
        </w:tc>
        <w:tc>
          <w:tcPr>
            <w:tcW w:w="596" w:type="pct"/>
            <w:shd w:val="clear" w:color="auto" w:fill="auto"/>
            <w:vAlign w:val="center"/>
            <w:hideMark/>
          </w:tcPr>
          <w:p w14:paraId="148FDF5B"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6E7866F2"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C12374B"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1E008F3" w14:textId="77777777" w:rsidR="00665586" w:rsidRPr="0004176C" w:rsidRDefault="00665586" w:rsidP="00665586">
            <w:pPr>
              <w:jc w:val="center"/>
              <w:rPr>
                <w:color w:val="000000"/>
                <w:sz w:val="18"/>
                <w:szCs w:val="18"/>
              </w:rPr>
            </w:pPr>
            <w:r w:rsidRPr="0004176C">
              <w:rPr>
                <w:color w:val="000000"/>
                <w:sz w:val="18"/>
                <w:szCs w:val="18"/>
              </w:rPr>
              <w:t>Family - Substantial rehab of existing multifamily housing; 11 separate buildings</w:t>
            </w:r>
          </w:p>
        </w:tc>
      </w:tr>
      <w:tr w:rsidR="00665586" w:rsidRPr="0004176C" w14:paraId="0C08F4ED" w14:textId="77777777" w:rsidTr="00665586">
        <w:trPr>
          <w:trHeight w:val="240"/>
        </w:trPr>
        <w:tc>
          <w:tcPr>
            <w:tcW w:w="1326" w:type="pct"/>
            <w:shd w:val="clear" w:color="auto" w:fill="auto"/>
            <w:vAlign w:val="center"/>
            <w:hideMark/>
          </w:tcPr>
          <w:p w14:paraId="1AF8877E" w14:textId="77777777" w:rsidR="00665586" w:rsidRPr="0004176C" w:rsidRDefault="00665586" w:rsidP="00665586">
            <w:pPr>
              <w:jc w:val="center"/>
              <w:rPr>
                <w:color w:val="000000"/>
                <w:sz w:val="18"/>
                <w:szCs w:val="18"/>
              </w:rPr>
            </w:pPr>
            <w:r w:rsidRPr="0004176C">
              <w:rPr>
                <w:color w:val="000000"/>
                <w:sz w:val="18"/>
                <w:szCs w:val="18"/>
              </w:rPr>
              <w:t>Depot Crossing</w:t>
            </w:r>
          </w:p>
        </w:tc>
        <w:tc>
          <w:tcPr>
            <w:tcW w:w="596" w:type="pct"/>
            <w:shd w:val="clear" w:color="auto" w:fill="auto"/>
            <w:vAlign w:val="center"/>
            <w:hideMark/>
          </w:tcPr>
          <w:p w14:paraId="4B72A449"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081565F8"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7F58401"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0D5FAF2"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235C0CC1" w14:textId="77777777" w:rsidTr="00665586">
        <w:trPr>
          <w:trHeight w:val="480"/>
        </w:trPr>
        <w:tc>
          <w:tcPr>
            <w:tcW w:w="1326" w:type="pct"/>
            <w:shd w:val="clear" w:color="auto" w:fill="auto"/>
            <w:vAlign w:val="center"/>
          </w:tcPr>
          <w:p w14:paraId="702B4B37" w14:textId="77777777" w:rsidR="00665586" w:rsidRPr="0004176C" w:rsidRDefault="00665586" w:rsidP="00665586">
            <w:pPr>
              <w:jc w:val="center"/>
              <w:rPr>
                <w:sz w:val="18"/>
                <w:szCs w:val="18"/>
              </w:rPr>
            </w:pPr>
            <w:r w:rsidRPr="0004176C">
              <w:rPr>
                <w:sz w:val="18"/>
                <w:szCs w:val="18"/>
              </w:rPr>
              <w:t xml:space="preserve">Depot Village I, </w:t>
            </w:r>
          </w:p>
          <w:p w14:paraId="4EA8E7DC" w14:textId="65DFD8A6" w:rsidR="00665586" w:rsidRPr="0004176C" w:rsidRDefault="00665586" w:rsidP="00665586">
            <w:pPr>
              <w:jc w:val="center"/>
              <w:rPr>
                <w:sz w:val="18"/>
                <w:szCs w:val="18"/>
              </w:rPr>
            </w:pPr>
            <w:r w:rsidRPr="0004176C">
              <w:rPr>
                <w:sz w:val="18"/>
                <w:szCs w:val="18"/>
              </w:rPr>
              <w:t>Hanson **</w:t>
            </w:r>
          </w:p>
        </w:tc>
        <w:tc>
          <w:tcPr>
            <w:tcW w:w="596" w:type="pct"/>
            <w:shd w:val="clear" w:color="auto" w:fill="auto"/>
            <w:vAlign w:val="center"/>
          </w:tcPr>
          <w:p w14:paraId="40D3D2DD" w14:textId="77777777" w:rsidR="00665586" w:rsidRPr="0004176C" w:rsidRDefault="00665586" w:rsidP="00665586">
            <w:pPr>
              <w:jc w:val="center"/>
              <w:rPr>
                <w:sz w:val="18"/>
                <w:szCs w:val="18"/>
              </w:rPr>
            </w:pPr>
            <w:r w:rsidRPr="0004176C">
              <w:rPr>
                <w:sz w:val="18"/>
                <w:szCs w:val="18"/>
              </w:rPr>
              <w:t>5</w:t>
            </w:r>
          </w:p>
        </w:tc>
        <w:tc>
          <w:tcPr>
            <w:tcW w:w="674" w:type="pct"/>
            <w:shd w:val="clear" w:color="auto" w:fill="auto"/>
            <w:vAlign w:val="center"/>
          </w:tcPr>
          <w:p w14:paraId="194D505D"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4610BEBA"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0B71AF3A" w14:textId="77777777" w:rsidR="00665586" w:rsidRPr="0004176C" w:rsidRDefault="00665586" w:rsidP="00665586">
            <w:pPr>
              <w:jc w:val="center"/>
              <w:rPr>
                <w:sz w:val="18"/>
                <w:szCs w:val="18"/>
              </w:rPr>
            </w:pPr>
            <w:r w:rsidRPr="0004176C">
              <w:rPr>
                <w:sz w:val="18"/>
                <w:szCs w:val="18"/>
              </w:rPr>
              <w:t>New Construction – Family Housing</w:t>
            </w:r>
          </w:p>
        </w:tc>
      </w:tr>
      <w:tr w:rsidR="00665586" w:rsidRPr="0004176C" w14:paraId="149C60A2" w14:textId="77777777" w:rsidTr="00665586">
        <w:trPr>
          <w:trHeight w:val="240"/>
        </w:trPr>
        <w:tc>
          <w:tcPr>
            <w:tcW w:w="1326" w:type="pct"/>
            <w:shd w:val="clear" w:color="auto" w:fill="auto"/>
            <w:vAlign w:val="center"/>
            <w:hideMark/>
          </w:tcPr>
          <w:p w14:paraId="1D6202EF" w14:textId="77777777" w:rsidR="00665586" w:rsidRPr="0004176C" w:rsidRDefault="00665586" w:rsidP="00665586">
            <w:pPr>
              <w:jc w:val="center"/>
              <w:rPr>
                <w:sz w:val="18"/>
                <w:szCs w:val="18"/>
              </w:rPr>
            </w:pPr>
            <w:r w:rsidRPr="0004176C">
              <w:rPr>
                <w:sz w:val="18"/>
                <w:szCs w:val="18"/>
              </w:rPr>
              <w:t>Doe House</w:t>
            </w:r>
          </w:p>
        </w:tc>
        <w:tc>
          <w:tcPr>
            <w:tcW w:w="596" w:type="pct"/>
            <w:shd w:val="clear" w:color="auto" w:fill="auto"/>
            <w:vAlign w:val="center"/>
            <w:hideMark/>
          </w:tcPr>
          <w:p w14:paraId="541754DA" w14:textId="77777777" w:rsidR="00665586" w:rsidRPr="0004176C" w:rsidRDefault="00665586" w:rsidP="00665586">
            <w:pPr>
              <w:jc w:val="center"/>
              <w:rPr>
                <w:sz w:val="18"/>
                <w:szCs w:val="18"/>
              </w:rPr>
            </w:pPr>
            <w:r w:rsidRPr="0004176C">
              <w:rPr>
                <w:sz w:val="18"/>
                <w:szCs w:val="18"/>
              </w:rPr>
              <w:t>5</w:t>
            </w:r>
          </w:p>
        </w:tc>
        <w:tc>
          <w:tcPr>
            <w:tcW w:w="674" w:type="pct"/>
            <w:shd w:val="clear" w:color="auto" w:fill="auto"/>
            <w:vAlign w:val="center"/>
            <w:hideMark/>
          </w:tcPr>
          <w:p w14:paraId="1E1F1AB8" w14:textId="77777777" w:rsidR="00665586" w:rsidRPr="0004176C" w:rsidRDefault="00665586" w:rsidP="00665586">
            <w:pPr>
              <w:jc w:val="center"/>
              <w:rPr>
                <w:sz w:val="18"/>
                <w:szCs w:val="18"/>
              </w:rPr>
            </w:pPr>
            <w:r w:rsidRPr="0004176C">
              <w:rPr>
                <w:sz w:val="18"/>
                <w:szCs w:val="18"/>
              </w:rPr>
              <w:t>Leased/Issued</w:t>
            </w:r>
          </w:p>
        </w:tc>
        <w:tc>
          <w:tcPr>
            <w:tcW w:w="627" w:type="pct"/>
            <w:shd w:val="clear" w:color="auto" w:fill="auto"/>
            <w:vAlign w:val="center"/>
            <w:hideMark/>
          </w:tcPr>
          <w:p w14:paraId="2A50D16C"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hideMark/>
          </w:tcPr>
          <w:p w14:paraId="797EE822" w14:textId="77777777" w:rsidR="00665586" w:rsidRPr="0004176C" w:rsidRDefault="00665586" w:rsidP="00665586">
            <w:pPr>
              <w:jc w:val="center"/>
              <w:rPr>
                <w:sz w:val="18"/>
                <w:szCs w:val="18"/>
              </w:rPr>
            </w:pPr>
            <w:r w:rsidRPr="0004176C">
              <w:rPr>
                <w:sz w:val="18"/>
                <w:szCs w:val="18"/>
              </w:rPr>
              <w:t>Units for homeless individuals</w:t>
            </w:r>
          </w:p>
        </w:tc>
      </w:tr>
      <w:tr w:rsidR="00665586" w:rsidRPr="0004176C" w14:paraId="0A669645" w14:textId="77777777" w:rsidTr="00665586">
        <w:trPr>
          <w:trHeight w:val="480"/>
        </w:trPr>
        <w:tc>
          <w:tcPr>
            <w:tcW w:w="1326" w:type="pct"/>
            <w:shd w:val="clear" w:color="auto" w:fill="auto"/>
            <w:vAlign w:val="center"/>
          </w:tcPr>
          <w:p w14:paraId="75094C60" w14:textId="77777777" w:rsidR="00665586" w:rsidRPr="0004176C" w:rsidRDefault="00665586" w:rsidP="00665586">
            <w:pPr>
              <w:jc w:val="center"/>
              <w:rPr>
                <w:sz w:val="18"/>
                <w:szCs w:val="18"/>
              </w:rPr>
            </w:pPr>
            <w:r w:rsidRPr="0004176C">
              <w:rPr>
                <w:sz w:val="18"/>
                <w:szCs w:val="18"/>
              </w:rPr>
              <w:t>Downing Square</w:t>
            </w:r>
          </w:p>
          <w:p w14:paraId="4E33D921" w14:textId="1BDF5469" w:rsidR="00665586" w:rsidRPr="0004176C" w:rsidRDefault="00665586" w:rsidP="00665586">
            <w:pPr>
              <w:jc w:val="center"/>
              <w:rPr>
                <w:sz w:val="18"/>
                <w:szCs w:val="18"/>
              </w:rPr>
            </w:pPr>
            <w:r w:rsidRPr="0004176C">
              <w:rPr>
                <w:sz w:val="18"/>
                <w:szCs w:val="18"/>
              </w:rPr>
              <w:t>Arlington **</w:t>
            </w:r>
          </w:p>
        </w:tc>
        <w:tc>
          <w:tcPr>
            <w:tcW w:w="596" w:type="pct"/>
            <w:shd w:val="clear" w:color="auto" w:fill="auto"/>
            <w:vAlign w:val="center"/>
          </w:tcPr>
          <w:p w14:paraId="361D9C42" w14:textId="77777777" w:rsidR="00665586" w:rsidRPr="0004176C" w:rsidRDefault="00665586" w:rsidP="00665586">
            <w:pPr>
              <w:jc w:val="center"/>
              <w:rPr>
                <w:sz w:val="18"/>
                <w:szCs w:val="18"/>
              </w:rPr>
            </w:pPr>
            <w:r w:rsidRPr="0004176C">
              <w:rPr>
                <w:sz w:val="18"/>
                <w:szCs w:val="18"/>
              </w:rPr>
              <w:t>3</w:t>
            </w:r>
          </w:p>
        </w:tc>
        <w:tc>
          <w:tcPr>
            <w:tcW w:w="674" w:type="pct"/>
            <w:shd w:val="clear" w:color="auto" w:fill="auto"/>
            <w:vAlign w:val="center"/>
          </w:tcPr>
          <w:p w14:paraId="29005E94"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0E391C00"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3FF3E35F" w14:textId="77777777" w:rsidR="00665586" w:rsidRPr="0004176C" w:rsidRDefault="00665586" w:rsidP="00665586">
            <w:pPr>
              <w:jc w:val="center"/>
              <w:rPr>
                <w:sz w:val="18"/>
                <w:szCs w:val="18"/>
              </w:rPr>
            </w:pPr>
            <w:r w:rsidRPr="0004176C">
              <w:rPr>
                <w:sz w:val="18"/>
                <w:szCs w:val="18"/>
              </w:rPr>
              <w:t>New Construction – Family Housing</w:t>
            </w:r>
          </w:p>
        </w:tc>
      </w:tr>
      <w:tr w:rsidR="00665586" w:rsidRPr="0004176C" w14:paraId="6117486A" w14:textId="77777777" w:rsidTr="00665586">
        <w:trPr>
          <w:trHeight w:val="480"/>
        </w:trPr>
        <w:tc>
          <w:tcPr>
            <w:tcW w:w="1326" w:type="pct"/>
            <w:shd w:val="clear" w:color="auto" w:fill="auto"/>
            <w:vAlign w:val="center"/>
            <w:hideMark/>
          </w:tcPr>
          <w:p w14:paraId="1C9F97FB" w14:textId="77777777" w:rsidR="00665586" w:rsidRPr="0004176C" w:rsidRDefault="00665586" w:rsidP="00665586">
            <w:pPr>
              <w:jc w:val="center"/>
              <w:rPr>
                <w:color w:val="000000"/>
                <w:sz w:val="18"/>
                <w:szCs w:val="18"/>
              </w:rPr>
            </w:pPr>
            <w:r w:rsidRPr="0004176C">
              <w:rPr>
                <w:color w:val="000000"/>
                <w:sz w:val="18"/>
                <w:szCs w:val="18"/>
              </w:rPr>
              <w:t>Duck Mill/Union Crossing Phase II</w:t>
            </w:r>
          </w:p>
        </w:tc>
        <w:tc>
          <w:tcPr>
            <w:tcW w:w="596" w:type="pct"/>
            <w:shd w:val="clear" w:color="auto" w:fill="auto"/>
            <w:vAlign w:val="center"/>
            <w:hideMark/>
          </w:tcPr>
          <w:p w14:paraId="31963387"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6A43967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DF10816"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2D00331" w14:textId="77777777" w:rsidR="00665586" w:rsidRPr="0004176C" w:rsidRDefault="00665586" w:rsidP="00665586">
            <w:pPr>
              <w:jc w:val="center"/>
              <w:rPr>
                <w:color w:val="000000"/>
                <w:sz w:val="18"/>
                <w:szCs w:val="18"/>
              </w:rPr>
            </w:pPr>
            <w:r w:rsidRPr="0004176C">
              <w:rPr>
                <w:color w:val="000000"/>
                <w:sz w:val="18"/>
                <w:szCs w:val="18"/>
              </w:rPr>
              <w:t>Family - Adaptive reuse of historic mill; PBVs serve 30% AMI families</w:t>
            </w:r>
          </w:p>
        </w:tc>
      </w:tr>
      <w:tr w:rsidR="00665586" w:rsidRPr="0004176C" w14:paraId="0E141FE0" w14:textId="77777777" w:rsidTr="00665586">
        <w:trPr>
          <w:trHeight w:val="240"/>
        </w:trPr>
        <w:tc>
          <w:tcPr>
            <w:tcW w:w="1326" w:type="pct"/>
            <w:shd w:val="clear" w:color="auto" w:fill="auto"/>
            <w:vAlign w:val="center"/>
            <w:hideMark/>
          </w:tcPr>
          <w:p w14:paraId="5541EDA3" w14:textId="77777777" w:rsidR="00665586" w:rsidRPr="0004176C" w:rsidRDefault="00665586" w:rsidP="00665586">
            <w:pPr>
              <w:jc w:val="center"/>
              <w:rPr>
                <w:color w:val="000000"/>
                <w:sz w:val="18"/>
                <w:szCs w:val="18"/>
              </w:rPr>
            </w:pPr>
            <w:r w:rsidRPr="0004176C">
              <w:rPr>
                <w:color w:val="000000"/>
                <w:sz w:val="18"/>
                <w:szCs w:val="18"/>
              </w:rPr>
              <w:t>Earle Street</w:t>
            </w:r>
          </w:p>
        </w:tc>
        <w:tc>
          <w:tcPr>
            <w:tcW w:w="596" w:type="pct"/>
            <w:shd w:val="clear" w:color="auto" w:fill="auto"/>
            <w:vAlign w:val="center"/>
            <w:hideMark/>
          </w:tcPr>
          <w:p w14:paraId="5D466BF7" w14:textId="77777777" w:rsidR="00665586" w:rsidRPr="0004176C" w:rsidRDefault="00665586" w:rsidP="00665586">
            <w:pPr>
              <w:jc w:val="center"/>
              <w:rPr>
                <w:color w:val="000000"/>
                <w:sz w:val="18"/>
                <w:szCs w:val="18"/>
              </w:rPr>
            </w:pPr>
            <w:r w:rsidRPr="0004176C">
              <w:rPr>
                <w:color w:val="000000"/>
                <w:sz w:val="18"/>
                <w:szCs w:val="18"/>
              </w:rPr>
              <w:t>15</w:t>
            </w:r>
          </w:p>
        </w:tc>
        <w:tc>
          <w:tcPr>
            <w:tcW w:w="674" w:type="pct"/>
            <w:shd w:val="clear" w:color="auto" w:fill="auto"/>
            <w:vAlign w:val="center"/>
            <w:hideMark/>
          </w:tcPr>
          <w:p w14:paraId="71A8D631"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52E127B"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387DC1E" w14:textId="77777777" w:rsidR="00665586" w:rsidRPr="0004176C" w:rsidRDefault="00665586" w:rsidP="00665586">
            <w:pPr>
              <w:jc w:val="center"/>
              <w:rPr>
                <w:color w:val="000000"/>
                <w:sz w:val="18"/>
                <w:szCs w:val="18"/>
              </w:rPr>
            </w:pPr>
            <w:r w:rsidRPr="0004176C">
              <w:rPr>
                <w:color w:val="000000"/>
                <w:sz w:val="18"/>
                <w:szCs w:val="18"/>
              </w:rPr>
              <w:t>Family units; supportive services</w:t>
            </w:r>
          </w:p>
        </w:tc>
      </w:tr>
      <w:tr w:rsidR="00665586" w:rsidRPr="0004176C" w14:paraId="49F702B6" w14:textId="77777777" w:rsidTr="00665586">
        <w:trPr>
          <w:trHeight w:val="480"/>
        </w:trPr>
        <w:tc>
          <w:tcPr>
            <w:tcW w:w="1326" w:type="pct"/>
            <w:shd w:val="clear" w:color="auto" w:fill="auto"/>
            <w:vAlign w:val="center"/>
            <w:hideMark/>
          </w:tcPr>
          <w:p w14:paraId="351797F6" w14:textId="77777777" w:rsidR="00665586" w:rsidRPr="0004176C" w:rsidRDefault="00665586" w:rsidP="00665586">
            <w:pPr>
              <w:jc w:val="center"/>
              <w:rPr>
                <w:color w:val="000000"/>
                <w:sz w:val="18"/>
                <w:szCs w:val="18"/>
              </w:rPr>
            </w:pPr>
            <w:r w:rsidRPr="0004176C">
              <w:rPr>
                <w:color w:val="000000"/>
                <w:sz w:val="18"/>
                <w:szCs w:val="18"/>
              </w:rPr>
              <w:t>East Howard Street/Veterans Housing</w:t>
            </w:r>
          </w:p>
        </w:tc>
        <w:tc>
          <w:tcPr>
            <w:tcW w:w="596" w:type="pct"/>
            <w:shd w:val="clear" w:color="auto" w:fill="auto"/>
            <w:vAlign w:val="center"/>
            <w:hideMark/>
          </w:tcPr>
          <w:p w14:paraId="652D8C0F"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1F631788"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78A8E7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987CE02" w14:textId="77777777" w:rsidR="00665586" w:rsidRPr="0004176C" w:rsidRDefault="00665586" w:rsidP="00665586">
            <w:pPr>
              <w:jc w:val="center"/>
              <w:rPr>
                <w:color w:val="000000"/>
                <w:sz w:val="18"/>
                <w:szCs w:val="18"/>
              </w:rPr>
            </w:pPr>
            <w:r w:rsidRPr="0004176C">
              <w:rPr>
                <w:color w:val="000000"/>
                <w:sz w:val="18"/>
                <w:szCs w:val="18"/>
              </w:rPr>
              <w:t>Supportive Housing - Veterans preference; new construction, one building</w:t>
            </w:r>
          </w:p>
        </w:tc>
      </w:tr>
      <w:tr w:rsidR="00665586" w:rsidRPr="0004176C" w14:paraId="42220F12" w14:textId="77777777" w:rsidTr="00665586">
        <w:trPr>
          <w:trHeight w:val="480"/>
        </w:trPr>
        <w:tc>
          <w:tcPr>
            <w:tcW w:w="1326" w:type="pct"/>
            <w:shd w:val="clear" w:color="auto" w:fill="auto"/>
            <w:vAlign w:val="center"/>
            <w:hideMark/>
          </w:tcPr>
          <w:p w14:paraId="242FCDBF" w14:textId="77777777" w:rsidR="00665586" w:rsidRPr="0004176C" w:rsidRDefault="00665586" w:rsidP="00665586">
            <w:pPr>
              <w:jc w:val="center"/>
              <w:rPr>
                <w:color w:val="000000"/>
                <w:sz w:val="18"/>
                <w:szCs w:val="18"/>
              </w:rPr>
            </w:pPr>
            <w:r w:rsidRPr="0004176C">
              <w:rPr>
                <w:color w:val="000000"/>
                <w:sz w:val="18"/>
                <w:szCs w:val="18"/>
              </w:rPr>
              <w:t>Edmands House</w:t>
            </w:r>
          </w:p>
        </w:tc>
        <w:tc>
          <w:tcPr>
            <w:tcW w:w="596" w:type="pct"/>
            <w:shd w:val="clear" w:color="auto" w:fill="auto"/>
            <w:vAlign w:val="center"/>
            <w:hideMark/>
          </w:tcPr>
          <w:p w14:paraId="58F4D2C1" w14:textId="77777777" w:rsidR="00665586" w:rsidRPr="0004176C" w:rsidRDefault="00665586" w:rsidP="00665586">
            <w:pPr>
              <w:jc w:val="center"/>
              <w:rPr>
                <w:color w:val="000000"/>
                <w:sz w:val="18"/>
                <w:szCs w:val="18"/>
              </w:rPr>
            </w:pPr>
            <w:r w:rsidRPr="0004176C">
              <w:rPr>
                <w:color w:val="000000"/>
                <w:sz w:val="18"/>
                <w:szCs w:val="18"/>
              </w:rPr>
              <w:t>59</w:t>
            </w:r>
          </w:p>
        </w:tc>
        <w:tc>
          <w:tcPr>
            <w:tcW w:w="674" w:type="pct"/>
            <w:shd w:val="clear" w:color="auto" w:fill="auto"/>
            <w:vAlign w:val="center"/>
            <w:hideMark/>
          </w:tcPr>
          <w:p w14:paraId="4346230F"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4BBD455"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4CDB192" w14:textId="77777777" w:rsidR="00665586" w:rsidRPr="0004176C" w:rsidRDefault="00665586" w:rsidP="00665586">
            <w:pPr>
              <w:jc w:val="center"/>
              <w:rPr>
                <w:color w:val="000000"/>
                <w:sz w:val="18"/>
                <w:szCs w:val="18"/>
              </w:rPr>
            </w:pPr>
            <w:r w:rsidRPr="0004176C">
              <w:rPr>
                <w:color w:val="000000"/>
                <w:sz w:val="18"/>
                <w:szCs w:val="18"/>
              </w:rPr>
              <w:t>Expiring Use Project - Family - 59 out of 68 EVs converted to PBVs</w:t>
            </w:r>
          </w:p>
        </w:tc>
      </w:tr>
      <w:tr w:rsidR="00665586" w:rsidRPr="0004176C" w14:paraId="56AC2458" w14:textId="77777777" w:rsidTr="00665586">
        <w:trPr>
          <w:trHeight w:val="240"/>
        </w:trPr>
        <w:tc>
          <w:tcPr>
            <w:tcW w:w="1326" w:type="pct"/>
            <w:shd w:val="clear" w:color="auto" w:fill="auto"/>
            <w:vAlign w:val="center"/>
            <w:hideMark/>
          </w:tcPr>
          <w:p w14:paraId="2FA907FF" w14:textId="77777777" w:rsidR="00665586" w:rsidRPr="0004176C" w:rsidRDefault="00665586" w:rsidP="00665586">
            <w:pPr>
              <w:jc w:val="center"/>
              <w:rPr>
                <w:color w:val="000000"/>
                <w:sz w:val="18"/>
                <w:szCs w:val="18"/>
              </w:rPr>
            </w:pPr>
            <w:r w:rsidRPr="0004176C">
              <w:rPr>
                <w:color w:val="000000"/>
                <w:sz w:val="18"/>
                <w:szCs w:val="18"/>
              </w:rPr>
              <w:t>Familias Unidas</w:t>
            </w:r>
          </w:p>
        </w:tc>
        <w:tc>
          <w:tcPr>
            <w:tcW w:w="596" w:type="pct"/>
            <w:shd w:val="clear" w:color="auto" w:fill="auto"/>
            <w:vAlign w:val="center"/>
            <w:hideMark/>
          </w:tcPr>
          <w:p w14:paraId="02A48F0B"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E103E75"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03907D1"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6EDAA54" w14:textId="77777777" w:rsidR="00665586" w:rsidRPr="0004176C" w:rsidRDefault="00665586" w:rsidP="00665586">
            <w:pPr>
              <w:jc w:val="center"/>
              <w:rPr>
                <w:color w:val="000000"/>
                <w:sz w:val="18"/>
                <w:szCs w:val="18"/>
              </w:rPr>
            </w:pPr>
            <w:r w:rsidRPr="0004176C">
              <w:rPr>
                <w:color w:val="000000"/>
                <w:sz w:val="18"/>
                <w:szCs w:val="18"/>
              </w:rPr>
              <w:t>Supportive services</w:t>
            </w:r>
          </w:p>
        </w:tc>
      </w:tr>
      <w:tr w:rsidR="00665586" w:rsidRPr="0004176C" w14:paraId="50AC8640" w14:textId="77777777" w:rsidTr="00665586">
        <w:trPr>
          <w:trHeight w:val="240"/>
        </w:trPr>
        <w:tc>
          <w:tcPr>
            <w:tcW w:w="1326" w:type="pct"/>
            <w:shd w:val="clear" w:color="auto" w:fill="auto"/>
            <w:vAlign w:val="center"/>
            <w:hideMark/>
          </w:tcPr>
          <w:p w14:paraId="24FB16EB" w14:textId="77777777" w:rsidR="00665586" w:rsidRPr="0004176C" w:rsidRDefault="00665586" w:rsidP="00665586">
            <w:pPr>
              <w:jc w:val="center"/>
              <w:rPr>
                <w:color w:val="000000"/>
                <w:sz w:val="18"/>
                <w:szCs w:val="18"/>
              </w:rPr>
            </w:pPr>
            <w:r w:rsidRPr="0004176C">
              <w:rPr>
                <w:color w:val="000000"/>
                <w:sz w:val="18"/>
                <w:szCs w:val="18"/>
              </w:rPr>
              <w:t>Fina House</w:t>
            </w:r>
          </w:p>
        </w:tc>
        <w:tc>
          <w:tcPr>
            <w:tcW w:w="596" w:type="pct"/>
            <w:shd w:val="clear" w:color="auto" w:fill="auto"/>
            <w:vAlign w:val="center"/>
            <w:hideMark/>
          </w:tcPr>
          <w:p w14:paraId="4FAAEBC5" w14:textId="77777777" w:rsidR="00665586" w:rsidRPr="0004176C" w:rsidRDefault="00665586" w:rsidP="00665586">
            <w:pPr>
              <w:jc w:val="center"/>
              <w:rPr>
                <w:color w:val="000000"/>
                <w:sz w:val="18"/>
                <w:szCs w:val="18"/>
              </w:rPr>
            </w:pPr>
            <w:r w:rsidRPr="0004176C">
              <w:rPr>
                <w:color w:val="000000"/>
                <w:sz w:val="18"/>
                <w:szCs w:val="18"/>
              </w:rPr>
              <w:t>7</w:t>
            </w:r>
          </w:p>
        </w:tc>
        <w:tc>
          <w:tcPr>
            <w:tcW w:w="674" w:type="pct"/>
            <w:shd w:val="clear" w:color="auto" w:fill="auto"/>
            <w:vAlign w:val="center"/>
            <w:hideMark/>
          </w:tcPr>
          <w:p w14:paraId="6B23B975"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48EB5F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1E887C0"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6CDC704A" w14:textId="77777777" w:rsidTr="00665586">
        <w:trPr>
          <w:trHeight w:val="240"/>
        </w:trPr>
        <w:tc>
          <w:tcPr>
            <w:tcW w:w="1326" w:type="pct"/>
            <w:shd w:val="clear" w:color="auto" w:fill="auto"/>
            <w:vAlign w:val="center"/>
            <w:hideMark/>
          </w:tcPr>
          <w:p w14:paraId="05A71342" w14:textId="77777777" w:rsidR="00665586" w:rsidRPr="0004176C" w:rsidRDefault="00665586" w:rsidP="00665586">
            <w:pPr>
              <w:jc w:val="center"/>
              <w:rPr>
                <w:color w:val="000000"/>
                <w:sz w:val="18"/>
                <w:szCs w:val="18"/>
              </w:rPr>
            </w:pPr>
            <w:r w:rsidRPr="0004176C">
              <w:rPr>
                <w:color w:val="000000"/>
                <w:sz w:val="18"/>
                <w:szCs w:val="18"/>
              </w:rPr>
              <w:t>Firehouse Place</w:t>
            </w:r>
          </w:p>
        </w:tc>
        <w:tc>
          <w:tcPr>
            <w:tcW w:w="596" w:type="pct"/>
            <w:shd w:val="clear" w:color="auto" w:fill="auto"/>
            <w:vAlign w:val="center"/>
            <w:hideMark/>
          </w:tcPr>
          <w:p w14:paraId="759A7276"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41260E81"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C074B98"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EEBF329"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35BC099D" w14:textId="77777777" w:rsidTr="00665586">
        <w:trPr>
          <w:trHeight w:val="480"/>
        </w:trPr>
        <w:tc>
          <w:tcPr>
            <w:tcW w:w="1326" w:type="pct"/>
            <w:shd w:val="clear" w:color="auto" w:fill="auto"/>
            <w:vAlign w:val="center"/>
            <w:hideMark/>
          </w:tcPr>
          <w:p w14:paraId="5FCCC596" w14:textId="77777777" w:rsidR="00665586" w:rsidRPr="0004176C" w:rsidRDefault="00665586" w:rsidP="00665586">
            <w:pPr>
              <w:jc w:val="center"/>
              <w:rPr>
                <w:color w:val="000000"/>
                <w:sz w:val="18"/>
                <w:szCs w:val="18"/>
              </w:rPr>
            </w:pPr>
            <w:r w:rsidRPr="0004176C">
              <w:rPr>
                <w:color w:val="000000"/>
                <w:sz w:val="18"/>
                <w:szCs w:val="18"/>
              </w:rPr>
              <w:t>First Lowell</w:t>
            </w:r>
          </w:p>
        </w:tc>
        <w:tc>
          <w:tcPr>
            <w:tcW w:w="596" w:type="pct"/>
            <w:shd w:val="clear" w:color="auto" w:fill="auto"/>
            <w:vAlign w:val="center"/>
            <w:hideMark/>
          </w:tcPr>
          <w:p w14:paraId="4DC4EB53" w14:textId="77777777" w:rsidR="00665586" w:rsidRPr="0004176C" w:rsidRDefault="00665586" w:rsidP="00665586">
            <w:pPr>
              <w:jc w:val="center"/>
              <w:rPr>
                <w:color w:val="000000"/>
                <w:sz w:val="18"/>
                <w:szCs w:val="18"/>
              </w:rPr>
            </w:pPr>
            <w:r w:rsidRPr="0004176C">
              <w:rPr>
                <w:color w:val="000000"/>
                <w:sz w:val="18"/>
                <w:szCs w:val="18"/>
              </w:rPr>
              <w:t>30</w:t>
            </w:r>
          </w:p>
        </w:tc>
        <w:tc>
          <w:tcPr>
            <w:tcW w:w="674" w:type="pct"/>
            <w:shd w:val="clear" w:color="auto" w:fill="auto"/>
            <w:vAlign w:val="center"/>
            <w:hideMark/>
          </w:tcPr>
          <w:p w14:paraId="1684B535"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C2874D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7182E7C" w14:textId="77777777" w:rsidR="00665586" w:rsidRPr="0004176C" w:rsidRDefault="00665586" w:rsidP="00665586">
            <w:pPr>
              <w:jc w:val="center"/>
              <w:rPr>
                <w:color w:val="000000"/>
                <w:sz w:val="18"/>
                <w:szCs w:val="18"/>
              </w:rPr>
            </w:pPr>
            <w:r w:rsidRPr="0004176C">
              <w:rPr>
                <w:color w:val="000000"/>
                <w:sz w:val="18"/>
                <w:szCs w:val="18"/>
              </w:rPr>
              <w:t>Expiring Use Project - Family - 30 out of 37 EVs converted to PBVs</w:t>
            </w:r>
          </w:p>
        </w:tc>
      </w:tr>
      <w:tr w:rsidR="00665586" w:rsidRPr="0004176C" w14:paraId="5598DA31" w14:textId="77777777" w:rsidTr="00665586">
        <w:trPr>
          <w:trHeight w:val="240"/>
        </w:trPr>
        <w:tc>
          <w:tcPr>
            <w:tcW w:w="1326" w:type="pct"/>
            <w:shd w:val="clear" w:color="auto" w:fill="auto"/>
            <w:vAlign w:val="center"/>
            <w:hideMark/>
          </w:tcPr>
          <w:p w14:paraId="09C99937" w14:textId="77777777" w:rsidR="00665586" w:rsidRPr="0004176C" w:rsidRDefault="00665586" w:rsidP="00665586">
            <w:pPr>
              <w:jc w:val="center"/>
              <w:rPr>
                <w:color w:val="000000"/>
                <w:sz w:val="18"/>
                <w:szCs w:val="18"/>
              </w:rPr>
            </w:pPr>
            <w:r w:rsidRPr="0004176C">
              <w:rPr>
                <w:color w:val="000000"/>
                <w:sz w:val="18"/>
                <w:szCs w:val="18"/>
              </w:rPr>
              <w:t>Fitchburg Place</w:t>
            </w:r>
          </w:p>
        </w:tc>
        <w:tc>
          <w:tcPr>
            <w:tcW w:w="596" w:type="pct"/>
            <w:shd w:val="clear" w:color="auto" w:fill="auto"/>
            <w:vAlign w:val="center"/>
            <w:hideMark/>
          </w:tcPr>
          <w:p w14:paraId="160789E8"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A42423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AF386B6"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B83AD37"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0E0F5E0E" w14:textId="77777777" w:rsidTr="00665586">
        <w:trPr>
          <w:trHeight w:val="240"/>
        </w:trPr>
        <w:tc>
          <w:tcPr>
            <w:tcW w:w="1326" w:type="pct"/>
            <w:shd w:val="clear" w:color="auto" w:fill="auto"/>
            <w:vAlign w:val="center"/>
            <w:hideMark/>
          </w:tcPr>
          <w:p w14:paraId="63F76104" w14:textId="77777777" w:rsidR="00665586" w:rsidRPr="0004176C" w:rsidRDefault="00665586" w:rsidP="00665586">
            <w:pPr>
              <w:jc w:val="center"/>
              <w:rPr>
                <w:color w:val="000000"/>
                <w:sz w:val="18"/>
                <w:szCs w:val="18"/>
              </w:rPr>
            </w:pPr>
            <w:r w:rsidRPr="0004176C">
              <w:rPr>
                <w:color w:val="000000"/>
                <w:sz w:val="18"/>
                <w:szCs w:val="18"/>
              </w:rPr>
              <w:t>Fitchburg Yarn Mill</w:t>
            </w:r>
          </w:p>
        </w:tc>
        <w:tc>
          <w:tcPr>
            <w:tcW w:w="596" w:type="pct"/>
            <w:shd w:val="clear" w:color="auto" w:fill="auto"/>
            <w:vAlign w:val="center"/>
            <w:hideMark/>
          </w:tcPr>
          <w:p w14:paraId="2451C0C7"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6F5D6277"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C9756B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4E631C1"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0F95053C" w14:textId="77777777" w:rsidTr="00665586">
        <w:trPr>
          <w:trHeight w:val="240"/>
        </w:trPr>
        <w:tc>
          <w:tcPr>
            <w:tcW w:w="1326" w:type="pct"/>
            <w:shd w:val="clear" w:color="auto" w:fill="auto"/>
            <w:vAlign w:val="center"/>
            <w:hideMark/>
          </w:tcPr>
          <w:p w14:paraId="7E98079D" w14:textId="77777777" w:rsidR="00665586" w:rsidRPr="0004176C" w:rsidRDefault="00665586" w:rsidP="00665586">
            <w:pPr>
              <w:jc w:val="center"/>
              <w:rPr>
                <w:color w:val="000000"/>
                <w:sz w:val="18"/>
                <w:szCs w:val="18"/>
              </w:rPr>
            </w:pPr>
            <w:r w:rsidRPr="0004176C">
              <w:rPr>
                <w:color w:val="000000"/>
                <w:sz w:val="18"/>
                <w:szCs w:val="18"/>
              </w:rPr>
              <w:t>Forest Springs, Great Barrington</w:t>
            </w:r>
          </w:p>
        </w:tc>
        <w:tc>
          <w:tcPr>
            <w:tcW w:w="596" w:type="pct"/>
            <w:shd w:val="clear" w:color="auto" w:fill="auto"/>
            <w:vAlign w:val="center"/>
            <w:hideMark/>
          </w:tcPr>
          <w:p w14:paraId="29690BA5" w14:textId="77777777" w:rsidR="00665586" w:rsidRPr="0004176C" w:rsidRDefault="00665586" w:rsidP="00665586">
            <w:pPr>
              <w:jc w:val="center"/>
              <w:rPr>
                <w:color w:val="000000"/>
                <w:sz w:val="18"/>
                <w:szCs w:val="18"/>
              </w:rPr>
            </w:pPr>
            <w:r w:rsidRPr="0004176C">
              <w:rPr>
                <w:color w:val="000000"/>
                <w:sz w:val="18"/>
                <w:szCs w:val="18"/>
              </w:rPr>
              <w:t>5</w:t>
            </w:r>
          </w:p>
        </w:tc>
        <w:tc>
          <w:tcPr>
            <w:tcW w:w="674" w:type="pct"/>
            <w:shd w:val="clear" w:color="auto" w:fill="auto"/>
            <w:vAlign w:val="center"/>
            <w:hideMark/>
          </w:tcPr>
          <w:p w14:paraId="3DF08B4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01C6143"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BCC16D6" w14:textId="30C91355" w:rsidR="00665586" w:rsidRPr="0004176C" w:rsidRDefault="00665586" w:rsidP="00665586">
            <w:pPr>
              <w:jc w:val="center"/>
              <w:rPr>
                <w:color w:val="000000"/>
                <w:sz w:val="18"/>
                <w:szCs w:val="18"/>
              </w:rPr>
            </w:pPr>
            <w:r w:rsidRPr="0004176C">
              <w:rPr>
                <w:color w:val="000000"/>
                <w:sz w:val="18"/>
                <w:szCs w:val="18"/>
              </w:rPr>
              <w:t>Family - New construction</w:t>
            </w:r>
          </w:p>
        </w:tc>
      </w:tr>
      <w:tr w:rsidR="00665586" w:rsidRPr="0004176C" w14:paraId="2E78E0CB" w14:textId="77777777" w:rsidTr="00665586">
        <w:trPr>
          <w:trHeight w:val="240"/>
        </w:trPr>
        <w:tc>
          <w:tcPr>
            <w:tcW w:w="1326" w:type="pct"/>
            <w:shd w:val="clear" w:color="auto" w:fill="auto"/>
            <w:vAlign w:val="center"/>
            <w:hideMark/>
          </w:tcPr>
          <w:p w14:paraId="62F67B14" w14:textId="77777777" w:rsidR="00665586" w:rsidRPr="0004176C" w:rsidRDefault="00665586" w:rsidP="00665586">
            <w:pPr>
              <w:jc w:val="center"/>
              <w:rPr>
                <w:color w:val="000000"/>
                <w:sz w:val="18"/>
                <w:szCs w:val="18"/>
              </w:rPr>
            </w:pPr>
            <w:r w:rsidRPr="0004176C">
              <w:rPr>
                <w:color w:val="000000"/>
                <w:sz w:val="18"/>
                <w:szCs w:val="18"/>
              </w:rPr>
              <w:t>Founders Court/979 Falmouth Road</w:t>
            </w:r>
          </w:p>
        </w:tc>
        <w:tc>
          <w:tcPr>
            <w:tcW w:w="596" w:type="pct"/>
            <w:shd w:val="clear" w:color="auto" w:fill="auto"/>
            <w:vAlign w:val="center"/>
            <w:hideMark/>
          </w:tcPr>
          <w:p w14:paraId="24DC9585" w14:textId="77777777" w:rsidR="00665586" w:rsidRPr="0004176C" w:rsidRDefault="00665586" w:rsidP="00665586">
            <w:pPr>
              <w:jc w:val="center"/>
              <w:rPr>
                <w:color w:val="000000"/>
                <w:sz w:val="18"/>
                <w:szCs w:val="18"/>
              </w:rPr>
            </w:pPr>
            <w:r w:rsidRPr="0004176C">
              <w:rPr>
                <w:color w:val="000000"/>
                <w:sz w:val="18"/>
                <w:szCs w:val="18"/>
              </w:rPr>
              <w:t>2</w:t>
            </w:r>
          </w:p>
        </w:tc>
        <w:tc>
          <w:tcPr>
            <w:tcW w:w="674" w:type="pct"/>
            <w:shd w:val="clear" w:color="auto" w:fill="auto"/>
            <w:vAlign w:val="center"/>
            <w:hideMark/>
          </w:tcPr>
          <w:p w14:paraId="3D60CE55"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5D86380"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96E106D"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5637FB02" w14:textId="77777777" w:rsidTr="00665586">
        <w:trPr>
          <w:trHeight w:val="480"/>
        </w:trPr>
        <w:tc>
          <w:tcPr>
            <w:tcW w:w="1326" w:type="pct"/>
            <w:shd w:val="clear" w:color="auto" w:fill="auto"/>
            <w:vAlign w:val="center"/>
            <w:hideMark/>
          </w:tcPr>
          <w:p w14:paraId="6E549240" w14:textId="77777777" w:rsidR="00665586" w:rsidRPr="0004176C" w:rsidRDefault="00665586" w:rsidP="00665586">
            <w:pPr>
              <w:jc w:val="center"/>
              <w:rPr>
                <w:color w:val="000000"/>
                <w:sz w:val="18"/>
                <w:szCs w:val="18"/>
              </w:rPr>
            </w:pPr>
            <w:r w:rsidRPr="0004176C">
              <w:rPr>
                <w:color w:val="000000"/>
                <w:sz w:val="18"/>
                <w:szCs w:val="18"/>
              </w:rPr>
              <w:t>Four Addresses in Arlington/Summer Broadway Bow Webster</w:t>
            </w:r>
          </w:p>
        </w:tc>
        <w:tc>
          <w:tcPr>
            <w:tcW w:w="596" w:type="pct"/>
            <w:shd w:val="clear" w:color="auto" w:fill="auto"/>
            <w:vAlign w:val="center"/>
            <w:hideMark/>
          </w:tcPr>
          <w:p w14:paraId="3D7B9E88"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4A7D95DB"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EEAD337"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1B5CAF6" w14:textId="77777777" w:rsidR="00665586" w:rsidRPr="0004176C" w:rsidRDefault="00665586" w:rsidP="00665586">
            <w:pPr>
              <w:jc w:val="center"/>
              <w:rPr>
                <w:color w:val="000000"/>
                <w:sz w:val="18"/>
                <w:szCs w:val="18"/>
              </w:rPr>
            </w:pPr>
            <w:r w:rsidRPr="0004176C">
              <w:rPr>
                <w:color w:val="000000"/>
                <w:sz w:val="18"/>
                <w:szCs w:val="18"/>
              </w:rPr>
              <w:t>Family units; 29 Bow Street, 288B Summer Street, 77 Webster Street, 222 Broadway</w:t>
            </w:r>
          </w:p>
        </w:tc>
      </w:tr>
      <w:tr w:rsidR="00665586" w:rsidRPr="0004176C" w14:paraId="3EA7102D" w14:textId="77777777" w:rsidTr="00665586">
        <w:trPr>
          <w:trHeight w:val="480"/>
        </w:trPr>
        <w:tc>
          <w:tcPr>
            <w:tcW w:w="1326" w:type="pct"/>
            <w:shd w:val="clear" w:color="auto" w:fill="auto"/>
            <w:vAlign w:val="center"/>
          </w:tcPr>
          <w:p w14:paraId="1AD4BACF" w14:textId="478BAEB4" w:rsidR="00665586" w:rsidRPr="0004176C" w:rsidRDefault="00665586" w:rsidP="00665586">
            <w:pPr>
              <w:jc w:val="center"/>
              <w:rPr>
                <w:sz w:val="18"/>
                <w:szCs w:val="18"/>
              </w:rPr>
            </w:pPr>
            <w:r w:rsidRPr="0004176C">
              <w:rPr>
                <w:sz w:val="18"/>
                <w:szCs w:val="18"/>
              </w:rPr>
              <w:t>Four Corners Plaza,</w:t>
            </w:r>
          </w:p>
          <w:p w14:paraId="3CA56C0B" w14:textId="27D49D2D" w:rsidR="00665586" w:rsidRPr="0004176C" w:rsidRDefault="00665586" w:rsidP="00665586">
            <w:pPr>
              <w:jc w:val="center"/>
              <w:rPr>
                <w:sz w:val="18"/>
                <w:szCs w:val="18"/>
              </w:rPr>
            </w:pPr>
            <w:r w:rsidRPr="0004176C">
              <w:rPr>
                <w:sz w:val="18"/>
                <w:szCs w:val="18"/>
              </w:rPr>
              <w:t>Boston **</w:t>
            </w:r>
          </w:p>
        </w:tc>
        <w:tc>
          <w:tcPr>
            <w:tcW w:w="596" w:type="pct"/>
            <w:shd w:val="clear" w:color="auto" w:fill="auto"/>
            <w:vAlign w:val="center"/>
          </w:tcPr>
          <w:p w14:paraId="312EC68D"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6A83DFEB"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60322C43"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7FD8E3C6" w14:textId="77777777" w:rsidR="00665586" w:rsidRPr="0004176C" w:rsidRDefault="00665586" w:rsidP="00665586">
            <w:pPr>
              <w:jc w:val="center"/>
              <w:rPr>
                <w:sz w:val="18"/>
                <w:szCs w:val="18"/>
              </w:rPr>
            </w:pPr>
            <w:r w:rsidRPr="0004176C">
              <w:rPr>
                <w:sz w:val="18"/>
                <w:szCs w:val="18"/>
              </w:rPr>
              <w:t>New Construction – Family Housing</w:t>
            </w:r>
          </w:p>
        </w:tc>
      </w:tr>
      <w:tr w:rsidR="00665586" w:rsidRPr="0004176C" w14:paraId="5CA5B54D" w14:textId="77777777" w:rsidTr="00665586">
        <w:trPr>
          <w:trHeight w:val="240"/>
        </w:trPr>
        <w:tc>
          <w:tcPr>
            <w:tcW w:w="1326" w:type="pct"/>
            <w:shd w:val="clear" w:color="auto" w:fill="auto"/>
            <w:vAlign w:val="center"/>
            <w:hideMark/>
          </w:tcPr>
          <w:p w14:paraId="2A2461E5" w14:textId="77777777" w:rsidR="00665586" w:rsidRPr="0004176C" w:rsidRDefault="00665586" w:rsidP="00665586">
            <w:pPr>
              <w:jc w:val="center"/>
              <w:rPr>
                <w:color w:val="000000"/>
                <w:sz w:val="18"/>
                <w:szCs w:val="18"/>
              </w:rPr>
            </w:pPr>
            <w:r w:rsidRPr="0004176C">
              <w:rPr>
                <w:color w:val="000000"/>
                <w:sz w:val="18"/>
                <w:szCs w:val="18"/>
              </w:rPr>
              <w:t>Freedom Village</w:t>
            </w:r>
          </w:p>
        </w:tc>
        <w:tc>
          <w:tcPr>
            <w:tcW w:w="596" w:type="pct"/>
            <w:shd w:val="clear" w:color="auto" w:fill="auto"/>
            <w:vAlign w:val="center"/>
            <w:hideMark/>
          </w:tcPr>
          <w:p w14:paraId="50CC55F9" w14:textId="77777777" w:rsidR="00665586" w:rsidRPr="0004176C" w:rsidRDefault="00665586" w:rsidP="00665586">
            <w:pPr>
              <w:jc w:val="center"/>
              <w:rPr>
                <w:color w:val="000000"/>
                <w:sz w:val="18"/>
                <w:szCs w:val="18"/>
              </w:rPr>
            </w:pPr>
            <w:r w:rsidRPr="0004176C">
              <w:rPr>
                <w:color w:val="000000"/>
                <w:sz w:val="18"/>
                <w:szCs w:val="18"/>
              </w:rPr>
              <w:t>6</w:t>
            </w:r>
          </w:p>
        </w:tc>
        <w:tc>
          <w:tcPr>
            <w:tcW w:w="674" w:type="pct"/>
            <w:shd w:val="clear" w:color="auto" w:fill="auto"/>
            <w:vAlign w:val="center"/>
            <w:hideMark/>
          </w:tcPr>
          <w:p w14:paraId="4A0B0BBF"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4CE7382"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F3202E4"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1CA2C3A4" w14:textId="77777777" w:rsidTr="00665586">
        <w:trPr>
          <w:trHeight w:val="240"/>
        </w:trPr>
        <w:tc>
          <w:tcPr>
            <w:tcW w:w="1326" w:type="pct"/>
            <w:shd w:val="clear" w:color="auto" w:fill="auto"/>
            <w:vAlign w:val="center"/>
            <w:hideMark/>
          </w:tcPr>
          <w:p w14:paraId="5C2927F5" w14:textId="1170AE5A" w:rsidR="00665586" w:rsidRPr="0004176C" w:rsidRDefault="00665586" w:rsidP="00665586">
            <w:pPr>
              <w:jc w:val="center"/>
              <w:rPr>
                <w:color w:val="000000"/>
                <w:sz w:val="18"/>
                <w:szCs w:val="18"/>
              </w:rPr>
            </w:pPr>
            <w:r w:rsidRPr="0004176C">
              <w:rPr>
                <w:color w:val="000000"/>
                <w:sz w:val="18"/>
                <w:szCs w:val="18"/>
              </w:rPr>
              <w:t>Gateway Residences on Washington</w:t>
            </w:r>
            <w:r w:rsidR="001D0505" w:rsidRPr="0004176C">
              <w:rPr>
                <w:color w:val="000000"/>
                <w:sz w:val="18"/>
                <w:szCs w:val="18"/>
              </w:rPr>
              <w:t>*</w:t>
            </w:r>
          </w:p>
        </w:tc>
        <w:tc>
          <w:tcPr>
            <w:tcW w:w="596" w:type="pct"/>
            <w:shd w:val="clear" w:color="auto" w:fill="auto"/>
            <w:vAlign w:val="center"/>
            <w:hideMark/>
          </w:tcPr>
          <w:p w14:paraId="31EECBCE"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10D6398" w14:textId="77777777" w:rsidR="00665586" w:rsidRPr="0004176C" w:rsidRDefault="00665586" w:rsidP="00665586">
            <w:pPr>
              <w:jc w:val="center"/>
              <w:rPr>
                <w:color w:val="000000"/>
                <w:sz w:val="18"/>
                <w:szCs w:val="18"/>
              </w:rPr>
            </w:pPr>
            <w:r w:rsidRPr="0004176C">
              <w:rPr>
                <w:color w:val="000000"/>
                <w:sz w:val="18"/>
                <w:szCs w:val="18"/>
              </w:rPr>
              <w:t>Committed</w:t>
            </w:r>
          </w:p>
        </w:tc>
        <w:tc>
          <w:tcPr>
            <w:tcW w:w="627" w:type="pct"/>
            <w:shd w:val="clear" w:color="auto" w:fill="auto"/>
            <w:vAlign w:val="center"/>
            <w:hideMark/>
          </w:tcPr>
          <w:p w14:paraId="69B29C2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41E6203" w14:textId="77777777" w:rsidR="00665586" w:rsidRPr="0004176C" w:rsidRDefault="00665586" w:rsidP="00665586">
            <w:pPr>
              <w:jc w:val="center"/>
              <w:rPr>
                <w:color w:val="000000"/>
                <w:sz w:val="18"/>
                <w:szCs w:val="18"/>
              </w:rPr>
            </w:pPr>
            <w:r w:rsidRPr="0004176C">
              <w:rPr>
                <w:color w:val="000000"/>
                <w:sz w:val="18"/>
                <w:szCs w:val="18"/>
              </w:rPr>
              <w:t>Family - New construction mixed-use building</w:t>
            </w:r>
          </w:p>
        </w:tc>
      </w:tr>
      <w:tr w:rsidR="00665586" w:rsidRPr="0004176C" w14:paraId="01D56CD1" w14:textId="77777777" w:rsidTr="00665586">
        <w:trPr>
          <w:trHeight w:val="240"/>
        </w:trPr>
        <w:tc>
          <w:tcPr>
            <w:tcW w:w="1326" w:type="pct"/>
            <w:shd w:val="clear" w:color="auto" w:fill="auto"/>
            <w:vAlign w:val="center"/>
            <w:hideMark/>
          </w:tcPr>
          <w:p w14:paraId="2B38270C" w14:textId="77777777" w:rsidR="00665586" w:rsidRPr="0004176C" w:rsidRDefault="00665586" w:rsidP="00665586">
            <w:pPr>
              <w:jc w:val="center"/>
              <w:rPr>
                <w:color w:val="000000"/>
                <w:sz w:val="18"/>
                <w:szCs w:val="18"/>
              </w:rPr>
            </w:pPr>
            <w:r w:rsidRPr="0004176C">
              <w:rPr>
                <w:color w:val="000000"/>
                <w:sz w:val="18"/>
                <w:szCs w:val="18"/>
              </w:rPr>
              <w:t>General Heath Square/Hattie Kelton Apartments</w:t>
            </w:r>
          </w:p>
        </w:tc>
        <w:tc>
          <w:tcPr>
            <w:tcW w:w="596" w:type="pct"/>
            <w:shd w:val="clear" w:color="auto" w:fill="auto"/>
            <w:vAlign w:val="center"/>
            <w:hideMark/>
          </w:tcPr>
          <w:p w14:paraId="243EC13E"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16881EC0"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F105A3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1616E69" w14:textId="2CF76392" w:rsidR="00665586" w:rsidRPr="0004176C" w:rsidRDefault="00665586" w:rsidP="00665586">
            <w:pPr>
              <w:jc w:val="center"/>
              <w:rPr>
                <w:color w:val="000000"/>
                <w:sz w:val="18"/>
                <w:szCs w:val="18"/>
              </w:rPr>
            </w:pPr>
            <w:r w:rsidRPr="0004176C">
              <w:rPr>
                <w:color w:val="000000"/>
                <w:sz w:val="18"/>
                <w:szCs w:val="18"/>
              </w:rPr>
              <w:t>New construction, family units</w:t>
            </w:r>
          </w:p>
        </w:tc>
      </w:tr>
      <w:tr w:rsidR="00665586" w:rsidRPr="0004176C" w14:paraId="3A10B359" w14:textId="77777777" w:rsidTr="00665586">
        <w:trPr>
          <w:trHeight w:val="480"/>
        </w:trPr>
        <w:tc>
          <w:tcPr>
            <w:tcW w:w="1326" w:type="pct"/>
            <w:shd w:val="clear" w:color="auto" w:fill="auto"/>
            <w:vAlign w:val="center"/>
          </w:tcPr>
          <w:p w14:paraId="73BC4A04" w14:textId="77777777" w:rsidR="00665586" w:rsidRPr="0004176C" w:rsidRDefault="00665586" w:rsidP="00665586">
            <w:pPr>
              <w:jc w:val="center"/>
              <w:rPr>
                <w:sz w:val="18"/>
                <w:szCs w:val="18"/>
              </w:rPr>
            </w:pPr>
            <w:r w:rsidRPr="0004176C">
              <w:rPr>
                <w:sz w:val="18"/>
                <w:szCs w:val="18"/>
              </w:rPr>
              <w:t>Gerson Building,</w:t>
            </w:r>
          </w:p>
          <w:p w14:paraId="19706F39" w14:textId="0626A773" w:rsidR="00665586" w:rsidRPr="0004176C" w:rsidRDefault="00665586" w:rsidP="00665586">
            <w:pPr>
              <w:jc w:val="center"/>
              <w:rPr>
                <w:color w:val="000000"/>
                <w:sz w:val="18"/>
                <w:szCs w:val="18"/>
              </w:rPr>
            </w:pPr>
            <w:r w:rsidRPr="0004176C">
              <w:rPr>
                <w:sz w:val="18"/>
                <w:szCs w:val="18"/>
              </w:rPr>
              <w:t>Haverhill *</w:t>
            </w:r>
          </w:p>
        </w:tc>
        <w:tc>
          <w:tcPr>
            <w:tcW w:w="596" w:type="pct"/>
            <w:shd w:val="clear" w:color="auto" w:fill="auto"/>
            <w:vAlign w:val="center"/>
          </w:tcPr>
          <w:p w14:paraId="09679A2E" w14:textId="77777777" w:rsidR="00665586" w:rsidRPr="0004176C" w:rsidRDefault="00665586" w:rsidP="00665586">
            <w:pPr>
              <w:jc w:val="center"/>
              <w:rPr>
                <w:color w:val="000000"/>
                <w:sz w:val="18"/>
                <w:szCs w:val="18"/>
              </w:rPr>
            </w:pPr>
            <w:r w:rsidRPr="0004176C">
              <w:rPr>
                <w:sz w:val="18"/>
                <w:szCs w:val="18"/>
              </w:rPr>
              <w:t>8</w:t>
            </w:r>
          </w:p>
        </w:tc>
        <w:tc>
          <w:tcPr>
            <w:tcW w:w="674" w:type="pct"/>
            <w:shd w:val="clear" w:color="auto" w:fill="auto"/>
            <w:vAlign w:val="center"/>
          </w:tcPr>
          <w:p w14:paraId="66927A3A" w14:textId="77777777" w:rsidR="00665586" w:rsidRPr="0004176C" w:rsidRDefault="00665586" w:rsidP="00665586">
            <w:pPr>
              <w:jc w:val="center"/>
              <w:rPr>
                <w:color w:val="000000"/>
                <w:sz w:val="18"/>
                <w:szCs w:val="18"/>
              </w:rPr>
            </w:pPr>
            <w:r w:rsidRPr="0004176C">
              <w:rPr>
                <w:sz w:val="18"/>
                <w:szCs w:val="18"/>
              </w:rPr>
              <w:t>Committed</w:t>
            </w:r>
          </w:p>
        </w:tc>
        <w:tc>
          <w:tcPr>
            <w:tcW w:w="627" w:type="pct"/>
            <w:shd w:val="clear" w:color="auto" w:fill="auto"/>
            <w:vAlign w:val="center"/>
          </w:tcPr>
          <w:p w14:paraId="1C67E0A9"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582261D9" w14:textId="77777777" w:rsidR="00665586" w:rsidRPr="0004176C" w:rsidRDefault="00665586" w:rsidP="00665586">
            <w:pPr>
              <w:jc w:val="center"/>
              <w:rPr>
                <w:color w:val="000000"/>
                <w:sz w:val="18"/>
                <w:szCs w:val="18"/>
              </w:rPr>
            </w:pPr>
            <w:r w:rsidRPr="0004176C">
              <w:rPr>
                <w:rFonts w:eastAsia="Calibri"/>
                <w:sz w:val="18"/>
                <w:szCs w:val="18"/>
              </w:rPr>
              <w:t>New Construction – Family</w:t>
            </w:r>
          </w:p>
        </w:tc>
      </w:tr>
      <w:tr w:rsidR="00665586" w:rsidRPr="0004176C" w14:paraId="1919C330" w14:textId="77777777" w:rsidTr="00665586">
        <w:trPr>
          <w:trHeight w:val="240"/>
        </w:trPr>
        <w:tc>
          <w:tcPr>
            <w:tcW w:w="1326" w:type="pct"/>
            <w:shd w:val="clear" w:color="auto" w:fill="auto"/>
            <w:vAlign w:val="center"/>
            <w:hideMark/>
          </w:tcPr>
          <w:p w14:paraId="36B9467A" w14:textId="77777777" w:rsidR="00665586" w:rsidRPr="0004176C" w:rsidRDefault="00665586" w:rsidP="00665586">
            <w:pPr>
              <w:jc w:val="center"/>
              <w:rPr>
                <w:color w:val="000000"/>
                <w:sz w:val="18"/>
                <w:szCs w:val="18"/>
              </w:rPr>
            </w:pPr>
            <w:r w:rsidRPr="0004176C">
              <w:rPr>
                <w:color w:val="000000"/>
                <w:sz w:val="18"/>
                <w:szCs w:val="18"/>
              </w:rPr>
              <w:t>Goshen Senior Housing, Goshen</w:t>
            </w:r>
          </w:p>
        </w:tc>
        <w:tc>
          <w:tcPr>
            <w:tcW w:w="596" w:type="pct"/>
            <w:shd w:val="clear" w:color="auto" w:fill="auto"/>
            <w:vAlign w:val="center"/>
            <w:hideMark/>
          </w:tcPr>
          <w:p w14:paraId="7CD17734" w14:textId="77777777" w:rsidR="00665586" w:rsidRPr="0004176C" w:rsidRDefault="00665586" w:rsidP="00665586">
            <w:pPr>
              <w:jc w:val="center"/>
              <w:rPr>
                <w:color w:val="000000"/>
                <w:sz w:val="18"/>
                <w:szCs w:val="18"/>
              </w:rPr>
            </w:pPr>
            <w:r w:rsidRPr="0004176C">
              <w:rPr>
                <w:color w:val="000000"/>
                <w:sz w:val="18"/>
                <w:szCs w:val="18"/>
              </w:rPr>
              <w:t>6</w:t>
            </w:r>
          </w:p>
        </w:tc>
        <w:tc>
          <w:tcPr>
            <w:tcW w:w="674" w:type="pct"/>
            <w:shd w:val="clear" w:color="auto" w:fill="auto"/>
            <w:vAlign w:val="center"/>
            <w:hideMark/>
          </w:tcPr>
          <w:p w14:paraId="0AD711A3"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7CC448C"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26EA0BF" w14:textId="77777777" w:rsidR="00665586" w:rsidRPr="0004176C" w:rsidRDefault="00665586" w:rsidP="00665586">
            <w:pPr>
              <w:jc w:val="center"/>
              <w:rPr>
                <w:color w:val="000000"/>
                <w:sz w:val="18"/>
                <w:szCs w:val="18"/>
              </w:rPr>
            </w:pPr>
            <w:r w:rsidRPr="0004176C">
              <w:rPr>
                <w:color w:val="000000"/>
                <w:sz w:val="18"/>
                <w:szCs w:val="18"/>
              </w:rPr>
              <w:t>Elderly - New construction</w:t>
            </w:r>
          </w:p>
        </w:tc>
      </w:tr>
      <w:tr w:rsidR="00665586" w:rsidRPr="0004176C" w14:paraId="44BEB850" w14:textId="77777777" w:rsidTr="00665586">
        <w:trPr>
          <w:trHeight w:val="240"/>
        </w:trPr>
        <w:tc>
          <w:tcPr>
            <w:tcW w:w="1326" w:type="pct"/>
            <w:shd w:val="clear" w:color="auto" w:fill="auto"/>
            <w:vAlign w:val="center"/>
            <w:hideMark/>
          </w:tcPr>
          <w:p w14:paraId="0C61CF66" w14:textId="77777777" w:rsidR="00665586" w:rsidRPr="0004176C" w:rsidRDefault="00665586" w:rsidP="00665586">
            <w:pPr>
              <w:jc w:val="center"/>
              <w:rPr>
                <w:color w:val="000000"/>
                <w:sz w:val="18"/>
                <w:szCs w:val="18"/>
              </w:rPr>
            </w:pPr>
            <w:r w:rsidRPr="0004176C">
              <w:rPr>
                <w:color w:val="000000"/>
                <w:sz w:val="18"/>
                <w:szCs w:val="18"/>
              </w:rPr>
              <w:t>Grandfamilies House</w:t>
            </w:r>
          </w:p>
        </w:tc>
        <w:tc>
          <w:tcPr>
            <w:tcW w:w="596" w:type="pct"/>
            <w:shd w:val="clear" w:color="auto" w:fill="auto"/>
            <w:vAlign w:val="center"/>
            <w:hideMark/>
          </w:tcPr>
          <w:p w14:paraId="1F5E300F"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B66652B"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2442BE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C549AAD" w14:textId="77777777" w:rsidR="00665586" w:rsidRPr="0004176C" w:rsidRDefault="00665586" w:rsidP="00665586">
            <w:pPr>
              <w:jc w:val="center"/>
              <w:rPr>
                <w:color w:val="000000"/>
                <w:sz w:val="18"/>
                <w:szCs w:val="18"/>
              </w:rPr>
            </w:pPr>
            <w:r w:rsidRPr="0004176C">
              <w:rPr>
                <w:color w:val="000000"/>
                <w:sz w:val="18"/>
                <w:szCs w:val="18"/>
              </w:rPr>
              <w:t>Supportive services</w:t>
            </w:r>
          </w:p>
        </w:tc>
      </w:tr>
      <w:tr w:rsidR="00665586" w:rsidRPr="0004176C" w14:paraId="248A50AA" w14:textId="77777777" w:rsidTr="00665586">
        <w:trPr>
          <w:trHeight w:val="240"/>
        </w:trPr>
        <w:tc>
          <w:tcPr>
            <w:tcW w:w="1326" w:type="pct"/>
            <w:shd w:val="clear" w:color="auto" w:fill="auto"/>
            <w:vAlign w:val="center"/>
            <w:hideMark/>
          </w:tcPr>
          <w:p w14:paraId="63B1AA41" w14:textId="77777777" w:rsidR="00665586" w:rsidRPr="0004176C" w:rsidRDefault="00665586" w:rsidP="00665586">
            <w:pPr>
              <w:jc w:val="center"/>
              <w:rPr>
                <w:color w:val="000000"/>
                <w:sz w:val="18"/>
                <w:szCs w:val="18"/>
              </w:rPr>
            </w:pPr>
            <w:r w:rsidRPr="0004176C">
              <w:rPr>
                <w:color w:val="000000"/>
                <w:sz w:val="18"/>
                <w:szCs w:val="18"/>
              </w:rPr>
              <w:t>Granite Street Housing</w:t>
            </w:r>
          </w:p>
        </w:tc>
        <w:tc>
          <w:tcPr>
            <w:tcW w:w="596" w:type="pct"/>
            <w:shd w:val="clear" w:color="auto" w:fill="auto"/>
            <w:vAlign w:val="center"/>
            <w:hideMark/>
          </w:tcPr>
          <w:p w14:paraId="31DD6D9C" w14:textId="77777777" w:rsidR="00665586" w:rsidRPr="0004176C" w:rsidRDefault="00665586" w:rsidP="00665586">
            <w:pPr>
              <w:jc w:val="center"/>
              <w:rPr>
                <w:color w:val="000000"/>
                <w:sz w:val="18"/>
                <w:szCs w:val="18"/>
              </w:rPr>
            </w:pPr>
            <w:r w:rsidRPr="0004176C">
              <w:rPr>
                <w:color w:val="000000"/>
                <w:sz w:val="18"/>
                <w:szCs w:val="18"/>
              </w:rPr>
              <w:t>5</w:t>
            </w:r>
          </w:p>
        </w:tc>
        <w:tc>
          <w:tcPr>
            <w:tcW w:w="674" w:type="pct"/>
            <w:shd w:val="clear" w:color="auto" w:fill="auto"/>
            <w:vAlign w:val="center"/>
            <w:hideMark/>
          </w:tcPr>
          <w:p w14:paraId="16C2C607"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933B18A"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F2EE169" w14:textId="77777777" w:rsidR="00665586" w:rsidRPr="0004176C" w:rsidRDefault="00665586" w:rsidP="00665586">
            <w:pPr>
              <w:jc w:val="center"/>
              <w:rPr>
                <w:color w:val="000000"/>
                <w:sz w:val="18"/>
                <w:szCs w:val="18"/>
              </w:rPr>
            </w:pPr>
            <w:r w:rsidRPr="0004176C">
              <w:rPr>
                <w:color w:val="000000"/>
                <w:sz w:val="18"/>
                <w:szCs w:val="18"/>
              </w:rPr>
              <w:t>Supportive services</w:t>
            </w:r>
          </w:p>
        </w:tc>
      </w:tr>
      <w:tr w:rsidR="00665586" w:rsidRPr="0004176C" w14:paraId="262A9E12" w14:textId="77777777" w:rsidTr="00665586">
        <w:trPr>
          <w:trHeight w:val="240"/>
        </w:trPr>
        <w:tc>
          <w:tcPr>
            <w:tcW w:w="1326" w:type="pct"/>
            <w:shd w:val="clear" w:color="auto" w:fill="auto"/>
            <w:vAlign w:val="center"/>
            <w:hideMark/>
          </w:tcPr>
          <w:p w14:paraId="6945433A" w14:textId="77777777" w:rsidR="00665586" w:rsidRPr="0004176C" w:rsidRDefault="00665586" w:rsidP="00665586">
            <w:pPr>
              <w:jc w:val="center"/>
              <w:rPr>
                <w:color w:val="000000"/>
                <w:sz w:val="18"/>
                <w:szCs w:val="18"/>
              </w:rPr>
            </w:pPr>
            <w:r w:rsidRPr="0004176C">
              <w:rPr>
                <w:color w:val="000000"/>
                <w:sz w:val="18"/>
                <w:szCs w:val="18"/>
              </w:rPr>
              <w:t>Greater Four Corners Stabilization - Pilot, Boston</w:t>
            </w:r>
          </w:p>
        </w:tc>
        <w:tc>
          <w:tcPr>
            <w:tcW w:w="596" w:type="pct"/>
            <w:shd w:val="clear" w:color="auto" w:fill="auto"/>
            <w:vAlign w:val="center"/>
            <w:hideMark/>
          </w:tcPr>
          <w:p w14:paraId="2130EE20" w14:textId="77777777" w:rsidR="00665586" w:rsidRPr="0004176C" w:rsidRDefault="00665586" w:rsidP="00665586">
            <w:pPr>
              <w:jc w:val="center"/>
              <w:rPr>
                <w:color w:val="000000"/>
                <w:sz w:val="18"/>
                <w:szCs w:val="18"/>
              </w:rPr>
            </w:pPr>
            <w:r w:rsidRPr="0004176C">
              <w:rPr>
                <w:color w:val="000000"/>
                <w:sz w:val="18"/>
                <w:szCs w:val="18"/>
              </w:rPr>
              <w:t>2</w:t>
            </w:r>
          </w:p>
        </w:tc>
        <w:tc>
          <w:tcPr>
            <w:tcW w:w="674" w:type="pct"/>
            <w:shd w:val="clear" w:color="auto" w:fill="auto"/>
            <w:vAlign w:val="center"/>
            <w:hideMark/>
          </w:tcPr>
          <w:p w14:paraId="6D2C043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CAB5DFE"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541BE33" w14:textId="77777777" w:rsidR="00665586" w:rsidRPr="0004176C" w:rsidRDefault="00665586" w:rsidP="00665586">
            <w:pPr>
              <w:jc w:val="center"/>
              <w:rPr>
                <w:color w:val="000000"/>
                <w:sz w:val="18"/>
                <w:szCs w:val="18"/>
              </w:rPr>
            </w:pPr>
            <w:r w:rsidRPr="0004176C">
              <w:rPr>
                <w:color w:val="000000"/>
                <w:sz w:val="18"/>
                <w:szCs w:val="18"/>
              </w:rPr>
              <w:t>Family - Scattered site rehab of four buildings</w:t>
            </w:r>
          </w:p>
        </w:tc>
      </w:tr>
      <w:tr w:rsidR="00665586" w:rsidRPr="0004176C" w14:paraId="0729CA68" w14:textId="77777777" w:rsidTr="00665586">
        <w:trPr>
          <w:trHeight w:val="240"/>
        </w:trPr>
        <w:tc>
          <w:tcPr>
            <w:tcW w:w="1326" w:type="pct"/>
            <w:shd w:val="clear" w:color="auto" w:fill="auto"/>
            <w:vAlign w:val="center"/>
            <w:hideMark/>
          </w:tcPr>
          <w:p w14:paraId="4BFECF76" w14:textId="77777777" w:rsidR="00665586" w:rsidRPr="0004176C" w:rsidRDefault="00665586" w:rsidP="00665586">
            <w:pPr>
              <w:jc w:val="center"/>
              <w:rPr>
                <w:color w:val="000000"/>
                <w:sz w:val="18"/>
                <w:szCs w:val="18"/>
              </w:rPr>
            </w:pPr>
            <w:r w:rsidRPr="0004176C">
              <w:rPr>
                <w:color w:val="000000"/>
                <w:sz w:val="18"/>
                <w:szCs w:val="18"/>
              </w:rPr>
              <w:t>Hadley Building</w:t>
            </w:r>
          </w:p>
        </w:tc>
        <w:tc>
          <w:tcPr>
            <w:tcW w:w="596" w:type="pct"/>
            <w:shd w:val="clear" w:color="auto" w:fill="auto"/>
            <w:vAlign w:val="center"/>
            <w:hideMark/>
          </w:tcPr>
          <w:p w14:paraId="0969C12E"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924B6F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08CC101"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2D52CF0" w14:textId="29B39AA7" w:rsidR="00665586" w:rsidRPr="0004176C" w:rsidRDefault="00665586" w:rsidP="00665586">
            <w:pPr>
              <w:jc w:val="center"/>
              <w:rPr>
                <w:color w:val="000000"/>
                <w:sz w:val="18"/>
                <w:szCs w:val="18"/>
              </w:rPr>
            </w:pPr>
            <w:r w:rsidRPr="0004176C">
              <w:rPr>
                <w:color w:val="000000"/>
                <w:sz w:val="18"/>
                <w:szCs w:val="18"/>
              </w:rPr>
              <w:t>Family - Historic rehab of former furniture store</w:t>
            </w:r>
          </w:p>
        </w:tc>
      </w:tr>
      <w:tr w:rsidR="00665586" w:rsidRPr="0004176C" w14:paraId="1A4A7887" w14:textId="77777777" w:rsidTr="00665586">
        <w:trPr>
          <w:trHeight w:val="240"/>
        </w:trPr>
        <w:tc>
          <w:tcPr>
            <w:tcW w:w="1326" w:type="pct"/>
            <w:shd w:val="clear" w:color="auto" w:fill="auto"/>
            <w:vAlign w:val="center"/>
            <w:hideMark/>
          </w:tcPr>
          <w:p w14:paraId="6946BBBD" w14:textId="77777777" w:rsidR="00665586" w:rsidRPr="0004176C" w:rsidRDefault="00665586" w:rsidP="00665586">
            <w:pPr>
              <w:jc w:val="center"/>
              <w:rPr>
                <w:color w:val="000000"/>
                <w:sz w:val="18"/>
                <w:szCs w:val="18"/>
              </w:rPr>
            </w:pPr>
            <w:r w:rsidRPr="0004176C">
              <w:rPr>
                <w:color w:val="000000"/>
                <w:sz w:val="18"/>
                <w:szCs w:val="18"/>
              </w:rPr>
              <w:t>Harbor and Lafayette Homes</w:t>
            </w:r>
          </w:p>
        </w:tc>
        <w:tc>
          <w:tcPr>
            <w:tcW w:w="596" w:type="pct"/>
            <w:shd w:val="clear" w:color="auto" w:fill="auto"/>
            <w:vAlign w:val="center"/>
            <w:hideMark/>
          </w:tcPr>
          <w:p w14:paraId="599D3832"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7F81BDA3"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F551080"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D66C2C2" w14:textId="77777777" w:rsidR="00665586" w:rsidRPr="0004176C" w:rsidRDefault="00665586" w:rsidP="00665586">
            <w:pPr>
              <w:jc w:val="center"/>
              <w:rPr>
                <w:color w:val="000000"/>
                <w:sz w:val="18"/>
                <w:szCs w:val="18"/>
              </w:rPr>
            </w:pPr>
            <w:r w:rsidRPr="0004176C">
              <w:rPr>
                <w:color w:val="000000"/>
                <w:sz w:val="18"/>
                <w:szCs w:val="18"/>
              </w:rPr>
              <w:t>Moderate Rehabilitation with existing tenants</w:t>
            </w:r>
          </w:p>
        </w:tc>
      </w:tr>
      <w:tr w:rsidR="00665586" w:rsidRPr="0004176C" w14:paraId="4BD8A1EA" w14:textId="77777777" w:rsidTr="00665586">
        <w:trPr>
          <w:trHeight w:val="240"/>
        </w:trPr>
        <w:tc>
          <w:tcPr>
            <w:tcW w:w="1326" w:type="pct"/>
            <w:shd w:val="clear" w:color="auto" w:fill="auto"/>
            <w:vAlign w:val="center"/>
            <w:hideMark/>
          </w:tcPr>
          <w:p w14:paraId="35FE83D2" w14:textId="77777777" w:rsidR="00665586" w:rsidRPr="0004176C" w:rsidRDefault="00665586" w:rsidP="00665586">
            <w:pPr>
              <w:jc w:val="center"/>
              <w:rPr>
                <w:color w:val="000000"/>
                <w:sz w:val="18"/>
                <w:szCs w:val="18"/>
              </w:rPr>
            </w:pPr>
            <w:r w:rsidRPr="0004176C">
              <w:rPr>
                <w:color w:val="000000"/>
                <w:sz w:val="18"/>
                <w:szCs w:val="18"/>
              </w:rPr>
              <w:t>Harbor Cove/63 Washington Avenue</w:t>
            </w:r>
          </w:p>
        </w:tc>
        <w:tc>
          <w:tcPr>
            <w:tcW w:w="596" w:type="pct"/>
            <w:shd w:val="clear" w:color="auto" w:fill="auto"/>
            <w:vAlign w:val="center"/>
            <w:hideMark/>
          </w:tcPr>
          <w:p w14:paraId="0013F2A6" w14:textId="77777777" w:rsidR="00665586" w:rsidRPr="0004176C" w:rsidRDefault="00665586" w:rsidP="00665586">
            <w:pPr>
              <w:jc w:val="center"/>
              <w:rPr>
                <w:color w:val="000000"/>
                <w:sz w:val="18"/>
                <w:szCs w:val="18"/>
              </w:rPr>
            </w:pPr>
            <w:r w:rsidRPr="0004176C">
              <w:rPr>
                <w:color w:val="000000"/>
                <w:sz w:val="18"/>
                <w:szCs w:val="18"/>
              </w:rPr>
              <w:t>24</w:t>
            </w:r>
          </w:p>
        </w:tc>
        <w:tc>
          <w:tcPr>
            <w:tcW w:w="674" w:type="pct"/>
            <w:shd w:val="clear" w:color="auto" w:fill="auto"/>
            <w:vAlign w:val="center"/>
            <w:hideMark/>
          </w:tcPr>
          <w:p w14:paraId="1850783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2217CE6"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9C168A7" w14:textId="77777777" w:rsidR="00665586" w:rsidRPr="0004176C" w:rsidRDefault="00665586" w:rsidP="00665586">
            <w:pPr>
              <w:jc w:val="center"/>
              <w:rPr>
                <w:color w:val="000000"/>
                <w:sz w:val="18"/>
                <w:szCs w:val="18"/>
              </w:rPr>
            </w:pPr>
            <w:r w:rsidRPr="0004176C">
              <w:rPr>
                <w:color w:val="000000"/>
                <w:sz w:val="18"/>
                <w:szCs w:val="18"/>
              </w:rPr>
              <w:t>Supportive services</w:t>
            </w:r>
          </w:p>
        </w:tc>
      </w:tr>
      <w:tr w:rsidR="00665586" w:rsidRPr="0004176C" w14:paraId="714FEF4B" w14:textId="77777777" w:rsidTr="00665586">
        <w:trPr>
          <w:trHeight w:val="480"/>
        </w:trPr>
        <w:tc>
          <w:tcPr>
            <w:tcW w:w="1326" w:type="pct"/>
            <w:shd w:val="clear" w:color="auto" w:fill="auto"/>
            <w:vAlign w:val="center"/>
          </w:tcPr>
          <w:p w14:paraId="5CD1ACE7" w14:textId="77777777" w:rsidR="00665586" w:rsidRPr="0004176C" w:rsidRDefault="00665586" w:rsidP="00665586">
            <w:pPr>
              <w:jc w:val="center"/>
              <w:rPr>
                <w:sz w:val="18"/>
                <w:szCs w:val="18"/>
              </w:rPr>
            </w:pPr>
            <w:r w:rsidRPr="0004176C">
              <w:rPr>
                <w:sz w:val="18"/>
                <w:szCs w:val="18"/>
              </w:rPr>
              <w:t xml:space="preserve">Harbor Village, </w:t>
            </w:r>
          </w:p>
          <w:p w14:paraId="50C86047" w14:textId="4E4C061E" w:rsidR="00665586" w:rsidRPr="0004176C" w:rsidRDefault="00665586" w:rsidP="00665586">
            <w:pPr>
              <w:jc w:val="center"/>
              <w:rPr>
                <w:sz w:val="18"/>
                <w:szCs w:val="18"/>
              </w:rPr>
            </w:pPr>
            <w:r w:rsidRPr="0004176C">
              <w:rPr>
                <w:sz w:val="18"/>
                <w:szCs w:val="18"/>
              </w:rPr>
              <w:t>Gloucester **</w:t>
            </w:r>
          </w:p>
        </w:tc>
        <w:tc>
          <w:tcPr>
            <w:tcW w:w="596" w:type="pct"/>
            <w:shd w:val="clear" w:color="auto" w:fill="auto"/>
            <w:vAlign w:val="center"/>
          </w:tcPr>
          <w:p w14:paraId="32226E91"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6DF8844B"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71F8265B"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57E46DAA" w14:textId="77777777" w:rsidR="00665586" w:rsidRPr="0004176C" w:rsidRDefault="00665586" w:rsidP="00665586">
            <w:pPr>
              <w:jc w:val="center"/>
              <w:rPr>
                <w:sz w:val="18"/>
                <w:szCs w:val="18"/>
              </w:rPr>
            </w:pPr>
            <w:r w:rsidRPr="0004176C">
              <w:rPr>
                <w:sz w:val="18"/>
                <w:szCs w:val="18"/>
              </w:rPr>
              <w:t>New Construction – Family Housing</w:t>
            </w:r>
          </w:p>
        </w:tc>
      </w:tr>
      <w:tr w:rsidR="00665586" w:rsidRPr="0004176C" w14:paraId="6087277C" w14:textId="77777777" w:rsidTr="00665586">
        <w:trPr>
          <w:trHeight w:val="240"/>
        </w:trPr>
        <w:tc>
          <w:tcPr>
            <w:tcW w:w="1326" w:type="pct"/>
            <w:shd w:val="clear" w:color="auto" w:fill="auto"/>
            <w:vAlign w:val="center"/>
            <w:hideMark/>
          </w:tcPr>
          <w:p w14:paraId="229BF69A" w14:textId="77777777" w:rsidR="00665586" w:rsidRPr="0004176C" w:rsidRDefault="00665586" w:rsidP="00665586">
            <w:pPr>
              <w:jc w:val="center"/>
              <w:rPr>
                <w:color w:val="000000"/>
                <w:sz w:val="18"/>
                <w:szCs w:val="18"/>
              </w:rPr>
            </w:pPr>
            <w:r w:rsidRPr="0004176C">
              <w:rPr>
                <w:color w:val="000000"/>
                <w:sz w:val="18"/>
                <w:szCs w:val="18"/>
              </w:rPr>
              <w:t>Hayes</w:t>
            </w:r>
          </w:p>
        </w:tc>
        <w:tc>
          <w:tcPr>
            <w:tcW w:w="596" w:type="pct"/>
            <w:shd w:val="clear" w:color="auto" w:fill="auto"/>
            <w:vAlign w:val="center"/>
            <w:hideMark/>
          </w:tcPr>
          <w:p w14:paraId="54502A37"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227069A2"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D9123AC"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41263B0"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3DFE6887" w14:textId="77777777" w:rsidTr="00665586">
        <w:trPr>
          <w:trHeight w:val="240"/>
        </w:trPr>
        <w:tc>
          <w:tcPr>
            <w:tcW w:w="1326" w:type="pct"/>
            <w:shd w:val="clear" w:color="auto" w:fill="auto"/>
            <w:vAlign w:val="center"/>
            <w:hideMark/>
          </w:tcPr>
          <w:p w14:paraId="3C02A400" w14:textId="6A40BE80" w:rsidR="00665586" w:rsidRPr="0004176C" w:rsidRDefault="00665586" w:rsidP="00665586">
            <w:pPr>
              <w:jc w:val="center"/>
              <w:rPr>
                <w:color w:val="000000"/>
                <w:sz w:val="18"/>
                <w:szCs w:val="18"/>
              </w:rPr>
            </w:pPr>
            <w:r w:rsidRPr="0004176C">
              <w:rPr>
                <w:color w:val="000000"/>
                <w:sz w:val="18"/>
                <w:szCs w:val="18"/>
              </w:rPr>
              <w:t>Hearth at Olmstead Green</w:t>
            </w:r>
          </w:p>
        </w:tc>
        <w:tc>
          <w:tcPr>
            <w:tcW w:w="596" w:type="pct"/>
            <w:shd w:val="clear" w:color="auto" w:fill="auto"/>
            <w:vAlign w:val="center"/>
            <w:hideMark/>
          </w:tcPr>
          <w:p w14:paraId="4C5A79AD" w14:textId="77777777" w:rsidR="00665586" w:rsidRPr="0004176C" w:rsidRDefault="00665586" w:rsidP="00665586">
            <w:pPr>
              <w:jc w:val="center"/>
              <w:rPr>
                <w:color w:val="000000"/>
                <w:sz w:val="18"/>
                <w:szCs w:val="18"/>
              </w:rPr>
            </w:pPr>
            <w:r w:rsidRPr="0004176C">
              <w:rPr>
                <w:color w:val="000000"/>
                <w:sz w:val="18"/>
                <w:szCs w:val="18"/>
              </w:rPr>
              <w:t>15</w:t>
            </w:r>
          </w:p>
        </w:tc>
        <w:tc>
          <w:tcPr>
            <w:tcW w:w="674" w:type="pct"/>
            <w:shd w:val="clear" w:color="auto" w:fill="auto"/>
            <w:vAlign w:val="center"/>
            <w:hideMark/>
          </w:tcPr>
          <w:p w14:paraId="45FACE58"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1CAE068"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F0FD8D7"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7AE32FC5" w14:textId="77777777" w:rsidTr="00665586">
        <w:trPr>
          <w:trHeight w:val="240"/>
        </w:trPr>
        <w:tc>
          <w:tcPr>
            <w:tcW w:w="1326" w:type="pct"/>
            <w:shd w:val="clear" w:color="auto" w:fill="auto"/>
            <w:vAlign w:val="center"/>
            <w:hideMark/>
          </w:tcPr>
          <w:p w14:paraId="63FCD443" w14:textId="77777777" w:rsidR="00665586" w:rsidRPr="0004176C" w:rsidRDefault="00665586" w:rsidP="00665586">
            <w:pPr>
              <w:jc w:val="center"/>
              <w:rPr>
                <w:color w:val="000000"/>
                <w:sz w:val="18"/>
                <w:szCs w:val="18"/>
              </w:rPr>
            </w:pPr>
            <w:r w:rsidRPr="0004176C">
              <w:rPr>
                <w:color w:val="000000"/>
                <w:sz w:val="18"/>
                <w:szCs w:val="18"/>
              </w:rPr>
              <w:t>High Rock Homes</w:t>
            </w:r>
          </w:p>
        </w:tc>
        <w:tc>
          <w:tcPr>
            <w:tcW w:w="596" w:type="pct"/>
            <w:shd w:val="clear" w:color="auto" w:fill="auto"/>
            <w:vAlign w:val="center"/>
            <w:hideMark/>
          </w:tcPr>
          <w:p w14:paraId="75680AA5"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36D42E5"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1AC14DA"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1A89183"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60824DF9" w14:textId="77777777" w:rsidTr="00665586">
        <w:trPr>
          <w:trHeight w:val="240"/>
        </w:trPr>
        <w:tc>
          <w:tcPr>
            <w:tcW w:w="1326" w:type="pct"/>
            <w:shd w:val="clear" w:color="auto" w:fill="auto"/>
            <w:vAlign w:val="center"/>
            <w:hideMark/>
          </w:tcPr>
          <w:p w14:paraId="78AC9FF5" w14:textId="77777777" w:rsidR="00665586" w:rsidRPr="0004176C" w:rsidRDefault="00665586" w:rsidP="00665586">
            <w:pPr>
              <w:jc w:val="center"/>
              <w:rPr>
                <w:color w:val="000000"/>
                <w:sz w:val="18"/>
                <w:szCs w:val="18"/>
              </w:rPr>
            </w:pPr>
            <w:r w:rsidRPr="0004176C">
              <w:rPr>
                <w:color w:val="000000"/>
                <w:sz w:val="18"/>
                <w:szCs w:val="18"/>
              </w:rPr>
              <w:t>Highland Terrace</w:t>
            </w:r>
          </w:p>
        </w:tc>
        <w:tc>
          <w:tcPr>
            <w:tcW w:w="596" w:type="pct"/>
            <w:shd w:val="clear" w:color="auto" w:fill="auto"/>
            <w:vAlign w:val="center"/>
            <w:hideMark/>
          </w:tcPr>
          <w:p w14:paraId="118182E7"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0878600"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A2C7CAC"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7B7C80B"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09C7D75A" w14:textId="77777777" w:rsidTr="00665586">
        <w:trPr>
          <w:trHeight w:val="480"/>
        </w:trPr>
        <w:tc>
          <w:tcPr>
            <w:tcW w:w="1326" w:type="pct"/>
            <w:shd w:val="clear" w:color="auto" w:fill="auto"/>
            <w:vAlign w:val="center"/>
            <w:hideMark/>
          </w:tcPr>
          <w:p w14:paraId="01F62C97" w14:textId="77777777" w:rsidR="00665586" w:rsidRPr="0004176C" w:rsidRDefault="00665586" w:rsidP="00665586">
            <w:pPr>
              <w:jc w:val="center"/>
              <w:rPr>
                <w:color w:val="000000"/>
                <w:sz w:val="18"/>
                <w:szCs w:val="18"/>
              </w:rPr>
            </w:pPr>
            <w:r w:rsidRPr="0004176C">
              <w:rPr>
                <w:color w:val="000000"/>
                <w:sz w:val="18"/>
                <w:szCs w:val="18"/>
              </w:rPr>
              <w:t>Highland Village</w:t>
            </w:r>
          </w:p>
        </w:tc>
        <w:tc>
          <w:tcPr>
            <w:tcW w:w="596" w:type="pct"/>
            <w:shd w:val="clear" w:color="auto" w:fill="auto"/>
            <w:vAlign w:val="center"/>
            <w:hideMark/>
          </w:tcPr>
          <w:p w14:paraId="5C195C3E" w14:textId="77777777" w:rsidR="00665586" w:rsidRPr="0004176C" w:rsidRDefault="00665586" w:rsidP="00665586">
            <w:pPr>
              <w:jc w:val="center"/>
              <w:rPr>
                <w:color w:val="000000"/>
                <w:sz w:val="18"/>
                <w:szCs w:val="18"/>
              </w:rPr>
            </w:pPr>
            <w:r w:rsidRPr="0004176C">
              <w:rPr>
                <w:color w:val="000000"/>
                <w:sz w:val="18"/>
                <w:szCs w:val="18"/>
              </w:rPr>
              <w:t>110</w:t>
            </w:r>
          </w:p>
        </w:tc>
        <w:tc>
          <w:tcPr>
            <w:tcW w:w="674" w:type="pct"/>
            <w:shd w:val="clear" w:color="auto" w:fill="auto"/>
            <w:vAlign w:val="center"/>
            <w:hideMark/>
          </w:tcPr>
          <w:p w14:paraId="53F4A9F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C2A3C3A" w14:textId="77777777" w:rsidR="00665586" w:rsidRPr="0004176C" w:rsidRDefault="00665586" w:rsidP="00665586">
            <w:pPr>
              <w:jc w:val="center"/>
              <w:rPr>
                <w:color w:val="000000"/>
                <w:sz w:val="18"/>
                <w:szCs w:val="18"/>
              </w:rPr>
            </w:pPr>
            <w:r w:rsidRPr="0004176C">
              <w:rPr>
                <w:color w:val="000000"/>
                <w:sz w:val="18"/>
                <w:szCs w:val="18"/>
              </w:rPr>
              <w:t>Yes</w:t>
            </w:r>
          </w:p>
        </w:tc>
        <w:tc>
          <w:tcPr>
            <w:tcW w:w="1777" w:type="pct"/>
            <w:shd w:val="clear" w:color="auto" w:fill="auto"/>
            <w:vAlign w:val="center"/>
            <w:hideMark/>
          </w:tcPr>
          <w:p w14:paraId="2B557DCC" w14:textId="77777777" w:rsidR="00665586" w:rsidRPr="0004176C" w:rsidRDefault="00665586" w:rsidP="00665586">
            <w:pPr>
              <w:jc w:val="center"/>
              <w:rPr>
                <w:color w:val="000000"/>
                <w:sz w:val="18"/>
                <w:szCs w:val="18"/>
              </w:rPr>
            </w:pPr>
            <w:r w:rsidRPr="0004176C">
              <w:rPr>
                <w:color w:val="000000"/>
                <w:sz w:val="18"/>
                <w:szCs w:val="18"/>
              </w:rPr>
              <w:t>RAD (Rent Supp) - Existing Family Housing - two-story, townhouse-style buildings</w:t>
            </w:r>
          </w:p>
        </w:tc>
      </w:tr>
      <w:tr w:rsidR="00665586" w:rsidRPr="0004176C" w14:paraId="263628CB" w14:textId="77777777" w:rsidTr="00665586">
        <w:trPr>
          <w:trHeight w:val="240"/>
        </w:trPr>
        <w:tc>
          <w:tcPr>
            <w:tcW w:w="1326" w:type="pct"/>
            <w:shd w:val="clear" w:color="auto" w:fill="auto"/>
            <w:vAlign w:val="center"/>
            <w:hideMark/>
          </w:tcPr>
          <w:p w14:paraId="529D3BCF" w14:textId="77777777" w:rsidR="00665586" w:rsidRPr="0004176C" w:rsidRDefault="00665586" w:rsidP="00665586">
            <w:pPr>
              <w:jc w:val="center"/>
              <w:rPr>
                <w:color w:val="000000"/>
                <w:sz w:val="18"/>
                <w:szCs w:val="18"/>
              </w:rPr>
            </w:pPr>
            <w:r w:rsidRPr="0004176C">
              <w:rPr>
                <w:color w:val="000000"/>
                <w:sz w:val="18"/>
                <w:szCs w:val="18"/>
              </w:rPr>
              <w:t>Hillside Avenue</w:t>
            </w:r>
          </w:p>
        </w:tc>
        <w:tc>
          <w:tcPr>
            <w:tcW w:w="596" w:type="pct"/>
            <w:shd w:val="clear" w:color="auto" w:fill="auto"/>
            <w:vAlign w:val="center"/>
            <w:hideMark/>
          </w:tcPr>
          <w:p w14:paraId="750C632A" w14:textId="77777777" w:rsidR="00665586" w:rsidRPr="0004176C" w:rsidRDefault="00665586" w:rsidP="00665586">
            <w:pPr>
              <w:jc w:val="center"/>
              <w:rPr>
                <w:color w:val="000000"/>
                <w:sz w:val="18"/>
                <w:szCs w:val="18"/>
              </w:rPr>
            </w:pPr>
            <w:r w:rsidRPr="0004176C">
              <w:rPr>
                <w:color w:val="000000"/>
                <w:sz w:val="18"/>
                <w:szCs w:val="18"/>
              </w:rPr>
              <w:t>5</w:t>
            </w:r>
          </w:p>
        </w:tc>
        <w:tc>
          <w:tcPr>
            <w:tcW w:w="674" w:type="pct"/>
            <w:shd w:val="clear" w:color="auto" w:fill="auto"/>
            <w:vAlign w:val="center"/>
            <w:hideMark/>
          </w:tcPr>
          <w:p w14:paraId="774542D5"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721D9E5"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8B0EB0D"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02528399" w14:textId="77777777" w:rsidTr="00665586">
        <w:trPr>
          <w:trHeight w:val="240"/>
        </w:trPr>
        <w:tc>
          <w:tcPr>
            <w:tcW w:w="1326" w:type="pct"/>
            <w:shd w:val="clear" w:color="auto" w:fill="auto"/>
            <w:vAlign w:val="center"/>
            <w:hideMark/>
          </w:tcPr>
          <w:p w14:paraId="06C7A9C6" w14:textId="77777777" w:rsidR="00665586" w:rsidRPr="0004176C" w:rsidRDefault="00665586" w:rsidP="00665586">
            <w:pPr>
              <w:jc w:val="center"/>
              <w:rPr>
                <w:color w:val="000000"/>
                <w:sz w:val="18"/>
                <w:szCs w:val="18"/>
              </w:rPr>
            </w:pPr>
            <w:r w:rsidRPr="0004176C">
              <w:rPr>
                <w:color w:val="000000"/>
                <w:sz w:val="18"/>
                <w:szCs w:val="18"/>
              </w:rPr>
              <w:t>Hillside Village</w:t>
            </w:r>
          </w:p>
        </w:tc>
        <w:tc>
          <w:tcPr>
            <w:tcW w:w="596" w:type="pct"/>
            <w:shd w:val="clear" w:color="auto" w:fill="auto"/>
            <w:vAlign w:val="center"/>
            <w:hideMark/>
          </w:tcPr>
          <w:p w14:paraId="34C8C2FC" w14:textId="77777777" w:rsidR="00665586" w:rsidRPr="0004176C" w:rsidRDefault="00665586" w:rsidP="00665586">
            <w:pPr>
              <w:jc w:val="center"/>
              <w:rPr>
                <w:color w:val="000000"/>
                <w:sz w:val="18"/>
                <w:szCs w:val="18"/>
              </w:rPr>
            </w:pPr>
            <w:r w:rsidRPr="0004176C">
              <w:rPr>
                <w:color w:val="000000"/>
                <w:sz w:val="18"/>
                <w:szCs w:val="18"/>
              </w:rPr>
              <w:t>16</w:t>
            </w:r>
          </w:p>
        </w:tc>
        <w:tc>
          <w:tcPr>
            <w:tcW w:w="674" w:type="pct"/>
            <w:shd w:val="clear" w:color="auto" w:fill="auto"/>
            <w:vAlign w:val="center"/>
            <w:hideMark/>
          </w:tcPr>
          <w:p w14:paraId="14ECFDE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2D5AE9B"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A985DC8"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16E20480" w14:textId="77777777" w:rsidTr="00665586">
        <w:trPr>
          <w:trHeight w:val="480"/>
        </w:trPr>
        <w:tc>
          <w:tcPr>
            <w:tcW w:w="1326" w:type="pct"/>
            <w:shd w:val="clear" w:color="auto" w:fill="auto"/>
            <w:vAlign w:val="center"/>
            <w:hideMark/>
          </w:tcPr>
          <w:p w14:paraId="328F3211" w14:textId="77777777" w:rsidR="00665586" w:rsidRPr="0004176C" w:rsidRDefault="00665586" w:rsidP="00665586">
            <w:pPr>
              <w:jc w:val="center"/>
              <w:rPr>
                <w:color w:val="000000"/>
                <w:sz w:val="18"/>
                <w:szCs w:val="18"/>
              </w:rPr>
            </w:pPr>
            <w:r w:rsidRPr="0004176C">
              <w:rPr>
                <w:color w:val="000000"/>
                <w:sz w:val="18"/>
                <w:szCs w:val="18"/>
              </w:rPr>
              <w:t>Holcroft Park Apartments</w:t>
            </w:r>
          </w:p>
        </w:tc>
        <w:tc>
          <w:tcPr>
            <w:tcW w:w="596" w:type="pct"/>
            <w:shd w:val="clear" w:color="auto" w:fill="auto"/>
            <w:vAlign w:val="center"/>
            <w:hideMark/>
          </w:tcPr>
          <w:p w14:paraId="3A807378"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6CDAA366"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ABB73F9"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45CCAEF" w14:textId="77777777" w:rsidR="00665586" w:rsidRPr="0004176C" w:rsidRDefault="00665586" w:rsidP="00665586">
            <w:pPr>
              <w:jc w:val="center"/>
              <w:rPr>
                <w:color w:val="000000"/>
                <w:sz w:val="18"/>
                <w:szCs w:val="18"/>
              </w:rPr>
            </w:pPr>
            <w:r w:rsidRPr="0004176C">
              <w:rPr>
                <w:color w:val="000000"/>
                <w:sz w:val="18"/>
                <w:szCs w:val="18"/>
              </w:rPr>
              <w:t>Family and Elderly/Disabled units; 30 Mill Street; 10, 22, 30 Grant Street</w:t>
            </w:r>
          </w:p>
        </w:tc>
      </w:tr>
      <w:tr w:rsidR="00665586" w:rsidRPr="0004176C" w14:paraId="3864603A" w14:textId="77777777" w:rsidTr="00665586">
        <w:trPr>
          <w:trHeight w:val="240"/>
        </w:trPr>
        <w:tc>
          <w:tcPr>
            <w:tcW w:w="1326" w:type="pct"/>
            <w:shd w:val="clear" w:color="auto" w:fill="auto"/>
            <w:vAlign w:val="center"/>
            <w:hideMark/>
          </w:tcPr>
          <w:p w14:paraId="77D35586" w14:textId="77777777" w:rsidR="00665586" w:rsidRPr="0004176C" w:rsidRDefault="00665586" w:rsidP="00665586">
            <w:pPr>
              <w:jc w:val="center"/>
              <w:rPr>
                <w:color w:val="000000"/>
                <w:sz w:val="18"/>
                <w:szCs w:val="18"/>
              </w:rPr>
            </w:pPr>
            <w:r w:rsidRPr="0004176C">
              <w:rPr>
                <w:color w:val="000000"/>
                <w:sz w:val="18"/>
                <w:szCs w:val="18"/>
              </w:rPr>
              <w:t>Holcroft Park Homes Phase II</w:t>
            </w:r>
          </w:p>
        </w:tc>
        <w:tc>
          <w:tcPr>
            <w:tcW w:w="596" w:type="pct"/>
            <w:shd w:val="clear" w:color="auto" w:fill="auto"/>
            <w:vAlign w:val="center"/>
            <w:hideMark/>
          </w:tcPr>
          <w:p w14:paraId="0184EA46"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631C24D1"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9BD584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FF0150C"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266F62CC" w14:textId="77777777" w:rsidTr="00665586">
        <w:trPr>
          <w:trHeight w:val="480"/>
        </w:trPr>
        <w:tc>
          <w:tcPr>
            <w:tcW w:w="1326" w:type="pct"/>
            <w:shd w:val="clear" w:color="auto" w:fill="auto"/>
            <w:vAlign w:val="center"/>
          </w:tcPr>
          <w:p w14:paraId="2FDFF4CD" w14:textId="77777777" w:rsidR="00665586" w:rsidRPr="0004176C" w:rsidRDefault="00665586" w:rsidP="00665586">
            <w:pPr>
              <w:jc w:val="center"/>
              <w:rPr>
                <w:sz w:val="18"/>
                <w:szCs w:val="18"/>
              </w:rPr>
            </w:pPr>
            <w:r w:rsidRPr="0004176C">
              <w:rPr>
                <w:sz w:val="18"/>
                <w:szCs w:val="18"/>
              </w:rPr>
              <w:t>Holtzer Park</w:t>
            </w:r>
          </w:p>
          <w:p w14:paraId="7DCC5613" w14:textId="7D4AEA94" w:rsidR="00665586" w:rsidRPr="0004176C" w:rsidRDefault="00665586" w:rsidP="00665586">
            <w:pPr>
              <w:jc w:val="center"/>
              <w:rPr>
                <w:sz w:val="18"/>
                <w:szCs w:val="18"/>
              </w:rPr>
            </w:pPr>
            <w:r w:rsidRPr="0004176C">
              <w:rPr>
                <w:sz w:val="18"/>
                <w:szCs w:val="18"/>
              </w:rPr>
              <w:t xml:space="preserve"> Boston **</w:t>
            </w:r>
          </w:p>
        </w:tc>
        <w:tc>
          <w:tcPr>
            <w:tcW w:w="596" w:type="pct"/>
            <w:shd w:val="clear" w:color="auto" w:fill="auto"/>
            <w:vAlign w:val="center"/>
          </w:tcPr>
          <w:p w14:paraId="230F2245"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16A28537"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73DD41C7"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0A317558" w14:textId="77777777" w:rsidR="00665586" w:rsidRPr="0004176C" w:rsidRDefault="00665586" w:rsidP="00665586">
            <w:pPr>
              <w:jc w:val="center"/>
              <w:rPr>
                <w:sz w:val="18"/>
                <w:szCs w:val="18"/>
              </w:rPr>
            </w:pPr>
            <w:r w:rsidRPr="0004176C">
              <w:rPr>
                <w:sz w:val="18"/>
                <w:szCs w:val="18"/>
              </w:rPr>
              <w:t>New Construction – Family Housing</w:t>
            </w:r>
          </w:p>
        </w:tc>
      </w:tr>
      <w:tr w:rsidR="00665586" w:rsidRPr="0004176C" w14:paraId="3E51A7A2" w14:textId="77777777" w:rsidTr="00665586">
        <w:trPr>
          <w:trHeight w:val="480"/>
        </w:trPr>
        <w:tc>
          <w:tcPr>
            <w:tcW w:w="1326" w:type="pct"/>
            <w:shd w:val="clear" w:color="auto" w:fill="auto"/>
            <w:vAlign w:val="center"/>
          </w:tcPr>
          <w:p w14:paraId="1A2DFDEF" w14:textId="7356AD48" w:rsidR="00665586" w:rsidRPr="0004176C" w:rsidRDefault="00665586" w:rsidP="00665586">
            <w:pPr>
              <w:jc w:val="center"/>
              <w:rPr>
                <w:sz w:val="18"/>
                <w:szCs w:val="18"/>
              </w:rPr>
            </w:pPr>
            <w:r w:rsidRPr="0004176C">
              <w:rPr>
                <w:sz w:val="18"/>
                <w:szCs w:val="18"/>
              </w:rPr>
              <w:t>Holyoke Farms Apartments, Holyoke</w:t>
            </w:r>
            <w:r w:rsidR="001D0505" w:rsidRPr="0004176C">
              <w:rPr>
                <w:sz w:val="18"/>
                <w:szCs w:val="18"/>
              </w:rPr>
              <w:t>*</w:t>
            </w:r>
          </w:p>
        </w:tc>
        <w:tc>
          <w:tcPr>
            <w:tcW w:w="596" w:type="pct"/>
            <w:shd w:val="clear" w:color="auto" w:fill="auto"/>
            <w:vAlign w:val="center"/>
          </w:tcPr>
          <w:p w14:paraId="71737AC9" w14:textId="77777777" w:rsidR="00665586" w:rsidRPr="0004176C" w:rsidRDefault="00665586" w:rsidP="00665586">
            <w:pPr>
              <w:jc w:val="center"/>
              <w:rPr>
                <w:color w:val="000000"/>
                <w:sz w:val="18"/>
                <w:szCs w:val="18"/>
              </w:rPr>
            </w:pPr>
            <w:r w:rsidRPr="0004176C">
              <w:rPr>
                <w:sz w:val="18"/>
                <w:szCs w:val="18"/>
              </w:rPr>
              <w:t>8</w:t>
            </w:r>
          </w:p>
        </w:tc>
        <w:tc>
          <w:tcPr>
            <w:tcW w:w="674" w:type="pct"/>
            <w:shd w:val="clear" w:color="auto" w:fill="auto"/>
            <w:vAlign w:val="center"/>
          </w:tcPr>
          <w:p w14:paraId="763A5D5D" w14:textId="7D010659" w:rsidR="00665586" w:rsidRPr="0004176C" w:rsidRDefault="001D0505" w:rsidP="00665586">
            <w:pPr>
              <w:jc w:val="center"/>
              <w:rPr>
                <w:color w:val="000000"/>
                <w:sz w:val="18"/>
                <w:szCs w:val="18"/>
              </w:rPr>
            </w:pPr>
            <w:r w:rsidRPr="0004176C">
              <w:rPr>
                <w:sz w:val="18"/>
                <w:szCs w:val="18"/>
              </w:rPr>
              <w:t>Committed</w:t>
            </w:r>
          </w:p>
        </w:tc>
        <w:tc>
          <w:tcPr>
            <w:tcW w:w="627" w:type="pct"/>
            <w:shd w:val="clear" w:color="auto" w:fill="auto"/>
            <w:vAlign w:val="center"/>
          </w:tcPr>
          <w:p w14:paraId="381CABCD"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3EF7AA6B" w14:textId="77777777" w:rsidR="00665586" w:rsidRPr="0004176C" w:rsidRDefault="00665586" w:rsidP="00665586">
            <w:pPr>
              <w:jc w:val="center"/>
              <w:rPr>
                <w:color w:val="000000"/>
                <w:sz w:val="18"/>
                <w:szCs w:val="18"/>
              </w:rPr>
            </w:pPr>
            <w:r w:rsidRPr="0004176C">
              <w:rPr>
                <w:rFonts w:eastAsia="Calibri"/>
                <w:sz w:val="18"/>
                <w:szCs w:val="18"/>
              </w:rPr>
              <w:t>Mod-Rehab – Family Housing</w:t>
            </w:r>
          </w:p>
        </w:tc>
      </w:tr>
      <w:tr w:rsidR="00665586" w:rsidRPr="0004176C" w14:paraId="7257440A" w14:textId="77777777" w:rsidTr="00665586">
        <w:trPr>
          <w:trHeight w:val="240"/>
        </w:trPr>
        <w:tc>
          <w:tcPr>
            <w:tcW w:w="1326" w:type="pct"/>
            <w:shd w:val="clear" w:color="auto" w:fill="auto"/>
            <w:vAlign w:val="center"/>
            <w:hideMark/>
          </w:tcPr>
          <w:p w14:paraId="5D98C6BE" w14:textId="77777777" w:rsidR="00665586" w:rsidRPr="0004176C" w:rsidRDefault="00665586" w:rsidP="00665586">
            <w:pPr>
              <w:jc w:val="center"/>
              <w:rPr>
                <w:color w:val="000000"/>
                <w:sz w:val="18"/>
                <w:szCs w:val="18"/>
              </w:rPr>
            </w:pPr>
            <w:r w:rsidRPr="0004176C">
              <w:rPr>
                <w:color w:val="000000"/>
                <w:sz w:val="18"/>
                <w:szCs w:val="18"/>
              </w:rPr>
              <w:t>Home Together</w:t>
            </w:r>
          </w:p>
        </w:tc>
        <w:tc>
          <w:tcPr>
            <w:tcW w:w="596" w:type="pct"/>
            <w:shd w:val="clear" w:color="auto" w:fill="auto"/>
            <w:vAlign w:val="center"/>
            <w:hideMark/>
          </w:tcPr>
          <w:p w14:paraId="490D5F82"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2115DB11"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E81D0AC"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52F4AD9" w14:textId="77777777" w:rsidR="00665586" w:rsidRPr="0004176C" w:rsidRDefault="00665586" w:rsidP="00665586">
            <w:pPr>
              <w:jc w:val="center"/>
              <w:rPr>
                <w:color w:val="000000"/>
                <w:sz w:val="18"/>
                <w:szCs w:val="18"/>
              </w:rPr>
            </w:pPr>
            <w:r w:rsidRPr="0004176C">
              <w:rPr>
                <w:color w:val="000000"/>
                <w:sz w:val="18"/>
                <w:szCs w:val="18"/>
              </w:rPr>
              <w:t>Family - New construction of two duplex buildings</w:t>
            </w:r>
          </w:p>
        </w:tc>
      </w:tr>
      <w:tr w:rsidR="00665586" w:rsidRPr="0004176C" w14:paraId="0D86B75E" w14:textId="77777777" w:rsidTr="00665586">
        <w:trPr>
          <w:trHeight w:val="480"/>
        </w:trPr>
        <w:tc>
          <w:tcPr>
            <w:tcW w:w="1326" w:type="pct"/>
            <w:shd w:val="clear" w:color="auto" w:fill="auto"/>
            <w:vAlign w:val="center"/>
            <w:hideMark/>
          </w:tcPr>
          <w:p w14:paraId="18DA3257" w14:textId="77777777" w:rsidR="00665586" w:rsidRPr="0004176C" w:rsidRDefault="00665586" w:rsidP="00665586">
            <w:pPr>
              <w:jc w:val="center"/>
              <w:rPr>
                <w:color w:val="000000"/>
                <w:sz w:val="18"/>
                <w:szCs w:val="18"/>
              </w:rPr>
            </w:pPr>
            <w:r w:rsidRPr="0004176C">
              <w:rPr>
                <w:color w:val="000000"/>
                <w:sz w:val="18"/>
                <w:szCs w:val="18"/>
              </w:rPr>
              <w:t>Hope in Action</w:t>
            </w:r>
          </w:p>
        </w:tc>
        <w:tc>
          <w:tcPr>
            <w:tcW w:w="596" w:type="pct"/>
            <w:shd w:val="clear" w:color="auto" w:fill="auto"/>
            <w:vAlign w:val="center"/>
            <w:hideMark/>
          </w:tcPr>
          <w:p w14:paraId="05C9ED14" w14:textId="77777777" w:rsidR="00665586" w:rsidRPr="0004176C" w:rsidRDefault="00665586" w:rsidP="00665586">
            <w:pPr>
              <w:jc w:val="center"/>
              <w:rPr>
                <w:color w:val="000000"/>
                <w:sz w:val="18"/>
                <w:szCs w:val="18"/>
              </w:rPr>
            </w:pPr>
            <w:r w:rsidRPr="0004176C">
              <w:rPr>
                <w:color w:val="000000"/>
                <w:sz w:val="18"/>
                <w:szCs w:val="18"/>
              </w:rPr>
              <w:t>49</w:t>
            </w:r>
          </w:p>
        </w:tc>
        <w:tc>
          <w:tcPr>
            <w:tcW w:w="674" w:type="pct"/>
            <w:shd w:val="clear" w:color="auto" w:fill="auto"/>
            <w:vAlign w:val="center"/>
            <w:hideMark/>
          </w:tcPr>
          <w:p w14:paraId="2E98D7F5"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8A1949E" w14:textId="77777777" w:rsidR="00665586" w:rsidRPr="0004176C" w:rsidRDefault="00665586" w:rsidP="00665586">
            <w:pPr>
              <w:jc w:val="center"/>
              <w:rPr>
                <w:color w:val="000000"/>
                <w:sz w:val="18"/>
                <w:szCs w:val="18"/>
              </w:rPr>
            </w:pPr>
            <w:r w:rsidRPr="0004176C">
              <w:rPr>
                <w:color w:val="000000"/>
                <w:sz w:val="18"/>
                <w:szCs w:val="18"/>
              </w:rPr>
              <w:t>Yes</w:t>
            </w:r>
          </w:p>
        </w:tc>
        <w:tc>
          <w:tcPr>
            <w:tcW w:w="1777" w:type="pct"/>
            <w:shd w:val="clear" w:color="auto" w:fill="auto"/>
            <w:vAlign w:val="center"/>
            <w:hideMark/>
          </w:tcPr>
          <w:p w14:paraId="29CF373C" w14:textId="77777777" w:rsidR="00665586" w:rsidRPr="0004176C" w:rsidRDefault="00665586" w:rsidP="00665586">
            <w:pPr>
              <w:jc w:val="center"/>
              <w:rPr>
                <w:color w:val="000000"/>
                <w:sz w:val="18"/>
                <w:szCs w:val="18"/>
              </w:rPr>
            </w:pPr>
            <w:r w:rsidRPr="0004176C">
              <w:rPr>
                <w:color w:val="000000"/>
                <w:sz w:val="18"/>
                <w:szCs w:val="18"/>
              </w:rPr>
              <w:t>RAD (Rent Supp) - Existing Family Housing - seven scattered sites/two towns</w:t>
            </w:r>
          </w:p>
        </w:tc>
      </w:tr>
      <w:tr w:rsidR="00665586" w:rsidRPr="0004176C" w14:paraId="5A52B1E3" w14:textId="77777777" w:rsidTr="00665586">
        <w:trPr>
          <w:trHeight w:val="240"/>
        </w:trPr>
        <w:tc>
          <w:tcPr>
            <w:tcW w:w="1326" w:type="pct"/>
            <w:shd w:val="clear" w:color="auto" w:fill="auto"/>
            <w:vAlign w:val="center"/>
            <w:hideMark/>
          </w:tcPr>
          <w:p w14:paraId="043537F7" w14:textId="77777777" w:rsidR="00665586" w:rsidRPr="0004176C" w:rsidRDefault="00665586" w:rsidP="00665586">
            <w:pPr>
              <w:jc w:val="center"/>
              <w:rPr>
                <w:color w:val="000000"/>
                <w:sz w:val="18"/>
                <w:szCs w:val="18"/>
              </w:rPr>
            </w:pPr>
            <w:r w:rsidRPr="0004176C">
              <w:rPr>
                <w:color w:val="000000"/>
                <w:sz w:val="18"/>
                <w:szCs w:val="18"/>
              </w:rPr>
              <w:t>Ingraham Place</w:t>
            </w:r>
          </w:p>
        </w:tc>
        <w:tc>
          <w:tcPr>
            <w:tcW w:w="596" w:type="pct"/>
            <w:shd w:val="clear" w:color="auto" w:fill="auto"/>
            <w:vAlign w:val="center"/>
            <w:hideMark/>
          </w:tcPr>
          <w:p w14:paraId="08B0B5A8"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E35A6F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B53A075"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23F880B" w14:textId="77777777" w:rsidR="00665586" w:rsidRPr="0004176C" w:rsidRDefault="00665586" w:rsidP="00665586">
            <w:pPr>
              <w:jc w:val="center"/>
              <w:rPr>
                <w:color w:val="000000"/>
                <w:sz w:val="18"/>
                <w:szCs w:val="18"/>
              </w:rPr>
            </w:pPr>
            <w:r w:rsidRPr="0004176C">
              <w:rPr>
                <w:color w:val="000000"/>
                <w:sz w:val="18"/>
                <w:szCs w:val="18"/>
              </w:rPr>
              <w:t>Supportive services</w:t>
            </w:r>
          </w:p>
        </w:tc>
      </w:tr>
      <w:tr w:rsidR="00665586" w:rsidRPr="0004176C" w14:paraId="0B43CD1C" w14:textId="77777777" w:rsidTr="00665586">
        <w:trPr>
          <w:trHeight w:val="480"/>
        </w:trPr>
        <w:tc>
          <w:tcPr>
            <w:tcW w:w="1326" w:type="pct"/>
            <w:shd w:val="clear" w:color="auto" w:fill="auto"/>
            <w:vAlign w:val="center"/>
            <w:hideMark/>
          </w:tcPr>
          <w:p w14:paraId="317F2B88" w14:textId="50D9196D" w:rsidR="00665586" w:rsidRPr="0004176C" w:rsidRDefault="00665586" w:rsidP="00665586">
            <w:pPr>
              <w:jc w:val="center"/>
              <w:rPr>
                <w:color w:val="000000"/>
                <w:sz w:val="18"/>
                <w:szCs w:val="18"/>
              </w:rPr>
            </w:pPr>
            <w:r w:rsidRPr="0004176C">
              <w:rPr>
                <w:color w:val="000000"/>
                <w:sz w:val="18"/>
                <w:szCs w:val="18"/>
              </w:rPr>
              <w:t>Island Creek North</w:t>
            </w:r>
          </w:p>
        </w:tc>
        <w:tc>
          <w:tcPr>
            <w:tcW w:w="596" w:type="pct"/>
            <w:shd w:val="clear" w:color="auto" w:fill="auto"/>
            <w:vAlign w:val="center"/>
            <w:hideMark/>
          </w:tcPr>
          <w:p w14:paraId="76B5D79F"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91DD916"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91DF13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CBC9F9B" w14:textId="33B15E23" w:rsidR="00665586" w:rsidRPr="0004176C" w:rsidRDefault="00665586" w:rsidP="00665586">
            <w:pPr>
              <w:jc w:val="center"/>
              <w:rPr>
                <w:color w:val="000000"/>
                <w:sz w:val="18"/>
                <w:szCs w:val="18"/>
              </w:rPr>
            </w:pPr>
            <w:r w:rsidRPr="0004176C">
              <w:rPr>
                <w:color w:val="000000"/>
                <w:sz w:val="18"/>
                <w:szCs w:val="18"/>
              </w:rPr>
              <w:t>Age-Restricted (55+ older) - New construction; one four-story building</w:t>
            </w:r>
          </w:p>
        </w:tc>
      </w:tr>
      <w:tr w:rsidR="00665586" w:rsidRPr="0004176C" w14:paraId="06263622" w14:textId="77777777" w:rsidTr="00665586">
        <w:trPr>
          <w:trHeight w:val="480"/>
        </w:trPr>
        <w:tc>
          <w:tcPr>
            <w:tcW w:w="1326" w:type="pct"/>
            <w:shd w:val="clear" w:color="auto" w:fill="auto"/>
            <w:vAlign w:val="center"/>
            <w:hideMark/>
          </w:tcPr>
          <w:p w14:paraId="43206FCE" w14:textId="77777777" w:rsidR="00665586" w:rsidRPr="0004176C" w:rsidRDefault="00665586" w:rsidP="00665586">
            <w:pPr>
              <w:jc w:val="center"/>
              <w:rPr>
                <w:color w:val="000000"/>
                <w:sz w:val="18"/>
                <w:szCs w:val="18"/>
              </w:rPr>
            </w:pPr>
            <w:r w:rsidRPr="0004176C">
              <w:rPr>
                <w:color w:val="000000"/>
                <w:sz w:val="18"/>
                <w:szCs w:val="18"/>
              </w:rPr>
              <w:t>Island Creek North/Age Unrestricted</w:t>
            </w:r>
          </w:p>
        </w:tc>
        <w:tc>
          <w:tcPr>
            <w:tcW w:w="596" w:type="pct"/>
            <w:shd w:val="clear" w:color="auto" w:fill="auto"/>
            <w:vAlign w:val="center"/>
            <w:hideMark/>
          </w:tcPr>
          <w:p w14:paraId="4E6E1A5C"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0F6242B"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DD68347"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97705CD" w14:textId="77777777" w:rsidR="00665586" w:rsidRPr="0004176C" w:rsidRDefault="00665586" w:rsidP="00665586">
            <w:pPr>
              <w:jc w:val="center"/>
              <w:rPr>
                <w:color w:val="000000"/>
                <w:sz w:val="18"/>
                <w:szCs w:val="18"/>
              </w:rPr>
            </w:pPr>
            <w:r w:rsidRPr="0004176C">
              <w:rPr>
                <w:color w:val="000000"/>
                <w:sz w:val="18"/>
                <w:szCs w:val="18"/>
              </w:rPr>
              <w:t>New construction - One four-story building; fitness center/community room</w:t>
            </w:r>
          </w:p>
        </w:tc>
      </w:tr>
      <w:tr w:rsidR="00665586" w:rsidRPr="0004176C" w14:paraId="76DBB7ED" w14:textId="77777777" w:rsidTr="00665586">
        <w:trPr>
          <w:trHeight w:val="480"/>
        </w:trPr>
        <w:tc>
          <w:tcPr>
            <w:tcW w:w="1326" w:type="pct"/>
            <w:shd w:val="clear" w:color="auto" w:fill="auto"/>
            <w:vAlign w:val="center"/>
          </w:tcPr>
          <w:p w14:paraId="02F773B9" w14:textId="77777777" w:rsidR="00665586" w:rsidRPr="0004176C" w:rsidRDefault="00665586" w:rsidP="00665586">
            <w:pPr>
              <w:jc w:val="center"/>
              <w:rPr>
                <w:sz w:val="18"/>
                <w:szCs w:val="18"/>
              </w:rPr>
            </w:pPr>
            <w:r w:rsidRPr="0004176C">
              <w:rPr>
                <w:sz w:val="18"/>
                <w:szCs w:val="18"/>
              </w:rPr>
              <w:t>Ivory Keys Apartments</w:t>
            </w:r>
          </w:p>
          <w:p w14:paraId="6A1F2A9D" w14:textId="77777777" w:rsidR="00665586" w:rsidRPr="0004176C" w:rsidRDefault="00665586" w:rsidP="00665586">
            <w:pPr>
              <w:jc w:val="center"/>
              <w:rPr>
                <w:color w:val="000000"/>
                <w:sz w:val="18"/>
                <w:szCs w:val="18"/>
              </w:rPr>
            </w:pPr>
            <w:r w:rsidRPr="0004176C">
              <w:rPr>
                <w:sz w:val="18"/>
                <w:szCs w:val="18"/>
              </w:rPr>
              <w:t>Leominster</w:t>
            </w:r>
          </w:p>
        </w:tc>
        <w:tc>
          <w:tcPr>
            <w:tcW w:w="596" w:type="pct"/>
            <w:shd w:val="clear" w:color="auto" w:fill="auto"/>
            <w:vAlign w:val="center"/>
          </w:tcPr>
          <w:p w14:paraId="48B2C1E6" w14:textId="77777777" w:rsidR="00665586" w:rsidRPr="0004176C" w:rsidRDefault="00665586" w:rsidP="00665586">
            <w:pPr>
              <w:jc w:val="center"/>
              <w:rPr>
                <w:color w:val="000000"/>
                <w:sz w:val="18"/>
                <w:szCs w:val="18"/>
              </w:rPr>
            </w:pPr>
            <w:r w:rsidRPr="0004176C">
              <w:rPr>
                <w:sz w:val="18"/>
                <w:szCs w:val="18"/>
              </w:rPr>
              <w:t>8</w:t>
            </w:r>
          </w:p>
        </w:tc>
        <w:tc>
          <w:tcPr>
            <w:tcW w:w="674" w:type="pct"/>
            <w:shd w:val="clear" w:color="auto" w:fill="auto"/>
            <w:vAlign w:val="center"/>
          </w:tcPr>
          <w:p w14:paraId="0CC55E83" w14:textId="77777777" w:rsidR="00665586" w:rsidRPr="0004176C" w:rsidRDefault="00665586" w:rsidP="00665586">
            <w:pPr>
              <w:jc w:val="center"/>
              <w:rPr>
                <w:sz w:val="18"/>
                <w:szCs w:val="18"/>
              </w:rPr>
            </w:pPr>
            <w:r w:rsidRPr="0004176C">
              <w:rPr>
                <w:sz w:val="18"/>
                <w:szCs w:val="18"/>
              </w:rPr>
              <w:t>Leased/Issued</w:t>
            </w:r>
          </w:p>
          <w:p w14:paraId="0AC785C9" w14:textId="77777777" w:rsidR="00665586" w:rsidRPr="0004176C" w:rsidRDefault="00665586" w:rsidP="00665586">
            <w:pPr>
              <w:jc w:val="center"/>
              <w:rPr>
                <w:color w:val="000000"/>
                <w:sz w:val="18"/>
                <w:szCs w:val="18"/>
              </w:rPr>
            </w:pPr>
          </w:p>
        </w:tc>
        <w:tc>
          <w:tcPr>
            <w:tcW w:w="627" w:type="pct"/>
            <w:shd w:val="clear" w:color="auto" w:fill="auto"/>
            <w:vAlign w:val="center"/>
          </w:tcPr>
          <w:p w14:paraId="23641A5B"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5253E096" w14:textId="77777777" w:rsidR="00665586" w:rsidRPr="0004176C" w:rsidRDefault="00665586" w:rsidP="00665586">
            <w:pPr>
              <w:jc w:val="center"/>
              <w:rPr>
                <w:color w:val="000000"/>
                <w:sz w:val="18"/>
                <w:szCs w:val="18"/>
              </w:rPr>
            </w:pPr>
            <w:r w:rsidRPr="0004176C">
              <w:rPr>
                <w:rFonts w:eastAsia="Calibri"/>
                <w:sz w:val="18"/>
                <w:szCs w:val="18"/>
              </w:rPr>
              <w:t>Substantial rehab of former piano factory; 4 family units and 4 reserved for disabled</w:t>
            </w:r>
          </w:p>
        </w:tc>
      </w:tr>
      <w:tr w:rsidR="00665586" w:rsidRPr="0004176C" w14:paraId="571B6AB2" w14:textId="77777777" w:rsidTr="00665586">
        <w:trPr>
          <w:trHeight w:val="240"/>
        </w:trPr>
        <w:tc>
          <w:tcPr>
            <w:tcW w:w="1326" w:type="pct"/>
            <w:shd w:val="clear" w:color="auto" w:fill="auto"/>
            <w:vAlign w:val="center"/>
            <w:hideMark/>
          </w:tcPr>
          <w:p w14:paraId="662BEC57" w14:textId="77777777" w:rsidR="00665586" w:rsidRPr="0004176C" w:rsidRDefault="00665586" w:rsidP="00665586">
            <w:pPr>
              <w:jc w:val="center"/>
              <w:rPr>
                <w:color w:val="000000"/>
                <w:sz w:val="18"/>
                <w:szCs w:val="18"/>
              </w:rPr>
            </w:pPr>
            <w:r w:rsidRPr="0004176C">
              <w:rPr>
                <w:color w:val="000000"/>
                <w:sz w:val="18"/>
                <w:szCs w:val="18"/>
              </w:rPr>
              <w:t>Jackson Commons</w:t>
            </w:r>
          </w:p>
        </w:tc>
        <w:tc>
          <w:tcPr>
            <w:tcW w:w="596" w:type="pct"/>
            <w:shd w:val="clear" w:color="auto" w:fill="auto"/>
            <w:vAlign w:val="center"/>
            <w:hideMark/>
          </w:tcPr>
          <w:p w14:paraId="3E16BF84"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09BDF2B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715F096"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FBB7F9B" w14:textId="77777777" w:rsidR="00665586" w:rsidRPr="0004176C" w:rsidRDefault="00665586" w:rsidP="00665586">
            <w:pPr>
              <w:jc w:val="center"/>
              <w:rPr>
                <w:color w:val="000000"/>
                <w:sz w:val="18"/>
                <w:szCs w:val="18"/>
              </w:rPr>
            </w:pPr>
            <w:r w:rsidRPr="0004176C">
              <w:rPr>
                <w:color w:val="000000"/>
                <w:sz w:val="18"/>
                <w:szCs w:val="18"/>
              </w:rPr>
              <w:t>Family - New construction of four-story building</w:t>
            </w:r>
          </w:p>
        </w:tc>
      </w:tr>
      <w:tr w:rsidR="00665586" w:rsidRPr="0004176C" w14:paraId="4932F821" w14:textId="77777777" w:rsidTr="00665586">
        <w:trPr>
          <w:trHeight w:val="240"/>
        </w:trPr>
        <w:tc>
          <w:tcPr>
            <w:tcW w:w="1326" w:type="pct"/>
            <w:shd w:val="clear" w:color="auto" w:fill="auto"/>
            <w:vAlign w:val="center"/>
            <w:hideMark/>
          </w:tcPr>
          <w:p w14:paraId="51D92593" w14:textId="77777777" w:rsidR="00665586" w:rsidRPr="0004176C" w:rsidRDefault="00665586" w:rsidP="00665586">
            <w:pPr>
              <w:jc w:val="center"/>
              <w:rPr>
                <w:color w:val="000000"/>
                <w:sz w:val="18"/>
                <w:szCs w:val="18"/>
              </w:rPr>
            </w:pPr>
            <w:r w:rsidRPr="0004176C">
              <w:rPr>
                <w:color w:val="000000"/>
                <w:sz w:val="18"/>
                <w:szCs w:val="18"/>
              </w:rPr>
              <w:t>Janus Highlands</w:t>
            </w:r>
          </w:p>
        </w:tc>
        <w:tc>
          <w:tcPr>
            <w:tcW w:w="596" w:type="pct"/>
            <w:shd w:val="clear" w:color="auto" w:fill="auto"/>
            <w:vAlign w:val="center"/>
            <w:hideMark/>
          </w:tcPr>
          <w:p w14:paraId="12835C5C"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547AF4B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C0BBCCC"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956922F"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6E74D018" w14:textId="77777777" w:rsidTr="00665586">
        <w:trPr>
          <w:trHeight w:val="240"/>
        </w:trPr>
        <w:tc>
          <w:tcPr>
            <w:tcW w:w="1326" w:type="pct"/>
            <w:shd w:val="clear" w:color="auto" w:fill="auto"/>
            <w:vAlign w:val="center"/>
            <w:hideMark/>
          </w:tcPr>
          <w:p w14:paraId="4365E8C6" w14:textId="77777777" w:rsidR="00665586" w:rsidRPr="0004176C" w:rsidRDefault="00665586" w:rsidP="00665586">
            <w:pPr>
              <w:jc w:val="center"/>
              <w:rPr>
                <w:color w:val="000000"/>
                <w:sz w:val="18"/>
                <w:szCs w:val="18"/>
              </w:rPr>
            </w:pPr>
            <w:r w:rsidRPr="0004176C">
              <w:rPr>
                <w:color w:val="000000"/>
                <w:sz w:val="18"/>
                <w:szCs w:val="18"/>
              </w:rPr>
              <w:t>Jewel Crossing, North Attleboro</w:t>
            </w:r>
          </w:p>
        </w:tc>
        <w:tc>
          <w:tcPr>
            <w:tcW w:w="596" w:type="pct"/>
            <w:shd w:val="clear" w:color="auto" w:fill="auto"/>
            <w:vAlign w:val="center"/>
            <w:hideMark/>
          </w:tcPr>
          <w:p w14:paraId="379FC527"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075B3F1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290FC1F"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F252122" w14:textId="77777777" w:rsidR="00665586" w:rsidRPr="0004176C" w:rsidRDefault="00665586" w:rsidP="00665586">
            <w:pPr>
              <w:jc w:val="center"/>
              <w:rPr>
                <w:color w:val="000000"/>
                <w:sz w:val="18"/>
                <w:szCs w:val="18"/>
              </w:rPr>
            </w:pPr>
            <w:r w:rsidRPr="0004176C">
              <w:rPr>
                <w:color w:val="000000"/>
                <w:sz w:val="18"/>
                <w:szCs w:val="18"/>
              </w:rPr>
              <w:t>Family - New construction; mixed income</w:t>
            </w:r>
          </w:p>
        </w:tc>
      </w:tr>
      <w:tr w:rsidR="00665586" w:rsidRPr="0004176C" w14:paraId="480B6B2C" w14:textId="77777777" w:rsidTr="00665586">
        <w:trPr>
          <w:trHeight w:val="240"/>
        </w:trPr>
        <w:tc>
          <w:tcPr>
            <w:tcW w:w="1326" w:type="pct"/>
            <w:shd w:val="clear" w:color="auto" w:fill="auto"/>
            <w:vAlign w:val="center"/>
            <w:hideMark/>
          </w:tcPr>
          <w:p w14:paraId="12601225" w14:textId="77777777" w:rsidR="00665586" w:rsidRPr="0004176C" w:rsidRDefault="00665586" w:rsidP="00665586">
            <w:pPr>
              <w:jc w:val="center"/>
              <w:rPr>
                <w:color w:val="000000"/>
                <w:sz w:val="18"/>
                <w:szCs w:val="18"/>
              </w:rPr>
            </w:pPr>
            <w:r w:rsidRPr="0004176C">
              <w:rPr>
                <w:color w:val="000000"/>
                <w:sz w:val="18"/>
                <w:szCs w:val="18"/>
              </w:rPr>
              <w:t>Kaszanek House, Malden</w:t>
            </w:r>
          </w:p>
        </w:tc>
        <w:tc>
          <w:tcPr>
            <w:tcW w:w="596" w:type="pct"/>
            <w:shd w:val="clear" w:color="auto" w:fill="auto"/>
            <w:vAlign w:val="center"/>
            <w:hideMark/>
          </w:tcPr>
          <w:p w14:paraId="0AA4DECD"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2040B47"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0319476"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9193B79" w14:textId="77777777" w:rsidR="00665586" w:rsidRPr="0004176C" w:rsidRDefault="00665586" w:rsidP="00665586">
            <w:pPr>
              <w:jc w:val="center"/>
              <w:rPr>
                <w:color w:val="000000"/>
                <w:sz w:val="18"/>
                <w:szCs w:val="18"/>
              </w:rPr>
            </w:pPr>
            <w:r w:rsidRPr="0004176C">
              <w:rPr>
                <w:color w:val="000000"/>
                <w:sz w:val="18"/>
                <w:szCs w:val="18"/>
              </w:rPr>
              <w:t>Rehab of 11-unit SRO facility with a homeless preference</w:t>
            </w:r>
          </w:p>
        </w:tc>
      </w:tr>
      <w:tr w:rsidR="00665586" w:rsidRPr="0004176C" w14:paraId="75B29758" w14:textId="77777777" w:rsidTr="00665586">
        <w:trPr>
          <w:trHeight w:val="240"/>
        </w:trPr>
        <w:tc>
          <w:tcPr>
            <w:tcW w:w="1326" w:type="pct"/>
            <w:shd w:val="clear" w:color="auto" w:fill="auto"/>
            <w:vAlign w:val="center"/>
            <w:hideMark/>
          </w:tcPr>
          <w:p w14:paraId="791B4522" w14:textId="77777777" w:rsidR="00665586" w:rsidRPr="0004176C" w:rsidRDefault="00665586" w:rsidP="00665586">
            <w:pPr>
              <w:jc w:val="center"/>
              <w:rPr>
                <w:color w:val="000000"/>
                <w:sz w:val="18"/>
                <w:szCs w:val="18"/>
              </w:rPr>
            </w:pPr>
            <w:r w:rsidRPr="0004176C">
              <w:rPr>
                <w:color w:val="000000"/>
                <w:sz w:val="18"/>
                <w:szCs w:val="18"/>
              </w:rPr>
              <w:t>Kendrigan Place</w:t>
            </w:r>
          </w:p>
        </w:tc>
        <w:tc>
          <w:tcPr>
            <w:tcW w:w="596" w:type="pct"/>
            <w:shd w:val="clear" w:color="auto" w:fill="auto"/>
            <w:vAlign w:val="center"/>
            <w:hideMark/>
          </w:tcPr>
          <w:p w14:paraId="26381480"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507742BF"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A4887D6"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B8FC62E" w14:textId="77777777" w:rsidR="00665586" w:rsidRPr="0004176C" w:rsidRDefault="00665586" w:rsidP="00665586">
            <w:pPr>
              <w:jc w:val="center"/>
              <w:rPr>
                <w:color w:val="000000"/>
                <w:sz w:val="18"/>
                <w:szCs w:val="18"/>
              </w:rPr>
            </w:pPr>
            <w:r w:rsidRPr="0004176C">
              <w:rPr>
                <w:color w:val="000000"/>
                <w:sz w:val="18"/>
                <w:szCs w:val="18"/>
              </w:rPr>
              <w:t>Family - Rehab of existing six-story building</w:t>
            </w:r>
          </w:p>
        </w:tc>
      </w:tr>
      <w:tr w:rsidR="00665586" w:rsidRPr="0004176C" w14:paraId="5167F878" w14:textId="77777777" w:rsidTr="00665586">
        <w:trPr>
          <w:trHeight w:val="480"/>
        </w:trPr>
        <w:tc>
          <w:tcPr>
            <w:tcW w:w="1326" w:type="pct"/>
            <w:shd w:val="clear" w:color="auto" w:fill="auto"/>
            <w:vAlign w:val="center"/>
          </w:tcPr>
          <w:p w14:paraId="5F64F37E" w14:textId="77777777" w:rsidR="00665586" w:rsidRPr="0004176C" w:rsidRDefault="00665586" w:rsidP="00665586">
            <w:pPr>
              <w:jc w:val="center"/>
              <w:rPr>
                <w:sz w:val="18"/>
                <w:szCs w:val="18"/>
              </w:rPr>
            </w:pPr>
            <w:r w:rsidRPr="0004176C">
              <w:rPr>
                <w:sz w:val="18"/>
                <w:szCs w:val="18"/>
              </w:rPr>
              <w:t>Kennedy Building Apts.,</w:t>
            </w:r>
          </w:p>
          <w:p w14:paraId="3EDE1199" w14:textId="77777777" w:rsidR="00665586" w:rsidRPr="0004176C" w:rsidRDefault="00665586" w:rsidP="00665586">
            <w:pPr>
              <w:jc w:val="center"/>
              <w:rPr>
                <w:color w:val="000000"/>
                <w:sz w:val="18"/>
                <w:szCs w:val="18"/>
              </w:rPr>
            </w:pPr>
            <w:r w:rsidRPr="0004176C">
              <w:rPr>
                <w:sz w:val="18"/>
                <w:szCs w:val="18"/>
              </w:rPr>
              <w:t>Hanover</w:t>
            </w:r>
          </w:p>
        </w:tc>
        <w:tc>
          <w:tcPr>
            <w:tcW w:w="596" w:type="pct"/>
            <w:shd w:val="clear" w:color="auto" w:fill="auto"/>
            <w:vAlign w:val="center"/>
          </w:tcPr>
          <w:p w14:paraId="6855F8D7" w14:textId="77777777" w:rsidR="00665586" w:rsidRPr="0004176C" w:rsidRDefault="00665586" w:rsidP="00665586">
            <w:pPr>
              <w:jc w:val="center"/>
              <w:rPr>
                <w:color w:val="000000"/>
                <w:sz w:val="18"/>
                <w:szCs w:val="18"/>
              </w:rPr>
            </w:pPr>
            <w:r w:rsidRPr="0004176C">
              <w:rPr>
                <w:sz w:val="18"/>
                <w:szCs w:val="18"/>
              </w:rPr>
              <w:t>4</w:t>
            </w:r>
          </w:p>
        </w:tc>
        <w:tc>
          <w:tcPr>
            <w:tcW w:w="674" w:type="pct"/>
            <w:shd w:val="clear" w:color="auto" w:fill="auto"/>
            <w:vAlign w:val="center"/>
          </w:tcPr>
          <w:p w14:paraId="45383D47" w14:textId="77777777" w:rsidR="00665586" w:rsidRPr="0004176C" w:rsidRDefault="00665586" w:rsidP="00665586">
            <w:pPr>
              <w:jc w:val="center"/>
              <w:rPr>
                <w:sz w:val="18"/>
                <w:szCs w:val="18"/>
              </w:rPr>
            </w:pPr>
            <w:r w:rsidRPr="0004176C">
              <w:rPr>
                <w:sz w:val="18"/>
                <w:szCs w:val="18"/>
              </w:rPr>
              <w:t>Leased/Issued</w:t>
            </w:r>
          </w:p>
          <w:p w14:paraId="19939939" w14:textId="77777777" w:rsidR="00665586" w:rsidRPr="0004176C" w:rsidRDefault="00665586" w:rsidP="00665586">
            <w:pPr>
              <w:jc w:val="center"/>
              <w:rPr>
                <w:color w:val="000000"/>
                <w:sz w:val="18"/>
                <w:szCs w:val="18"/>
              </w:rPr>
            </w:pPr>
          </w:p>
        </w:tc>
        <w:tc>
          <w:tcPr>
            <w:tcW w:w="627" w:type="pct"/>
            <w:shd w:val="clear" w:color="auto" w:fill="auto"/>
            <w:vAlign w:val="center"/>
          </w:tcPr>
          <w:p w14:paraId="4E69DDAC"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4E69F1A4" w14:textId="77777777" w:rsidR="00665586" w:rsidRPr="0004176C" w:rsidRDefault="00665586" w:rsidP="00665586">
            <w:pPr>
              <w:jc w:val="center"/>
              <w:rPr>
                <w:color w:val="000000"/>
                <w:sz w:val="18"/>
                <w:szCs w:val="18"/>
              </w:rPr>
            </w:pPr>
            <w:r w:rsidRPr="0004176C">
              <w:rPr>
                <w:sz w:val="18"/>
                <w:szCs w:val="18"/>
              </w:rPr>
              <w:t>Family. New construction</w:t>
            </w:r>
          </w:p>
        </w:tc>
      </w:tr>
      <w:tr w:rsidR="00665586" w:rsidRPr="0004176C" w14:paraId="77ECE8AD" w14:textId="77777777" w:rsidTr="00665586">
        <w:trPr>
          <w:trHeight w:val="240"/>
        </w:trPr>
        <w:tc>
          <w:tcPr>
            <w:tcW w:w="1326" w:type="pct"/>
            <w:shd w:val="clear" w:color="auto" w:fill="auto"/>
            <w:vAlign w:val="center"/>
            <w:hideMark/>
          </w:tcPr>
          <w:p w14:paraId="1CB3EFE8" w14:textId="77777777" w:rsidR="00665586" w:rsidRPr="0004176C" w:rsidRDefault="00665586" w:rsidP="00665586">
            <w:pPr>
              <w:jc w:val="center"/>
              <w:rPr>
                <w:color w:val="000000"/>
                <w:sz w:val="18"/>
                <w:szCs w:val="18"/>
              </w:rPr>
            </w:pPr>
            <w:r w:rsidRPr="0004176C">
              <w:rPr>
                <w:color w:val="000000"/>
                <w:sz w:val="18"/>
                <w:szCs w:val="18"/>
              </w:rPr>
              <w:t>Kensington Court @ Lakeville Station</w:t>
            </w:r>
          </w:p>
        </w:tc>
        <w:tc>
          <w:tcPr>
            <w:tcW w:w="596" w:type="pct"/>
            <w:shd w:val="clear" w:color="auto" w:fill="auto"/>
            <w:vAlign w:val="center"/>
            <w:hideMark/>
          </w:tcPr>
          <w:p w14:paraId="3E0768BB"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D49926B"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A82ED76"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BDC9280"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1846BB7A" w14:textId="77777777" w:rsidTr="00665586">
        <w:trPr>
          <w:trHeight w:val="240"/>
        </w:trPr>
        <w:tc>
          <w:tcPr>
            <w:tcW w:w="1326" w:type="pct"/>
            <w:shd w:val="clear" w:color="auto" w:fill="auto"/>
            <w:vAlign w:val="center"/>
            <w:hideMark/>
          </w:tcPr>
          <w:p w14:paraId="56A72D2E" w14:textId="77777777" w:rsidR="00665586" w:rsidRPr="0004176C" w:rsidRDefault="00665586" w:rsidP="00665586">
            <w:pPr>
              <w:jc w:val="center"/>
              <w:rPr>
                <w:color w:val="000000"/>
                <w:sz w:val="18"/>
                <w:szCs w:val="18"/>
              </w:rPr>
            </w:pPr>
            <w:r w:rsidRPr="0004176C">
              <w:rPr>
                <w:color w:val="000000"/>
                <w:sz w:val="18"/>
                <w:szCs w:val="18"/>
              </w:rPr>
              <w:t>KGH Phase 4</w:t>
            </w:r>
          </w:p>
        </w:tc>
        <w:tc>
          <w:tcPr>
            <w:tcW w:w="596" w:type="pct"/>
            <w:shd w:val="clear" w:color="auto" w:fill="auto"/>
            <w:vAlign w:val="center"/>
            <w:hideMark/>
          </w:tcPr>
          <w:p w14:paraId="667D331F" w14:textId="77777777" w:rsidR="00665586" w:rsidRPr="0004176C" w:rsidRDefault="00665586" w:rsidP="00665586">
            <w:pPr>
              <w:jc w:val="center"/>
              <w:rPr>
                <w:color w:val="000000"/>
                <w:sz w:val="18"/>
                <w:szCs w:val="18"/>
              </w:rPr>
            </w:pPr>
            <w:r w:rsidRPr="0004176C">
              <w:rPr>
                <w:color w:val="000000"/>
                <w:sz w:val="18"/>
                <w:szCs w:val="18"/>
              </w:rPr>
              <w:t>5</w:t>
            </w:r>
          </w:p>
        </w:tc>
        <w:tc>
          <w:tcPr>
            <w:tcW w:w="674" w:type="pct"/>
            <w:shd w:val="clear" w:color="auto" w:fill="auto"/>
            <w:vAlign w:val="center"/>
            <w:hideMark/>
          </w:tcPr>
          <w:p w14:paraId="6C1F1E4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0DA5B59"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3EF240C"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574EB6D0" w14:textId="77777777" w:rsidTr="00665586">
        <w:trPr>
          <w:trHeight w:val="240"/>
        </w:trPr>
        <w:tc>
          <w:tcPr>
            <w:tcW w:w="1326" w:type="pct"/>
            <w:shd w:val="clear" w:color="auto" w:fill="auto"/>
            <w:vAlign w:val="center"/>
            <w:hideMark/>
          </w:tcPr>
          <w:p w14:paraId="6C92F176" w14:textId="77777777" w:rsidR="00665586" w:rsidRPr="0004176C" w:rsidRDefault="00665586" w:rsidP="00665586">
            <w:pPr>
              <w:jc w:val="center"/>
              <w:rPr>
                <w:color w:val="000000"/>
                <w:sz w:val="18"/>
                <w:szCs w:val="18"/>
              </w:rPr>
            </w:pPr>
            <w:r w:rsidRPr="0004176C">
              <w:rPr>
                <w:color w:val="000000"/>
                <w:sz w:val="18"/>
                <w:szCs w:val="18"/>
              </w:rPr>
              <w:t>King Street</w:t>
            </w:r>
          </w:p>
        </w:tc>
        <w:tc>
          <w:tcPr>
            <w:tcW w:w="596" w:type="pct"/>
            <w:shd w:val="clear" w:color="auto" w:fill="auto"/>
            <w:vAlign w:val="center"/>
            <w:hideMark/>
          </w:tcPr>
          <w:p w14:paraId="5C463A45" w14:textId="77777777" w:rsidR="00665586" w:rsidRPr="0004176C" w:rsidRDefault="00665586" w:rsidP="00665586">
            <w:pPr>
              <w:jc w:val="center"/>
              <w:rPr>
                <w:color w:val="000000"/>
                <w:sz w:val="18"/>
                <w:szCs w:val="18"/>
              </w:rPr>
            </w:pPr>
            <w:r w:rsidRPr="0004176C">
              <w:rPr>
                <w:color w:val="000000"/>
                <w:sz w:val="18"/>
                <w:szCs w:val="18"/>
              </w:rPr>
              <w:t>5</w:t>
            </w:r>
          </w:p>
        </w:tc>
        <w:tc>
          <w:tcPr>
            <w:tcW w:w="674" w:type="pct"/>
            <w:shd w:val="clear" w:color="auto" w:fill="auto"/>
            <w:vAlign w:val="center"/>
            <w:hideMark/>
          </w:tcPr>
          <w:p w14:paraId="0D365365"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829F380"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C6F5CF9" w14:textId="77777777" w:rsidR="00665586" w:rsidRPr="0004176C" w:rsidRDefault="00665586" w:rsidP="00665586">
            <w:pPr>
              <w:jc w:val="center"/>
              <w:rPr>
                <w:color w:val="000000"/>
                <w:sz w:val="18"/>
                <w:szCs w:val="18"/>
              </w:rPr>
            </w:pPr>
            <w:r w:rsidRPr="0004176C">
              <w:rPr>
                <w:color w:val="000000"/>
                <w:sz w:val="18"/>
                <w:szCs w:val="18"/>
              </w:rPr>
              <w:t>Supportive services</w:t>
            </w:r>
          </w:p>
        </w:tc>
      </w:tr>
      <w:tr w:rsidR="00665586" w:rsidRPr="0004176C" w14:paraId="621E780A" w14:textId="77777777" w:rsidTr="00665586">
        <w:trPr>
          <w:trHeight w:val="480"/>
        </w:trPr>
        <w:tc>
          <w:tcPr>
            <w:tcW w:w="1326" w:type="pct"/>
            <w:shd w:val="clear" w:color="auto" w:fill="auto"/>
            <w:vAlign w:val="center"/>
            <w:hideMark/>
          </w:tcPr>
          <w:p w14:paraId="01C83B3C" w14:textId="77777777" w:rsidR="00665586" w:rsidRPr="0004176C" w:rsidRDefault="00665586" w:rsidP="00665586">
            <w:pPr>
              <w:jc w:val="center"/>
              <w:rPr>
                <w:color w:val="000000"/>
                <w:sz w:val="18"/>
                <w:szCs w:val="18"/>
              </w:rPr>
            </w:pPr>
            <w:r w:rsidRPr="0004176C">
              <w:rPr>
                <w:color w:val="000000"/>
                <w:sz w:val="18"/>
                <w:szCs w:val="18"/>
              </w:rPr>
              <w:t>Kings Landing</w:t>
            </w:r>
          </w:p>
        </w:tc>
        <w:tc>
          <w:tcPr>
            <w:tcW w:w="596" w:type="pct"/>
            <w:shd w:val="clear" w:color="auto" w:fill="auto"/>
            <w:vAlign w:val="center"/>
            <w:hideMark/>
          </w:tcPr>
          <w:p w14:paraId="79950EF6" w14:textId="77777777" w:rsidR="00665586" w:rsidRPr="0004176C" w:rsidRDefault="00665586" w:rsidP="00665586">
            <w:pPr>
              <w:jc w:val="center"/>
              <w:rPr>
                <w:color w:val="000000"/>
                <w:sz w:val="18"/>
                <w:szCs w:val="18"/>
              </w:rPr>
            </w:pPr>
            <w:r w:rsidRPr="0004176C">
              <w:rPr>
                <w:color w:val="000000"/>
                <w:sz w:val="18"/>
                <w:szCs w:val="18"/>
              </w:rPr>
              <w:t>78</w:t>
            </w:r>
          </w:p>
        </w:tc>
        <w:tc>
          <w:tcPr>
            <w:tcW w:w="674" w:type="pct"/>
            <w:shd w:val="clear" w:color="auto" w:fill="auto"/>
            <w:vAlign w:val="center"/>
            <w:hideMark/>
          </w:tcPr>
          <w:p w14:paraId="666BECF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56F1C18"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295A66D" w14:textId="77777777" w:rsidR="00665586" w:rsidRPr="0004176C" w:rsidRDefault="00665586" w:rsidP="00665586">
            <w:pPr>
              <w:jc w:val="center"/>
              <w:rPr>
                <w:color w:val="000000"/>
                <w:sz w:val="18"/>
                <w:szCs w:val="18"/>
              </w:rPr>
            </w:pPr>
            <w:r w:rsidRPr="0004176C">
              <w:rPr>
                <w:color w:val="000000"/>
                <w:sz w:val="18"/>
                <w:szCs w:val="18"/>
              </w:rPr>
              <w:t>Expiring Use Project - Family - 78 out of 108 EVs converted to PBVs</w:t>
            </w:r>
          </w:p>
        </w:tc>
      </w:tr>
      <w:tr w:rsidR="00665586" w:rsidRPr="0004176C" w14:paraId="54123D10" w14:textId="77777777" w:rsidTr="00665586">
        <w:trPr>
          <w:trHeight w:val="240"/>
        </w:trPr>
        <w:tc>
          <w:tcPr>
            <w:tcW w:w="1326" w:type="pct"/>
            <w:shd w:val="clear" w:color="auto" w:fill="auto"/>
            <w:vAlign w:val="center"/>
            <w:hideMark/>
          </w:tcPr>
          <w:p w14:paraId="45F00CAC" w14:textId="77777777" w:rsidR="00665586" w:rsidRPr="0004176C" w:rsidRDefault="00665586" w:rsidP="00665586">
            <w:pPr>
              <w:jc w:val="center"/>
              <w:rPr>
                <w:color w:val="000000"/>
                <w:sz w:val="18"/>
                <w:szCs w:val="18"/>
              </w:rPr>
            </w:pPr>
            <w:r w:rsidRPr="0004176C">
              <w:rPr>
                <w:color w:val="000000"/>
                <w:sz w:val="18"/>
                <w:szCs w:val="18"/>
              </w:rPr>
              <w:t>Knitting Mill Apartments</w:t>
            </w:r>
          </w:p>
        </w:tc>
        <w:tc>
          <w:tcPr>
            <w:tcW w:w="596" w:type="pct"/>
            <w:shd w:val="clear" w:color="auto" w:fill="auto"/>
            <w:vAlign w:val="center"/>
            <w:hideMark/>
          </w:tcPr>
          <w:p w14:paraId="2522F1AF"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489EA030" w14:textId="77777777" w:rsidR="00665586" w:rsidRPr="0004176C" w:rsidRDefault="00665586" w:rsidP="00665586">
            <w:pPr>
              <w:jc w:val="center"/>
              <w:rPr>
                <w:color w:val="000000"/>
                <w:sz w:val="18"/>
                <w:szCs w:val="18"/>
              </w:rPr>
            </w:pPr>
            <w:r w:rsidRPr="0004176C">
              <w:rPr>
                <w:color w:val="000000"/>
                <w:sz w:val="18"/>
                <w:szCs w:val="18"/>
              </w:rPr>
              <w:t>Committed</w:t>
            </w:r>
          </w:p>
        </w:tc>
        <w:tc>
          <w:tcPr>
            <w:tcW w:w="627" w:type="pct"/>
            <w:shd w:val="clear" w:color="auto" w:fill="auto"/>
            <w:vAlign w:val="center"/>
            <w:hideMark/>
          </w:tcPr>
          <w:p w14:paraId="08743492"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D11846D" w14:textId="77777777" w:rsidR="00665586" w:rsidRPr="0004176C" w:rsidRDefault="00665586" w:rsidP="00665586">
            <w:pPr>
              <w:jc w:val="center"/>
              <w:rPr>
                <w:color w:val="000000"/>
                <w:sz w:val="18"/>
                <w:szCs w:val="18"/>
              </w:rPr>
            </w:pPr>
            <w:r w:rsidRPr="0004176C">
              <w:rPr>
                <w:color w:val="000000"/>
                <w:sz w:val="18"/>
                <w:szCs w:val="18"/>
              </w:rPr>
              <w:t>New construction</w:t>
            </w:r>
          </w:p>
        </w:tc>
      </w:tr>
      <w:tr w:rsidR="00665586" w:rsidRPr="0004176C" w14:paraId="7DB835A7" w14:textId="77777777" w:rsidTr="00665586">
        <w:trPr>
          <w:trHeight w:val="240"/>
        </w:trPr>
        <w:tc>
          <w:tcPr>
            <w:tcW w:w="1326" w:type="pct"/>
            <w:shd w:val="clear" w:color="auto" w:fill="auto"/>
            <w:vAlign w:val="center"/>
            <w:hideMark/>
          </w:tcPr>
          <w:p w14:paraId="5ABD6534" w14:textId="77777777" w:rsidR="00665586" w:rsidRPr="0004176C" w:rsidRDefault="00665586" w:rsidP="00665586">
            <w:pPr>
              <w:jc w:val="center"/>
              <w:rPr>
                <w:color w:val="000000"/>
                <w:sz w:val="18"/>
                <w:szCs w:val="18"/>
              </w:rPr>
            </w:pPr>
            <w:r w:rsidRPr="0004176C">
              <w:rPr>
                <w:color w:val="000000"/>
                <w:sz w:val="18"/>
                <w:szCs w:val="18"/>
              </w:rPr>
              <w:t>Lafayette Housing</w:t>
            </w:r>
          </w:p>
        </w:tc>
        <w:tc>
          <w:tcPr>
            <w:tcW w:w="596" w:type="pct"/>
            <w:shd w:val="clear" w:color="auto" w:fill="auto"/>
            <w:vAlign w:val="center"/>
            <w:hideMark/>
          </w:tcPr>
          <w:p w14:paraId="2EE0664A"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1C0FC06"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391558A"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98B3D37" w14:textId="77777777" w:rsidR="00665586" w:rsidRPr="0004176C" w:rsidRDefault="00665586" w:rsidP="00665586">
            <w:pPr>
              <w:jc w:val="center"/>
              <w:rPr>
                <w:color w:val="000000"/>
                <w:sz w:val="18"/>
                <w:szCs w:val="18"/>
              </w:rPr>
            </w:pPr>
            <w:r w:rsidRPr="0004176C">
              <w:rPr>
                <w:color w:val="000000"/>
                <w:sz w:val="18"/>
                <w:szCs w:val="18"/>
              </w:rPr>
              <w:t>Family units; 10 Congress Street, 3-13 Prince Street Place</w:t>
            </w:r>
          </w:p>
        </w:tc>
      </w:tr>
      <w:tr w:rsidR="00665586" w:rsidRPr="0004176C" w14:paraId="1022FD1D" w14:textId="77777777" w:rsidTr="00665586">
        <w:trPr>
          <w:trHeight w:val="480"/>
        </w:trPr>
        <w:tc>
          <w:tcPr>
            <w:tcW w:w="1326" w:type="pct"/>
            <w:shd w:val="clear" w:color="auto" w:fill="auto"/>
            <w:vAlign w:val="center"/>
          </w:tcPr>
          <w:p w14:paraId="486AC203" w14:textId="77777777" w:rsidR="00665586" w:rsidRPr="0004176C" w:rsidRDefault="00665586" w:rsidP="00665586">
            <w:pPr>
              <w:jc w:val="center"/>
              <w:rPr>
                <w:sz w:val="18"/>
                <w:szCs w:val="18"/>
              </w:rPr>
            </w:pPr>
            <w:r w:rsidRPr="0004176C">
              <w:rPr>
                <w:sz w:val="18"/>
                <w:szCs w:val="18"/>
              </w:rPr>
              <w:t>Lawson Green Apartments</w:t>
            </w:r>
          </w:p>
          <w:p w14:paraId="1EEF3D3C" w14:textId="4EB31CF5" w:rsidR="00665586" w:rsidRPr="0004176C" w:rsidRDefault="00665586" w:rsidP="00665586">
            <w:pPr>
              <w:jc w:val="center"/>
              <w:rPr>
                <w:sz w:val="18"/>
                <w:szCs w:val="18"/>
              </w:rPr>
            </w:pPr>
            <w:r w:rsidRPr="0004176C">
              <w:rPr>
                <w:sz w:val="18"/>
                <w:szCs w:val="18"/>
              </w:rPr>
              <w:t>Scituate **</w:t>
            </w:r>
          </w:p>
        </w:tc>
        <w:tc>
          <w:tcPr>
            <w:tcW w:w="596" w:type="pct"/>
            <w:shd w:val="clear" w:color="auto" w:fill="auto"/>
            <w:vAlign w:val="center"/>
          </w:tcPr>
          <w:p w14:paraId="5B0CDA1F"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1718C15D"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2BBEC80E"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510D8E90" w14:textId="77777777" w:rsidR="00665586" w:rsidRPr="0004176C" w:rsidRDefault="00665586" w:rsidP="00665586">
            <w:pPr>
              <w:jc w:val="center"/>
              <w:rPr>
                <w:sz w:val="18"/>
                <w:szCs w:val="18"/>
              </w:rPr>
            </w:pPr>
            <w:r w:rsidRPr="0004176C">
              <w:rPr>
                <w:sz w:val="18"/>
                <w:szCs w:val="18"/>
              </w:rPr>
              <w:t>New Construction – Senior Housing</w:t>
            </w:r>
          </w:p>
        </w:tc>
      </w:tr>
      <w:tr w:rsidR="00665586" w:rsidRPr="0004176C" w14:paraId="3D429189" w14:textId="77777777" w:rsidTr="00665586">
        <w:trPr>
          <w:trHeight w:val="480"/>
        </w:trPr>
        <w:tc>
          <w:tcPr>
            <w:tcW w:w="1326" w:type="pct"/>
            <w:shd w:val="clear" w:color="auto" w:fill="auto"/>
            <w:vAlign w:val="center"/>
            <w:hideMark/>
          </w:tcPr>
          <w:p w14:paraId="2954EA00" w14:textId="77777777" w:rsidR="00665586" w:rsidRPr="0004176C" w:rsidRDefault="00665586" w:rsidP="00665586">
            <w:pPr>
              <w:jc w:val="center"/>
              <w:rPr>
                <w:color w:val="000000"/>
                <w:sz w:val="18"/>
                <w:szCs w:val="18"/>
              </w:rPr>
            </w:pPr>
            <w:r w:rsidRPr="0004176C">
              <w:rPr>
                <w:color w:val="000000"/>
                <w:sz w:val="18"/>
                <w:szCs w:val="18"/>
              </w:rPr>
              <w:t>Lenox Schoolhouse, Lenox</w:t>
            </w:r>
          </w:p>
        </w:tc>
        <w:tc>
          <w:tcPr>
            <w:tcW w:w="596" w:type="pct"/>
            <w:shd w:val="clear" w:color="auto" w:fill="auto"/>
            <w:vAlign w:val="center"/>
            <w:hideMark/>
          </w:tcPr>
          <w:p w14:paraId="39A1B8C6"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0C3A554E"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4E74EDA"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8C8DFE8" w14:textId="77777777" w:rsidR="00665586" w:rsidRPr="0004176C" w:rsidRDefault="00665586" w:rsidP="00665586">
            <w:pPr>
              <w:jc w:val="center"/>
              <w:rPr>
                <w:color w:val="000000"/>
                <w:sz w:val="18"/>
                <w:szCs w:val="18"/>
              </w:rPr>
            </w:pPr>
            <w:r w:rsidRPr="0004176C">
              <w:rPr>
                <w:color w:val="000000"/>
                <w:sz w:val="18"/>
                <w:szCs w:val="18"/>
              </w:rPr>
              <w:t>Age Restricted (55+ older) - Existing project changing from Assisted Living to 55 and older</w:t>
            </w:r>
          </w:p>
        </w:tc>
      </w:tr>
      <w:tr w:rsidR="00665586" w:rsidRPr="0004176C" w14:paraId="327CD426" w14:textId="77777777" w:rsidTr="00665586">
        <w:trPr>
          <w:trHeight w:val="240"/>
        </w:trPr>
        <w:tc>
          <w:tcPr>
            <w:tcW w:w="1326" w:type="pct"/>
            <w:shd w:val="clear" w:color="auto" w:fill="auto"/>
            <w:vAlign w:val="center"/>
            <w:hideMark/>
          </w:tcPr>
          <w:p w14:paraId="3DD60ED5" w14:textId="77777777" w:rsidR="00665586" w:rsidRPr="0004176C" w:rsidRDefault="00665586" w:rsidP="00665586">
            <w:pPr>
              <w:jc w:val="center"/>
              <w:rPr>
                <w:color w:val="000000"/>
                <w:sz w:val="18"/>
                <w:szCs w:val="18"/>
              </w:rPr>
            </w:pPr>
            <w:r w:rsidRPr="0004176C">
              <w:rPr>
                <w:color w:val="000000"/>
                <w:sz w:val="18"/>
                <w:szCs w:val="18"/>
              </w:rPr>
              <w:t>Lincoln Hotel</w:t>
            </w:r>
          </w:p>
        </w:tc>
        <w:tc>
          <w:tcPr>
            <w:tcW w:w="596" w:type="pct"/>
            <w:shd w:val="clear" w:color="auto" w:fill="auto"/>
            <w:vAlign w:val="center"/>
            <w:hideMark/>
          </w:tcPr>
          <w:p w14:paraId="5803E7F4" w14:textId="77777777" w:rsidR="00665586" w:rsidRPr="0004176C" w:rsidRDefault="00665586" w:rsidP="00665586">
            <w:pPr>
              <w:jc w:val="center"/>
              <w:rPr>
                <w:color w:val="000000"/>
                <w:sz w:val="18"/>
                <w:szCs w:val="18"/>
              </w:rPr>
            </w:pPr>
            <w:r w:rsidRPr="0004176C">
              <w:rPr>
                <w:color w:val="000000"/>
                <w:sz w:val="18"/>
                <w:szCs w:val="18"/>
              </w:rPr>
              <w:t>63</w:t>
            </w:r>
          </w:p>
        </w:tc>
        <w:tc>
          <w:tcPr>
            <w:tcW w:w="674" w:type="pct"/>
            <w:shd w:val="clear" w:color="auto" w:fill="auto"/>
            <w:vAlign w:val="center"/>
            <w:hideMark/>
          </w:tcPr>
          <w:p w14:paraId="28E66F08"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B3E5542"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159862B"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324E81C0" w14:textId="77777777" w:rsidTr="00665586">
        <w:trPr>
          <w:trHeight w:val="480"/>
        </w:trPr>
        <w:tc>
          <w:tcPr>
            <w:tcW w:w="1326" w:type="pct"/>
            <w:shd w:val="clear" w:color="auto" w:fill="auto"/>
            <w:vAlign w:val="center"/>
          </w:tcPr>
          <w:p w14:paraId="79E375F1" w14:textId="77777777" w:rsidR="00665586" w:rsidRPr="0004176C" w:rsidRDefault="00665586" w:rsidP="00665586">
            <w:pPr>
              <w:jc w:val="center"/>
              <w:rPr>
                <w:color w:val="000000"/>
                <w:sz w:val="18"/>
                <w:szCs w:val="18"/>
              </w:rPr>
            </w:pPr>
            <w:r w:rsidRPr="0004176C">
              <w:rPr>
                <w:color w:val="000000"/>
                <w:sz w:val="18"/>
                <w:szCs w:val="18"/>
              </w:rPr>
              <w:t>Little Pond Place,</w:t>
            </w:r>
          </w:p>
          <w:p w14:paraId="26308AF9" w14:textId="1A599475" w:rsidR="00665586" w:rsidRPr="0004176C" w:rsidRDefault="00665586" w:rsidP="00665586">
            <w:pPr>
              <w:jc w:val="center"/>
              <w:rPr>
                <w:color w:val="000000"/>
                <w:sz w:val="18"/>
                <w:szCs w:val="18"/>
              </w:rPr>
            </w:pPr>
            <w:r w:rsidRPr="0004176C">
              <w:rPr>
                <w:color w:val="000000"/>
                <w:sz w:val="18"/>
                <w:szCs w:val="18"/>
              </w:rPr>
              <w:t>Falmouth</w:t>
            </w:r>
            <w:r w:rsidR="001D0505" w:rsidRPr="0004176C">
              <w:rPr>
                <w:color w:val="000000"/>
                <w:sz w:val="18"/>
                <w:szCs w:val="18"/>
              </w:rPr>
              <w:t>*</w:t>
            </w:r>
          </w:p>
        </w:tc>
        <w:tc>
          <w:tcPr>
            <w:tcW w:w="596" w:type="pct"/>
            <w:shd w:val="clear" w:color="auto" w:fill="auto"/>
            <w:vAlign w:val="center"/>
          </w:tcPr>
          <w:p w14:paraId="2F504601" w14:textId="77777777" w:rsidR="00665586" w:rsidRPr="0004176C" w:rsidRDefault="00665586" w:rsidP="00665586">
            <w:pPr>
              <w:jc w:val="center"/>
              <w:rPr>
                <w:color w:val="000000"/>
                <w:sz w:val="18"/>
                <w:szCs w:val="18"/>
              </w:rPr>
            </w:pPr>
            <w:r w:rsidRPr="0004176C">
              <w:rPr>
                <w:sz w:val="18"/>
                <w:szCs w:val="18"/>
              </w:rPr>
              <w:t>4</w:t>
            </w:r>
          </w:p>
        </w:tc>
        <w:tc>
          <w:tcPr>
            <w:tcW w:w="674" w:type="pct"/>
            <w:shd w:val="clear" w:color="auto" w:fill="auto"/>
            <w:vAlign w:val="center"/>
          </w:tcPr>
          <w:p w14:paraId="359A5C25" w14:textId="77777777" w:rsidR="00665586" w:rsidRPr="0004176C" w:rsidRDefault="00665586" w:rsidP="00665586">
            <w:pPr>
              <w:jc w:val="center"/>
              <w:rPr>
                <w:color w:val="000000"/>
                <w:sz w:val="18"/>
                <w:szCs w:val="18"/>
              </w:rPr>
            </w:pPr>
            <w:r w:rsidRPr="0004176C">
              <w:rPr>
                <w:sz w:val="18"/>
                <w:szCs w:val="18"/>
              </w:rPr>
              <w:t>Committed</w:t>
            </w:r>
          </w:p>
        </w:tc>
        <w:tc>
          <w:tcPr>
            <w:tcW w:w="627" w:type="pct"/>
            <w:shd w:val="clear" w:color="auto" w:fill="auto"/>
            <w:vAlign w:val="center"/>
          </w:tcPr>
          <w:p w14:paraId="7DCDD1BA"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5BF3C80D" w14:textId="77777777" w:rsidR="00665586" w:rsidRPr="0004176C" w:rsidRDefault="00665586" w:rsidP="00665586">
            <w:pPr>
              <w:jc w:val="center"/>
              <w:rPr>
                <w:color w:val="000000"/>
                <w:sz w:val="18"/>
                <w:szCs w:val="18"/>
              </w:rPr>
            </w:pPr>
            <w:r w:rsidRPr="0004176C">
              <w:rPr>
                <w:color w:val="000000"/>
                <w:sz w:val="18"/>
                <w:szCs w:val="18"/>
              </w:rPr>
              <w:t>New Construction - Family Housing</w:t>
            </w:r>
          </w:p>
        </w:tc>
      </w:tr>
      <w:tr w:rsidR="00665586" w:rsidRPr="0004176C" w14:paraId="4145857E" w14:textId="77777777" w:rsidTr="00665586">
        <w:trPr>
          <w:trHeight w:val="240"/>
        </w:trPr>
        <w:tc>
          <w:tcPr>
            <w:tcW w:w="1326" w:type="pct"/>
            <w:shd w:val="clear" w:color="auto" w:fill="auto"/>
            <w:vAlign w:val="center"/>
            <w:hideMark/>
          </w:tcPr>
          <w:p w14:paraId="08D4733A" w14:textId="77777777" w:rsidR="00665586" w:rsidRPr="0004176C" w:rsidRDefault="00665586" w:rsidP="00665586">
            <w:pPr>
              <w:jc w:val="center"/>
              <w:rPr>
                <w:color w:val="000000"/>
                <w:sz w:val="18"/>
                <w:szCs w:val="18"/>
              </w:rPr>
            </w:pPr>
            <w:r w:rsidRPr="0004176C">
              <w:rPr>
                <w:color w:val="000000"/>
                <w:sz w:val="18"/>
                <w:szCs w:val="18"/>
              </w:rPr>
              <w:t>Loft @ 30 Pines (formerly Heywood Wakefield 4)</w:t>
            </w:r>
          </w:p>
        </w:tc>
        <w:tc>
          <w:tcPr>
            <w:tcW w:w="596" w:type="pct"/>
            <w:shd w:val="clear" w:color="auto" w:fill="auto"/>
            <w:vAlign w:val="center"/>
            <w:hideMark/>
          </w:tcPr>
          <w:p w14:paraId="59552EB1"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3ED261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BDB7935"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DC59DDA" w14:textId="77777777" w:rsidR="00665586" w:rsidRPr="0004176C" w:rsidRDefault="00665586" w:rsidP="00665586">
            <w:pPr>
              <w:jc w:val="center"/>
              <w:rPr>
                <w:color w:val="000000"/>
                <w:sz w:val="18"/>
                <w:szCs w:val="18"/>
              </w:rPr>
            </w:pPr>
            <w:r w:rsidRPr="0004176C">
              <w:rPr>
                <w:color w:val="000000"/>
                <w:sz w:val="18"/>
                <w:szCs w:val="18"/>
              </w:rPr>
              <w:t>Family - Substantial rehab of historic former mill</w:t>
            </w:r>
          </w:p>
        </w:tc>
      </w:tr>
      <w:tr w:rsidR="00665586" w:rsidRPr="0004176C" w14:paraId="1304592C" w14:textId="77777777" w:rsidTr="00665586">
        <w:trPr>
          <w:trHeight w:val="240"/>
        </w:trPr>
        <w:tc>
          <w:tcPr>
            <w:tcW w:w="1326" w:type="pct"/>
            <w:shd w:val="clear" w:color="auto" w:fill="auto"/>
            <w:vAlign w:val="center"/>
            <w:hideMark/>
          </w:tcPr>
          <w:p w14:paraId="231F0FB0" w14:textId="77777777" w:rsidR="00665586" w:rsidRPr="0004176C" w:rsidRDefault="00665586" w:rsidP="00665586">
            <w:pPr>
              <w:jc w:val="center"/>
              <w:rPr>
                <w:color w:val="000000"/>
                <w:sz w:val="18"/>
                <w:szCs w:val="18"/>
              </w:rPr>
            </w:pPr>
            <w:r w:rsidRPr="0004176C">
              <w:rPr>
                <w:color w:val="000000"/>
                <w:sz w:val="18"/>
                <w:szCs w:val="18"/>
              </w:rPr>
              <w:t>Loring Towers</w:t>
            </w:r>
          </w:p>
        </w:tc>
        <w:tc>
          <w:tcPr>
            <w:tcW w:w="596" w:type="pct"/>
            <w:shd w:val="clear" w:color="auto" w:fill="auto"/>
            <w:vAlign w:val="center"/>
            <w:hideMark/>
          </w:tcPr>
          <w:p w14:paraId="79A98F67"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8EF52A8"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042FB22"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4A903D1"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2F59C162" w14:textId="77777777" w:rsidTr="00665586">
        <w:trPr>
          <w:trHeight w:val="240"/>
        </w:trPr>
        <w:tc>
          <w:tcPr>
            <w:tcW w:w="1326" w:type="pct"/>
            <w:shd w:val="clear" w:color="auto" w:fill="auto"/>
            <w:vAlign w:val="center"/>
            <w:hideMark/>
          </w:tcPr>
          <w:p w14:paraId="28DDA45C" w14:textId="77777777" w:rsidR="00665586" w:rsidRPr="0004176C" w:rsidRDefault="00665586" w:rsidP="00665586">
            <w:pPr>
              <w:jc w:val="center"/>
              <w:rPr>
                <w:color w:val="000000"/>
                <w:sz w:val="18"/>
                <w:szCs w:val="18"/>
              </w:rPr>
            </w:pPr>
            <w:r w:rsidRPr="0004176C">
              <w:rPr>
                <w:color w:val="000000"/>
                <w:sz w:val="18"/>
                <w:szCs w:val="18"/>
              </w:rPr>
              <w:t>Ludlow Mill, Ludlow</w:t>
            </w:r>
          </w:p>
        </w:tc>
        <w:tc>
          <w:tcPr>
            <w:tcW w:w="596" w:type="pct"/>
            <w:shd w:val="clear" w:color="auto" w:fill="auto"/>
            <w:vAlign w:val="center"/>
            <w:hideMark/>
          </w:tcPr>
          <w:p w14:paraId="59F719D0"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7A629D5"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C9FD873"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B3F8838" w14:textId="77777777" w:rsidR="00665586" w:rsidRPr="0004176C" w:rsidRDefault="00665586" w:rsidP="00665586">
            <w:pPr>
              <w:jc w:val="center"/>
              <w:rPr>
                <w:color w:val="000000"/>
                <w:sz w:val="18"/>
                <w:szCs w:val="18"/>
              </w:rPr>
            </w:pPr>
            <w:r w:rsidRPr="0004176C">
              <w:rPr>
                <w:color w:val="000000"/>
                <w:sz w:val="18"/>
                <w:szCs w:val="18"/>
              </w:rPr>
              <w:t>Age Restricted (55+ older) - Adaptive reuse of historic mill building</w:t>
            </w:r>
          </w:p>
        </w:tc>
      </w:tr>
      <w:tr w:rsidR="00665586" w:rsidRPr="0004176C" w14:paraId="61B854CB" w14:textId="77777777" w:rsidTr="00665586">
        <w:trPr>
          <w:trHeight w:val="480"/>
        </w:trPr>
        <w:tc>
          <w:tcPr>
            <w:tcW w:w="1326" w:type="pct"/>
            <w:shd w:val="clear" w:color="auto" w:fill="auto"/>
            <w:vAlign w:val="center"/>
          </w:tcPr>
          <w:p w14:paraId="1943D1DE" w14:textId="77777777" w:rsidR="00665586" w:rsidRPr="0004176C" w:rsidRDefault="00665586" w:rsidP="00665586">
            <w:pPr>
              <w:jc w:val="center"/>
              <w:rPr>
                <w:sz w:val="18"/>
                <w:szCs w:val="18"/>
              </w:rPr>
            </w:pPr>
            <w:r w:rsidRPr="0004176C">
              <w:rPr>
                <w:sz w:val="18"/>
                <w:szCs w:val="18"/>
              </w:rPr>
              <w:t>Lunenburg Senior Living</w:t>
            </w:r>
          </w:p>
          <w:p w14:paraId="215C9BCE" w14:textId="4C2B7087" w:rsidR="00665586" w:rsidRPr="0004176C" w:rsidRDefault="00665586" w:rsidP="00665586">
            <w:pPr>
              <w:jc w:val="center"/>
              <w:rPr>
                <w:sz w:val="18"/>
                <w:szCs w:val="18"/>
              </w:rPr>
            </w:pPr>
            <w:r w:rsidRPr="0004176C">
              <w:rPr>
                <w:sz w:val="18"/>
                <w:szCs w:val="18"/>
              </w:rPr>
              <w:t>Lunenburg **</w:t>
            </w:r>
          </w:p>
        </w:tc>
        <w:tc>
          <w:tcPr>
            <w:tcW w:w="596" w:type="pct"/>
            <w:shd w:val="clear" w:color="auto" w:fill="auto"/>
            <w:vAlign w:val="center"/>
          </w:tcPr>
          <w:p w14:paraId="78D1E115"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26B4EC20"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05D34718"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155B116E" w14:textId="77777777" w:rsidR="00665586" w:rsidRPr="0004176C" w:rsidRDefault="00665586" w:rsidP="00665586">
            <w:pPr>
              <w:jc w:val="center"/>
              <w:rPr>
                <w:sz w:val="18"/>
                <w:szCs w:val="18"/>
              </w:rPr>
            </w:pPr>
            <w:r w:rsidRPr="0004176C">
              <w:rPr>
                <w:sz w:val="18"/>
                <w:szCs w:val="18"/>
              </w:rPr>
              <w:t>New Construction – 55+ Senior Housing</w:t>
            </w:r>
          </w:p>
        </w:tc>
      </w:tr>
      <w:tr w:rsidR="00665586" w:rsidRPr="0004176C" w14:paraId="4126CFA2" w14:textId="77777777" w:rsidTr="00665586">
        <w:trPr>
          <w:trHeight w:val="480"/>
        </w:trPr>
        <w:tc>
          <w:tcPr>
            <w:tcW w:w="1326" w:type="pct"/>
            <w:shd w:val="clear" w:color="auto" w:fill="auto"/>
            <w:vAlign w:val="center"/>
          </w:tcPr>
          <w:p w14:paraId="52C68BDB" w14:textId="77777777" w:rsidR="00665586" w:rsidRPr="0004176C" w:rsidRDefault="00665586" w:rsidP="00665586">
            <w:pPr>
              <w:jc w:val="center"/>
              <w:rPr>
                <w:sz w:val="18"/>
                <w:szCs w:val="18"/>
              </w:rPr>
            </w:pPr>
            <w:r w:rsidRPr="0004176C">
              <w:rPr>
                <w:sz w:val="18"/>
                <w:szCs w:val="18"/>
              </w:rPr>
              <w:t>Lydia Square</w:t>
            </w:r>
          </w:p>
          <w:p w14:paraId="7799D38C" w14:textId="7563BD47" w:rsidR="00665586" w:rsidRPr="0004176C" w:rsidRDefault="00665586" w:rsidP="00665586">
            <w:pPr>
              <w:jc w:val="center"/>
              <w:rPr>
                <w:sz w:val="18"/>
                <w:szCs w:val="18"/>
              </w:rPr>
            </w:pPr>
            <w:r w:rsidRPr="0004176C">
              <w:rPr>
                <w:sz w:val="18"/>
                <w:szCs w:val="18"/>
              </w:rPr>
              <w:t>Rockland **</w:t>
            </w:r>
          </w:p>
        </w:tc>
        <w:tc>
          <w:tcPr>
            <w:tcW w:w="596" w:type="pct"/>
            <w:shd w:val="clear" w:color="auto" w:fill="auto"/>
            <w:vAlign w:val="center"/>
          </w:tcPr>
          <w:p w14:paraId="63559FF6"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66E6952E"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36F5E65F"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12938A21" w14:textId="77777777" w:rsidR="00665586" w:rsidRPr="0004176C" w:rsidRDefault="00665586" w:rsidP="00665586">
            <w:pPr>
              <w:jc w:val="center"/>
              <w:rPr>
                <w:sz w:val="18"/>
                <w:szCs w:val="18"/>
              </w:rPr>
            </w:pPr>
            <w:r w:rsidRPr="0004176C">
              <w:rPr>
                <w:sz w:val="18"/>
                <w:szCs w:val="18"/>
              </w:rPr>
              <w:t>New Construction – Family Housing</w:t>
            </w:r>
          </w:p>
        </w:tc>
      </w:tr>
      <w:tr w:rsidR="00665586" w:rsidRPr="0004176C" w14:paraId="675603B3" w14:textId="77777777" w:rsidTr="00665586">
        <w:trPr>
          <w:trHeight w:val="240"/>
        </w:trPr>
        <w:tc>
          <w:tcPr>
            <w:tcW w:w="1326" w:type="pct"/>
            <w:shd w:val="clear" w:color="auto" w:fill="auto"/>
            <w:vAlign w:val="center"/>
            <w:hideMark/>
          </w:tcPr>
          <w:p w14:paraId="08F843CF" w14:textId="77777777" w:rsidR="00665586" w:rsidRPr="0004176C" w:rsidRDefault="00665586" w:rsidP="00665586">
            <w:pPr>
              <w:jc w:val="center"/>
              <w:rPr>
                <w:color w:val="000000"/>
                <w:sz w:val="18"/>
                <w:szCs w:val="18"/>
              </w:rPr>
            </w:pPr>
            <w:r w:rsidRPr="0004176C">
              <w:rPr>
                <w:color w:val="000000"/>
                <w:sz w:val="18"/>
                <w:szCs w:val="18"/>
              </w:rPr>
              <w:t>Malden Mills Phase II</w:t>
            </w:r>
          </w:p>
        </w:tc>
        <w:tc>
          <w:tcPr>
            <w:tcW w:w="596" w:type="pct"/>
            <w:shd w:val="clear" w:color="auto" w:fill="auto"/>
            <w:vAlign w:val="center"/>
            <w:hideMark/>
          </w:tcPr>
          <w:p w14:paraId="374E1A64" w14:textId="77777777" w:rsidR="00665586" w:rsidRPr="0004176C" w:rsidRDefault="00665586" w:rsidP="00665586">
            <w:pPr>
              <w:jc w:val="center"/>
              <w:rPr>
                <w:color w:val="000000"/>
                <w:sz w:val="18"/>
                <w:szCs w:val="18"/>
              </w:rPr>
            </w:pPr>
            <w:r w:rsidRPr="0004176C">
              <w:rPr>
                <w:color w:val="000000"/>
                <w:sz w:val="18"/>
                <w:szCs w:val="18"/>
              </w:rPr>
              <w:t>7</w:t>
            </w:r>
          </w:p>
        </w:tc>
        <w:tc>
          <w:tcPr>
            <w:tcW w:w="674" w:type="pct"/>
            <w:shd w:val="clear" w:color="auto" w:fill="auto"/>
            <w:vAlign w:val="center"/>
            <w:hideMark/>
          </w:tcPr>
          <w:p w14:paraId="4A573F07"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019BB13"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62A7EF9" w14:textId="77777777" w:rsidR="00665586" w:rsidRPr="0004176C" w:rsidRDefault="00665586" w:rsidP="00665586">
            <w:pPr>
              <w:jc w:val="center"/>
              <w:rPr>
                <w:color w:val="000000"/>
                <w:sz w:val="18"/>
                <w:szCs w:val="18"/>
              </w:rPr>
            </w:pPr>
            <w:r w:rsidRPr="0004176C">
              <w:rPr>
                <w:color w:val="000000"/>
                <w:sz w:val="18"/>
                <w:szCs w:val="18"/>
              </w:rPr>
              <w:t>Family - Adaptive reuse of historic mill building into 62 units</w:t>
            </w:r>
          </w:p>
        </w:tc>
      </w:tr>
      <w:tr w:rsidR="00665586" w:rsidRPr="0004176C" w14:paraId="03F5676B" w14:textId="77777777" w:rsidTr="00665586">
        <w:trPr>
          <w:trHeight w:val="240"/>
        </w:trPr>
        <w:tc>
          <w:tcPr>
            <w:tcW w:w="1326" w:type="pct"/>
            <w:shd w:val="clear" w:color="auto" w:fill="auto"/>
            <w:vAlign w:val="center"/>
            <w:hideMark/>
          </w:tcPr>
          <w:p w14:paraId="69D8E3C9" w14:textId="77777777" w:rsidR="00665586" w:rsidRPr="0004176C" w:rsidRDefault="00665586" w:rsidP="00665586">
            <w:pPr>
              <w:jc w:val="center"/>
              <w:rPr>
                <w:color w:val="000000"/>
                <w:sz w:val="18"/>
                <w:szCs w:val="18"/>
              </w:rPr>
            </w:pPr>
            <w:r w:rsidRPr="0004176C">
              <w:rPr>
                <w:color w:val="000000"/>
                <w:sz w:val="18"/>
                <w:szCs w:val="18"/>
              </w:rPr>
              <w:t>Marion Village Estates/Front Street/Route 105</w:t>
            </w:r>
          </w:p>
        </w:tc>
        <w:tc>
          <w:tcPr>
            <w:tcW w:w="596" w:type="pct"/>
            <w:shd w:val="clear" w:color="auto" w:fill="auto"/>
            <w:vAlign w:val="center"/>
            <w:hideMark/>
          </w:tcPr>
          <w:p w14:paraId="40A7763A"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36F719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565F551"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380EC49" w14:textId="77777777" w:rsidR="00665586" w:rsidRPr="0004176C" w:rsidRDefault="00665586" w:rsidP="00665586">
            <w:pPr>
              <w:jc w:val="center"/>
              <w:rPr>
                <w:color w:val="000000"/>
                <w:sz w:val="18"/>
                <w:szCs w:val="18"/>
              </w:rPr>
            </w:pPr>
            <w:r w:rsidRPr="0004176C">
              <w:rPr>
                <w:color w:val="000000"/>
                <w:sz w:val="18"/>
                <w:szCs w:val="18"/>
              </w:rPr>
              <w:t>Family - New construction of two buildings/two stories</w:t>
            </w:r>
          </w:p>
        </w:tc>
      </w:tr>
      <w:tr w:rsidR="00665586" w:rsidRPr="0004176C" w14:paraId="194FA72F" w14:textId="77777777" w:rsidTr="00665586">
        <w:trPr>
          <w:trHeight w:val="240"/>
        </w:trPr>
        <w:tc>
          <w:tcPr>
            <w:tcW w:w="1326" w:type="pct"/>
            <w:shd w:val="clear" w:color="auto" w:fill="auto"/>
            <w:vAlign w:val="center"/>
            <w:hideMark/>
          </w:tcPr>
          <w:p w14:paraId="788D1E81" w14:textId="77777777" w:rsidR="00665586" w:rsidRPr="0004176C" w:rsidRDefault="00665586" w:rsidP="00665586">
            <w:pPr>
              <w:jc w:val="center"/>
              <w:rPr>
                <w:color w:val="000000"/>
                <w:sz w:val="18"/>
                <w:szCs w:val="18"/>
              </w:rPr>
            </w:pPr>
            <w:r w:rsidRPr="0004176C">
              <w:rPr>
                <w:color w:val="000000"/>
                <w:sz w:val="18"/>
                <w:szCs w:val="18"/>
              </w:rPr>
              <w:t>Marshall Place Apartments</w:t>
            </w:r>
          </w:p>
        </w:tc>
        <w:tc>
          <w:tcPr>
            <w:tcW w:w="596" w:type="pct"/>
            <w:shd w:val="clear" w:color="auto" w:fill="auto"/>
            <w:vAlign w:val="center"/>
            <w:hideMark/>
          </w:tcPr>
          <w:p w14:paraId="58D82243"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6A757A7"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CDA906A"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7E2F7F8"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2D37ECA0" w14:textId="77777777" w:rsidTr="00665586">
        <w:trPr>
          <w:trHeight w:val="480"/>
        </w:trPr>
        <w:tc>
          <w:tcPr>
            <w:tcW w:w="1326" w:type="pct"/>
            <w:shd w:val="clear" w:color="auto" w:fill="auto"/>
            <w:vAlign w:val="center"/>
          </w:tcPr>
          <w:p w14:paraId="1FCD717F" w14:textId="3BDD9FBE" w:rsidR="00665586" w:rsidRPr="0004176C" w:rsidRDefault="00665586" w:rsidP="00665586">
            <w:pPr>
              <w:jc w:val="center"/>
              <w:rPr>
                <w:sz w:val="18"/>
                <w:szCs w:val="18"/>
              </w:rPr>
            </w:pPr>
            <w:r w:rsidRPr="0004176C">
              <w:rPr>
                <w:sz w:val="18"/>
                <w:szCs w:val="18"/>
              </w:rPr>
              <w:t>Mashpee Mampanoag Housing, Mashpee *</w:t>
            </w:r>
          </w:p>
        </w:tc>
        <w:tc>
          <w:tcPr>
            <w:tcW w:w="596" w:type="pct"/>
            <w:shd w:val="clear" w:color="auto" w:fill="auto"/>
            <w:vAlign w:val="center"/>
          </w:tcPr>
          <w:p w14:paraId="2787CA30" w14:textId="77777777" w:rsidR="00665586" w:rsidRPr="0004176C" w:rsidRDefault="00665586" w:rsidP="00665586">
            <w:pPr>
              <w:jc w:val="center"/>
              <w:rPr>
                <w:color w:val="000000"/>
                <w:sz w:val="18"/>
                <w:szCs w:val="18"/>
              </w:rPr>
            </w:pPr>
            <w:r w:rsidRPr="0004176C">
              <w:rPr>
                <w:sz w:val="18"/>
                <w:szCs w:val="18"/>
              </w:rPr>
              <w:t>8</w:t>
            </w:r>
          </w:p>
        </w:tc>
        <w:tc>
          <w:tcPr>
            <w:tcW w:w="674" w:type="pct"/>
            <w:shd w:val="clear" w:color="auto" w:fill="auto"/>
            <w:vAlign w:val="center"/>
          </w:tcPr>
          <w:p w14:paraId="1F645DFE" w14:textId="7F11CDEC" w:rsidR="00665586" w:rsidRPr="0004176C" w:rsidRDefault="001D0505" w:rsidP="00665586">
            <w:pPr>
              <w:jc w:val="center"/>
              <w:rPr>
                <w:color w:val="000000"/>
                <w:sz w:val="18"/>
                <w:szCs w:val="18"/>
              </w:rPr>
            </w:pPr>
            <w:r w:rsidRPr="0004176C">
              <w:rPr>
                <w:sz w:val="18"/>
                <w:szCs w:val="18"/>
              </w:rPr>
              <w:t>Committed</w:t>
            </w:r>
          </w:p>
        </w:tc>
        <w:tc>
          <w:tcPr>
            <w:tcW w:w="627" w:type="pct"/>
            <w:shd w:val="clear" w:color="auto" w:fill="auto"/>
            <w:vAlign w:val="center"/>
          </w:tcPr>
          <w:p w14:paraId="6876A8D8"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2B3862ED" w14:textId="77777777" w:rsidR="00665586" w:rsidRPr="0004176C" w:rsidRDefault="00665586" w:rsidP="00665586">
            <w:pPr>
              <w:jc w:val="center"/>
              <w:rPr>
                <w:color w:val="000000"/>
                <w:sz w:val="18"/>
                <w:szCs w:val="18"/>
              </w:rPr>
            </w:pPr>
            <w:r w:rsidRPr="0004176C">
              <w:rPr>
                <w:rFonts w:eastAsia="Calibri"/>
                <w:sz w:val="18"/>
                <w:szCs w:val="18"/>
              </w:rPr>
              <w:t>New Construction -Family</w:t>
            </w:r>
          </w:p>
        </w:tc>
      </w:tr>
      <w:tr w:rsidR="00665586" w:rsidRPr="0004176C" w14:paraId="062FE75D" w14:textId="77777777" w:rsidTr="00665586">
        <w:trPr>
          <w:trHeight w:val="480"/>
        </w:trPr>
        <w:tc>
          <w:tcPr>
            <w:tcW w:w="1326" w:type="pct"/>
            <w:shd w:val="clear" w:color="auto" w:fill="auto"/>
            <w:vAlign w:val="center"/>
            <w:hideMark/>
          </w:tcPr>
          <w:p w14:paraId="557D7763" w14:textId="77777777" w:rsidR="00665586" w:rsidRPr="0004176C" w:rsidRDefault="00665586" w:rsidP="00665586">
            <w:pPr>
              <w:jc w:val="center"/>
              <w:rPr>
                <w:color w:val="000000"/>
                <w:sz w:val="18"/>
                <w:szCs w:val="18"/>
              </w:rPr>
            </w:pPr>
            <w:r w:rsidRPr="0004176C">
              <w:rPr>
                <w:color w:val="000000"/>
                <w:sz w:val="18"/>
                <w:szCs w:val="18"/>
              </w:rPr>
              <w:t>Mashpee Village Phase II</w:t>
            </w:r>
          </w:p>
        </w:tc>
        <w:tc>
          <w:tcPr>
            <w:tcW w:w="596" w:type="pct"/>
            <w:shd w:val="clear" w:color="auto" w:fill="auto"/>
            <w:vAlign w:val="center"/>
            <w:hideMark/>
          </w:tcPr>
          <w:p w14:paraId="4959F2D2"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1AC544A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CE840EB"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50F4753" w14:textId="77777777" w:rsidR="00665586" w:rsidRPr="0004176C" w:rsidRDefault="00665586" w:rsidP="00665586">
            <w:pPr>
              <w:jc w:val="center"/>
              <w:rPr>
                <w:color w:val="000000"/>
                <w:sz w:val="18"/>
                <w:szCs w:val="18"/>
              </w:rPr>
            </w:pPr>
            <w:r w:rsidRPr="0004176C">
              <w:rPr>
                <w:color w:val="000000"/>
                <w:sz w:val="18"/>
                <w:szCs w:val="18"/>
              </w:rPr>
              <w:t>Family - Rehab of existing affordable housing; 51 garden-style buildings</w:t>
            </w:r>
          </w:p>
        </w:tc>
      </w:tr>
      <w:tr w:rsidR="00665586" w:rsidRPr="0004176C" w14:paraId="4972C0E0" w14:textId="77777777" w:rsidTr="00665586">
        <w:trPr>
          <w:trHeight w:val="480"/>
        </w:trPr>
        <w:tc>
          <w:tcPr>
            <w:tcW w:w="1326" w:type="pct"/>
            <w:shd w:val="clear" w:color="auto" w:fill="auto"/>
            <w:vAlign w:val="center"/>
          </w:tcPr>
          <w:p w14:paraId="75302FBF" w14:textId="77777777" w:rsidR="002B7D1C" w:rsidRPr="0004176C" w:rsidRDefault="002B7D1C" w:rsidP="00665586">
            <w:pPr>
              <w:jc w:val="center"/>
              <w:rPr>
                <w:sz w:val="18"/>
                <w:szCs w:val="18"/>
              </w:rPr>
            </w:pPr>
            <w:r w:rsidRPr="0004176C">
              <w:rPr>
                <w:sz w:val="18"/>
                <w:szCs w:val="18"/>
              </w:rPr>
              <w:t>Mattapan Station (4%)</w:t>
            </w:r>
          </w:p>
          <w:p w14:paraId="76CB94B4" w14:textId="45988B0E" w:rsidR="00665586" w:rsidRPr="0004176C" w:rsidRDefault="00665586" w:rsidP="00665586">
            <w:pPr>
              <w:jc w:val="center"/>
              <w:rPr>
                <w:sz w:val="18"/>
                <w:szCs w:val="18"/>
              </w:rPr>
            </w:pPr>
            <w:r w:rsidRPr="0004176C">
              <w:rPr>
                <w:sz w:val="18"/>
                <w:szCs w:val="18"/>
              </w:rPr>
              <w:t xml:space="preserve"> Boston</w:t>
            </w:r>
            <w:r w:rsidR="002B7D1C" w:rsidRPr="0004176C">
              <w:rPr>
                <w:sz w:val="18"/>
                <w:szCs w:val="18"/>
              </w:rPr>
              <w:t xml:space="preserve"> **</w:t>
            </w:r>
          </w:p>
        </w:tc>
        <w:tc>
          <w:tcPr>
            <w:tcW w:w="596" w:type="pct"/>
            <w:shd w:val="clear" w:color="auto" w:fill="auto"/>
            <w:vAlign w:val="center"/>
          </w:tcPr>
          <w:p w14:paraId="7B14A6E3" w14:textId="77777777" w:rsidR="00665586" w:rsidRPr="0004176C" w:rsidRDefault="00665586" w:rsidP="00665586">
            <w:pPr>
              <w:jc w:val="center"/>
              <w:rPr>
                <w:sz w:val="18"/>
                <w:szCs w:val="18"/>
              </w:rPr>
            </w:pPr>
            <w:r w:rsidRPr="0004176C">
              <w:rPr>
                <w:sz w:val="18"/>
                <w:szCs w:val="18"/>
              </w:rPr>
              <w:t>6</w:t>
            </w:r>
          </w:p>
        </w:tc>
        <w:tc>
          <w:tcPr>
            <w:tcW w:w="674" w:type="pct"/>
            <w:shd w:val="clear" w:color="auto" w:fill="auto"/>
            <w:vAlign w:val="center"/>
          </w:tcPr>
          <w:p w14:paraId="62534913"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30274C6C"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6EABA200" w14:textId="77777777" w:rsidR="00665586" w:rsidRPr="0004176C" w:rsidRDefault="00665586" w:rsidP="00665586">
            <w:pPr>
              <w:jc w:val="center"/>
              <w:rPr>
                <w:sz w:val="18"/>
                <w:szCs w:val="18"/>
              </w:rPr>
            </w:pPr>
            <w:r w:rsidRPr="0004176C">
              <w:rPr>
                <w:sz w:val="18"/>
                <w:szCs w:val="18"/>
              </w:rPr>
              <w:t>New Construction – Mixed Use, Family Housing</w:t>
            </w:r>
          </w:p>
        </w:tc>
      </w:tr>
      <w:tr w:rsidR="00665586" w:rsidRPr="0004176C" w14:paraId="3D592606" w14:textId="77777777" w:rsidTr="00665586">
        <w:trPr>
          <w:trHeight w:val="480"/>
        </w:trPr>
        <w:tc>
          <w:tcPr>
            <w:tcW w:w="1326" w:type="pct"/>
            <w:shd w:val="clear" w:color="auto" w:fill="auto"/>
            <w:vAlign w:val="center"/>
          </w:tcPr>
          <w:p w14:paraId="63EE51E4" w14:textId="2BB87E2E" w:rsidR="002B7D1C" w:rsidRPr="0004176C" w:rsidRDefault="002B7D1C" w:rsidP="00665586">
            <w:pPr>
              <w:jc w:val="center"/>
              <w:rPr>
                <w:sz w:val="18"/>
                <w:szCs w:val="18"/>
              </w:rPr>
            </w:pPr>
            <w:r w:rsidRPr="0004176C">
              <w:rPr>
                <w:sz w:val="18"/>
                <w:szCs w:val="18"/>
              </w:rPr>
              <w:t>Mattapan Station (9%)</w:t>
            </w:r>
          </w:p>
          <w:p w14:paraId="525E3A59" w14:textId="2BE5745D" w:rsidR="00665586" w:rsidRPr="0004176C" w:rsidRDefault="00665586" w:rsidP="00665586">
            <w:pPr>
              <w:jc w:val="center"/>
              <w:rPr>
                <w:sz w:val="18"/>
                <w:szCs w:val="18"/>
              </w:rPr>
            </w:pPr>
            <w:r w:rsidRPr="0004176C">
              <w:rPr>
                <w:sz w:val="18"/>
                <w:szCs w:val="18"/>
              </w:rPr>
              <w:t>Boston</w:t>
            </w:r>
            <w:r w:rsidR="002B7D1C" w:rsidRPr="0004176C">
              <w:rPr>
                <w:sz w:val="18"/>
                <w:szCs w:val="18"/>
              </w:rPr>
              <w:t xml:space="preserve"> **</w:t>
            </w:r>
          </w:p>
        </w:tc>
        <w:tc>
          <w:tcPr>
            <w:tcW w:w="596" w:type="pct"/>
            <w:shd w:val="clear" w:color="auto" w:fill="auto"/>
            <w:vAlign w:val="center"/>
          </w:tcPr>
          <w:p w14:paraId="03F15488" w14:textId="77777777" w:rsidR="00665586" w:rsidRPr="0004176C" w:rsidRDefault="00665586" w:rsidP="00665586">
            <w:pPr>
              <w:jc w:val="center"/>
              <w:rPr>
                <w:sz w:val="18"/>
                <w:szCs w:val="18"/>
              </w:rPr>
            </w:pPr>
            <w:r w:rsidRPr="0004176C">
              <w:rPr>
                <w:sz w:val="18"/>
                <w:szCs w:val="18"/>
              </w:rPr>
              <w:t>2</w:t>
            </w:r>
          </w:p>
        </w:tc>
        <w:tc>
          <w:tcPr>
            <w:tcW w:w="674" w:type="pct"/>
            <w:shd w:val="clear" w:color="auto" w:fill="auto"/>
            <w:vAlign w:val="center"/>
          </w:tcPr>
          <w:p w14:paraId="5C44A3F8"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505354A2"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27E2A824" w14:textId="77777777" w:rsidR="00665586" w:rsidRPr="0004176C" w:rsidRDefault="00665586" w:rsidP="00665586">
            <w:pPr>
              <w:jc w:val="center"/>
              <w:rPr>
                <w:sz w:val="18"/>
                <w:szCs w:val="18"/>
              </w:rPr>
            </w:pPr>
            <w:r w:rsidRPr="0004176C">
              <w:rPr>
                <w:sz w:val="18"/>
                <w:szCs w:val="18"/>
              </w:rPr>
              <w:t>New Construction – Mixed Use, Family Housing</w:t>
            </w:r>
          </w:p>
        </w:tc>
      </w:tr>
      <w:tr w:rsidR="00665586" w:rsidRPr="0004176C" w14:paraId="3EAB6163" w14:textId="77777777" w:rsidTr="00665586">
        <w:trPr>
          <w:trHeight w:val="240"/>
        </w:trPr>
        <w:tc>
          <w:tcPr>
            <w:tcW w:w="1326" w:type="pct"/>
            <w:shd w:val="clear" w:color="auto" w:fill="auto"/>
            <w:vAlign w:val="center"/>
            <w:hideMark/>
          </w:tcPr>
          <w:p w14:paraId="20148FD2" w14:textId="77777777" w:rsidR="00665586" w:rsidRPr="0004176C" w:rsidRDefault="00665586" w:rsidP="00665586">
            <w:pPr>
              <w:jc w:val="center"/>
              <w:rPr>
                <w:color w:val="000000"/>
                <w:sz w:val="18"/>
                <w:szCs w:val="18"/>
              </w:rPr>
            </w:pPr>
            <w:r w:rsidRPr="0004176C">
              <w:rPr>
                <w:color w:val="000000"/>
                <w:sz w:val="18"/>
                <w:szCs w:val="18"/>
              </w:rPr>
              <w:t>Mayhew Court</w:t>
            </w:r>
          </w:p>
        </w:tc>
        <w:tc>
          <w:tcPr>
            <w:tcW w:w="596" w:type="pct"/>
            <w:shd w:val="clear" w:color="auto" w:fill="auto"/>
            <w:vAlign w:val="center"/>
            <w:hideMark/>
          </w:tcPr>
          <w:p w14:paraId="4FDE2462" w14:textId="77777777" w:rsidR="00665586" w:rsidRPr="0004176C" w:rsidRDefault="00665586" w:rsidP="00665586">
            <w:pPr>
              <w:jc w:val="center"/>
              <w:rPr>
                <w:color w:val="000000"/>
                <w:sz w:val="18"/>
                <w:szCs w:val="18"/>
              </w:rPr>
            </w:pPr>
            <w:r w:rsidRPr="0004176C">
              <w:rPr>
                <w:color w:val="000000"/>
                <w:sz w:val="18"/>
                <w:szCs w:val="18"/>
              </w:rPr>
              <w:t>12</w:t>
            </w:r>
          </w:p>
        </w:tc>
        <w:tc>
          <w:tcPr>
            <w:tcW w:w="674" w:type="pct"/>
            <w:shd w:val="clear" w:color="auto" w:fill="auto"/>
            <w:vAlign w:val="center"/>
            <w:hideMark/>
          </w:tcPr>
          <w:p w14:paraId="1826AD2E"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ECE6E91"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07474A2"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63298E80" w14:textId="77777777" w:rsidTr="00665586">
        <w:trPr>
          <w:trHeight w:val="480"/>
        </w:trPr>
        <w:tc>
          <w:tcPr>
            <w:tcW w:w="1326" w:type="pct"/>
            <w:shd w:val="clear" w:color="auto" w:fill="auto"/>
            <w:vAlign w:val="center"/>
            <w:hideMark/>
          </w:tcPr>
          <w:p w14:paraId="4FC3FA97" w14:textId="77777777" w:rsidR="00665586" w:rsidRPr="0004176C" w:rsidRDefault="00665586" w:rsidP="00665586">
            <w:pPr>
              <w:jc w:val="center"/>
              <w:rPr>
                <w:color w:val="000000"/>
                <w:sz w:val="18"/>
                <w:szCs w:val="18"/>
              </w:rPr>
            </w:pPr>
            <w:r w:rsidRPr="0004176C">
              <w:rPr>
                <w:color w:val="000000"/>
                <w:sz w:val="18"/>
                <w:szCs w:val="18"/>
              </w:rPr>
              <w:t>McCarthy Village/Whittlesey Village</w:t>
            </w:r>
          </w:p>
        </w:tc>
        <w:tc>
          <w:tcPr>
            <w:tcW w:w="596" w:type="pct"/>
            <w:shd w:val="clear" w:color="auto" w:fill="auto"/>
            <w:vAlign w:val="center"/>
            <w:hideMark/>
          </w:tcPr>
          <w:p w14:paraId="2C7154B7" w14:textId="77777777" w:rsidR="00665586" w:rsidRPr="0004176C" w:rsidRDefault="00665586" w:rsidP="00665586">
            <w:pPr>
              <w:jc w:val="center"/>
              <w:rPr>
                <w:color w:val="000000"/>
                <w:sz w:val="18"/>
                <w:szCs w:val="18"/>
              </w:rPr>
            </w:pPr>
            <w:r w:rsidRPr="0004176C">
              <w:rPr>
                <w:color w:val="000000"/>
                <w:sz w:val="18"/>
                <w:szCs w:val="18"/>
              </w:rPr>
              <w:t>12</w:t>
            </w:r>
          </w:p>
        </w:tc>
        <w:tc>
          <w:tcPr>
            <w:tcW w:w="674" w:type="pct"/>
            <w:shd w:val="clear" w:color="auto" w:fill="auto"/>
            <w:vAlign w:val="center"/>
            <w:hideMark/>
          </w:tcPr>
          <w:p w14:paraId="12CBAC80"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AA570EF"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7EA50C6" w14:textId="77777777" w:rsidR="00665586" w:rsidRPr="0004176C" w:rsidRDefault="00665586" w:rsidP="00665586">
            <w:pPr>
              <w:jc w:val="center"/>
              <w:rPr>
                <w:color w:val="000000"/>
                <w:sz w:val="18"/>
                <w:szCs w:val="18"/>
              </w:rPr>
            </w:pPr>
            <w:r w:rsidRPr="0004176C">
              <w:rPr>
                <w:color w:val="000000"/>
                <w:sz w:val="18"/>
                <w:szCs w:val="18"/>
              </w:rPr>
              <w:t>Family - New construction of six duplexes on surplus housing authority land</w:t>
            </w:r>
          </w:p>
        </w:tc>
      </w:tr>
      <w:tr w:rsidR="00665586" w:rsidRPr="0004176C" w14:paraId="4D0EE980" w14:textId="77777777" w:rsidTr="00665586">
        <w:trPr>
          <w:trHeight w:val="240"/>
        </w:trPr>
        <w:tc>
          <w:tcPr>
            <w:tcW w:w="1326" w:type="pct"/>
            <w:shd w:val="clear" w:color="auto" w:fill="auto"/>
            <w:vAlign w:val="center"/>
            <w:hideMark/>
          </w:tcPr>
          <w:p w14:paraId="4C4CA4C8" w14:textId="77777777" w:rsidR="00665586" w:rsidRPr="0004176C" w:rsidRDefault="00665586" w:rsidP="00665586">
            <w:pPr>
              <w:jc w:val="center"/>
              <w:rPr>
                <w:color w:val="000000"/>
                <w:sz w:val="18"/>
                <w:szCs w:val="18"/>
              </w:rPr>
            </w:pPr>
            <w:r w:rsidRPr="0004176C">
              <w:rPr>
                <w:color w:val="000000"/>
                <w:sz w:val="18"/>
                <w:szCs w:val="18"/>
              </w:rPr>
              <w:t>Mechanic Mill 2017</w:t>
            </w:r>
          </w:p>
        </w:tc>
        <w:tc>
          <w:tcPr>
            <w:tcW w:w="596" w:type="pct"/>
            <w:shd w:val="clear" w:color="auto" w:fill="auto"/>
            <w:vAlign w:val="center"/>
            <w:hideMark/>
          </w:tcPr>
          <w:p w14:paraId="335A7628"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073ACC8"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0B83CBC"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6FEEE76" w14:textId="77777777" w:rsidR="00665586" w:rsidRPr="0004176C" w:rsidRDefault="00665586" w:rsidP="00665586">
            <w:pPr>
              <w:jc w:val="center"/>
              <w:rPr>
                <w:color w:val="000000"/>
                <w:sz w:val="18"/>
                <w:szCs w:val="18"/>
              </w:rPr>
            </w:pPr>
            <w:r w:rsidRPr="0004176C">
              <w:rPr>
                <w:color w:val="000000"/>
                <w:sz w:val="18"/>
                <w:szCs w:val="18"/>
              </w:rPr>
              <w:t>Substantial Rehab-Adaptive Reuse, Family units at 30%</w:t>
            </w:r>
          </w:p>
        </w:tc>
      </w:tr>
      <w:tr w:rsidR="00665586" w:rsidRPr="0004176C" w14:paraId="61558C35" w14:textId="77777777" w:rsidTr="00665586">
        <w:trPr>
          <w:trHeight w:val="240"/>
        </w:trPr>
        <w:tc>
          <w:tcPr>
            <w:tcW w:w="1326" w:type="pct"/>
            <w:shd w:val="clear" w:color="auto" w:fill="auto"/>
            <w:vAlign w:val="center"/>
            <w:hideMark/>
          </w:tcPr>
          <w:p w14:paraId="5020BC06" w14:textId="77777777" w:rsidR="00665586" w:rsidRPr="0004176C" w:rsidRDefault="00665586" w:rsidP="00665586">
            <w:pPr>
              <w:jc w:val="center"/>
              <w:rPr>
                <w:color w:val="000000"/>
                <w:sz w:val="18"/>
                <w:szCs w:val="18"/>
              </w:rPr>
            </w:pPr>
            <w:r w:rsidRPr="0004176C">
              <w:rPr>
                <w:color w:val="000000"/>
                <w:sz w:val="18"/>
                <w:szCs w:val="18"/>
              </w:rPr>
              <w:t>Melpet/Route 134 Community Housing</w:t>
            </w:r>
          </w:p>
        </w:tc>
        <w:tc>
          <w:tcPr>
            <w:tcW w:w="596" w:type="pct"/>
            <w:shd w:val="clear" w:color="auto" w:fill="auto"/>
            <w:vAlign w:val="center"/>
            <w:hideMark/>
          </w:tcPr>
          <w:p w14:paraId="12DA1AEF" w14:textId="77777777" w:rsidR="00665586" w:rsidRPr="0004176C" w:rsidRDefault="00665586" w:rsidP="00665586">
            <w:pPr>
              <w:jc w:val="center"/>
              <w:rPr>
                <w:color w:val="000000"/>
                <w:sz w:val="18"/>
                <w:szCs w:val="18"/>
              </w:rPr>
            </w:pPr>
            <w:r w:rsidRPr="0004176C">
              <w:rPr>
                <w:color w:val="000000"/>
                <w:sz w:val="18"/>
                <w:szCs w:val="18"/>
              </w:rPr>
              <w:t>7</w:t>
            </w:r>
          </w:p>
        </w:tc>
        <w:tc>
          <w:tcPr>
            <w:tcW w:w="674" w:type="pct"/>
            <w:shd w:val="clear" w:color="auto" w:fill="auto"/>
            <w:vAlign w:val="center"/>
            <w:hideMark/>
          </w:tcPr>
          <w:p w14:paraId="5447F3C0"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75EFE0A"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244B80C" w14:textId="77777777" w:rsidR="00665586" w:rsidRPr="0004176C" w:rsidRDefault="00665586" w:rsidP="00665586">
            <w:pPr>
              <w:jc w:val="center"/>
              <w:rPr>
                <w:color w:val="000000"/>
                <w:sz w:val="18"/>
                <w:szCs w:val="18"/>
              </w:rPr>
            </w:pPr>
            <w:r w:rsidRPr="0004176C">
              <w:rPr>
                <w:color w:val="000000"/>
                <w:sz w:val="18"/>
                <w:szCs w:val="18"/>
              </w:rPr>
              <w:t>Family - New construction of eight farmhouse-style buildings</w:t>
            </w:r>
          </w:p>
        </w:tc>
      </w:tr>
      <w:tr w:rsidR="00665586" w:rsidRPr="0004176C" w14:paraId="405D282F" w14:textId="77777777" w:rsidTr="00665586">
        <w:trPr>
          <w:trHeight w:val="480"/>
        </w:trPr>
        <w:tc>
          <w:tcPr>
            <w:tcW w:w="1326" w:type="pct"/>
            <w:shd w:val="clear" w:color="auto" w:fill="auto"/>
            <w:vAlign w:val="center"/>
            <w:hideMark/>
          </w:tcPr>
          <w:p w14:paraId="29F0C404" w14:textId="77777777" w:rsidR="00665586" w:rsidRPr="0004176C" w:rsidRDefault="00665586" w:rsidP="00665586">
            <w:pPr>
              <w:jc w:val="center"/>
              <w:rPr>
                <w:color w:val="000000"/>
                <w:sz w:val="18"/>
                <w:szCs w:val="18"/>
              </w:rPr>
            </w:pPr>
            <w:r w:rsidRPr="0004176C">
              <w:rPr>
                <w:color w:val="000000"/>
                <w:sz w:val="18"/>
                <w:szCs w:val="18"/>
              </w:rPr>
              <w:t>Middlebury Arms</w:t>
            </w:r>
          </w:p>
        </w:tc>
        <w:tc>
          <w:tcPr>
            <w:tcW w:w="596" w:type="pct"/>
            <w:shd w:val="clear" w:color="auto" w:fill="auto"/>
            <w:vAlign w:val="center"/>
            <w:hideMark/>
          </w:tcPr>
          <w:p w14:paraId="149CA379" w14:textId="77777777" w:rsidR="00665586" w:rsidRPr="0004176C" w:rsidRDefault="00665586" w:rsidP="00665586">
            <w:pPr>
              <w:jc w:val="center"/>
              <w:rPr>
                <w:color w:val="000000"/>
                <w:sz w:val="18"/>
                <w:szCs w:val="18"/>
              </w:rPr>
            </w:pPr>
            <w:r w:rsidRPr="0004176C">
              <w:rPr>
                <w:color w:val="000000"/>
                <w:sz w:val="18"/>
                <w:szCs w:val="18"/>
              </w:rPr>
              <w:t>49</w:t>
            </w:r>
          </w:p>
        </w:tc>
        <w:tc>
          <w:tcPr>
            <w:tcW w:w="674" w:type="pct"/>
            <w:shd w:val="clear" w:color="auto" w:fill="auto"/>
            <w:vAlign w:val="center"/>
            <w:hideMark/>
          </w:tcPr>
          <w:p w14:paraId="58382083"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C442D55"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E8C1DB9" w14:textId="77777777" w:rsidR="00665586" w:rsidRPr="0004176C" w:rsidRDefault="00665586" w:rsidP="00665586">
            <w:pPr>
              <w:jc w:val="center"/>
              <w:rPr>
                <w:color w:val="000000"/>
                <w:sz w:val="18"/>
                <w:szCs w:val="18"/>
              </w:rPr>
            </w:pPr>
            <w:r w:rsidRPr="0004176C">
              <w:rPr>
                <w:color w:val="000000"/>
                <w:sz w:val="18"/>
                <w:szCs w:val="18"/>
              </w:rPr>
              <w:t>Expiring Use Project - Family - 49 out of 62 EVs converted to PBVs</w:t>
            </w:r>
          </w:p>
        </w:tc>
      </w:tr>
      <w:tr w:rsidR="00665586" w:rsidRPr="0004176C" w14:paraId="21121E71" w14:textId="77777777" w:rsidTr="00665586">
        <w:trPr>
          <w:trHeight w:val="480"/>
        </w:trPr>
        <w:tc>
          <w:tcPr>
            <w:tcW w:w="1326" w:type="pct"/>
            <w:shd w:val="clear" w:color="auto" w:fill="auto"/>
            <w:vAlign w:val="center"/>
            <w:hideMark/>
          </w:tcPr>
          <w:p w14:paraId="50DB7514" w14:textId="77777777" w:rsidR="00665586" w:rsidRPr="0004176C" w:rsidRDefault="00665586" w:rsidP="00665586">
            <w:pPr>
              <w:jc w:val="center"/>
              <w:rPr>
                <w:color w:val="000000"/>
                <w:sz w:val="18"/>
                <w:szCs w:val="18"/>
              </w:rPr>
            </w:pPr>
            <w:r w:rsidRPr="0004176C">
              <w:rPr>
                <w:color w:val="000000"/>
                <w:sz w:val="18"/>
                <w:szCs w:val="18"/>
              </w:rPr>
              <w:t>Montello Welcome Home II</w:t>
            </w:r>
          </w:p>
        </w:tc>
        <w:tc>
          <w:tcPr>
            <w:tcW w:w="596" w:type="pct"/>
            <w:shd w:val="clear" w:color="auto" w:fill="auto"/>
            <w:vAlign w:val="center"/>
            <w:hideMark/>
          </w:tcPr>
          <w:p w14:paraId="0E277096"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1A16E8AF"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BE95245"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10612F5" w14:textId="77777777" w:rsidR="00665586" w:rsidRPr="0004176C" w:rsidRDefault="00665586" w:rsidP="00665586">
            <w:pPr>
              <w:jc w:val="center"/>
              <w:rPr>
                <w:color w:val="000000"/>
                <w:sz w:val="18"/>
                <w:szCs w:val="18"/>
              </w:rPr>
            </w:pPr>
            <w:r w:rsidRPr="0004176C">
              <w:rPr>
                <w:color w:val="000000"/>
                <w:sz w:val="18"/>
                <w:szCs w:val="18"/>
              </w:rPr>
              <w:t>New construction. Supportive housing services- homeless preference.</w:t>
            </w:r>
          </w:p>
        </w:tc>
      </w:tr>
      <w:tr w:rsidR="00665586" w:rsidRPr="0004176C" w14:paraId="42860EA0" w14:textId="77777777" w:rsidTr="00665586">
        <w:trPr>
          <w:trHeight w:val="480"/>
        </w:trPr>
        <w:tc>
          <w:tcPr>
            <w:tcW w:w="1326" w:type="pct"/>
            <w:shd w:val="clear" w:color="auto" w:fill="auto"/>
            <w:vAlign w:val="center"/>
            <w:hideMark/>
          </w:tcPr>
          <w:p w14:paraId="4F269BEF" w14:textId="77777777" w:rsidR="00665586" w:rsidRPr="0004176C" w:rsidRDefault="00665586" w:rsidP="00665586">
            <w:pPr>
              <w:jc w:val="center"/>
              <w:rPr>
                <w:color w:val="000000"/>
                <w:sz w:val="18"/>
                <w:szCs w:val="18"/>
              </w:rPr>
            </w:pPr>
            <w:r w:rsidRPr="0004176C">
              <w:rPr>
                <w:color w:val="000000"/>
                <w:sz w:val="18"/>
                <w:szCs w:val="18"/>
              </w:rPr>
              <w:t>Montello Welcome Home Phase I</w:t>
            </w:r>
          </w:p>
        </w:tc>
        <w:tc>
          <w:tcPr>
            <w:tcW w:w="596" w:type="pct"/>
            <w:shd w:val="clear" w:color="auto" w:fill="auto"/>
            <w:vAlign w:val="center"/>
            <w:hideMark/>
          </w:tcPr>
          <w:p w14:paraId="1738F339"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ED78B8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E1182C1"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0D1FA8E" w14:textId="77777777" w:rsidR="00665586" w:rsidRPr="0004176C" w:rsidRDefault="00665586" w:rsidP="00665586">
            <w:pPr>
              <w:jc w:val="center"/>
              <w:rPr>
                <w:color w:val="000000"/>
                <w:sz w:val="18"/>
                <w:szCs w:val="18"/>
              </w:rPr>
            </w:pPr>
            <w:r w:rsidRPr="0004176C">
              <w:rPr>
                <w:color w:val="000000"/>
                <w:sz w:val="18"/>
                <w:szCs w:val="18"/>
              </w:rPr>
              <w:t>Supportive Housing - Homeless preference; new construction of 20-unit building (+1-2units)</w:t>
            </w:r>
          </w:p>
        </w:tc>
      </w:tr>
      <w:tr w:rsidR="00665586" w:rsidRPr="0004176C" w14:paraId="6B8A5BC5" w14:textId="77777777" w:rsidTr="00665586">
        <w:trPr>
          <w:trHeight w:val="480"/>
        </w:trPr>
        <w:tc>
          <w:tcPr>
            <w:tcW w:w="1326" w:type="pct"/>
            <w:shd w:val="clear" w:color="auto" w:fill="auto"/>
            <w:vAlign w:val="center"/>
          </w:tcPr>
          <w:p w14:paraId="2BEBDF7A" w14:textId="444B5214" w:rsidR="00665586" w:rsidRPr="0004176C" w:rsidRDefault="002B7D1C" w:rsidP="00665586">
            <w:pPr>
              <w:jc w:val="center"/>
              <w:rPr>
                <w:sz w:val="18"/>
                <w:szCs w:val="18"/>
              </w:rPr>
            </w:pPr>
            <w:r w:rsidRPr="0004176C">
              <w:rPr>
                <w:sz w:val="18"/>
                <w:szCs w:val="18"/>
              </w:rPr>
              <w:t>Moran Square Redevelopment</w:t>
            </w:r>
            <w:r w:rsidR="00665586" w:rsidRPr="0004176C">
              <w:rPr>
                <w:sz w:val="18"/>
                <w:szCs w:val="18"/>
              </w:rPr>
              <w:t xml:space="preserve"> Fitchburg</w:t>
            </w:r>
            <w:r w:rsidRPr="0004176C">
              <w:rPr>
                <w:sz w:val="18"/>
                <w:szCs w:val="18"/>
              </w:rPr>
              <w:t xml:space="preserve"> **</w:t>
            </w:r>
          </w:p>
        </w:tc>
        <w:tc>
          <w:tcPr>
            <w:tcW w:w="596" w:type="pct"/>
            <w:shd w:val="clear" w:color="auto" w:fill="auto"/>
            <w:vAlign w:val="center"/>
          </w:tcPr>
          <w:p w14:paraId="12E90C83"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1191B21E"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1D6AE90A"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297AEAB1" w14:textId="77777777" w:rsidR="00665586" w:rsidRPr="0004176C" w:rsidRDefault="00665586" w:rsidP="00665586">
            <w:pPr>
              <w:jc w:val="center"/>
              <w:rPr>
                <w:sz w:val="18"/>
                <w:szCs w:val="18"/>
              </w:rPr>
            </w:pPr>
            <w:r w:rsidRPr="0004176C">
              <w:rPr>
                <w:sz w:val="18"/>
                <w:szCs w:val="18"/>
              </w:rPr>
              <w:t>New Construction – Mixed Used, Family Housing</w:t>
            </w:r>
          </w:p>
        </w:tc>
      </w:tr>
      <w:tr w:rsidR="00665586" w:rsidRPr="0004176C" w14:paraId="7184E800" w14:textId="77777777" w:rsidTr="00665586">
        <w:trPr>
          <w:trHeight w:val="240"/>
        </w:trPr>
        <w:tc>
          <w:tcPr>
            <w:tcW w:w="1326" w:type="pct"/>
            <w:shd w:val="clear" w:color="auto" w:fill="auto"/>
            <w:vAlign w:val="center"/>
            <w:hideMark/>
          </w:tcPr>
          <w:p w14:paraId="35EF7BBE" w14:textId="77777777" w:rsidR="00665586" w:rsidRPr="0004176C" w:rsidRDefault="00665586" w:rsidP="00665586">
            <w:pPr>
              <w:jc w:val="center"/>
              <w:rPr>
                <w:color w:val="000000"/>
                <w:sz w:val="18"/>
                <w:szCs w:val="18"/>
              </w:rPr>
            </w:pPr>
            <w:r w:rsidRPr="0004176C">
              <w:rPr>
                <w:color w:val="000000"/>
                <w:sz w:val="18"/>
                <w:szCs w:val="18"/>
              </w:rPr>
              <w:t>Morgan Woods/Pennywise Path</w:t>
            </w:r>
          </w:p>
        </w:tc>
        <w:tc>
          <w:tcPr>
            <w:tcW w:w="596" w:type="pct"/>
            <w:shd w:val="clear" w:color="auto" w:fill="auto"/>
            <w:vAlign w:val="center"/>
            <w:hideMark/>
          </w:tcPr>
          <w:p w14:paraId="3F6B0682" w14:textId="77777777" w:rsidR="00665586" w:rsidRPr="0004176C" w:rsidRDefault="00665586" w:rsidP="00665586">
            <w:pPr>
              <w:jc w:val="center"/>
              <w:rPr>
                <w:color w:val="000000"/>
                <w:sz w:val="18"/>
                <w:szCs w:val="18"/>
              </w:rPr>
            </w:pPr>
            <w:r w:rsidRPr="0004176C">
              <w:rPr>
                <w:color w:val="000000"/>
                <w:sz w:val="18"/>
                <w:szCs w:val="18"/>
              </w:rPr>
              <w:t>6</w:t>
            </w:r>
          </w:p>
        </w:tc>
        <w:tc>
          <w:tcPr>
            <w:tcW w:w="674" w:type="pct"/>
            <w:shd w:val="clear" w:color="auto" w:fill="auto"/>
            <w:vAlign w:val="center"/>
            <w:hideMark/>
          </w:tcPr>
          <w:p w14:paraId="07E584F1"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B29D19E"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E5B597D"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06F363DE" w14:textId="77777777" w:rsidTr="00665586">
        <w:trPr>
          <w:trHeight w:val="240"/>
        </w:trPr>
        <w:tc>
          <w:tcPr>
            <w:tcW w:w="1326" w:type="pct"/>
            <w:shd w:val="clear" w:color="auto" w:fill="auto"/>
            <w:vAlign w:val="center"/>
            <w:hideMark/>
          </w:tcPr>
          <w:p w14:paraId="12C52ECE" w14:textId="77777777" w:rsidR="00665586" w:rsidRPr="0004176C" w:rsidRDefault="00665586" w:rsidP="00665586">
            <w:pPr>
              <w:jc w:val="center"/>
              <w:rPr>
                <w:color w:val="000000"/>
                <w:sz w:val="18"/>
                <w:szCs w:val="18"/>
              </w:rPr>
            </w:pPr>
            <w:r w:rsidRPr="0004176C">
              <w:rPr>
                <w:color w:val="000000"/>
                <w:sz w:val="18"/>
                <w:szCs w:val="18"/>
              </w:rPr>
              <w:t>Moseley Apartments</w:t>
            </w:r>
          </w:p>
        </w:tc>
        <w:tc>
          <w:tcPr>
            <w:tcW w:w="596" w:type="pct"/>
            <w:shd w:val="clear" w:color="auto" w:fill="auto"/>
            <w:vAlign w:val="center"/>
            <w:hideMark/>
          </w:tcPr>
          <w:p w14:paraId="31A15068" w14:textId="77777777" w:rsidR="00665586" w:rsidRPr="0004176C" w:rsidRDefault="00665586" w:rsidP="00665586">
            <w:pPr>
              <w:jc w:val="center"/>
              <w:rPr>
                <w:color w:val="000000"/>
                <w:sz w:val="18"/>
                <w:szCs w:val="18"/>
              </w:rPr>
            </w:pPr>
            <w:r w:rsidRPr="0004176C">
              <w:rPr>
                <w:color w:val="000000"/>
                <w:sz w:val="18"/>
                <w:szCs w:val="18"/>
              </w:rPr>
              <w:t>6</w:t>
            </w:r>
          </w:p>
        </w:tc>
        <w:tc>
          <w:tcPr>
            <w:tcW w:w="674" w:type="pct"/>
            <w:shd w:val="clear" w:color="auto" w:fill="auto"/>
            <w:vAlign w:val="center"/>
            <w:hideMark/>
          </w:tcPr>
          <w:p w14:paraId="149668C5"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93E0FE0"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CF3FB11" w14:textId="77777777" w:rsidR="00665586" w:rsidRPr="0004176C" w:rsidRDefault="00665586" w:rsidP="00665586">
            <w:pPr>
              <w:jc w:val="center"/>
              <w:rPr>
                <w:color w:val="000000"/>
                <w:sz w:val="18"/>
                <w:szCs w:val="18"/>
              </w:rPr>
            </w:pPr>
            <w:r w:rsidRPr="0004176C">
              <w:rPr>
                <w:color w:val="000000"/>
                <w:sz w:val="18"/>
                <w:szCs w:val="18"/>
              </w:rPr>
              <w:t>Substantial Rehab--Adaptive Reuse, Family units at 30% AMI</w:t>
            </w:r>
          </w:p>
        </w:tc>
      </w:tr>
      <w:tr w:rsidR="00665586" w:rsidRPr="0004176C" w14:paraId="64BC8540" w14:textId="77777777" w:rsidTr="00665586">
        <w:trPr>
          <w:trHeight w:val="480"/>
        </w:trPr>
        <w:tc>
          <w:tcPr>
            <w:tcW w:w="1326" w:type="pct"/>
            <w:shd w:val="clear" w:color="auto" w:fill="auto"/>
            <w:vAlign w:val="center"/>
          </w:tcPr>
          <w:p w14:paraId="424AE0F7" w14:textId="77777777" w:rsidR="00665586" w:rsidRPr="0004176C" w:rsidRDefault="00665586" w:rsidP="00665586">
            <w:pPr>
              <w:jc w:val="center"/>
              <w:rPr>
                <w:sz w:val="18"/>
                <w:szCs w:val="18"/>
              </w:rPr>
            </w:pPr>
            <w:r w:rsidRPr="0004176C">
              <w:rPr>
                <w:sz w:val="18"/>
                <w:szCs w:val="18"/>
              </w:rPr>
              <w:t>Noquochoke Village,</w:t>
            </w:r>
          </w:p>
          <w:p w14:paraId="4DA528BD" w14:textId="77777777" w:rsidR="00665586" w:rsidRPr="0004176C" w:rsidRDefault="00665586" w:rsidP="00665586">
            <w:pPr>
              <w:jc w:val="center"/>
              <w:rPr>
                <w:color w:val="000000"/>
                <w:sz w:val="18"/>
                <w:szCs w:val="18"/>
              </w:rPr>
            </w:pPr>
            <w:r w:rsidRPr="0004176C">
              <w:rPr>
                <w:sz w:val="18"/>
                <w:szCs w:val="18"/>
              </w:rPr>
              <w:t>Westport</w:t>
            </w:r>
          </w:p>
        </w:tc>
        <w:tc>
          <w:tcPr>
            <w:tcW w:w="596" w:type="pct"/>
            <w:shd w:val="clear" w:color="auto" w:fill="auto"/>
            <w:vAlign w:val="center"/>
          </w:tcPr>
          <w:p w14:paraId="5418BFAA" w14:textId="77777777" w:rsidR="00665586" w:rsidRPr="0004176C" w:rsidRDefault="00665586" w:rsidP="00665586">
            <w:pPr>
              <w:jc w:val="center"/>
              <w:rPr>
                <w:color w:val="000000"/>
                <w:sz w:val="18"/>
                <w:szCs w:val="18"/>
              </w:rPr>
            </w:pPr>
            <w:r w:rsidRPr="0004176C">
              <w:rPr>
                <w:sz w:val="18"/>
                <w:szCs w:val="18"/>
              </w:rPr>
              <w:t>8</w:t>
            </w:r>
          </w:p>
        </w:tc>
        <w:tc>
          <w:tcPr>
            <w:tcW w:w="674" w:type="pct"/>
            <w:shd w:val="clear" w:color="auto" w:fill="auto"/>
            <w:vAlign w:val="center"/>
          </w:tcPr>
          <w:p w14:paraId="547DB0E7" w14:textId="77777777" w:rsidR="00665586" w:rsidRPr="0004176C" w:rsidRDefault="00665586" w:rsidP="00665586">
            <w:pPr>
              <w:jc w:val="center"/>
              <w:rPr>
                <w:color w:val="000000"/>
                <w:sz w:val="18"/>
                <w:szCs w:val="18"/>
              </w:rPr>
            </w:pPr>
            <w:r w:rsidRPr="0004176C">
              <w:rPr>
                <w:sz w:val="18"/>
                <w:szCs w:val="18"/>
              </w:rPr>
              <w:t>Leased/Issued</w:t>
            </w:r>
          </w:p>
        </w:tc>
        <w:tc>
          <w:tcPr>
            <w:tcW w:w="627" w:type="pct"/>
            <w:shd w:val="clear" w:color="auto" w:fill="auto"/>
            <w:vAlign w:val="center"/>
          </w:tcPr>
          <w:p w14:paraId="74F86714"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7897704F" w14:textId="77777777" w:rsidR="00665586" w:rsidRPr="0004176C" w:rsidRDefault="00665586" w:rsidP="00665586">
            <w:pPr>
              <w:jc w:val="center"/>
              <w:rPr>
                <w:color w:val="000000"/>
                <w:sz w:val="18"/>
                <w:szCs w:val="18"/>
              </w:rPr>
            </w:pPr>
            <w:r w:rsidRPr="0004176C">
              <w:rPr>
                <w:rFonts w:eastAsia="Calibri"/>
                <w:sz w:val="18"/>
                <w:szCs w:val="18"/>
              </w:rPr>
              <w:t>New Construction – Family Housing</w:t>
            </w:r>
          </w:p>
        </w:tc>
      </w:tr>
      <w:tr w:rsidR="00665586" w:rsidRPr="0004176C" w14:paraId="0E78A451" w14:textId="77777777" w:rsidTr="00665586">
        <w:trPr>
          <w:trHeight w:val="480"/>
        </w:trPr>
        <w:tc>
          <w:tcPr>
            <w:tcW w:w="1326" w:type="pct"/>
            <w:shd w:val="clear" w:color="auto" w:fill="auto"/>
            <w:vAlign w:val="center"/>
            <w:hideMark/>
          </w:tcPr>
          <w:p w14:paraId="2F50E083" w14:textId="77777777" w:rsidR="00665586" w:rsidRPr="0004176C" w:rsidRDefault="00665586" w:rsidP="00665586">
            <w:pPr>
              <w:jc w:val="center"/>
              <w:rPr>
                <w:color w:val="000000"/>
                <w:sz w:val="18"/>
                <w:szCs w:val="18"/>
              </w:rPr>
            </w:pPr>
            <w:r w:rsidRPr="0004176C">
              <w:rPr>
                <w:color w:val="000000"/>
                <w:sz w:val="18"/>
                <w:szCs w:val="18"/>
              </w:rPr>
              <w:t>North Bellingham Veterans Home</w:t>
            </w:r>
          </w:p>
        </w:tc>
        <w:tc>
          <w:tcPr>
            <w:tcW w:w="596" w:type="pct"/>
            <w:shd w:val="clear" w:color="auto" w:fill="auto"/>
            <w:vAlign w:val="center"/>
            <w:hideMark/>
          </w:tcPr>
          <w:p w14:paraId="4CC1C985"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415CDB8B"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25F3060"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8CF944A" w14:textId="77777777" w:rsidR="00665586" w:rsidRPr="0004176C" w:rsidRDefault="00665586" w:rsidP="00665586">
            <w:pPr>
              <w:jc w:val="center"/>
              <w:rPr>
                <w:color w:val="000000"/>
                <w:sz w:val="18"/>
                <w:szCs w:val="18"/>
              </w:rPr>
            </w:pPr>
            <w:r w:rsidRPr="0004176C">
              <w:rPr>
                <w:color w:val="000000"/>
                <w:sz w:val="18"/>
                <w:szCs w:val="18"/>
              </w:rPr>
              <w:t>Supportive Housing - Veterans preference; substantial rehab of legion post</w:t>
            </w:r>
          </w:p>
        </w:tc>
      </w:tr>
      <w:tr w:rsidR="00665586" w:rsidRPr="0004176C" w14:paraId="1C160661" w14:textId="77777777" w:rsidTr="00665586">
        <w:trPr>
          <w:trHeight w:val="240"/>
        </w:trPr>
        <w:tc>
          <w:tcPr>
            <w:tcW w:w="1326" w:type="pct"/>
            <w:shd w:val="clear" w:color="auto" w:fill="auto"/>
            <w:vAlign w:val="center"/>
            <w:hideMark/>
          </w:tcPr>
          <w:p w14:paraId="45446B34" w14:textId="77777777" w:rsidR="00665586" w:rsidRPr="0004176C" w:rsidRDefault="00665586" w:rsidP="00665586">
            <w:pPr>
              <w:jc w:val="center"/>
              <w:rPr>
                <w:color w:val="000000"/>
                <w:sz w:val="18"/>
                <w:szCs w:val="18"/>
              </w:rPr>
            </w:pPr>
            <w:r w:rsidRPr="0004176C">
              <w:rPr>
                <w:color w:val="000000"/>
                <w:sz w:val="18"/>
                <w:szCs w:val="18"/>
              </w:rPr>
              <w:t>North Square at the Mill District</w:t>
            </w:r>
          </w:p>
        </w:tc>
        <w:tc>
          <w:tcPr>
            <w:tcW w:w="596" w:type="pct"/>
            <w:shd w:val="clear" w:color="auto" w:fill="auto"/>
            <w:vAlign w:val="center"/>
            <w:hideMark/>
          </w:tcPr>
          <w:p w14:paraId="6CD17112"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9EBAECF"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19E0B00"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718C3A2" w14:textId="77777777" w:rsidR="00665586" w:rsidRPr="0004176C" w:rsidRDefault="00665586" w:rsidP="00665586">
            <w:pPr>
              <w:jc w:val="center"/>
              <w:rPr>
                <w:color w:val="000000"/>
                <w:sz w:val="18"/>
                <w:szCs w:val="18"/>
              </w:rPr>
            </w:pPr>
            <w:r w:rsidRPr="0004176C">
              <w:rPr>
                <w:color w:val="000000"/>
                <w:sz w:val="18"/>
                <w:szCs w:val="18"/>
              </w:rPr>
              <w:t>New construction, family units at 30% AMI</w:t>
            </w:r>
          </w:p>
        </w:tc>
      </w:tr>
      <w:tr w:rsidR="00665586" w:rsidRPr="0004176C" w14:paraId="3A1026CE" w14:textId="77777777" w:rsidTr="00665586">
        <w:trPr>
          <w:trHeight w:val="480"/>
        </w:trPr>
        <w:tc>
          <w:tcPr>
            <w:tcW w:w="1326" w:type="pct"/>
            <w:shd w:val="clear" w:color="auto" w:fill="auto"/>
            <w:vAlign w:val="center"/>
            <w:hideMark/>
          </w:tcPr>
          <w:p w14:paraId="13FF79A1" w14:textId="77777777" w:rsidR="00665586" w:rsidRPr="0004176C" w:rsidRDefault="00665586" w:rsidP="00665586">
            <w:pPr>
              <w:jc w:val="center"/>
              <w:rPr>
                <w:color w:val="000000"/>
                <w:sz w:val="18"/>
                <w:szCs w:val="18"/>
              </w:rPr>
            </w:pPr>
            <w:r w:rsidRPr="0004176C">
              <w:rPr>
                <w:color w:val="000000"/>
                <w:sz w:val="18"/>
                <w:szCs w:val="18"/>
              </w:rPr>
              <w:t>North Village</w:t>
            </w:r>
          </w:p>
        </w:tc>
        <w:tc>
          <w:tcPr>
            <w:tcW w:w="596" w:type="pct"/>
            <w:shd w:val="clear" w:color="auto" w:fill="auto"/>
            <w:vAlign w:val="center"/>
            <w:hideMark/>
          </w:tcPr>
          <w:p w14:paraId="4AE9C66B" w14:textId="77777777" w:rsidR="00665586" w:rsidRPr="0004176C" w:rsidRDefault="00665586" w:rsidP="00665586">
            <w:pPr>
              <w:jc w:val="center"/>
              <w:rPr>
                <w:color w:val="000000"/>
                <w:sz w:val="18"/>
                <w:szCs w:val="18"/>
              </w:rPr>
            </w:pPr>
            <w:r w:rsidRPr="0004176C">
              <w:rPr>
                <w:color w:val="000000"/>
                <w:sz w:val="18"/>
                <w:szCs w:val="18"/>
              </w:rPr>
              <w:t>134</w:t>
            </w:r>
          </w:p>
        </w:tc>
        <w:tc>
          <w:tcPr>
            <w:tcW w:w="674" w:type="pct"/>
            <w:shd w:val="clear" w:color="auto" w:fill="auto"/>
            <w:vAlign w:val="center"/>
            <w:hideMark/>
          </w:tcPr>
          <w:p w14:paraId="056DC1CE"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EB0A186" w14:textId="77777777" w:rsidR="00665586" w:rsidRPr="0004176C" w:rsidRDefault="00665586" w:rsidP="00665586">
            <w:pPr>
              <w:jc w:val="center"/>
              <w:rPr>
                <w:color w:val="000000"/>
                <w:sz w:val="18"/>
                <w:szCs w:val="18"/>
              </w:rPr>
            </w:pPr>
            <w:r w:rsidRPr="0004176C">
              <w:rPr>
                <w:color w:val="000000"/>
                <w:sz w:val="18"/>
                <w:szCs w:val="18"/>
              </w:rPr>
              <w:t>Yes</w:t>
            </w:r>
          </w:p>
        </w:tc>
        <w:tc>
          <w:tcPr>
            <w:tcW w:w="1777" w:type="pct"/>
            <w:shd w:val="clear" w:color="auto" w:fill="auto"/>
            <w:vAlign w:val="center"/>
            <w:hideMark/>
          </w:tcPr>
          <w:p w14:paraId="39317988" w14:textId="77777777" w:rsidR="00665586" w:rsidRPr="0004176C" w:rsidRDefault="00665586" w:rsidP="00665586">
            <w:pPr>
              <w:jc w:val="center"/>
              <w:rPr>
                <w:color w:val="000000"/>
                <w:sz w:val="18"/>
                <w:szCs w:val="18"/>
              </w:rPr>
            </w:pPr>
            <w:r w:rsidRPr="0004176C">
              <w:rPr>
                <w:color w:val="000000"/>
                <w:sz w:val="18"/>
                <w:szCs w:val="18"/>
              </w:rPr>
              <w:t>RAD (Rent Supp) - Existing Family Housing; 12 townhouse-style buildings</w:t>
            </w:r>
          </w:p>
        </w:tc>
      </w:tr>
      <w:tr w:rsidR="00665586" w:rsidRPr="0004176C" w14:paraId="60F07743" w14:textId="77777777" w:rsidTr="00665586">
        <w:trPr>
          <w:trHeight w:val="480"/>
        </w:trPr>
        <w:tc>
          <w:tcPr>
            <w:tcW w:w="1326" w:type="pct"/>
            <w:shd w:val="clear" w:color="auto" w:fill="auto"/>
            <w:vAlign w:val="center"/>
          </w:tcPr>
          <w:p w14:paraId="18AD82DB" w14:textId="77777777" w:rsidR="00665586" w:rsidRPr="0004176C" w:rsidRDefault="00665586" w:rsidP="00665586">
            <w:pPr>
              <w:jc w:val="center"/>
              <w:rPr>
                <w:sz w:val="18"/>
                <w:szCs w:val="18"/>
              </w:rPr>
            </w:pPr>
            <w:r w:rsidRPr="0004176C">
              <w:rPr>
                <w:sz w:val="18"/>
                <w:szCs w:val="18"/>
              </w:rPr>
              <w:t>Northampton Lumber Yard Apartments,</w:t>
            </w:r>
          </w:p>
          <w:p w14:paraId="5381D31D" w14:textId="77777777" w:rsidR="00665586" w:rsidRPr="0004176C" w:rsidRDefault="00665586" w:rsidP="00665586">
            <w:pPr>
              <w:jc w:val="center"/>
              <w:rPr>
                <w:color w:val="000000"/>
                <w:sz w:val="18"/>
                <w:szCs w:val="18"/>
              </w:rPr>
            </w:pPr>
            <w:r w:rsidRPr="0004176C">
              <w:rPr>
                <w:sz w:val="18"/>
                <w:szCs w:val="18"/>
              </w:rPr>
              <w:t>Northampton</w:t>
            </w:r>
          </w:p>
        </w:tc>
        <w:tc>
          <w:tcPr>
            <w:tcW w:w="596" w:type="pct"/>
            <w:shd w:val="clear" w:color="auto" w:fill="auto"/>
            <w:vAlign w:val="center"/>
          </w:tcPr>
          <w:p w14:paraId="368CEB48" w14:textId="77777777" w:rsidR="00665586" w:rsidRPr="0004176C" w:rsidRDefault="00665586" w:rsidP="00665586">
            <w:pPr>
              <w:jc w:val="center"/>
              <w:rPr>
                <w:color w:val="000000"/>
                <w:sz w:val="18"/>
                <w:szCs w:val="18"/>
              </w:rPr>
            </w:pPr>
            <w:r w:rsidRPr="0004176C">
              <w:rPr>
                <w:sz w:val="18"/>
                <w:szCs w:val="18"/>
              </w:rPr>
              <w:t>8</w:t>
            </w:r>
          </w:p>
        </w:tc>
        <w:tc>
          <w:tcPr>
            <w:tcW w:w="674" w:type="pct"/>
            <w:shd w:val="clear" w:color="auto" w:fill="auto"/>
            <w:vAlign w:val="center"/>
          </w:tcPr>
          <w:p w14:paraId="572B0AA3" w14:textId="77777777" w:rsidR="00665586" w:rsidRPr="0004176C" w:rsidRDefault="00665586" w:rsidP="00665586">
            <w:pPr>
              <w:jc w:val="center"/>
              <w:rPr>
                <w:color w:val="000000"/>
                <w:sz w:val="18"/>
                <w:szCs w:val="18"/>
              </w:rPr>
            </w:pPr>
            <w:r w:rsidRPr="0004176C">
              <w:rPr>
                <w:sz w:val="18"/>
                <w:szCs w:val="18"/>
              </w:rPr>
              <w:t>Leased/Issued</w:t>
            </w:r>
          </w:p>
        </w:tc>
        <w:tc>
          <w:tcPr>
            <w:tcW w:w="627" w:type="pct"/>
            <w:shd w:val="clear" w:color="auto" w:fill="auto"/>
            <w:vAlign w:val="center"/>
          </w:tcPr>
          <w:p w14:paraId="2943F51E"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2F1F5AF0" w14:textId="77777777" w:rsidR="00665586" w:rsidRPr="0004176C" w:rsidRDefault="00665586" w:rsidP="00665586">
            <w:pPr>
              <w:jc w:val="center"/>
              <w:rPr>
                <w:color w:val="000000"/>
                <w:sz w:val="18"/>
                <w:szCs w:val="18"/>
              </w:rPr>
            </w:pPr>
            <w:r w:rsidRPr="0004176C">
              <w:rPr>
                <w:rFonts w:eastAsia="Calibri"/>
                <w:sz w:val="18"/>
                <w:szCs w:val="18"/>
              </w:rPr>
              <w:t>New Construction – Family Housing</w:t>
            </w:r>
          </w:p>
        </w:tc>
      </w:tr>
      <w:tr w:rsidR="00665586" w:rsidRPr="0004176C" w14:paraId="38B46B6C" w14:textId="77777777" w:rsidTr="00665586">
        <w:trPr>
          <w:trHeight w:val="240"/>
        </w:trPr>
        <w:tc>
          <w:tcPr>
            <w:tcW w:w="1326" w:type="pct"/>
            <w:shd w:val="clear" w:color="auto" w:fill="auto"/>
            <w:vAlign w:val="center"/>
            <w:hideMark/>
          </w:tcPr>
          <w:p w14:paraId="041C2986" w14:textId="77777777" w:rsidR="00665586" w:rsidRPr="0004176C" w:rsidRDefault="00665586" w:rsidP="00665586">
            <w:pPr>
              <w:jc w:val="center"/>
              <w:rPr>
                <w:color w:val="000000"/>
                <w:sz w:val="18"/>
                <w:szCs w:val="18"/>
              </w:rPr>
            </w:pPr>
            <w:r w:rsidRPr="0004176C">
              <w:rPr>
                <w:color w:val="000000"/>
                <w:sz w:val="18"/>
                <w:szCs w:val="18"/>
              </w:rPr>
              <w:t>Ocean Shores</w:t>
            </w:r>
          </w:p>
        </w:tc>
        <w:tc>
          <w:tcPr>
            <w:tcW w:w="596" w:type="pct"/>
            <w:shd w:val="clear" w:color="auto" w:fill="auto"/>
            <w:vAlign w:val="center"/>
            <w:hideMark/>
          </w:tcPr>
          <w:p w14:paraId="4771A789"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6E3512E6"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523037C"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B495E53"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13748EA2" w14:textId="77777777" w:rsidTr="00665586">
        <w:trPr>
          <w:trHeight w:val="240"/>
        </w:trPr>
        <w:tc>
          <w:tcPr>
            <w:tcW w:w="1326" w:type="pct"/>
            <w:shd w:val="clear" w:color="auto" w:fill="auto"/>
            <w:vAlign w:val="center"/>
            <w:hideMark/>
          </w:tcPr>
          <w:p w14:paraId="7C89DCD5" w14:textId="77777777" w:rsidR="00665586" w:rsidRPr="0004176C" w:rsidRDefault="00665586" w:rsidP="00665586">
            <w:pPr>
              <w:jc w:val="center"/>
              <w:rPr>
                <w:color w:val="000000"/>
                <w:sz w:val="18"/>
                <w:szCs w:val="18"/>
              </w:rPr>
            </w:pPr>
            <w:r w:rsidRPr="0004176C">
              <w:rPr>
                <w:color w:val="000000"/>
                <w:sz w:val="18"/>
                <w:szCs w:val="18"/>
              </w:rPr>
              <w:t>Old High School Commons</w:t>
            </w:r>
          </w:p>
        </w:tc>
        <w:tc>
          <w:tcPr>
            <w:tcW w:w="596" w:type="pct"/>
            <w:shd w:val="clear" w:color="auto" w:fill="auto"/>
            <w:vAlign w:val="center"/>
            <w:hideMark/>
          </w:tcPr>
          <w:p w14:paraId="4FE9C5F9" w14:textId="77777777" w:rsidR="00665586" w:rsidRPr="0004176C" w:rsidRDefault="00665586" w:rsidP="00665586">
            <w:pPr>
              <w:jc w:val="center"/>
              <w:rPr>
                <w:color w:val="000000"/>
                <w:sz w:val="18"/>
                <w:szCs w:val="18"/>
              </w:rPr>
            </w:pPr>
            <w:r w:rsidRPr="0004176C">
              <w:rPr>
                <w:color w:val="000000"/>
                <w:sz w:val="18"/>
                <w:szCs w:val="18"/>
              </w:rPr>
              <w:t>6</w:t>
            </w:r>
          </w:p>
        </w:tc>
        <w:tc>
          <w:tcPr>
            <w:tcW w:w="674" w:type="pct"/>
            <w:shd w:val="clear" w:color="auto" w:fill="auto"/>
            <w:vAlign w:val="center"/>
            <w:hideMark/>
          </w:tcPr>
          <w:p w14:paraId="565CBF31"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F1F9D8F"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AEC39DC"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5B450410" w14:textId="77777777" w:rsidTr="00665586">
        <w:trPr>
          <w:trHeight w:val="480"/>
        </w:trPr>
        <w:tc>
          <w:tcPr>
            <w:tcW w:w="1326" w:type="pct"/>
            <w:shd w:val="clear" w:color="auto" w:fill="auto"/>
            <w:vAlign w:val="center"/>
          </w:tcPr>
          <w:p w14:paraId="79908AEE" w14:textId="77777777" w:rsidR="00665586" w:rsidRPr="0004176C" w:rsidRDefault="00665586" w:rsidP="00665586">
            <w:pPr>
              <w:jc w:val="center"/>
              <w:rPr>
                <w:sz w:val="18"/>
                <w:szCs w:val="18"/>
              </w:rPr>
            </w:pPr>
            <w:r w:rsidRPr="0004176C">
              <w:rPr>
                <w:sz w:val="18"/>
                <w:szCs w:val="18"/>
              </w:rPr>
              <w:t>Olmstead Green 100,</w:t>
            </w:r>
          </w:p>
          <w:p w14:paraId="392EC180" w14:textId="14A37D25" w:rsidR="00665586" w:rsidRPr="0004176C" w:rsidRDefault="00665586" w:rsidP="00665586">
            <w:pPr>
              <w:jc w:val="center"/>
              <w:rPr>
                <w:color w:val="000000"/>
                <w:sz w:val="18"/>
                <w:szCs w:val="18"/>
              </w:rPr>
            </w:pPr>
            <w:r w:rsidRPr="0004176C">
              <w:rPr>
                <w:sz w:val="18"/>
                <w:szCs w:val="18"/>
              </w:rPr>
              <w:t>Boston</w:t>
            </w:r>
            <w:r w:rsidR="00533160" w:rsidRPr="0004176C">
              <w:rPr>
                <w:sz w:val="18"/>
                <w:szCs w:val="18"/>
              </w:rPr>
              <w:t>*</w:t>
            </w:r>
          </w:p>
        </w:tc>
        <w:tc>
          <w:tcPr>
            <w:tcW w:w="596" w:type="pct"/>
            <w:shd w:val="clear" w:color="auto" w:fill="auto"/>
            <w:vAlign w:val="center"/>
          </w:tcPr>
          <w:p w14:paraId="51C21AD9" w14:textId="77777777" w:rsidR="00665586" w:rsidRPr="0004176C" w:rsidRDefault="00665586" w:rsidP="00665586">
            <w:pPr>
              <w:jc w:val="center"/>
              <w:rPr>
                <w:color w:val="000000"/>
                <w:sz w:val="18"/>
                <w:szCs w:val="18"/>
              </w:rPr>
            </w:pPr>
            <w:r w:rsidRPr="0004176C">
              <w:rPr>
                <w:sz w:val="18"/>
                <w:szCs w:val="18"/>
              </w:rPr>
              <w:t>8</w:t>
            </w:r>
          </w:p>
        </w:tc>
        <w:tc>
          <w:tcPr>
            <w:tcW w:w="674" w:type="pct"/>
            <w:shd w:val="clear" w:color="auto" w:fill="auto"/>
            <w:vAlign w:val="center"/>
          </w:tcPr>
          <w:p w14:paraId="1E8CDE63" w14:textId="77777777" w:rsidR="00665586" w:rsidRPr="0004176C" w:rsidRDefault="00665586" w:rsidP="00665586">
            <w:pPr>
              <w:jc w:val="center"/>
              <w:rPr>
                <w:color w:val="000000"/>
                <w:sz w:val="18"/>
                <w:szCs w:val="18"/>
              </w:rPr>
            </w:pPr>
            <w:r w:rsidRPr="0004176C">
              <w:rPr>
                <w:sz w:val="18"/>
                <w:szCs w:val="18"/>
              </w:rPr>
              <w:t>Committed</w:t>
            </w:r>
          </w:p>
        </w:tc>
        <w:tc>
          <w:tcPr>
            <w:tcW w:w="627" w:type="pct"/>
            <w:shd w:val="clear" w:color="auto" w:fill="auto"/>
            <w:vAlign w:val="center"/>
          </w:tcPr>
          <w:p w14:paraId="1D3C307E"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291D11EA" w14:textId="77777777" w:rsidR="00665586" w:rsidRPr="0004176C" w:rsidRDefault="00665586" w:rsidP="00665586">
            <w:pPr>
              <w:jc w:val="center"/>
              <w:rPr>
                <w:color w:val="000000"/>
                <w:sz w:val="18"/>
                <w:szCs w:val="18"/>
              </w:rPr>
            </w:pPr>
            <w:r w:rsidRPr="0004176C">
              <w:rPr>
                <w:rFonts w:eastAsia="Calibri"/>
                <w:sz w:val="18"/>
                <w:szCs w:val="18"/>
              </w:rPr>
              <w:t>New Construction – Family</w:t>
            </w:r>
          </w:p>
        </w:tc>
      </w:tr>
      <w:tr w:rsidR="00665586" w:rsidRPr="0004176C" w14:paraId="59BA8018" w14:textId="77777777" w:rsidTr="00665586">
        <w:trPr>
          <w:trHeight w:val="480"/>
        </w:trPr>
        <w:tc>
          <w:tcPr>
            <w:tcW w:w="1326" w:type="pct"/>
            <w:shd w:val="clear" w:color="auto" w:fill="auto"/>
            <w:vAlign w:val="center"/>
          </w:tcPr>
          <w:p w14:paraId="20C40EE3" w14:textId="77777777" w:rsidR="002B7D1C" w:rsidRPr="0004176C" w:rsidRDefault="00665586" w:rsidP="00665586">
            <w:pPr>
              <w:jc w:val="center"/>
              <w:rPr>
                <w:sz w:val="18"/>
                <w:szCs w:val="18"/>
              </w:rPr>
            </w:pPr>
            <w:r w:rsidRPr="0004176C">
              <w:rPr>
                <w:sz w:val="18"/>
                <w:szCs w:val="18"/>
              </w:rPr>
              <w:t>Olmst</w:t>
            </w:r>
            <w:r w:rsidR="002B7D1C" w:rsidRPr="0004176C">
              <w:rPr>
                <w:sz w:val="18"/>
                <w:szCs w:val="18"/>
              </w:rPr>
              <w:t>ead Green Affordable Rental IV</w:t>
            </w:r>
          </w:p>
          <w:p w14:paraId="01B9D3A6" w14:textId="049BD0A3" w:rsidR="00665586" w:rsidRPr="0004176C" w:rsidRDefault="00665586" w:rsidP="00665586">
            <w:pPr>
              <w:jc w:val="center"/>
              <w:rPr>
                <w:sz w:val="18"/>
                <w:szCs w:val="18"/>
              </w:rPr>
            </w:pPr>
            <w:r w:rsidRPr="0004176C">
              <w:rPr>
                <w:sz w:val="18"/>
                <w:szCs w:val="18"/>
              </w:rPr>
              <w:t>Boston *</w:t>
            </w:r>
            <w:r w:rsidR="00533160" w:rsidRPr="0004176C">
              <w:rPr>
                <w:sz w:val="18"/>
                <w:szCs w:val="18"/>
              </w:rPr>
              <w:t>*</w:t>
            </w:r>
          </w:p>
        </w:tc>
        <w:tc>
          <w:tcPr>
            <w:tcW w:w="596" w:type="pct"/>
            <w:shd w:val="clear" w:color="auto" w:fill="auto"/>
            <w:vAlign w:val="center"/>
          </w:tcPr>
          <w:p w14:paraId="50F9481E"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06508550"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5A171372"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4251DDE5" w14:textId="77777777" w:rsidR="00665586" w:rsidRPr="0004176C" w:rsidRDefault="00665586" w:rsidP="00665586">
            <w:pPr>
              <w:jc w:val="center"/>
              <w:rPr>
                <w:sz w:val="18"/>
                <w:szCs w:val="18"/>
              </w:rPr>
            </w:pPr>
            <w:r w:rsidRPr="0004176C">
              <w:rPr>
                <w:sz w:val="18"/>
                <w:szCs w:val="18"/>
              </w:rPr>
              <w:t>New Construction – Family Housing</w:t>
            </w:r>
          </w:p>
        </w:tc>
      </w:tr>
      <w:tr w:rsidR="00665586" w:rsidRPr="0004176C" w14:paraId="7D83B5E4" w14:textId="77777777" w:rsidTr="00665586">
        <w:trPr>
          <w:trHeight w:val="240"/>
        </w:trPr>
        <w:tc>
          <w:tcPr>
            <w:tcW w:w="1326" w:type="pct"/>
            <w:shd w:val="clear" w:color="auto" w:fill="auto"/>
            <w:vAlign w:val="center"/>
            <w:hideMark/>
          </w:tcPr>
          <w:p w14:paraId="62D0F3C1" w14:textId="77777777" w:rsidR="00665586" w:rsidRPr="0004176C" w:rsidRDefault="00665586" w:rsidP="00665586">
            <w:pPr>
              <w:jc w:val="center"/>
              <w:rPr>
                <w:color w:val="000000"/>
                <w:sz w:val="18"/>
                <w:szCs w:val="18"/>
              </w:rPr>
            </w:pPr>
            <w:r w:rsidRPr="0004176C">
              <w:rPr>
                <w:color w:val="000000"/>
                <w:sz w:val="18"/>
                <w:szCs w:val="18"/>
              </w:rPr>
              <w:t>Olympia Oaks</w:t>
            </w:r>
          </w:p>
        </w:tc>
        <w:tc>
          <w:tcPr>
            <w:tcW w:w="596" w:type="pct"/>
            <w:shd w:val="clear" w:color="auto" w:fill="auto"/>
            <w:vAlign w:val="center"/>
            <w:hideMark/>
          </w:tcPr>
          <w:p w14:paraId="0524278E"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570E3067"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663B3A3"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9EF5459" w14:textId="77777777" w:rsidR="00665586" w:rsidRPr="0004176C" w:rsidRDefault="00665586" w:rsidP="00665586">
            <w:pPr>
              <w:jc w:val="center"/>
              <w:rPr>
                <w:color w:val="000000"/>
                <w:sz w:val="18"/>
                <w:szCs w:val="18"/>
              </w:rPr>
            </w:pPr>
            <w:r w:rsidRPr="0004176C">
              <w:rPr>
                <w:color w:val="000000"/>
                <w:sz w:val="18"/>
                <w:szCs w:val="18"/>
              </w:rPr>
              <w:t>Family - New construction; 11 buildings</w:t>
            </w:r>
          </w:p>
        </w:tc>
      </w:tr>
      <w:tr w:rsidR="00665586" w:rsidRPr="0004176C" w14:paraId="306D7B77" w14:textId="77777777" w:rsidTr="00665586">
        <w:trPr>
          <w:trHeight w:val="240"/>
        </w:trPr>
        <w:tc>
          <w:tcPr>
            <w:tcW w:w="1326" w:type="pct"/>
            <w:shd w:val="clear" w:color="auto" w:fill="auto"/>
            <w:vAlign w:val="center"/>
            <w:hideMark/>
          </w:tcPr>
          <w:p w14:paraId="40E5EAAF" w14:textId="77777777" w:rsidR="00665586" w:rsidRPr="0004176C" w:rsidRDefault="00665586" w:rsidP="00665586">
            <w:pPr>
              <w:jc w:val="center"/>
              <w:rPr>
                <w:color w:val="000000"/>
                <w:sz w:val="18"/>
                <w:szCs w:val="18"/>
              </w:rPr>
            </w:pPr>
            <w:r w:rsidRPr="0004176C">
              <w:rPr>
                <w:color w:val="000000"/>
                <w:sz w:val="18"/>
                <w:szCs w:val="18"/>
              </w:rPr>
              <w:t>One Beach</w:t>
            </w:r>
          </w:p>
        </w:tc>
        <w:tc>
          <w:tcPr>
            <w:tcW w:w="596" w:type="pct"/>
            <w:shd w:val="clear" w:color="auto" w:fill="auto"/>
            <w:vAlign w:val="center"/>
            <w:hideMark/>
          </w:tcPr>
          <w:p w14:paraId="4F6902FB"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0AA434FF"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891DDFF"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EFE64CA" w14:textId="77777777" w:rsidR="00665586" w:rsidRPr="0004176C" w:rsidRDefault="00665586" w:rsidP="00665586">
            <w:pPr>
              <w:jc w:val="center"/>
              <w:rPr>
                <w:color w:val="000000"/>
                <w:sz w:val="18"/>
                <w:szCs w:val="18"/>
              </w:rPr>
            </w:pPr>
            <w:r w:rsidRPr="0004176C">
              <w:rPr>
                <w:color w:val="000000"/>
                <w:sz w:val="18"/>
                <w:szCs w:val="18"/>
              </w:rPr>
              <w:t>Age-Restricted (55+ older) - New construction; four stories/elevator</w:t>
            </w:r>
          </w:p>
        </w:tc>
      </w:tr>
      <w:tr w:rsidR="00665586" w:rsidRPr="0004176C" w14:paraId="480F6CC9" w14:textId="77777777" w:rsidTr="00665586">
        <w:trPr>
          <w:trHeight w:val="240"/>
        </w:trPr>
        <w:tc>
          <w:tcPr>
            <w:tcW w:w="1326" w:type="pct"/>
            <w:shd w:val="clear" w:color="auto" w:fill="auto"/>
            <w:vAlign w:val="center"/>
            <w:hideMark/>
          </w:tcPr>
          <w:p w14:paraId="7326553A" w14:textId="77777777" w:rsidR="00665586" w:rsidRPr="0004176C" w:rsidRDefault="00665586" w:rsidP="00665586">
            <w:pPr>
              <w:jc w:val="center"/>
              <w:rPr>
                <w:color w:val="000000"/>
                <w:sz w:val="18"/>
                <w:szCs w:val="18"/>
              </w:rPr>
            </w:pPr>
            <w:r w:rsidRPr="0004176C">
              <w:rPr>
                <w:color w:val="000000"/>
                <w:sz w:val="18"/>
                <w:szCs w:val="18"/>
              </w:rPr>
              <w:t>Oscar Romero</w:t>
            </w:r>
          </w:p>
        </w:tc>
        <w:tc>
          <w:tcPr>
            <w:tcW w:w="596" w:type="pct"/>
            <w:shd w:val="clear" w:color="auto" w:fill="auto"/>
            <w:vAlign w:val="center"/>
            <w:hideMark/>
          </w:tcPr>
          <w:p w14:paraId="20A07979"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4760E3E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B142A06"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F9D13D9"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20FEA994" w14:textId="77777777" w:rsidTr="00665586">
        <w:trPr>
          <w:trHeight w:val="240"/>
        </w:trPr>
        <w:tc>
          <w:tcPr>
            <w:tcW w:w="1326" w:type="pct"/>
            <w:shd w:val="clear" w:color="auto" w:fill="auto"/>
            <w:vAlign w:val="center"/>
            <w:hideMark/>
          </w:tcPr>
          <w:p w14:paraId="12CD25BA" w14:textId="77777777" w:rsidR="00665586" w:rsidRPr="0004176C" w:rsidRDefault="00665586" w:rsidP="00665586">
            <w:pPr>
              <w:jc w:val="center"/>
              <w:rPr>
                <w:color w:val="000000"/>
                <w:sz w:val="18"/>
                <w:szCs w:val="18"/>
              </w:rPr>
            </w:pPr>
            <w:r w:rsidRPr="0004176C">
              <w:rPr>
                <w:color w:val="000000"/>
                <w:sz w:val="18"/>
                <w:szCs w:val="18"/>
              </w:rPr>
              <w:t>Outing Park I</w:t>
            </w:r>
          </w:p>
        </w:tc>
        <w:tc>
          <w:tcPr>
            <w:tcW w:w="596" w:type="pct"/>
            <w:shd w:val="clear" w:color="auto" w:fill="auto"/>
            <w:vAlign w:val="center"/>
            <w:hideMark/>
          </w:tcPr>
          <w:p w14:paraId="632D07B7" w14:textId="77777777" w:rsidR="00665586" w:rsidRPr="0004176C" w:rsidRDefault="00665586" w:rsidP="00665586">
            <w:pPr>
              <w:jc w:val="center"/>
              <w:rPr>
                <w:color w:val="000000"/>
                <w:sz w:val="18"/>
                <w:szCs w:val="18"/>
              </w:rPr>
            </w:pPr>
            <w:r w:rsidRPr="0004176C">
              <w:rPr>
                <w:color w:val="000000"/>
                <w:sz w:val="18"/>
                <w:szCs w:val="18"/>
              </w:rPr>
              <w:t>94</w:t>
            </w:r>
          </w:p>
        </w:tc>
        <w:tc>
          <w:tcPr>
            <w:tcW w:w="674" w:type="pct"/>
            <w:shd w:val="clear" w:color="auto" w:fill="auto"/>
            <w:vAlign w:val="center"/>
            <w:hideMark/>
          </w:tcPr>
          <w:p w14:paraId="518DEBB2"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C97DAF0" w14:textId="77777777" w:rsidR="00665586" w:rsidRPr="0004176C" w:rsidRDefault="00665586" w:rsidP="00665586">
            <w:pPr>
              <w:jc w:val="center"/>
              <w:rPr>
                <w:color w:val="000000"/>
                <w:sz w:val="18"/>
                <w:szCs w:val="18"/>
              </w:rPr>
            </w:pPr>
            <w:r w:rsidRPr="0004176C">
              <w:rPr>
                <w:color w:val="000000"/>
                <w:sz w:val="18"/>
                <w:szCs w:val="18"/>
              </w:rPr>
              <w:t>Yes</w:t>
            </w:r>
          </w:p>
        </w:tc>
        <w:tc>
          <w:tcPr>
            <w:tcW w:w="1777" w:type="pct"/>
            <w:shd w:val="clear" w:color="auto" w:fill="auto"/>
            <w:vAlign w:val="center"/>
            <w:hideMark/>
          </w:tcPr>
          <w:p w14:paraId="78B709C4" w14:textId="77777777" w:rsidR="00665586" w:rsidRPr="0004176C" w:rsidRDefault="00665586" w:rsidP="00665586">
            <w:pPr>
              <w:jc w:val="center"/>
              <w:rPr>
                <w:color w:val="000000"/>
                <w:sz w:val="18"/>
                <w:szCs w:val="18"/>
              </w:rPr>
            </w:pPr>
            <w:r w:rsidRPr="0004176C">
              <w:rPr>
                <w:color w:val="000000"/>
                <w:sz w:val="18"/>
                <w:szCs w:val="18"/>
              </w:rPr>
              <w:t>RAD (Mod Rehab) - Families - Existing multi buildings</w:t>
            </w:r>
          </w:p>
        </w:tc>
      </w:tr>
      <w:tr w:rsidR="00665586" w:rsidRPr="0004176C" w14:paraId="40E5610F" w14:textId="77777777" w:rsidTr="00665586">
        <w:trPr>
          <w:trHeight w:val="240"/>
        </w:trPr>
        <w:tc>
          <w:tcPr>
            <w:tcW w:w="1326" w:type="pct"/>
            <w:shd w:val="clear" w:color="auto" w:fill="auto"/>
            <w:vAlign w:val="center"/>
            <w:hideMark/>
          </w:tcPr>
          <w:p w14:paraId="64BC5287" w14:textId="77777777" w:rsidR="00665586" w:rsidRPr="0004176C" w:rsidRDefault="00665586" w:rsidP="00665586">
            <w:pPr>
              <w:jc w:val="center"/>
              <w:rPr>
                <w:color w:val="000000"/>
                <w:sz w:val="18"/>
                <w:szCs w:val="18"/>
              </w:rPr>
            </w:pPr>
            <w:r w:rsidRPr="0004176C">
              <w:rPr>
                <w:color w:val="000000"/>
                <w:sz w:val="18"/>
                <w:szCs w:val="18"/>
              </w:rPr>
              <w:t>Outing Park II</w:t>
            </w:r>
          </w:p>
        </w:tc>
        <w:tc>
          <w:tcPr>
            <w:tcW w:w="596" w:type="pct"/>
            <w:shd w:val="clear" w:color="auto" w:fill="auto"/>
            <w:vAlign w:val="center"/>
            <w:hideMark/>
          </w:tcPr>
          <w:p w14:paraId="27B6F4FD" w14:textId="77777777" w:rsidR="00665586" w:rsidRPr="0004176C" w:rsidRDefault="00665586" w:rsidP="00665586">
            <w:pPr>
              <w:jc w:val="center"/>
              <w:rPr>
                <w:color w:val="000000"/>
                <w:sz w:val="18"/>
                <w:szCs w:val="18"/>
              </w:rPr>
            </w:pPr>
            <w:r w:rsidRPr="0004176C">
              <w:rPr>
                <w:color w:val="000000"/>
                <w:sz w:val="18"/>
                <w:szCs w:val="18"/>
              </w:rPr>
              <w:t>81</w:t>
            </w:r>
          </w:p>
        </w:tc>
        <w:tc>
          <w:tcPr>
            <w:tcW w:w="674" w:type="pct"/>
            <w:shd w:val="clear" w:color="auto" w:fill="auto"/>
            <w:vAlign w:val="center"/>
            <w:hideMark/>
          </w:tcPr>
          <w:p w14:paraId="30E14FA0"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EB86C10" w14:textId="77777777" w:rsidR="00665586" w:rsidRPr="0004176C" w:rsidRDefault="00665586" w:rsidP="00665586">
            <w:pPr>
              <w:jc w:val="center"/>
              <w:rPr>
                <w:color w:val="000000"/>
                <w:sz w:val="18"/>
                <w:szCs w:val="18"/>
              </w:rPr>
            </w:pPr>
            <w:r w:rsidRPr="0004176C">
              <w:rPr>
                <w:color w:val="000000"/>
                <w:sz w:val="18"/>
                <w:szCs w:val="18"/>
              </w:rPr>
              <w:t>Yes</w:t>
            </w:r>
          </w:p>
        </w:tc>
        <w:tc>
          <w:tcPr>
            <w:tcW w:w="1777" w:type="pct"/>
            <w:shd w:val="clear" w:color="auto" w:fill="auto"/>
            <w:vAlign w:val="center"/>
            <w:hideMark/>
          </w:tcPr>
          <w:p w14:paraId="141691D5" w14:textId="77777777" w:rsidR="00665586" w:rsidRPr="0004176C" w:rsidRDefault="00665586" w:rsidP="00665586">
            <w:pPr>
              <w:jc w:val="center"/>
              <w:rPr>
                <w:color w:val="000000"/>
                <w:sz w:val="18"/>
                <w:szCs w:val="18"/>
              </w:rPr>
            </w:pPr>
            <w:r w:rsidRPr="0004176C">
              <w:rPr>
                <w:color w:val="000000"/>
                <w:sz w:val="18"/>
                <w:szCs w:val="18"/>
              </w:rPr>
              <w:t>RAD (Mod Rehab) - Families - Existing multi buildings</w:t>
            </w:r>
          </w:p>
        </w:tc>
      </w:tr>
      <w:tr w:rsidR="00665586" w:rsidRPr="0004176C" w14:paraId="4C90CC58" w14:textId="77777777" w:rsidTr="00665586">
        <w:trPr>
          <w:trHeight w:val="480"/>
        </w:trPr>
        <w:tc>
          <w:tcPr>
            <w:tcW w:w="1326" w:type="pct"/>
            <w:shd w:val="clear" w:color="auto" w:fill="auto"/>
            <w:vAlign w:val="center"/>
            <w:hideMark/>
          </w:tcPr>
          <w:p w14:paraId="3AC95DA2" w14:textId="77777777" w:rsidR="00665586" w:rsidRPr="0004176C" w:rsidRDefault="00665586" w:rsidP="00665586">
            <w:pPr>
              <w:jc w:val="center"/>
              <w:rPr>
                <w:color w:val="000000"/>
                <w:sz w:val="18"/>
                <w:szCs w:val="18"/>
              </w:rPr>
            </w:pPr>
            <w:r w:rsidRPr="0004176C">
              <w:rPr>
                <w:color w:val="000000"/>
                <w:sz w:val="18"/>
                <w:szCs w:val="18"/>
              </w:rPr>
              <w:t>Oxford Ping on 3-4 Ping Street</w:t>
            </w:r>
          </w:p>
        </w:tc>
        <w:tc>
          <w:tcPr>
            <w:tcW w:w="596" w:type="pct"/>
            <w:shd w:val="clear" w:color="auto" w:fill="auto"/>
            <w:vAlign w:val="center"/>
            <w:hideMark/>
          </w:tcPr>
          <w:p w14:paraId="5A19D9E1"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2CC87843"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1BA6EEB"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83DF947" w14:textId="77777777" w:rsidR="00665586" w:rsidRPr="0004176C" w:rsidRDefault="00665586" w:rsidP="00665586">
            <w:pPr>
              <w:jc w:val="center"/>
              <w:rPr>
                <w:color w:val="000000"/>
                <w:sz w:val="18"/>
                <w:szCs w:val="18"/>
              </w:rPr>
            </w:pPr>
            <w:r w:rsidRPr="0004176C">
              <w:rPr>
                <w:color w:val="000000"/>
                <w:sz w:val="18"/>
                <w:szCs w:val="18"/>
              </w:rPr>
              <w:t>Disabled - New construction of 10-story (w/elevator) building: PBV units reserved for disabled</w:t>
            </w:r>
          </w:p>
        </w:tc>
      </w:tr>
      <w:tr w:rsidR="00665586" w:rsidRPr="0004176C" w14:paraId="62DCCB23" w14:textId="77777777" w:rsidTr="00665586">
        <w:trPr>
          <w:trHeight w:val="480"/>
        </w:trPr>
        <w:tc>
          <w:tcPr>
            <w:tcW w:w="1326" w:type="pct"/>
            <w:shd w:val="clear" w:color="auto" w:fill="auto"/>
            <w:vAlign w:val="center"/>
          </w:tcPr>
          <w:p w14:paraId="100C6424" w14:textId="720E4D7B" w:rsidR="002B7D1C" w:rsidRPr="0004176C" w:rsidRDefault="002B7D1C" w:rsidP="00665586">
            <w:pPr>
              <w:jc w:val="center"/>
              <w:rPr>
                <w:sz w:val="18"/>
                <w:szCs w:val="18"/>
              </w:rPr>
            </w:pPr>
            <w:r w:rsidRPr="0004176C">
              <w:rPr>
                <w:sz w:val="18"/>
                <w:szCs w:val="18"/>
              </w:rPr>
              <w:t>Pac 10 Lofts, Phase Two</w:t>
            </w:r>
          </w:p>
          <w:p w14:paraId="69FC249B" w14:textId="1B3E60E0" w:rsidR="00665586" w:rsidRPr="0004176C" w:rsidRDefault="00665586" w:rsidP="00665586">
            <w:pPr>
              <w:jc w:val="center"/>
              <w:rPr>
                <w:sz w:val="18"/>
                <w:szCs w:val="18"/>
              </w:rPr>
            </w:pPr>
            <w:r w:rsidRPr="0004176C">
              <w:rPr>
                <w:sz w:val="18"/>
                <w:szCs w:val="18"/>
              </w:rPr>
              <w:t>Lawrence</w:t>
            </w:r>
            <w:r w:rsidR="002B7D1C" w:rsidRPr="0004176C">
              <w:rPr>
                <w:sz w:val="18"/>
                <w:szCs w:val="18"/>
              </w:rPr>
              <w:t xml:space="preserve"> **</w:t>
            </w:r>
          </w:p>
        </w:tc>
        <w:tc>
          <w:tcPr>
            <w:tcW w:w="596" w:type="pct"/>
            <w:shd w:val="clear" w:color="auto" w:fill="auto"/>
            <w:vAlign w:val="center"/>
          </w:tcPr>
          <w:p w14:paraId="091549F2"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10C27127"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0E7BAD67"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39B7FFCA" w14:textId="77777777" w:rsidR="00665586" w:rsidRPr="0004176C" w:rsidRDefault="00665586" w:rsidP="00665586">
            <w:pPr>
              <w:jc w:val="center"/>
              <w:rPr>
                <w:sz w:val="18"/>
                <w:szCs w:val="18"/>
              </w:rPr>
            </w:pPr>
            <w:r w:rsidRPr="0004176C">
              <w:rPr>
                <w:sz w:val="18"/>
                <w:szCs w:val="18"/>
              </w:rPr>
              <w:t>New Construction – Family Housing</w:t>
            </w:r>
          </w:p>
        </w:tc>
      </w:tr>
      <w:tr w:rsidR="00665586" w:rsidRPr="0004176C" w14:paraId="3B72A245" w14:textId="77777777" w:rsidTr="00665586">
        <w:trPr>
          <w:trHeight w:val="720"/>
        </w:trPr>
        <w:tc>
          <w:tcPr>
            <w:tcW w:w="1326" w:type="pct"/>
            <w:shd w:val="clear" w:color="auto" w:fill="auto"/>
            <w:vAlign w:val="center"/>
            <w:hideMark/>
          </w:tcPr>
          <w:p w14:paraId="4B69E6FD" w14:textId="77777777" w:rsidR="00665586" w:rsidRPr="0004176C" w:rsidRDefault="00665586" w:rsidP="00665586">
            <w:pPr>
              <w:jc w:val="center"/>
              <w:rPr>
                <w:color w:val="000000"/>
                <w:sz w:val="18"/>
                <w:szCs w:val="18"/>
              </w:rPr>
            </w:pPr>
            <w:r w:rsidRPr="0004176C">
              <w:rPr>
                <w:color w:val="000000"/>
                <w:sz w:val="18"/>
                <w:szCs w:val="18"/>
              </w:rPr>
              <w:t>Paige Apartments</w:t>
            </w:r>
          </w:p>
        </w:tc>
        <w:tc>
          <w:tcPr>
            <w:tcW w:w="596" w:type="pct"/>
            <w:shd w:val="clear" w:color="auto" w:fill="auto"/>
            <w:vAlign w:val="center"/>
            <w:hideMark/>
          </w:tcPr>
          <w:p w14:paraId="38CF599E"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05ADD6D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917EB2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5A4B9A4" w14:textId="77777777" w:rsidR="00665586" w:rsidRPr="0004176C" w:rsidRDefault="00665586" w:rsidP="00665586">
            <w:pPr>
              <w:jc w:val="center"/>
              <w:rPr>
                <w:color w:val="000000"/>
                <w:sz w:val="18"/>
                <w:szCs w:val="18"/>
              </w:rPr>
            </w:pPr>
            <w:r w:rsidRPr="0004176C">
              <w:rPr>
                <w:color w:val="000000"/>
                <w:sz w:val="18"/>
                <w:szCs w:val="18"/>
              </w:rPr>
              <w:t>Supportive - Individual Service Plans (ISP) tailored to tenant needs.  Services vary and can include: GED, parenting classes, employment training, financial management, referrals to other provider agencies</w:t>
            </w:r>
          </w:p>
        </w:tc>
      </w:tr>
      <w:tr w:rsidR="00665586" w:rsidRPr="0004176C" w14:paraId="4D695463" w14:textId="77777777" w:rsidTr="00665586">
        <w:trPr>
          <w:trHeight w:val="240"/>
        </w:trPr>
        <w:tc>
          <w:tcPr>
            <w:tcW w:w="1326" w:type="pct"/>
            <w:shd w:val="clear" w:color="auto" w:fill="auto"/>
            <w:vAlign w:val="center"/>
            <w:hideMark/>
          </w:tcPr>
          <w:p w14:paraId="37C7F4CD" w14:textId="77777777" w:rsidR="00665586" w:rsidRPr="0004176C" w:rsidRDefault="00665586" w:rsidP="00665586">
            <w:pPr>
              <w:jc w:val="center"/>
              <w:rPr>
                <w:color w:val="000000"/>
                <w:sz w:val="18"/>
                <w:szCs w:val="18"/>
              </w:rPr>
            </w:pPr>
            <w:r w:rsidRPr="0004176C">
              <w:rPr>
                <w:color w:val="000000"/>
                <w:sz w:val="18"/>
                <w:szCs w:val="18"/>
              </w:rPr>
              <w:t>Palmer Cove</w:t>
            </w:r>
          </w:p>
        </w:tc>
        <w:tc>
          <w:tcPr>
            <w:tcW w:w="596" w:type="pct"/>
            <w:shd w:val="clear" w:color="auto" w:fill="auto"/>
            <w:vAlign w:val="center"/>
            <w:hideMark/>
          </w:tcPr>
          <w:p w14:paraId="0D073E1C" w14:textId="77777777" w:rsidR="00665586" w:rsidRPr="0004176C" w:rsidRDefault="00665586" w:rsidP="00665586">
            <w:pPr>
              <w:jc w:val="center"/>
              <w:rPr>
                <w:color w:val="000000"/>
                <w:sz w:val="18"/>
                <w:szCs w:val="18"/>
              </w:rPr>
            </w:pPr>
            <w:r w:rsidRPr="0004176C">
              <w:rPr>
                <w:color w:val="000000"/>
                <w:sz w:val="18"/>
                <w:szCs w:val="18"/>
              </w:rPr>
              <w:t>6</w:t>
            </w:r>
          </w:p>
        </w:tc>
        <w:tc>
          <w:tcPr>
            <w:tcW w:w="674" w:type="pct"/>
            <w:shd w:val="clear" w:color="auto" w:fill="auto"/>
            <w:vAlign w:val="center"/>
            <w:hideMark/>
          </w:tcPr>
          <w:p w14:paraId="69E65F48"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5E24651"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4B06041" w14:textId="77777777" w:rsidR="00665586" w:rsidRPr="0004176C" w:rsidRDefault="00665586" w:rsidP="00665586">
            <w:pPr>
              <w:jc w:val="center"/>
              <w:rPr>
                <w:color w:val="000000"/>
                <w:sz w:val="18"/>
                <w:szCs w:val="18"/>
              </w:rPr>
            </w:pPr>
            <w:r w:rsidRPr="0004176C">
              <w:rPr>
                <w:color w:val="000000"/>
                <w:sz w:val="18"/>
                <w:szCs w:val="18"/>
              </w:rPr>
              <w:t>Family and Elderly/Disabled units, supportive services</w:t>
            </w:r>
          </w:p>
        </w:tc>
      </w:tr>
      <w:tr w:rsidR="00665586" w:rsidRPr="0004176C" w14:paraId="6982AA49" w14:textId="77777777" w:rsidTr="00665586">
        <w:trPr>
          <w:trHeight w:val="240"/>
        </w:trPr>
        <w:tc>
          <w:tcPr>
            <w:tcW w:w="1326" w:type="pct"/>
            <w:shd w:val="clear" w:color="auto" w:fill="auto"/>
            <w:vAlign w:val="center"/>
            <w:hideMark/>
          </w:tcPr>
          <w:p w14:paraId="5CD72B56" w14:textId="77777777" w:rsidR="00665586" w:rsidRPr="0004176C" w:rsidRDefault="00665586" w:rsidP="00665586">
            <w:pPr>
              <w:jc w:val="center"/>
              <w:rPr>
                <w:color w:val="000000"/>
                <w:sz w:val="18"/>
                <w:szCs w:val="18"/>
              </w:rPr>
            </w:pPr>
            <w:r w:rsidRPr="0004176C">
              <w:rPr>
                <w:color w:val="000000"/>
                <w:sz w:val="18"/>
                <w:szCs w:val="18"/>
              </w:rPr>
              <w:t>Paradise Pond Apartments</w:t>
            </w:r>
          </w:p>
        </w:tc>
        <w:tc>
          <w:tcPr>
            <w:tcW w:w="596" w:type="pct"/>
            <w:shd w:val="clear" w:color="auto" w:fill="auto"/>
            <w:vAlign w:val="center"/>
            <w:hideMark/>
          </w:tcPr>
          <w:p w14:paraId="45A6661F"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1BA891F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CF4C7B6"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59E6B2E"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0B9F9547" w14:textId="77777777" w:rsidTr="00665586">
        <w:trPr>
          <w:trHeight w:val="240"/>
        </w:trPr>
        <w:tc>
          <w:tcPr>
            <w:tcW w:w="1326" w:type="pct"/>
            <w:shd w:val="clear" w:color="auto" w:fill="auto"/>
            <w:vAlign w:val="center"/>
            <w:hideMark/>
          </w:tcPr>
          <w:p w14:paraId="54CBA5E8" w14:textId="77777777" w:rsidR="00665586" w:rsidRPr="0004176C" w:rsidRDefault="00665586" w:rsidP="00665586">
            <w:pPr>
              <w:jc w:val="center"/>
              <w:rPr>
                <w:color w:val="000000"/>
                <w:sz w:val="18"/>
                <w:szCs w:val="18"/>
              </w:rPr>
            </w:pPr>
            <w:r w:rsidRPr="0004176C">
              <w:rPr>
                <w:color w:val="000000"/>
                <w:sz w:val="18"/>
                <w:szCs w:val="18"/>
              </w:rPr>
              <w:t>Parcel 25 Phase 1A, Boston</w:t>
            </w:r>
          </w:p>
        </w:tc>
        <w:tc>
          <w:tcPr>
            <w:tcW w:w="596" w:type="pct"/>
            <w:shd w:val="clear" w:color="auto" w:fill="auto"/>
            <w:vAlign w:val="center"/>
            <w:hideMark/>
          </w:tcPr>
          <w:p w14:paraId="23A8AAFF"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18B4B9D4"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849AE8A"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DB9CAA2" w14:textId="36754200" w:rsidR="00665586" w:rsidRPr="0004176C" w:rsidRDefault="00665586" w:rsidP="00665586">
            <w:pPr>
              <w:jc w:val="center"/>
              <w:rPr>
                <w:color w:val="000000"/>
                <w:sz w:val="18"/>
                <w:szCs w:val="18"/>
              </w:rPr>
            </w:pPr>
            <w:r w:rsidRPr="0004176C">
              <w:rPr>
                <w:color w:val="000000"/>
                <w:sz w:val="18"/>
                <w:szCs w:val="18"/>
              </w:rPr>
              <w:t>Family - New construction; five-story, mixed-use building</w:t>
            </w:r>
          </w:p>
        </w:tc>
      </w:tr>
      <w:tr w:rsidR="00665586" w:rsidRPr="0004176C" w14:paraId="5F0C04BE" w14:textId="77777777" w:rsidTr="00665586">
        <w:trPr>
          <w:trHeight w:val="480"/>
        </w:trPr>
        <w:tc>
          <w:tcPr>
            <w:tcW w:w="1326" w:type="pct"/>
            <w:shd w:val="clear" w:color="auto" w:fill="auto"/>
            <w:vAlign w:val="center"/>
          </w:tcPr>
          <w:p w14:paraId="3A7F65D5" w14:textId="3F0CF0EC" w:rsidR="002B7D1C" w:rsidRPr="0004176C" w:rsidRDefault="002B7D1C" w:rsidP="00665586">
            <w:pPr>
              <w:jc w:val="center"/>
              <w:rPr>
                <w:sz w:val="18"/>
                <w:szCs w:val="18"/>
              </w:rPr>
            </w:pPr>
            <w:r w:rsidRPr="0004176C">
              <w:rPr>
                <w:sz w:val="18"/>
                <w:szCs w:val="18"/>
              </w:rPr>
              <w:t>Parcel 25 Phase 2</w:t>
            </w:r>
          </w:p>
          <w:p w14:paraId="042E71FB" w14:textId="016E3FFE" w:rsidR="00665586" w:rsidRPr="0004176C" w:rsidRDefault="00665586" w:rsidP="00665586">
            <w:pPr>
              <w:jc w:val="center"/>
              <w:rPr>
                <w:sz w:val="18"/>
                <w:szCs w:val="18"/>
              </w:rPr>
            </w:pPr>
            <w:r w:rsidRPr="0004176C">
              <w:rPr>
                <w:sz w:val="18"/>
                <w:szCs w:val="18"/>
              </w:rPr>
              <w:t>Boston</w:t>
            </w:r>
            <w:r w:rsidR="002B7D1C" w:rsidRPr="0004176C">
              <w:rPr>
                <w:sz w:val="18"/>
                <w:szCs w:val="18"/>
              </w:rPr>
              <w:t xml:space="preserve"> **</w:t>
            </w:r>
          </w:p>
        </w:tc>
        <w:tc>
          <w:tcPr>
            <w:tcW w:w="596" w:type="pct"/>
            <w:shd w:val="clear" w:color="auto" w:fill="auto"/>
            <w:vAlign w:val="center"/>
          </w:tcPr>
          <w:p w14:paraId="04D74B9B"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527C2D3C"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00E02BEB"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33019709" w14:textId="77777777" w:rsidR="00665586" w:rsidRPr="0004176C" w:rsidRDefault="00665586" w:rsidP="00665586">
            <w:pPr>
              <w:jc w:val="center"/>
              <w:rPr>
                <w:sz w:val="18"/>
                <w:szCs w:val="18"/>
              </w:rPr>
            </w:pPr>
            <w:r w:rsidRPr="0004176C">
              <w:rPr>
                <w:sz w:val="18"/>
                <w:szCs w:val="18"/>
              </w:rPr>
              <w:t>New Construction – Family Housing</w:t>
            </w:r>
          </w:p>
        </w:tc>
      </w:tr>
      <w:tr w:rsidR="00665586" w:rsidRPr="0004176C" w14:paraId="3782DF7F" w14:textId="77777777" w:rsidTr="00665586">
        <w:trPr>
          <w:trHeight w:val="480"/>
        </w:trPr>
        <w:tc>
          <w:tcPr>
            <w:tcW w:w="1326" w:type="pct"/>
            <w:shd w:val="clear" w:color="auto" w:fill="auto"/>
            <w:vAlign w:val="center"/>
          </w:tcPr>
          <w:p w14:paraId="6F512720" w14:textId="29B02B0D" w:rsidR="002B7D1C" w:rsidRPr="0004176C" w:rsidRDefault="002B7D1C" w:rsidP="00665586">
            <w:pPr>
              <w:jc w:val="center"/>
              <w:rPr>
                <w:sz w:val="18"/>
                <w:szCs w:val="18"/>
              </w:rPr>
            </w:pPr>
            <w:r w:rsidRPr="0004176C">
              <w:rPr>
                <w:sz w:val="18"/>
                <w:szCs w:val="18"/>
              </w:rPr>
              <w:t>Parcel 8 &amp; 9</w:t>
            </w:r>
          </w:p>
          <w:p w14:paraId="6B1ED582" w14:textId="449402C2" w:rsidR="00665586" w:rsidRPr="0004176C" w:rsidRDefault="00665586" w:rsidP="00665586">
            <w:pPr>
              <w:jc w:val="center"/>
              <w:rPr>
                <w:sz w:val="18"/>
                <w:szCs w:val="18"/>
              </w:rPr>
            </w:pPr>
            <w:r w:rsidRPr="0004176C">
              <w:rPr>
                <w:sz w:val="18"/>
                <w:szCs w:val="18"/>
              </w:rPr>
              <w:t>Lowell</w:t>
            </w:r>
            <w:r w:rsidR="002B7D1C" w:rsidRPr="0004176C">
              <w:rPr>
                <w:sz w:val="18"/>
                <w:szCs w:val="18"/>
              </w:rPr>
              <w:t xml:space="preserve"> **</w:t>
            </w:r>
          </w:p>
        </w:tc>
        <w:tc>
          <w:tcPr>
            <w:tcW w:w="596" w:type="pct"/>
            <w:shd w:val="clear" w:color="auto" w:fill="auto"/>
            <w:vAlign w:val="center"/>
          </w:tcPr>
          <w:p w14:paraId="18F1D4B7"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107A26F5"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39353A81"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4A1234DD" w14:textId="77777777" w:rsidR="00665586" w:rsidRPr="0004176C" w:rsidRDefault="00665586" w:rsidP="00665586">
            <w:pPr>
              <w:jc w:val="center"/>
              <w:rPr>
                <w:sz w:val="18"/>
                <w:szCs w:val="18"/>
              </w:rPr>
            </w:pPr>
            <w:r w:rsidRPr="0004176C">
              <w:rPr>
                <w:sz w:val="18"/>
                <w:szCs w:val="18"/>
              </w:rPr>
              <w:t>New Construction – Mixed Use, Family Housing</w:t>
            </w:r>
          </w:p>
        </w:tc>
      </w:tr>
      <w:tr w:rsidR="00665586" w:rsidRPr="0004176C" w14:paraId="69BA4E52" w14:textId="77777777" w:rsidTr="00665586">
        <w:trPr>
          <w:trHeight w:val="240"/>
        </w:trPr>
        <w:tc>
          <w:tcPr>
            <w:tcW w:w="1326" w:type="pct"/>
            <w:shd w:val="clear" w:color="auto" w:fill="auto"/>
            <w:vAlign w:val="center"/>
            <w:hideMark/>
          </w:tcPr>
          <w:p w14:paraId="32C4E37A" w14:textId="77777777" w:rsidR="00665586" w:rsidRPr="0004176C" w:rsidRDefault="00665586" w:rsidP="00665586">
            <w:pPr>
              <w:jc w:val="center"/>
              <w:rPr>
                <w:color w:val="000000"/>
                <w:sz w:val="18"/>
                <w:szCs w:val="18"/>
              </w:rPr>
            </w:pPr>
            <w:r w:rsidRPr="0004176C">
              <w:rPr>
                <w:color w:val="000000"/>
                <w:sz w:val="18"/>
                <w:szCs w:val="18"/>
              </w:rPr>
              <w:t>Pelham House</w:t>
            </w:r>
          </w:p>
        </w:tc>
        <w:tc>
          <w:tcPr>
            <w:tcW w:w="596" w:type="pct"/>
            <w:shd w:val="clear" w:color="auto" w:fill="auto"/>
            <w:vAlign w:val="center"/>
            <w:hideMark/>
          </w:tcPr>
          <w:p w14:paraId="46579F14" w14:textId="77777777" w:rsidR="00665586" w:rsidRPr="0004176C" w:rsidRDefault="00665586" w:rsidP="00665586">
            <w:pPr>
              <w:jc w:val="center"/>
              <w:rPr>
                <w:color w:val="000000"/>
                <w:sz w:val="18"/>
                <w:szCs w:val="18"/>
              </w:rPr>
            </w:pPr>
            <w:r w:rsidRPr="0004176C">
              <w:rPr>
                <w:color w:val="000000"/>
                <w:sz w:val="18"/>
                <w:szCs w:val="18"/>
              </w:rPr>
              <w:t>3</w:t>
            </w:r>
          </w:p>
        </w:tc>
        <w:tc>
          <w:tcPr>
            <w:tcW w:w="674" w:type="pct"/>
            <w:shd w:val="clear" w:color="auto" w:fill="auto"/>
            <w:vAlign w:val="center"/>
            <w:hideMark/>
          </w:tcPr>
          <w:p w14:paraId="2A7EA15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700C06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2E3016B"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236CC8E7" w14:textId="77777777" w:rsidTr="00665586">
        <w:trPr>
          <w:trHeight w:val="240"/>
        </w:trPr>
        <w:tc>
          <w:tcPr>
            <w:tcW w:w="1326" w:type="pct"/>
            <w:shd w:val="clear" w:color="auto" w:fill="auto"/>
            <w:vAlign w:val="center"/>
            <w:hideMark/>
          </w:tcPr>
          <w:p w14:paraId="2B5B8192" w14:textId="77777777" w:rsidR="00665586" w:rsidRPr="0004176C" w:rsidRDefault="00665586" w:rsidP="00665586">
            <w:pPr>
              <w:jc w:val="center"/>
              <w:rPr>
                <w:color w:val="000000"/>
                <w:sz w:val="18"/>
                <w:szCs w:val="18"/>
              </w:rPr>
            </w:pPr>
            <w:r w:rsidRPr="0004176C">
              <w:rPr>
                <w:color w:val="000000"/>
                <w:sz w:val="18"/>
                <w:szCs w:val="18"/>
              </w:rPr>
              <w:t>Pilot Grove Apartments II</w:t>
            </w:r>
          </w:p>
        </w:tc>
        <w:tc>
          <w:tcPr>
            <w:tcW w:w="596" w:type="pct"/>
            <w:shd w:val="clear" w:color="auto" w:fill="auto"/>
            <w:vAlign w:val="center"/>
            <w:hideMark/>
          </w:tcPr>
          <w:p w14:paraId="70869973" w14:textId="77777777" w:rsidR="00665586" w:rsidRPr="0004176C" w:rsidRDefault="00665586" w:rsidP="00665586">
            <w:pPr>
              <w:jc w:val="center"/>
              <w:rPr>
                <w:color w:val="000000"/>
                <w:sz w:val="18"/>
                <w:szCs w:val="18"/>
              </w:rPr>
            </w:pPr>
            <w:r w:rsidRPr="0004176C">
              <w:rPr>
                <w:color w:val="000000"/>
                <w:sz w:val="18"/>
                <w:szCs w:val="18"/>
              </w:rPr>
              <w:t>7</w:t>
            </w:r>
          </w:p>
        </w:tc>
        <w:tc>
          <w:tcPr>
            <w:tcW w:w="674" w:type="pct"/>
            <w:shd w:val="clear" w:color="auto" w:fill="auto"/>
            <w:vAlign w:val="center"/>
            <w:hideMark/>
          </w:tcPr>
          <w:p w14:paraId="76B9C1B1"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F489950"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F2E6F33" w14:textId="77777777" w:rsidR="00665586" w:rsidRPr="0004176C" w:rsidRDefault="00665586" w:rsidP="00665586">
            <w:pPr>
              <w:jc w:val="center"/>
              <w:rPr>
                <w:color w:val="000000"/>
                <w:sz w:val="18"/>
                <w:szCs w:val="18"/>
              </w:rPr>
            </w:pPr>
            <w:r w:rsidRPr="0004176C">
              <w:rPr>
                <w:color w:val="000000"/>
                <w:sz w:val="18"/>
                <w:szCs w:val="18"/>
              </w:rPr>
              <w:t>Family - New construction of five townhouse buildings</w:t>
            </w:r>
          </w:p>
        </w:tc>
      </w:tr>
      <w:tr w:rsidR="00665586" w:rsidRPr="0004176C" w14:paraId="653D08F8" w14:textId="77777777" w:rsidTr="00665586">
        <w:trPr>
          <w:trHeight w:val="240"/>
        </w:trPr>
        <w:tc>
          <w:tcPr>
            <w:tcW w:w="1326" w:type="pct"/>
            <w:shd w:val="clear" w:color="auto" w:fill="auto"/>
            <w:vAlign w:val="center"/>
            <w:hideMark/>
          </w:tcPr>
          <w:p w14:paraId="1F640370" w14:textId="77777777" w:rsidR="00665586" w:rsidRPr="0004176C" w:rsidRDefault="00665586" w:rsidP="00665586">
            <w:pPr>
              <w:jc w:val="center"/>
              <w:rPr>
                <w:color w:val="000000"/>
                <w:sz w:val="18"/>
                <w:szCs w:val="18"/>
              </w:rPr>
            </w:pPr>
            <w:r w:rsidRPr="0004176C">
              <w:rPr>
                <w:color w:val="000000"/>
                <w:sz w:val="18"/>
                <w:szCs w:val="18"/>
              </w:rPr>
              <w:t>Pine Woods</w:t>
            </w:r>
          </w:p>
        </w:tc>
        <w:tc>
          <w:tcPr>
            <w:tcW w:w="596" w:type="pct"/>
            <w:shd w:val="clear" w:color="auto" w:fill="auto"/>
            <w:vAlign w:val="center"/>
            <w:hideMark/>
          </w:tcPr>
          <w:p w14:paraId="5AE49808" w14:textId="77777777" w:rsidR="00665586" w:rsidRPr="0004176C" w:rsidRDefault="00665586" w:rsidP="00665586">
            <w:pPr>
              <w:jc w:val="center"/>
              <w:rPr>
                <w:color w:val="000000"/>
                <w:sz w:val="18"/>
                <w:szCs w:val="18"/>
              </w:rPr>
            </w:pPr>
            <w:r w:rsidRPr="0004176C">
              <w:rPr>
                <w:color w:val="000000"/>
                <w:sz w:val="18"/>
                <w:szCs w:val="18"/>
              </w:rPr>
              <w:t>5</w:t>
            </w:r>
          </w:p>
        </w:tc>
        <w:tc>
          <w:tcPr>
            <w:tcW w:w="674" w:type="pct"/>
            <w:shd w:val="clear" w:color="auto" w:fill="auto"/>
            <w:vAlign w:val="center"/>
            <w:hideMark/>
          </w:tcPr>
          <w:p w14:paraId="0EA95B87"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228FDBF"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99B489A"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6BED28C2" w14:textId="77777777" w:rsidTr="00665586">
        <w:trPr>
          <w:trHeight w:val="240"/>
        </w:trPr>
        <w:tc>
          <w:tcPr>
            <w:tcW w:w="1326" w:type="pct"/>
            <w:shd w:val="clear" w:color="auto" w:fill="auto"/>
            <w:vAlign w:val="center"/>
            <w:hideMark/>
          </w:tcPr>
          <w:p w14:paraId="718E07CE" w14:textId="77777777" w:rsidR="00665586" w:rsidRPr="0004176C" w:rsidRDefault="00665586" w:rsidP="00665586">
            <w:pPr>
              <w:jc w:val="center"/>
              <w:rPr>
                <w:color w:val="000000"/>
                <w:sz w:val="18"/>
                <w:szCs w:val="18"/>
              </w:rPr>
            </w:pPr>
            <w:r w:rsidRPr="0004176C">
              <w:rPr>
                <w:color w:val="000000"/>
                <w:sz w:val="18"/>
                <w:szCs w:val="18"/>
              </w:rPr>
              <w:t>Powderhouse Village</w:t>
            </w:r>
          </w:p>
        </w:tc>
        <w:tc>
          <w:tcPr>
            <w:tcW w:w="596" w:type="pct"/>
            <w:shd w:val="clear" w:color="auto" w:fill="auto"/>
            <w:vAlign w:val="center"/>
            <w:hideMark/>
          </w:tcPr>
          <w:p w14:paraId="70CE5162"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6151E01"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32CDA83"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AC7BEBD"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2AFB62AB" w14:textId="77777777" w:rsidTr="00665586">
        <w:trPr>
          <w:trHeight w:val="240"/>
        </w:trPr>
        <w:tc>
          <w:tcPr>
            <w:tcW w:w="1326" w:type="pct"/>
            <w:shd w:val="clear" w:color="auto" w:fill="auto"/>
            <w:vAlign w:val="center"/>
            <w:hideMark/>
          </w:tcPr>
          <w:p w14:paraId="04417AFD" w14:textId="77777777" w:rsidR="00665586" w:rsidRPr="0004176C" w:rsidRDefault="00665586" w:rsidP="00665586">
            <w:pPr>
              <w:jc w:val="center"/>
              <w:rPr>
                <w:color w:val="000000"/>
                <w:sz w:val="18"/>
                <w:szCs w:val="18"/>
              </w:rPr>
            </w:pPr>
            <w:r w:rsidRPr="0004176C">
              <w:rPr>
                <w:color w:val="000000"/>
                <w:sz w:val="18"/>
                <w:szCs w:val="18"/>
              </w:rPr>
              <w:t>Prichard Academy</w:t>
            </w:r>
          </w:p>
        </w:tc>
        <w:tc>
          <w:tcPr>
            <w:tcW w:w="596" w:type="pct"/>
            <w:shd w:val="clear" w:color="auto" w:fill="auto"/>
            <w:vAlign w:val="center"/>
            <w:hideMark/>
          </w:tcPr>
          <w:p w14:paraId="5F17ED96" w14:textId="77777777" w:rsidR="00665586" w:rsidRPr="0004176C" w:rsidRDefault="00665586" w:rsidP="00665586">
            <w:pPr>
              <w:jc w:val="center"/>
              <w:rPr>
                <w:color w:val="000000"/>
                <w:sz w:val="18"/>
                <w:szCs w:val="18"/>
              </w:rPr>
            </w:pPr>
            <w:r w:rsidRPr="0004176C">
              <w:rPr>
                <w:color w:val="000000"/>
                <w:sz w:val="18"/>
                <w:szCs w:val="18"/>
              </w:rPr>
              <w:t>2</w:t>
            </w:r>
          </w:p>
        </w:tc>
        <w:tc>
          <w:tcPr>
            <w:tcW w:w="674" w:type="pct"/>
            <w:shd w:val="clear" w:color="auto" w:fill="auto"/>
            <w:vAlign w:val="center"/>
            <w:hideMark/>
          </w:tcPr>
          <w:p w14:paraId="34027DBE"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E9EAB3A"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81BBBAC" w14:textId="77777777" w:rsidR="00665586" w:rsidRPr="0004176C" w:rsidRDefault="00665586" w:rsidP="00665586">
            <w:pPr>
              <w:jc w:val="center"/>
              <w:rPr>
                <w:color w:val="000000"/>
                <w:sz w:val="18"/>
                <w:szCs w:val="18"/>
              </w:rPr>
            </w:pPr>
            <w:r w:rsidRPr="0004176C">
              <w:rPr>
                <w:color w:val="000000"/>
                <w:sz w:val="18"/>
                <w:szCs w:val="18"/>
              </w:rPr>
              <w:t>Family - Rehab of two four-story buildings</w:t>
            </w:r>
          </w:p>
        </w:tc>
      </w:tr>
      <w:tr w:rsidR="00665586" w:rsidRPr="0004176C" w14:paraId="50A71B4B" w14:textId="77777777" w:rsidTr="00665586">
        <w:trPr>
          <w:trHeight w:val="240"/>
        </w:trPr>
        <w:tc>
          <w:tcPr>
            <w:tcW w:w="1326" w:type="pct"/>
            <w:shd w:val="clear" w:color="auto" w:fill="auto"/>
            <w:vAlign w:val="center"/>
            <w:hideMark/>
          </w:tcPr>
          <w:p w14:paraId="090501E8" w14:textId="77777777" w:rsidR="00665586" w:rsidRPr="0004176C" w:rsidRDefault="00665586" w:rsidP="00665586">
            <w:pPr>
              <w:jc w:val="center"/>
              <w:rPr>
                <w:color w:val="000000"/>
                <w:sz w:val="18"/>
                <w:szCs w:val="18"/>
              </w:rPr>
            </w:pPr>
            <w:r w:rsidRPr="0004176C">
              <w:rPr>
                <w:color w:val="000000"/>
                <w:sz w:val="18"/>
                <w:szCs w:val="18"/>
              </w:rPr>
              <w:t>Prospect Hill</w:t>
            </w:r>
          </w:p>
        </w:tc>
        <w:tc>
          <w:tcPr>
            <w:tcW w:w="596" w:type="pct"/>
            <w:shd w:val="clear" w:color="auto" w:fill="auto"/>
            <w:vAlign w:val="center"/>
            <w:hideMark/>
          </w:tcPr>
          <w:p w14:paraId="2026D535"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0CCE2760"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BC94E89"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4D6D49B"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54E8CA71" w14:textId="77777777" w:rsidTr="00665586">
        <w:trPr>
          <w:trHeight w:val="240"/>
        </w:trPr>
        <w:tc>
          <w:tcPr>
            <w:tcW w:w="1326" w:type="pct"/>
            <w:shd w:val="clear" w:color="auto" w:fill="auto"/>
            <w:vAlign w:val="center"/>
            <w:hideMark/>
          </w:tcPr>
          <w:p w14:paraId="35CEF60C" w14:textId="77777777" w:rsidR="00665586" w:rsidRPr="0004176C" w:rsidRDefault="00665586" w:rsidP="00665586">
            <w:pPr>
              <w:jc w:val="center"/>
              <w:rPr>
                <w:sz w:val="18"/>
                <w:szCs w:val="18"/>
              </w:rPr>
            </w:pPr>
            <w:r w:rsidRPr="0004176C">
              <w:rPr>
                <w:sz w:val="18"/>
                <w:szCs w:val="18"/>
              </w:rPr>
              <w:t>Puerta de la Esperanza</w:t>
            </w:r>
          </w:p>
        </w:tc>
        <w:tc>
          <w:tcPr>
            <w:tcW w:w="596" w:type="pct"/>
            <w:shd w:val="clear" w:color="auto" w:fill="auto"/>
            <w:vAlign w:val="center"/>
            <w:hideMark/>
          </w:tcPr>
          <w:p w14:paraId="5FC1F01E" w14:textId="77777777" w:rsidR="00665586" w:rsidRPr="0004176C" w:rsidRDefault="00665586" w:rsidP="00665586">
            <w:pPr>
              <w:jc w:val="center"/>
              <w:rPr>
                <w:sz w:val="18"/>
                <w:szCs w:val="18"/>
              </w:rPr>
            </w:pPr>
            <w:r w:rsidRPr="0004176C">
              <w:rPr>
                <w:sz w:val="18"/>
                <w:szCs w:val="18"/>
              </w:rPr>
              <w:t>27</w:t>
            </w:r>
          </w:p>
        </w:tc>
        <w:tc>
          <w:tcPr>
            <w:tcW w:w="674" w:type="pct"/>
            <w:shd w:val="clear" w:color="auto" w:fill="auto"/>
            <w:vAlign w:val="center"/>
            <w:hideMark/>
          </w:tcPr>
          <w:p w14:paraId="2E258CDC" w14:textId="77777777" w:rsidR="00665586" w:rsidRPr="0004176C" w:rsidRDefault="00665586" w:rsidP="00665586">
            <w:pPr>
              <w:jc w:val="center"/>
              <w:rPr>
                <w:sz w:val="18"/>
                <w:szCs w:val="18"/>
              </w:rPr>
            </w:pPr>
            <w:r w:rsidRPr="0004176C">
              <w:rPr>
                <w:sz w:val="18"/>
                <w:szCs w:val="18"/>
              </w:rPr>
              <w:t>Leased/Issued</w:t>
            </w:r>
          </w:p>
        </w:tc>
        <w:tc>
          <w:tcPr>
            <w:tcW w:w="627" w:type="pct"/>
            <w:shd w:val="clear" w:color="auto" w:fill="auto"/>
            <w:vAlign w:val="center"/>
            <w:hideMark/>
          </w:tcPr>
          <w:p w14:paraId="7199A537"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hideMark/>
          </w:tcPr>
          <w:p w14:paraId="2E643242" w14:textId="77777777" w:rsidR="00665586" w:rsidRPr="0004176C" w:rsidRDefault="00665586" w:rsidP="00665586">
            <w:pPr>
              <w:jc w:val="center"/>
              <w:rPr>
                <w:sz w:val="18"/>
                <w:szCs w:val="18"/>
              </w:rPr>
            </w:pPr>
            <w:r w:rsidRPr="0004176C">
              <w:rPr>
                <w:sz w:val="18"/>
                <w:szCs w:val="18"/>
              </w:rPr>
              <w:t>Family - Rehab with 1, 2, and 3 BR units</w:t>
            </w:r>
          </w:p>
        </w:tc>
      </w:tr>
      <w:tr w:rsidR="00665586" w:rsidRPr="0004176C" w14:paraId="752B3B9D" w14:textId="77777777" w:rsidTr="00665586">
        <w:trPr>
          <w:trHeight w:val="240"/>
        </w:trPr>
        <w:tc>
          <w:tcPr>
            <w:tcW w:w="1326" w:type="pct"/>
            <w:shd w:val="clear" w:color="auto" w:fill="auto"/>
            <w:vAlign w:val="center"/>
            <w:hideMark/>
          </w:tcPr>
          <w:p w14:paraId="01AB414C" w14:textId="77777777" w:rsidR="00665586" w:rsidRPr="0004176C" w:rsidRDefault="00665586" w:rsidP="00665586">
            <w:pPr>
              <w:jc w:val="center"/>
              <w:rPr>
                <w:color w:val="000000"/>
                <w:sz w:val="18"/>
                <w:szCs w:val="18"/>
              </w:rPr>
            </w:pPr>
            <w:r w:rsidRPr="0004176C">
              <w:rPr>
                <w:color w:val="000000"/>
                <w:sz w:val="18"/>
                <w:szCs w:val="18"/>
              </w:rPr>
              <w:t>Putnam Green</w:t>
            </w:r>
          </w:p>
        </w:tc>
        <w:tc>
          <w:tcPr>
            <w:tcW w:w="596" w:type="pct"/>
            <w:shd w:val="clear" w:color="auto" w:fill="auto"/>
            <w:vAlign w:val="center"/>
            <w:hideMark/>
          </w:tcPr>
          <w:p w14:paraId="21F4B7D5"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443D3B33"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C14F5AE"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B221277"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1285C042" w14:textId="77777777" w:rsidTr="00665586">
        <w:trPr>
          <w:trHeight w:val="240"/>
        </w:trPr>
        <w:tc>
          <w:tcPr>
            <w:tcW w:w="1326" w:type="pct"/>
            <w:shd w:val="clear" w:color="auto" w:fill="auto"/>
            <w:vAlign w:val="center"/>
            <w:hideMark/>
          </w:tcPr>
          <w:p w14:paraId="169AF4D1" w14:textId="77777777" w:rsidR="00665586" w:rsidRPr="0004176C" w:rsidRDefault="00665586" w:rsidP="00665586">
            <w:pPr>
              <w:jc w:val="center"/>
              <w:rPr>
                <w:color w:val="000000"/>
                <w:sz w:val="18"/>
                <w:szCs w:val="18"/>
              </w:rPr>
            </w:pPr>
            <w:r w:rsidRPr="0004176C">
              <w:rPr>
                <w:color w:val="000000"/>
                <w:sz w:val="18"/>
                <w:szCs w:val="18"/>
              </w:rPr>
              <w:t>Reed House Annex</w:t>
            </w:r>
          </w:p>
        </w:tc>
        <w:tc>
          <w:tcPr>
            <w:tcW w:w="596" w:type="pct"/>
            <w:shd w:val="clear" w:color="auto" w:fill="auto"/>
            <w:vAlign w:val="center"/>
            <w:hideMark/>
          </w:tcPr>
          <w:p w14:paraId="51AEB64A"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6940FD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930BEF0"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E19E57E" w14:textId="77777777" w:rsidR="00665586" w:rsidRPr="0004176C" w:rsidRDefault="00665586" w:rsidP="00665586">
            <w:pPr>
              <w:jc w:val="center"/>
              <w:rPr>
                <w:color w:val="000000"/>
                <w:sz w:val="18"/>
                <w:szCs w:val="18"/>
              </w:rPr>
            </w:pPr>
            <w:r w:rsidRPr="0004176C">
              <w:rPr>
                <w:color w:val="000000"/>
                <w:sz w:val="18"/>
                <w:szCs w:val="18"/>
              </w:rPr>
              <w:t>Supportive services</w:t>
            </w:r>
          </w:p>
        </w:tc>
      </w:tr>
      <w:tr w:rsidR="00665586" w:rsidRPr="0004176C" w14:paraId="34BB5824" w14:textId="77777777" w:rsidTr="00665586">
        <w:trPr>
          <w:trHeight w:val="240"/>
        </w:trPr>
        <w:tc>
          <w:tcPr>
            <w:tcW w:w="1326" w:type="pct"/>
            <w:shd w:val="clear" w:color="auto" w:fill="auto"/>
            <w:vAlign w:val="center"/>
            <w:hideMark/>
          </w:tcPr>
          <w:p w14:paraId="302D6145" w14:textId="77777777" w:rsidR="00665586" w:rsidRPr="0004176C" w:rsidRDefault="00665586" w:rsidP="00665586">
            <w:pPr>
              <w:jc w:val="center"/>
              <w:rPr>
                <w:color w:val="000000"/>
                <w:sz w:val="18"/>
                <w:szCs w:val="18"/>
              </w:rPr>
            </w:pPr>
            <w:r w:rsidRPr="0004176C">
              <w:rPr>
                <w:color w:val="000000"/>
                <w:sz w:val="18"/>
                <w:szCs w:val="18"/>
              </w:rPr>
              <w:t>Renwood-PWA Ltd. Part./158 Walnut Avenue</w:t>
            </w:r>
          </w:p>
        </w:tc>
        <w:tc>
          <w:tcPr>
            <w:tcW w:w="596" w:type="pct"/>
            <w:shd w:val="clear" w:color="auto" w:fill="auto"/>
            <w:vAlign w:val="center"/>
            <w:hideMark/>
          </w:tcPr>
          <w:p w14:paraId="57F95DDF"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14930AA2"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80B9B6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05695BE" w14:textId="77777777" w:rsidR="00665586" w:rsidRPr="0004176C" w:rsidRDefault="00665586" w:rsidP="00665586">
            <w:pPr>
              <w:jc w:val="center"/>
              <w:rPr>
                <w:color w:val="000000"/>
                <w:sz w:val="18"/>
                <w:szCs w:val="18"/>
              </w:rPr>
            </w:pPr>
            <w:r w:rsidRPr="0004176C">
              <w:rPr>
                <w:color w:val="000000"/>
                <w:sz w:val="18"/>
                <w:szCs w:val="18"/>
              </w:rPr>
              <w:t>Supportive services</w:t>
            </w:r>
          </w:p>
        </w:tc>
      </w:tr>
      <w:tr w:rsidR="00665586" w:rsidRPr="0004176C" w14:paraId="0D8AA7FB" w14:textId="77777777" w:rsidTr="00665586">
        <w:trPr>
          <w:trHeight w:val="240"/>
        </w:trPr>
        <w:tc>
          <w:tcPr>
            <w:tcW w:w="1326" w:type="pct"/>
            <w:shd w:val="clear" w:color="auto" w:fill="auto"/>
            <w:vAlign w:val="center"/>
            <w:hideMark/>
          </w:tcPr>
          <w:p w14:paraId="123126D0" w14:textId="77777777" w:rsidR="00665586" w:rsidRPr="0004176C" w:rsidRDefault="00665586" w:rsidP="00665586">
            <w:pPr>
              <w:jc w:val="center"/>
              <w:rPr>
                <w:color w:val="000000"/>
                <w:sz w:val="18"/>
                <w:szCs w:val="18"/>
              </w:rPr>
            </w:pPr>
            <w:r w:rsidRPr="0004176C">
              <w:rPr>
                <w:color w:val="000000"/>
                <w:sz w:val="18"/>
                <w:szCs w:val="18"/>
              </w:rPr>
              <w:t>Renwood-PWA Ltd. Part./36 Edgewood Street</w:t>
            </w:r>
          </w:p>
        </w:tc>
        <w:tc>
          <w:tcPr>
            <w:tcW w:w="596" w:type="pct"/>
            <w:shd w:val="clear" w:color="auto" w:fill="auto"/>
            <w:vAlign w:val="center"/>
            <w:hideMark/>
          </w:tcPr>
          <w:p w14:paraId="02AAA2DA" w14:textId="77777777" w:rsidR="00665586" w:rsidRPr="0004176C" w:rsidRDefault="00665586" w:rsidP="00665586">
            <w:pPr>
              <w:jc w:val="center"/>
              <w:rPr>
                <w:color w:val="000000"/>
                <w:sz w:val="18"/>
                <w:szCs w:val="18"/>
              </w:rPr>
            </w:pPr>
            <w:r w:rsidRPr="0004176C">
              <w:rPr>
                <w:color w:val="000000"/>
                <w:sz w:val="18"/>
                <w:szCs w:val="18"/>
              </w:rPr>
              <w:t>3</w:t>
            </w:r>
          </w:p>
        </w:tc>
        <w:tc>
          <w:tcPr>
            <w:tcW w:w="674" w:type="pct"/>
            <w:shd w:val="clear" w:color="auto" w:fill="auto"/>
            <w:vAlign w:val="center"/>
            <w:hideMark/>
          </w:tcPr>
          <w:p w14:paraId="67363BE4"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6A48A99"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165E83A" w14:textId="77777777" w:rsidR="00665586" w:rsidRPr="0004176C" w:rsidRDefault="00665586" w:rsidP="00665586">
            <w:pPr>
              <w:jc w:val="center"/>
              <w:rPr>
                <w:color w:val="000000"/>
                <w:sz w:val="18"/>
                <w:szCs w:val="18"/>
              </w:rPr>
            </w:pPr>
            <w:r w:rsidRPr="0004176C">
              <w:rPr>
                <w:color w:val="000000"/>
                <w:sz w:val="18"/>
                <w:szCs w:val="18"/>
              </w:rPr>
              <w:t>Supportive services</w:t>
            </w:r>
          </w:p>
        </w:tc>
      </w:tr>
      <w:tr w:rsidR="00665586" w:rsidRPr="0004176C" w14:paraId="0B5F983E" w14:textId="77777777" w:rsidTr="00665586">
        <w:trPr>
          <w:trHeight w:val="240"/>
        </w:trPr>
        <w:tc>
          <w:tcPr>
            <w:tcW w:w="1326" w:type="pct"/>
            <w:shd w:val="clear" w:color="auto" w:fill="auto"/>
            <w:vAlign w:val="center"/>
            <w:hideMark/>
          </w:tcPr>
          <w:p w14:paraId="1B5AF06C" w14:textId="77777777" w:rsidR="00665586" w:rsidRPr="0004176C" w:rsidRDefault="00665586" w:rsidP="00665586">
            <w:pPr>
              <w:jc w:val="center"/>
              <w:rPr>
                <w:color w:val="000000"/>
                <w:sz w:val="18"/>
                <w:szCs w:val="18"/>
              </w:rPr>
            </w:pPr>
            <w:r w:rsidRPr="0004176C">
              <w:rPr>
                <w:color w:val="000000"/>
                <w:sz w:val="18"/>
                <w:szCs w:val="18"/>
              </w:rPr>
              <w:t>Renwood-PWA Ltd. Part./526 Mass. Avenue</w:t>
            </w:r>
          </w:p>
        </w:tc>
        <w:tc>
          <w:tcPr>
            <w:tcW w:w="596" w:type="pct"/>
            <w:shd w:val="clear" w:color="auto" w:fill="auto"/>
            <w:vAlign w:val="center"/>
            <w:hideMark/>
          </w:tcPr>
          <w:p w14:paraId="0AC62778" w14:textId="77777777" w:rsidR="00665586" w:rsidRPr="0004176C" w:rsidRDefault="00665586" w:rsidP="00665586">
            <w:pPr>
              <w:jc w:val="center"/>
              <w:rPr>
                <w:color w:val="000000"/>
                <w:sz w:val="18"/>
                <w:szCs w:val="18"/>
              </w:rPr>
            </w:pPr>
            <w:r w:rsidRPr="0004176C">
              <w:rPr>
                <w:color w:val="000000"/>
                <w:sz w:val="18"/>
                <w:szCs w:val="18"/>
              </w:rPr>
              <w:t>7</w:t>
            </w:r>
          </w:p>
        </w:tc>
        <w:tc>
          <w:tcPr>
            <w:tcW w:w="674" w:type="pct"/>
            <w:shd w:val="clear" w:color="auto" w:fill="auto"/>
            <w:vAlign w:val="center"/>
            <w:hideMark/>
          </w:tcPr>
          <w:p w14:paraId="6EE4DDF7"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D242F7C"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03E9178" w14:textId="77777777" w:rsidR="00665586" w:rsidRPr="0004176C" w:rsidRDefault="00665586" w:rsidP="00665586">
            <w:pPr>
              <w:jc w:val="center"/>
              <w:rPr>
                <w:color w:val="000000"/>
                <w:sz w:val="18"/>
                <w:szCs w:val="18"/>
              </w:rPr>
            </w:pPr>
            <w:r w:rsidRPr="0004176C">
              <w:rPr>
                <w:color w:val="000000"/>
                <w:sz w:val="18"/>
                <w:szCs w:val="18"/>
              </w:rPr>
              <w:t>Supportive services</w:t>
            </w:r>
          </w:p>
        </w:tc>
      </w:tr>
      <w:tr w:rsidR="00665586" w:rsidRPr="0004176C" w14:paraId="02626209" w14:textId="77777777" w:rsidTr="00665586">
        <w:trPr>
          <w:trHeight w:val="240"/>
        </w:trPr>
        <w:tc>
          <w:tcPr>
            <w:tcW w:w="1326" w:type="pct"/>
            <w:shd w:val="clear" w:color="auto" w:fill="auto"/>
            <w:vAlign w:val="center"/>
            <w:hideMark/>
          </w:tcPr>
          <w:p w14:paraId="6D60285C" w14:textId="77777777" w:rsidR="00665586" w:rsidRPr="0004176C" w:rsidRDefault="00665586" w:rsidP="00665586">
            <w:pPr>
              <w:jc w:val="center"/>
              <w:rPr>
                <w:color w:val="000000"/>
                <w:sz w:val="18"/>
                <w:szCs w:val="18"/>
              </w:rPr>
            </w:pPr>
            <w:r w:rsidRPr="0004176C">
              <w:rPr>
                <w:color w:val="000000"/>
                <w:sz w:val="18"/>
                <w:szCs w:val="18"/>
              </w:rPr>
              <w:t>Residences at Brighton Marine</w:t>
            </w:r>
          </w:p>
        </w:tc>
        <w:tc>
          <w:tcPr>
            <w:tcW w:w="596" w:type="pct"/>
            <w:shd w:val="clear" w:color="auto" w:fill="auto"/>
            <w:vAlign w:val="center"/>
            <w:hideMark/>
          </w:tcPr>
          <w:p w14:paraId="1CF94736"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222DAAC6"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CFD44B2"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B41478B" w14:textId="77777777" w:rsidR="00665586" w:rsidRPr="0004176C" w:rsidRDefault="00665586" w:rsidP="00665586">
            <w:pPr>
              <w:jc w:val="center"/>
              <w:rPr>
                <w:color w:val="000000"/>
                <w:sz w:val="18"/>
                <w:szCs w:val="18"/>
              </w:rPr>
            </w:pPr>
            <w:r w:rsidRPr="0004176C">
              <w:rPr>
                <w:color w:val="000000"/>
                <w:sz w:val="18"/>
                <w:szCs w:val="18"/>
              </w:rPr>
              <w:t>New construction, family units 100% preference for veterans</w:t>
            </w:r>
          </w:p>
        </w:tc>
      </w:tr>
      <w:tr w:rsidR="00665586" w:rsidRPr="0004176C" w14:paraId="6A037FDB" w14:textId="77777777" w:rsidTr="00665586">
        <w:trPr>
          <w:trHeight w:val="240"/>
        </w:trPr>
        <w:tc>
          <w:tcPr>
            <w:tcW w:w="1326" w:type="pct"/>
            <w:shd w:val="clear" w:color="auto" w:fill="auto"/>
            <w:vAlign w:val="center"/>
            <w:hideMark/>
          </w:tcPr>
          <w:p w14:paraId="1357B223" w14:textId="77777777" w:rsidR="00665586" w:rsidRPr="0004176C" w:rsidRDefault="00665586" w:rsidP="00665586">
            <w:pPr>
              <w:jc w:val="center"/>
              <w:rPr>
                <w:color w:val="000000"/>
                <w:sz w:val="18"/>
                <w:szCs w:val="18"/>
              </w:rPr>
            </w:pPr>
            <w:r w:rsidRPr="0004176C">
              <w:rPr>
                <w:color w:val="000000"/>
                <w:sz w:val="18"/>
                <w:szCs w:val="18"/>
              </w:rPr>
              <w:t>Residences at Canal Bluff</w:t>
            </w:r>
          </w:p>
        </w:tc>
        <w:tc>
          <w:tcPr>
            <w:tcW w:w="596" w:type="pct"/>
            <w:shd w:val="clear" w:color="auto" w:fill="auto"/>
            <w:vAlign w:val="center"/>
            <w:hideMark/>
          </w:tcPr>
          <w:p w14:paraId="2659AB68" w14:textId="77777777" w:rsidR="00665586" w:rsidRPr="0004176C" w:rsidRDefault="00665586" w:rsidP="00665586">
            <w:pPr>
              <w:jc w:val="center"/>
              <w:rPr>
                <w:color w:val="000000"/>
                <w:sz w:val="18"/>
                <w:szCs w:val="18"/>
              </w:rPr>
            </w:pPr>
            <w:r w:rsidRPr="0004176C">
              <w:rPr>
                <w:color w:val="000000"/>
                <w:sz w:val="18"/>
                <w:szCs w:val="18"/>
              </w:rPr>
              <w:t>3</w:t>
            </w:r>
          </w:p>
        </w:tc>
        <w:tc>
          <w:tcPr>
            <w:tcW w:w="674" w:type="pct"/>
            <w:shd w:val="clear" w:color="auto" w:fill="auto"/>
            <w:vAlign w:val="center"/>
            <w:hideMark/>
          </w:tcPr>
          <w:p w14:paraId="5911723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D57CC7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C4B2626"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58AFB1E1" w14:textId="77777777" w:rsidTr="00665586">
        <w:trPr>
          <w:trHeight w:val="480"/>
        </w:trPr>
        <w:tc>
          <w:tcPr>
            <w:tcW w:w="1326" w:type="pct"/>
            <w:shd w:val="clear" w:color="auto" w:fill="auto"/>
            <w:vAlign w:val="center"/>
          </w:tcPr>
          <w:p w14:paraId="234CDEBC" w14:textId="77777777" w:rsidR="00665586" w:rsidRPr="0004176C" w:rsidRDefault="00665586" w:rsidP="00665586">
            <w:pPr>
              <w:jc w:val="center"/>
              <w:rPr>
                <w:sz w:val="18"/>
                <w:szCs w:val="18"/>
              </w:rPr>
            </w:pPr>
            <w:r w:rsidRPr="0004176C">
              <w:rPr>
                <w:sz w:val="18"/>
                <w:szCs w:val="18"/>
              </w:rPr>
              <w:t>Residences at Fairmount Station,</w:t>
            </w:r>
          </w:p>
          <w:p w14:paraId="57099488" w14:textId="77777777" w:rsidR="00665586" w:rsidRPr="0004176C" w:rsidRDefault="00665586" w:rsidP="00665586">
            <w:pPr>
              <w:jc w:val="center"/>
              <w:rPr>
                <w:color w:val="000000"/>
                <w:sz w:val="18"/>
                <w:szCs w:val="18"/>
              </w:rPr>
            </w:pPr>
            <w:r w:rsidRPr="0004176C">
              <w:rPr>
                <w:sz w:val="18"/>
                <w:szCs w:val="18"/>
              </w:rPr>
              <w:t>Boston</w:t>
            </w:r>
          </w:p>
        </w:tc>
        <w:tc>
          <w:tcPr>
            <w:tcW w:w="596" w:type="pct"/>
            <w:shd w:val="clear" w:color="auto" w:fill="auto"/>
            <w:vAlign w:val="center"/>
          </w:tcPr>
          <w:p w14:paraId="25941520" w14:textId="77777777" w:rsidR="00665586" w:rsidRPr="0004176C" w:rsidRDefault="00665586" w:rsidP="00665586">
            <w:pPr>
              <w:jc w:val="center"/>
              <w:rPr>
                <w:color w:val="000000"/>
                <w:sz w:val="18"/>
                <w:szCs w:val="18"/>
              </w:rPr>
            </w:pPr>
            <w:r w:rsidRPr="0004176C">
              <w:rPr>
                <w:sz w:val="18"/>
                <w:szCs w:val="18"/>
              </w:rPr>
              <w:t>6</w:t>
            </w:r>
          </w:p>
        </w:tc>
        <w:tc>
          <w:tcPr>
            <w:tcW w:w="674" w:type="pct"/>
            <w:shd w:val="clear" w:color="auto" w:fill="auto"/>
            <w:vAlign w:val="center"/>
          </w:tcPr>
          <w:p w14:paraId="3CFB3FCC" w14:textId="77777777" w:rsidR="00665586" w:rsidRPr="0004176C" w:rsidRDefault="00665586" w:rsidP="00665586">
            <w:pPr>
              <w:jc w:val="center"/>
              <w:rPr>
                <w:color w:val="000000"/>
                <w:sz w:val="18"/>
                <w:szCs w:val="18"/>
              </w:rPr>
            </w:pPr>
            <w:r w:rsidRPr="0004176C">
              <w:rPr>
                <w:sz w:val="18"/>
                <w:szCs w:val="18"/>
              </w:rPr>
              <w:t>Leased/Issued</w:t>
            </w:r>
          </w:p>
        </w:tc>
        <w:tc>
          <w:tcPr>
            <w:tcW w:w="627" w:type="pct"/>
            <w:shd w:val="clear" w:color="auto" w:fill="auto"/>
            <w:vAlign w:val="center"/>
          </w:tcPr>
          <w:p w14:paraId="0DCB406A"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4972EB0A" w14:textId="77777777" w:rsidR="00665586" w:rsidRPr="0004176C" w:rsidRDefault="00665586" w:rsidP="00665586">
            <w:pPr>
              <w:jc w:val="center"/>
              <w:rPr>
                <w:color w:val="000000"/>
                <w:sz w:val="18"/>
                <w:szCs w:val="18"/>
              </w:rPr>
            </w:pPr>
            <w:r w:rsidRPr="0004176C">
              <w:rPr>
                <w:rFonts w:eastAsia="Calibri"/>
                <w:sz w:val="18"/>
                <w:szCs w:val="18"/>
              </w:rPr>
              <w:t>New Construction – Family Housing</w:t>
            </w:r>
          </w:p>
        </w:tc>
      </w:tr>
      <w:tr w:rsidR="00665586" w:rsidRPr="0004176C" w14:paraId="0E9C2E58" w14:textId="77777777" w:rsidTr="00665586">
        <w:trPr>
          <w:trHeight w:val="240"/>
        </w:trPr>
        <w:tc>
          <w:tcPr>
            <w:tcW w:w="1326" w:type="pct"/>
            <w:shd w:val="clear" w:color="auto" w:fill="auto"/>
            <w:vAlign w:val="center"/>
            <w:hideMark/>
          </w:tcPr>
          <w:p w14:paraId="6747D702" w14:textId="77777777" w:rsidR="00665586" w:rsidRPr="0004176C" w:rsidRDefault="00665586" w:rsidP="00665586">
            <w:pPr>
              <w:jc w:val="center"/>
              <w:rPr>
                <w:color w:val="000000"/>
                <w:sz w:val="18"/>
                <w:szCs w:val="18"/>
              </w:rPr>
            </w:pPr>
            <w:r w:rsidRPr="0004176C">
              <w:rPr>
                <w:color w:val="000000"/>
                <w:sz w:val="18"/>
                <w:szCs w:val="18"/>
              </w:rPr>
              <w:t>Residences at Stonybrook</w:t>
            </w:r>
          </w:p>
        </w:tc>
        <w:tc>
          <w:tcPr>
            <w:tcW w:w="596" w:type="pct"/>
            <w:shd w:val="clear" w:color="auto" w:fill="auto"/>
            <w:vAlign w:val="center"/>
            <w:hideMark/>
          </w:tcPr>
          <w:p w14:paraId="4A105280"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6F39CC1E"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758900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B999955"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2707129F" w14:textId="77777777" w:rsidTr="00665586">
        <w:trPr>
          <w:trHeight w:val="240"/>
        </w:trPr>
        <w:tc>
          <w:tcPr>
            <w:tcW w:w="1326" w:type="pct"/>
            <w:shd w:val="clear" w:color="auto" w:fill="auto"/>
            <w:vAlign w:val="center"/>
            <w:hideMark/>
          </w:tcPr>
          <w:p w14:paraId="18AA9EFE" w14:textId="77777777" w:rsidR="00665586" w:rsidRPr="0004176C" w:rsidRDefault="00665586" w:rsidP="00665586">
            <w:pPr>
              <w:jc w:val="center"/>
              <w:rPr>
                <w:color w:val="000000"/>
                <w:sz w:val="18"/>
                <w:szCs w:val="18"/>
              </w:rPr>
            </w:pPr>
            <w:r w:rsidRPr="0004176C">
              <w:rPr>
                <w:color w:val="000000"/>
                <w:sz w:val="18"/>
                <w:szCs w:val="18"/>
              </w:rPr>
              <w:t>Residences at Stonybrook Phase II</w:t>
            </w:r>
          </w:p>
        </w:tc>
        <w:tc>
          <w:tcPr>
            <w:tcW w:w="596" w:type="pct"/>
            <w:shd w:val="clear" w:color="auto" w:fill="auto"/>
            <w:vAlign w:val="center"/>
            <w:hideMark/>
          </w:tcPr>
          <w:p w14:paraId="64A23284"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D78CD4B"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E6879D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916B412" w14:textId="77777777" w:rsidR="00665586" w:rsidRPr="0004176C" w:rsidRDefault="00665586" w:rsidP="00665586">
            <w:pPr>
              <w:jc w:val="center"/>
              <w:rPr>
                <w:color w:val="000000"/>
                <w:sz w:val="18"/>
                <w:szCs w:val="18"/>
              </w:rPr>
            </w:pPr>
            <w:r w:rsidRPr="0004176C">
              <w:rPr>
                <w:color w:val="000000"/>
                <w:sz w:val="18"/>
                <w:szCs w:val="18"/>
              </w:rPr>
              <w:t>Family - New construction of seven townhouse-style buildings</w:t>
            </w:r>
          </w:p>
        </w:tc>
      </w:tr>
      <w:tr w:rsidR="00665586" w:rsidRPr="0004176C" w14:paraId="053F5862" w14:textId="77777777" w:rsidTr="00665586">
        <w:trPr>
          <w:trHeight w:val="480"/>
        </w:trPr>
        <w:tc>
          <w:tcPr>
            <w:tcW w:w="1326" w:type="pct"/>
            <w:shd w:val="clear" w:color="auto" w:fill="auto"/>
            <w:vAlign w:val="center"/>
            <w:hideMark/>
          </w:tcPr>
          <w:p w14:paraId="55622FCF" w14:textId="77777777" w:rsidR="00665586" w:rsidRPr="0004176C" w:rsidRDefault="00665586" w:rsidP="00665586">
            <w:pPr>
              <w:jc w:val="center"/>
              <w:rPr>
                <w:color w:val="000000"/>
                <w:sz w:val="18"/>
                <w:szCs w:val="18"/>
              </w:rPr>
            </w:pPr>
            <w:r w:rsidRPr="0004176C">
              <w:rPr>
                <w:color w:val="000000"/>
                <w:sz w:val="18"/>
                <w:szCs w:val="18"/>
              </w:rPr>
              <w:t>Reviviendo</w:t>
            </w:r>
          </w:p>
        </w:tc>
        <w:tc>
          <w:tcPr>
            <w:tcW w:w="596" w:type="pct"/>
            <w:shd w:val="clear" w:color="auto" w:fill="auto"/>
            <w:vAlign w:val="center"/>
            <w:hideMark/>
          </w:tcPr>
          <w:p w14:paraId="32D0EE11" w14:textId="77777777" w:rsidR="00665586" w:rsidRPr="0004176C" w:rsidRDefault="00665586" w:rsidP="00665586">
            <w:pPr>
              <w:jc w:val="center"/>
              <w:rPr>
                <w:color w:val="000000"/>
                <w:sz w:val="18"/>
                <w:szCs w:val="18"/>
              </w:rPr>
            </w:pPr>
            <w:r w:rsidRPr="0004176C">
              <w:rPr>
                <w:color w:val="000000"/>
                <w:sz w:val="18"/>
                <w:szCs w:val="18"/>
              </w:rPr>
              <w:t>3</w:t>
            </w:r>
          </w:p>
        </w:tc>
        <w:tc>
          <w:tcPr>
            <w:tcW w:w="674" w:type="pct"/>
            <w:shd w:val="clear" w:color="auto" w:fill="auto"/>
            <w:vAlign w:val="center"/>
            <w:hideMark/>
          </w:tcPr>
          <w:p w14:paraId="1449E22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1760C8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8CB2B0C" w14:textId="77777777" w:rsidR="00665586" w:rsidRPr="0004176C" w:rsidRDefault="00665586" w:rsidP="00665586">
            <w:pPr>
              <w:jc w:val="center"/>
              <w:rPr>
                <w:color w:val="000000"/>
                <w:sz w:val="18"/>
                <w:szCs w:val="18"/>
              </w:rPr>
            </w:pPr>
            <w:r w:rsidRPr="0004176C">
              <w:rPr>
                <w:color w:val="000000"/>
                <w:sz w:val="18"/>
                <w:szCs w:val="18"/>
              </w:rPr>
              <w:t>Units for homeless individuals; 105 Newbury Street, 105 Haverhill Street, 60 - 62 Newbury Street, 10 Jackson Terrace</w:t>
            </w:r>
          </w:p>
        </w:tc>
      </w:tr>
      <w:tr w:rsidR="00665586" w:rsidRPr="0004176C" w14:paraId="437961C4" w14:textId="77777777" w:rsidTr="00665586">
        <w:trPr>
          <w:trHeight w:val="240"/>
        </w:trPr>
        <w:tc>
          <w:tcPr>
            <w:tcW w:w="1326" w:type="pct"/>
            <w:shd w:val="clear" w:color="auto" w:fill="auto"/>
            <w:vAlign w:val="center"/>
            <w:hideMark/>
          </w:tcPr>
          <w:p w14:paraId="6A2E6617" w14:textId="77777777" w:rsidR="00665586" w:rsidRPr="0004176C" w:rsidRDefault="00665586" w:rsidP="00665586">
            <w:pPr>
              <w:jc w:val="center"/>
              <w:rPr>
                <w:color w:val="000000"/>
                <w:sz w:val="18"/>
                <w:szCs w:val="18"/>
              </w:rPr>
            </w:pPr>
            <w:r w:rsidRPr="0004176C">
              <w:rPr>
                <w:color w:val="000000"/>
                <w:sz w:val="18"/>
                <w:szCs w:val="18"/>
              </w:rPr>
              <w:t>Rice Silk Mill</w:t>
            </w:r>
          </w:p>
        </w:tc>
        <w:tc>
          <w:tcPr>
            <w:tcW w:w="596" w:type="pct"/>
            <w:shd w:val="clear" w:color="auto" w:fill="auto"/>
            <w:vAlign w:val="center"/>
            <w:hideMark/>
          </w:tcPr>
          <w:p w14:paraId="110F6CEE" w14:textId="77777777" w:rsidR="00665586" w:rsidRPr="0004176C" w:rsidRDefault="00665586" w:rsidP="00665586">
            <w:pPr>
              <w:jc w:val="center"/>
              <w:rPr>
                <w:color w:val="000000"/>
                <w:sz w:val="18"/>
                <w:szCs w:val="18"/>
              </w:rPr>
            </w:pPr>
            <w:r w:rsidRPr="0004176C">
              <w:rPr>
                <w:color w:val="000000"/>
                <w:sz w:val="18"/>
                <w:szCs w:val="18"/>
              </w:rPr>
              <w:t>5</w:t>
            </w:r>
          </w:p>
        </w:tc>
        <w:tc>
          <w:tcPr>
            <w:tcW w:w="674" w:type="pct"/>
            <w:shd w:val="clear" w:color="auto" w:fill="auto"/>
            <w:vAlign w:val="center"/>
            <w:hideMark/>
          </w:tcPr>
          <w:p w14:paraId="17D2A182"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68AB0C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1AD6145"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0261AAE2" w14:textId="77777777" w:rsidTr="00665586">
        <w:trPr>
          <w:trHeight w:val="480"/>
        </w:trPr>
        <w:tc>
          <w:tcPr>
            <w:tcW w:w="1326" w:type="pct"/>
            <w:shd w:val="clear" w:color="auto" w:fill="auto"/>
            <w:vAlign w:val="center"/>
          </w:tcPr>
          <w:p w14:paraId="22A883E8" w14:textId="77777777" w:rsidR="00665586" w:rsidRPr="0004176C" w:rsidRDefault="00665586" w:rsidP="00665586">
            <w:pPr>
              <w:jc w:val="center"/>
              <w:rPr>
                <w:sz w:val="18"/>
                <w:szCs w:val="18"/>
              </w:rPr>
            </w:pPr>
            <w:r w:rsidRPr="0004176C">
              <w:rPr>
                <w:sz w:val="18"/>
                <w:szCs w:val="18"/>
              </w:rPr>
              <w:t>River Street/Herring Brook, Norwell</w:t>
            </w:r>
          </w:p>
        </w:tc>
        <w:tc>
          <w:tcPr>
            <w:tcW w:w="596" w:type="pct"/>
            <w:shd w:val="clear" w:color="auto" w:fill="auto"/>
            <w:vAlign w:val="center"/>
          </w:tcPr>
          <w:p w14:paraId="35D91DBE" w14:textId="77777777" w:rsidR="00665586" w:rsidRPr="0004176C" w:rsidRDefault="00665586" w:rsidP="00665586">
            <w:pPr>
              <w:jc w:val="center"/>
              <w:rPr>
                <w:color w:val="000000"/>
                <w:sz w:val="18"/>
                <w:szCs w:val="18"/>
              </w:rPr>
            </w:pPr>
            <w:r w:rsidRPr="0004176C">
              <w:rPr>
                <w:sz w:val="18"/>
                <w:szCs w:val="18"/>
              </w:rPr>
              <w:t>4</w:t>
            </w:r>
          </w:p>
        </w:tc>
        <w:tc>
          <w:tcPr>
            <w:tcW w:w="674" w:type="pct"/>
            <w:shd w:val="clear" w:color="auto" w:fill="auto"/>
            <w:vAlign w:val="center"/>
          </w:tcPr>
          <w:p w14:paraId="6556E048" w14:textId="77777777" w:rsidR="00665586" w:rsidRPr="0004176C" w:rsidRDefault="00665586" w:rsidP="00665586">
            <w:pPr>
              <w:jc w:val="center"/>
              <w:rPr>
                <w:color w:val="000000"/>
                <w:sz w:val="18"/>
                <w:szCs w:val="18"/>
              </w:rPr>
            </w:pPr>
            <w:r w:rsidRPr="0004176C">
              <w:rPr>
                <w:sz w:val="18"/>
                <w:szCs w:val="18"/>
              </w:rPr>
              <w:t>Leased/Issued</w:t>
            </w:r>
          </w:p>
        </w:tc>
        <w:tc>
          <w:tcPr>
            <w:tcW w:w="627" w:type="pct"/>
            <w:shd w:val="clear" w:color="auto" w:fill="auto"/>
            <w:vAlign w:val="center"/>
          </w:tcPr>
          <w:p w14:paraId="50E71753"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4C76BDF1" w14:textId="77777777" w:rsidR="00665586" w:rsidRPr="0004176C" w:rsidRDefault="00665586" w:rsidP="00665586">
            <w:pPr>
              <w:jc w:val="center"/>
              <w:rPr>
                <w:color w:val="000000"/>
                <w:sz w:val="18"/>
                <w:szCs w:val="18"/>
              </w:rPr>
            </w:pPr>
            <w:r w:rsidRPr="0004176C">
              <w:rPr>
                <w:rFonts w:eastAsia="Calibri"/>
                <w:sz w:val="18"/>
                <w:szCs w:val="18"/>
              </w:rPr>
              <w:t>New Construction – Elderly Housing</w:t>
            </w:r>
          </w:p>
        </w:tc>
      </w:tr>
      <w:tr w:rsidR="00665586" w:rsidRPr="0004176C" w14:paraId="017E35E3" w14:textId="77777777" w:rsidTr="00665586">
        <w:trPr>
          <w:trHeight w:val="480"/>
        </w:trPr>
        <w:tc>
          <w:tcPr>
            <w:tcW w:w="1326" w:type="pct"/>
            <w:shd w:val="clear" w:color="auto" w:fill="auto"/>
            <w:vAlign w:val="center"/>
            <w:hideMark/>
          </w:tcPr>
          <w:p w14:paraId="77E55BE4" w14:textId="77777777" w:rsidR="00665586" w:rsidRPr="0004176C" w:rsidRDefault="00665586" w:rsidP="00665586">
            <w:pPr>
              <w:jc w:val="center"/>
              <w:rPr>
                <w:color w:val="000000"/>
                <w:sz w:val="18"/>
                <w:szCs w:val="18"/>
              </w:rPr>
            </w:pPr>
            <w:r w:rsidRPr="0004176C">
              <w:rPr>
                <w:color w:val="000000"/>
                <w:sz w:val="18"/>
                <w:szCs w:val="18"/>
              </w:rPr>
              <w:t>RTH Riverway</w:t>
            </w:r>
          </w:p>
        </w:tc>
        <w:tc>
          <w:tcPr>
            <w:tcW w:w="596" w:type="pct"/>
            <w:shd w:val="clear" w:color="auto" w:fill="auto"/>
            <w:vAlign w:val="center"/>
            <w:hideMark/>
          </w:tcPr>
          <w:p w14:paraId="35033816"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578B70F1"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B78BC4C"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1DC74EC" w14:textId="77777777" w:rsidR="00665586" w:rsidRPr="0004176C" w:rsidRDefault="00665586" w:rsidP="00665586">
            <w:pPr>
              <w:jc w:val="center"/>
              <w:rPr>
                <w:color w:val="000000"/>
                <w:sz w:val="18"/>
                <w:szCs w:val="18"/>
              </w:rPr>
            </w:pPr>
            <w:r w:rsidRPr="0004176C">
              <w:rPr>
                <w:color w:val="000000"/>
                <w:sz w:val="18"/>
                <w:szCs w:val="18"/>
              </w:rPr>
              <w:t>Disabled - Units reserved for disabled; new construction of 10-story building</w:t>
            </w:r>
          </w:p>
        </w:tc>
      </w:tr>
      <w:tr w:rsidR="00665586" w:rsidRPr="0004176C" w14:paraId="6E68D6AB" w14:textId="77777777" w:rsidTr="00665586">
        <w:trPr>
          <w:trHeight w:val="240"/>
        </w:trPr>
        <w:tc>
          <w:tcPr>
            <w:tcW w:w="1326" w:type="pct"/>
            <w:shd w:val="clear" w:color="auto" w:fill="auto"/>
            <w:vAlign w:val="center"/>
            <w:hideMark/>
          </w:tcPr>
          <w:p w14:paraId="61E60920" w14:textId="77777777" w:rsidR="00665586" w:rsidRPr="0004176C" w:rsidRDefault="00665586" w:rsidP="00665586">
            <w:pPr>
              <w:jc w:val="center"/>
              <w:rPr>
                <w:color w:val="000000"/>
                <w:sz w:val="18"/>
                <w:szCs w:val="18"/>
              </w:rPr>
            </w:pPr>
            <w:r w:rsidRPr="0004176C">
              <w:rPr>
                <w:color w:val="000000"/>
                <w:sz w:val="18"/>
                <w:szCs w:val="18"/>
              </w:rPr>
              <w:t>Ruggles Assisted Living</w:t>
            </w:r>
          </w:p>
        </w:tc>
        <w:tc>
          <w:tcPr>
            <w:tcW w:w="596" w:type="pct"/>
            <w:shd w:val="clear" w:color="auto" w:fill="auto"/>
            <w:vAlign w:val="center"/>
            <w:hideMark/>
          </w:tcPr>
          <w:p w14:paraId="50F90249" w14:textId="77777777" w:rsidR="00665586" w:rsidRPr="0004176C" w:rsidRDefault="00665586" w:rsidP="00665586">
            <w:pPr>
              <w:jc w:val="center"/>
              <w:rPr>
                <w:color w:val="000000"/>
                <w:sz w:val="18"/>
                <w:szCs w:val="18"/>
              </w:rPr>
            </w:pPr>
            <w:r w:rsidRPr="0004176C">
              <w:rPr>
                <w:color w:val="000000"/>
                <w:sz w:val="18"/>
                <w:szCs w:val="18"/>
              </w:rPr>
              <w:t>35</w:t>
            </w:r>
          </w:p>
        </w:tc>
        <w:tc>
          <w:tcPr>
            <w:tcW w:w="674" w:type="pct"/>
            <w:shd w:val="clear" w:color="auto" w:fill="auto"/>
            <w:vAlign w:val="center"/>
            <w:hideMark/>
          </w:tcPr>
          <w:p w14:paraId="7BD9864E"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3024BBB"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A202643" w14:textId="77777777" w:rsidR="00665586" w:rsidRPr="0004176C" w:rsidRDefault="00665586" w:rsidP="00665586">
            <w:pPr>
              <w:jc w:val="center"/>
              <w:rPr>
                <w:color w:val="000000"/>
                <w:sz w:val="18"/>
                <w:szCs w:val="18"/>
              </w:rPr>
            </w:pPr>
            <w:r w:rsidRPr="0004176C">
              <w:rPr>
                <w:color w:val="000000"/>
                <w:sz w:val="18"/>
                <w:szCs w:val="18"/>
              </w:rPr>
              <w:t>Supportive services</w:t>
            </w:r>
          </w:p>
        </w:tc>
      </w:tr>
      <w:tr w:rsidR="00665586" w:rsidRPr="0004176C" w14:paraId="69D23153" w14:textId="77777777" w:rsidTr="00665586">
        <w:trPr>
          <w:trHeight w:val="240"/>
        </w:trPr>
        <w:tc>
          <w:tcPr>
            <w:tcW w:w="1326" w:type="pct"/>
            <w:shd w:val="clear" w:color="auto" w:fill="auto"/>
            <w:vAlign w:val="center"/>
            <w:hideMark/>
          </w:tcPr>
          <w:p w14:paraId="47004167" w14:textId="77777777" w:rsidR="00665586" w:rsidRPr="0004176C" w:rsidRDefault="00665586" w:rsidP="00665586">
            <w:pPr>
              <w:jc w:val="center"/>
              <w:rPr>
                <w:color w:val="000000"/>
                <w:sz w:val="18"/>
                <w:szCs w:val="18"/>
              </w:rPr>
            </w:pPr>
            <w:r w:rsidRPr="0004176C">
              <w:rPr>
                <w:color w:val="000000"/>
                <w:sz w:val="18"/>
                <w:szCs w:val="18"/>
              </w:rPr>
              <w:t>Russell Terrace</w:t>
            </w:r>
          </w:p>
        </w:tc>
        <w:tc>
          <w:tcPr>
            <w:tcW w:w="596" w:type="pct"/>
            <w:shd w:val="clear" w:color="auto" w:fill="auto"/>
            <w:vAlign w:val="center"/>
            <w:hideMark/>
          </w:tcPr>
          <w:p w14:paraId="6FD9D9D1" w14:textId="77777777" w:rsidR="00665586" w:rsidRPr="0004176C" w:rsidRDefault="00665586" w:rsidP="00665586">
            <w:pPr>
              <w:jc w:val="center"/>
              <w:rPr>
                <w:color w:val="000000"/>
                <w:sz w:val="18"/>
                <w:szCs w:val="18"/>
              </w:rPr>
            </w:pPr>
            <w:r w:rsidRPr="0004176C">
              <w:rPr>
                <w:color w:val="000000"/>
                <w:sz w:val="18"/>
                <w:szCs w:val="18"/>
              </w:rPr>
              <w:t>2</w:t>
            </w:r>
          </w:p>
        </w:tc>
        <w:tc>
          <w:tcPr>
            <w:tcW w:w="674" w:type="pct"/>
            <w:shd w:val="clear" w:color="auto" w:fill="auto"/>
            <w:vAlign w:val="center"/>
            <w:hideMark/>
          </w:tcPr>
          <w:p w14:paraId="1386191F"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A7E66D9"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E3C493A" w14:textId="77777777" w:rsidR="00665586" w:rsidRPr="0004176C" w:rsidRDefault="00665586" w:rsidP="00665586">
            <w:pPr>
              <w:jc w:val="center"/>
              <w:rPr>
                <w:color w:val="000000"/>
                <w:sz w:val="18"/>
                <w:szCs w:val="18"/>
              </w:rPr>
            </w:pPr>
            <w:r w:rsidRPr="0004176C">
              <w:rPr>
                <w:color w:val="000000"/>
                <w:sz w:val="18"/>
                <w:szCs w:val="18"/>
              </w:rPr>
              <w:t>Units for homeless individuals</w:t>
            </w:r>
          </w:p>
        </w:tc>
      </w:tr>
      <w:tr w:rsidR="00665586" w:rsidRPr="0004176C" w14:paraId="54DDEDCB" w14:textId="77777777" w:rsidTr="00665586">
        <w:trPr>
          <w:trHeight w:val="480"/>
        </w:trPr>
        <w:tc>
          <w:tcPr>
            <w:tcW w:w="1326" w:type="pct"/>
            <w:shd w:val="clear" w:color="auto" w:fill="auto"/>
            <w:vAlign w:val="center"/>
            <w:hideMark/>
          </w:tcPr>
          <w:p w14:paraId="3FBB35B6" w14:textId="77777777" w:rsidR="00665586" w:rsidRPr="0004176C" w:rsidRDefault="00665586" w:rsidP="00665586">
            <w:pPr>
              <w:jc w:val="center"/>
              <w:rPr>
                <w:color w:val="000000"/>
                <w:sz w:val="18"/>
                <w:szCs w:val="18"/>
              </w:rPr>
            </w:pPr>
            <w:r w:rsidRPr="0004176C">
              <w:rPr>
                <w:color w:val="000000"/>
                <w:sz w:val="18"/>
                <w:szCs w:val="18"/>
              </w:rPr>
              <w:t>Sacred Heart</w:t>
            </w:r>
          </w:p>
        </w:tc>
        <w:tc>
          <w:tcPr>
            <w:tcW w:w="596" w:type="pct"/>
            <w:shd w:val="clear" w:color="auto" w:fill="auto"/>
            <w:vAlign w:val="center"/>
            <w:hideMark/>
          </w:tcPr>
          <w:p w14:paraId="0C086AED"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9FAB77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25D91B2"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AAB335B" w14:textId="77777777" w:rsidR="00665586" w:rsidRPr="0004176C" w:rsidRDefault="00665586" w:rsidP="00665586">
            <w:pPr>
              <w:jc w:val="center"/>
              <w:rPr>
                <w:color w:val="000000"/>
                <w:sz w:val="18"/>
                <w:szCs w:val="18"/>
              </w:rPr>
            </w:pPr>
            <w:r w:rsidRPr="0004176C">
              <w:rPr>
                <w:color w:val="000000"/>
                <w:sz w:val="18"/>
                <w:szCs w:val="18"/>
              </w:rPr>
              <w:t>Elderly/Disabled units; 23 Hawley Street, 30 Groton Street, 32 Groton Street</w:t>
            </w:r>
          </w:p>
        </w:tc>
      </w:tr>
      <w:tr w:rsidR="00665586" w:rsidRPr="0004176C" w14:paraId="5240DC24" w14:textId="77777777" w:rsidTr="00665586">
        <w:trPr>
          <w:trHeight w:val="240"/>
        </w:trPr>
        <w:tc>
          <w:tcPr>
            <w:tcW w:w="1326" w:type="pct"/>
            <w:shd w:val="clear" w:color="auto" w:fill="auto"/>
            <w:vAlign w:val="center"/>
            <w:hideMark/>
          </w:tcPr>
          <w:p w14:paraId="60F86660" w14:textId="77777777" w:rsidR="00665586" w:rsidRPr="0004176C" w:rsidRDefault="00665586" w:rsidP="00665586">
            <w:pPr>
              <w:jc w:val="center"/>
              <w:rPr>
                <w:color w:val="000000"/>
                <w:sz w:val="18"/>
                <w:szCs w:val="18"/>
              </w:rPr>
            </w:pPr>
            <w:r w:rsidRPr="0004176C">
              <w:rPr>
                <w:color w:val="000000"/>
                <w:sz w:val="18"/>
                <w:szCs w:val="18"/>
              </w:rPr>
              <w:t>Salem Harbor</w:t>
            </w:r>
          </w:p>
        </w:tc>
        <w:tc>
          <w:tcPr>
            <w:tcW w:w="596" w:type="pct"/>
            <w:shd w:val="clear" w:color="auto" w:fill="auto"/>
            <w:vAlign w:val="center"/>
            <w:hideMark/>
          </w:tcPr>
          <w:p w14:paraId="347C64B7"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23309347"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98ED99F"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83F5F89"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2ED109D8" w14:textId="77777777" w:rsidTr="00665586">
        <w:trPr>
          <w:trHeight w:val="240"/>
        </w:trPr>
        <w:tc>
          <w:tcPr>
            <w:tcW w:w="1326" w:type="pct"/>
            <w:shd w:val="clear" w:color="auto" w:fill="auto"/>
            <w:vAlign w:val="center"/>
            <w:hideMark/>
          </w:tcPr>
          <w:p w14:paraId="1D4A34F6" w14:textId="77777777" w:rsidR="00665586" w:rsidRPr="0004176C" w:rsidRDefault="00665586" w:rsidP="00665586">
            <w:pPr>
              <w:jc w:val="center"/>
              <w:rPr>
                <w:color w:val="000000"/>
                <w:sz w:val="18"/>
                <w:szCs w:val="18"/>
              </w:rPr>
            </w:pPr>
            <w:r w:rsidRPr="0004176C">
              <w:rPr>
                <w:color w:val="000000"/>
                <w:sz w:val="18"/>
                <w:szCs w:val="18"/>
              </w:rPr>
              <w:t>Salem Heights</w:t>
            </w:r>
          </w:p>
        </w:tc>
        <w:tc>
          <w:tcPr>
            <w:tcW w:w="596" w:type="pct"/>
            <w:shd w:val="clear" w:color="auto" w:fill="auto"/>
            <w:vAlign w:val="center"/>
            <w:hideMark/>
          </w:tcPr>
          <w:p w14:paraId="42DE79B7" w14:textId="77777777" w:rsidR="00665586" w:rsidRPr="0004176C" w:rsidRDefault="00665586" w:rsidP="00665586">
            <w:pPr>
              <w:jc w:val="center"/>
              <w:rPr>
                <w:color w:val="000000"/>
                <w:sz w:val="18"/>
                <w:szCs w:val="18"/>
              </w:rPr>
            </w:pPr>
            <w:r w:rsidRPr="0004176C">
              <w:rPr>
                <w:color w:val="000000"/>
                <w:sz w:val="18"/>
                <w:szCs w:val="18"/>
              </w:rPr>
              <w:t>72</w:t>
            </w:r>
          </w:p>
        </w:tc>
        <w:tc>
          <w:tcPr>
            <w:tcW w:w="674" w:type="pct"/>
            <w:shd w:val="clear" w:color="auto" w:fill="auto"/>
            <w:vAlign w:val="center"/>
            <w:hideMark/>
          </w:tcPr>
          <w:p w14:paraId="6BF02BBB"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7CAA55C"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436A126"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4047F2D5" w14:textId="77777777" w:rsidTr="00665586">
        <w:trPr>
          <w:trHeight w:val="240"/>
        </w:trPr>
        <w:tc>
          <w:tcPr>
            <w:tcW w:w="1326" w:type="pct"/>
            <w:shd w:val="clear" w:color="auto" w:fill="auto"/>
            <w:vAlign w:val="center"/>
            <w:hideMark/>
          </w:tcPr>
          <w:p w14:paraId="2473718C" w14:textId="77777777" w:rsidR="00665586" w:rsidRPr="0004176C" w:rsidRDefault="00665586" w:rsidP="00665586">
            <w:pPr>
              <w:jc w:val="center"/>
              <w:rPr>
                <w:color w:val="000000"/>
                <w:sz w:val="18"/>
                <w:szCs w:val="18"/>
              </w:rPr>
            </w:pPr>
            <w:r w:rsidRPr="0004176C">
              <w:rPr>
                <w:color w:val="000000"/>
                <w:sz w:val="18"/>
                <w:szCs w:val="18"/>
              </w:rPr>
              <w:t>Salem Point LP/Harbor, Ward, Peabody Streets</w:t>
            </w:r>
          </w:p>
        </w:tc>
        <w:tc>
          <w:tcPr>
            <w:tcW w:w="596" w:type="pct"/>
            <w:shd w:val="clear" w:color="auto" w:fill="auto"/>
            <w:vAlign w:val="center"/>
            <w:hideMark/>
          </w:tcPr>
          <w:p w14:paraId="7BD7C5AC" w14:textId="77777777" w:rsidR="00665586" w:rsidRPr="0004176C" w:rsidRDefault="00665586" w:rsidP="00665586">
            <w:pPr>
              <w:jc w:val="center"/>
              <w:rPr>
                <w:color w:val="000000"/>
                <w:sz w:val="18"/>
                <w:szCs w:val="18"/>
              </w:rPr>
            </w:pPr>
            <w:r w:rsidRPr="0004176C">
              <w:rPr>
                <w:color w:val="000000"/>
                <w:sz w:val="18"/>
                <w:szCs w:val="18"/>
              </w:rPr>
              <w:t>7</w:t>
            </w:r>
          </w:p>
        </w:tc>
        <w:tc>
          <w:tcPr>
            <w:tcW w:w="674" w:type="pct"/>
            <w:shd w:val="clear" w:color="auto" w:fill="auto"/>
            <w:vAlign w:val="center"/>
            <w:hideMark/>
          </w:tcPr>
          <w:p w14:paraId="1FC75212"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CA4364F"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2C45044" w14:textId="77777777" w:rsidR="00665586" w:rsidRPr="0004176C" w:rsidRDefault="00665586" w:rsidP="00665586">
            <w:pPr>
              <w:jc w:val="center"/>
              <w:rPr>
                <w:color w:val="000000"/>
                <w:sz w:val="18"/>
                <w:szCs w:val="18"/>
              </w:rPr>
            </w:pPr>
            <w:r w:rsidRPr="0004176C">
              <w:rPr>
                <w:color w:val="000000"/>
                <w:sz w:val="18"/>
                <w:szCs w:val="18"/>
              </w:rPr>
              <w:t>Family units; 43, 57-59, 64 Harbor; 43 Ward; and 38 Peabody Street</w:t>
            </w:r>
          </w:p>
        </w:tc>
      </w:tr>
      <w:tr w:rsidR="00665586" w:rsidRPr="0004176C" w14:paraId="389212A0" w14:textId="77777777" w:rsidTr="00665586">
        <w:trPr>
          <w:trHeight w:val="480"/>
        </w:trPr>
        <w:tc>
          <w:tcPr>
            <w:tcW w:w="1326" w:type="pct"/>
            <w:shd w:val="clear" w:color="auto" w:fill="auto"/>
            <w:vAlign w:val="center"/>
            <w:hideMark/>
          </w:tcPr>
          <w:p w14:paraId="233B9CB7" w14:textId="77777777" w:rsidR="00665586" w:rsidRPr="0004176C" w:rsidRDefault="00665586" w:rsidP="00665586">
            <w:pPr>
              <w:jc w:val="center"/>
              <w:rPr>
                <w:color w:val="000000"/>
                <w:sz w:val="18"/>
                <w:szCs w:val="18"/>
              </w:rPr>
            </w:pPr>
            <w:r w:rsidRPr="0004176C">
              <w:rPr>
                <w:color w:val="000000"/>
                <w:sz w:val="18"/>
                <w:szCs w:val="18"/>
              </w:rPr>
              <w:t>Sally’s Way</w:t>
            </w:r>
          </w:p>
        </w:tc>
        <w:tc>
          <w:tcPr>
            <w:tcW w:w="596" w:type="pct"/>
            <w:shd w:val="clear" w:color="auto" w:fill="auto"/>
            <w:vAlign w:val="center"/>
            <w:hideMark/>
          </w:tcPr>
          <w:p w14:paraId="40F7DFF6"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0057C526"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233020B"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9E24587" w14:textId="77777777" w:rsidR="00665586" w:rsidRPr="0004176C" w:rsidRDefault="00665586" w:rsidP="00665586">
            <w:pPr>
              <w:jc w:val="center"/>
              <w:rPr>
                <w:color w:val="000000"/>
                <w:sz w:val="18"/>
                <w:szCs w:val="18"/>
              </w:rPr>
            </w:pPr>
            <w:r w:rsidRPr="0004176C">
              <w:rPr>
                <w:color w:val="000000"/>
                <w:sz w:val="18"/>
                <w:szCs w:val="18"/>
              </w:rPr>
              <w:t>Family - New construction of six buildings on town-owned land (99-year lease)</w:t>
            </w:r>
          </w:p>
        </w:tc>
      </w:tr>
      <w:tr w:rsidR="00665586" w:rsidRPr="0004176C" w14:paraId="2775739F" w14:textId="77777777" w:rsidTr="00665586">
        <w:trPr>
          <w:trHeight w:val="240"/>
        </w:trPr>
        <w:tc>
          <w:tcPr>
            <w:tcW w:w="1326" w:type="pct"/>
            <w:shd w:val="clear" w:color="auto" w:fill="auto"/>
            <w:vAlign w:val="center"/>
            <w:hideMark/>
          </w:tcPr>
          <w:p w14:paraId="56E16202" w14:textId="77777777" w:rsidR="00665586" w:rsidRPr="0004176C" w:rsidRDefault="00665586" w:rsidP="00665586">
            <w:pPr>
              <w:jc w:val="center"/>
              <w:rPr>
                <w:color w:val="000000"/>
                <w:sz w:val="18"/>
                <w:szCs w:val="18"/>
              </w:rPr>
            </w:pPr>
            <w:r w:rsidRPr="0004176C">
              <w:rPr>
                <w:color w:val="000000"/>
                <w:sz w:val="18"/>
                <w:szCs w:val="18"/>
              </w:rPr>
              <w:t>Sanford Apartments</w:t>
            </w:r>
          </w:p>
        </w:tc>
        <w:tc>
          <w:tcPr>
            <w:tcW w:w="596" w:type="pct"/>
            <w:shd w:val="clear" w:color="auto" w:fill="auto"/>
            <w:vAlign w:val="center"/>
            <w:hideMark/>
          </w:tcPr>
          <w:p w14:paraId="1F79D76C" w14:textId="77777777" w:rsidR="00665586" w:rsidRPr="0004176C" w:rsidRDefault="00665586" w:rsidP="00665586">
            <w:pPr>
              <w:jc w:val="center"/>
              <w:rPr>
                <w:color w:val="000000"/>
                <w:sz w:val="18"/>
                <w:szCs w:val="18"/>
              </w:rPr>
            </w:pPr>
            <w:r w:rsidRPr="0004176C">
              <w:rPr>
                <w:color w:val="000000"/>
                <w:sz w:val="18"/>
                <w:szCs w:val="18"/>
              </w:rPr>
              <w:t>5</w:t>
            </w:r>
          </w:p>
        </w:tc>
        <w:tc>
          <w:tcPr>
            <w:tcW w:w="674" w:type="pct"/>
            <w:shd w:val="clear" w:color="auto" w:fill="auto"/>
            <w:vAlign w:val="center"/>
            <w:hideMark/>
          </w:tcPr>
          <w:p w14:paraId="204A04E8"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2AAF45F"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36DD448"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08A1F443" w14:textId="77777777" w:rsidTr="00665586">
        <w:trPr>
          <w:trHeight w:val="240"/>
        </w:trPr>
        <w:tc>
          <w:tcPr>
            <w:tcW w:w="1326" w:type="pct"/>
            <w:shd w:val="clear" w:color="auto" w:fill="auto"/>
            <w:vAlign w:val="center"/>
            <w:hideMark/>
          </w:tcPr>
          <w:p w14:paraId="5FE16DB5" w14:textId="77777777" w:rsidR="00665586" w:rsidRPr="0004176C" w:rsidRDefault="00665586" w:rsidP="00665586">
            <w:pPr>
              <w:jc w:val="center"/>
              <w:rPr>
                <w:color w:val="000000"/>
                <w:sz w:val="18"/>
                <w:szCs w:val="18"/>
              </w:rPr>
            </w:pPr>
            <w:r w:rsidRPr="0004176C">
              <w:rPr>
                <w:color w:val="000000"/>
                <w:sz w:val="18"/>
                <w:szCs w:val="18"/>
              </w:rPr>
              <w:t>Saunders School Apartments</w:t>
            </w:r>
          </w:p>
        </w:tc>
        <w:tc>
          <w:tcPr>
            <w:tcW w:w="596" w:type="pct"/>
            <w:shd w:val="clear" w:color="auto" w:fill="auto"/>
            <w:vAlign w:val="center"/>
            <w:hideMark/>
          </w:tcPr>
          <w:p w14:paraId="663A9583" w14:textId="77777777" w:rsidR="00665586" w:rsidRPr="0004176C" w:rsidRDefault="00665586" w:rsidP="00665586">
            <w:pPr>
              <w:jc w:val="center"/>
              <w:rPr>
                <w:color w:val="000000"/>
                <w:sz w:val="18"/>
                <w:szCs w:val="18"/>
              </w:rPr>
            </w:pPr>
            <w:r w:rsidRPr="0004176C">
              <w:rPr>
                <w:color w:val="000000"/>
                <w:sz w:val="18"/>
                <w:szCs w:val="18"/>
              </w:rPr>
              <w:t>16</w:t>
            </w:r>
          </w:p>
        </w:tc>
        <w:tc>
          <w:tcPr>
            <w:tcW w:w="674" w:type="pct"/>
            <w:shd w:val="clear" w:color="auto" w:fill="auto"/>
            <w:vAlign w:val="center"/>
            <w:hideMark/>
          </w:tcPr>
          <w:p w14:paraId="7086BDD8"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C2DFFF3"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BC1107B" w14:textId="77777777" w:rsidR="00665586" w:rsidRPr="0004176C" w:rsidRDefault="00665586" w:rsidP="00665586">
            <w:pPr>
              <w:jc w:val="center"/>
              <w:rPr>
                <w:color w:val="000000"/>
                <w:sz w:val="18"/>
                <w:szCs w:val="18"/>
              </w:rPr>
            </w:pPr>
            <w:r w:rsidRPr="0004176C">
              <w:rPr>
                <w:color w:val="000000"/>
                <w:sz w:val="18"/>
                <w:szCs w:val="18"/>
              </w:rPr>
              <w:t>Supportive services</w:t>
            </w:r>
          </w:p>
        </w:tc>
      </w:tr>
      <w:tr w:rsidR="00665586" w:rsidRPr="0004176C" w14:paraId="09F70294" w14:textId="77777777" w:rsidTr="00665586">
        <w:trPr>
          <w:trHeight w:val="480"/>
        </w:trPr>
        <w:tc>
          <w:tcPr>
            <w:tcW w:w="1326" w:type="pct"/>
            <w:shd w:val="clear" w:color="auto" w:fill="auto"/>
            <w:vAlign w:val="center"/>
          </w:tcPr>
          <w:p w14:paraId="48245CF2" w14:textId="3EF49E54" w:rsidR="00665586" w:rsidRPr="0004176C" w:rsidRDefault="00665586" w:rsidP="00665586">
            <w:pPr>
              <w:jc w:val="center"/>
              <w:rPr>
                <w:sz w:val="18"/>
                <w:szCs w:val="18"/>
              </w:rPr>
            </w:pPr>
            <w:r w:rsidRPr="0004176C">
              <w:rPr>
                <w:sz w:val="18"/>
                <w:szCs w:val="18"/>
              </w:rPr>
              <w:t>Senior Residences at Machon, Swampscott</w:t>
            </w:r>
            <w:r w:rsidR="002B7D1C" w:rsidRPr="0004176C">
              <w:rPr>
                <w:sz w:val="18"/>
                <w:szCs w:val="18"/>
              </w:rPr>
              <w:t xml:space="preserve"> **</w:t>
            </w:r>
          </w:p>
        </w:tc>
        <w:tc>
          <w:tcPr>
            <w:tcW w:w="596" w:type="pct"/>
            <w:shd w:val="clear" w:color="auto" w:fill="auto"/>
            <w:vAlign w:val="center"/>
          </w:tcPr>
          <w:p w14:paraId="360E8901"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66AAC414"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40310F81"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352C9258" w14:textId="77777777" w:rsidR="00665586" w:rsidRPr="0004176C" w:rsidRDefault="00665586" w:rsidP="00665586">
            <w:pPr>
              <w:jc w:val="center"/>
              <w:rPr>
                <w:sz w:val="18"/>
                <w:szCs w:val="18"/>
              </w:rPr>
            </w:pPr>
            <w:r w:rsidRPr="0004176C">
              <w:rPr>
                <w:sz w:val="18"/>
                <w:szCs w:val="18"/>
              </w:rPr>
              <w:t>New Construction – 55+ Senior Housing</w:t>
            </w:r>
          </w:p>
        </w:tc>
      </w:tr>
      <w:tr w:rsidR="00665586" w:rsidRPr="0004176C" w14:paraId="0EF283F1" w14:textId="77777777" w:rsidTr="00665586">
        <w:trPr>
          <w:trHeight w:val="240"/>
        </w:trPr>
        <w:tc>
          <w:tcPr>
            <w:tcW w:w="1326" w:type="pct"/>
            <w:shd w:val="clear" w:color="auto" w:fill="auto"/>
            <w:vAlign w:val="center"/>
            <w:hideMark/>
          </w:tcPr>
          <w:p w14:paraId="642A9B9D" w14:textId="77777777" w:rsidR="00665586" w:rsidRPr="0004176C" w:rsidRDefault="00665586" w:rsidP="00665586">
            <w:pPr>
              <w:jc w:val="center"/>
              <w:rPr>
                <w:color w:val="000000"/>
                <w:sz w:val="18"/>
                <w:szCs w:val="18"/>
              </w:rPr>
            </w:pPr>
            <w:r w:rsidRPr="0004176C">
              <w:rPr>
                <w:color w:val="000000"/>
                <w:sz w:val="18"/>
                <w:szCs w:val="18"/>
              </w:rPr>
              <w:t>Shoe Shop Place</w:t>
            </w:r>
          </w:p>
        </w:tc>
        <w:tc>
          <w:tcPr>
            <w:tcW w:w="596" w:type="pct"/>
            <w:shd w:val="clear" w:color="auto" w:fill="auto"/>
            <w:vAlign w:val="center"/>
            <w:hideMark/>
          </w:tcPr>
          <w:p w14:paraId="51A0CA8C" w14:textId="77777777" w:rsidR="00665586" w:rsidRPr="0004176C" w:rsidRDefault="00665586" w:rsidP="00665586">
            <w:pPr>
              <w:jc w:val="center"/>
              <w:rPr>
                <w:color w:val="000000"/>
                <w:sz w:val="18"/>
                <w:szCs w:val="18"/>
              </w:rPr>
            </w:pPr>
            <w:r w:rsidRPr="0004176C">
              <w:rPr>
                <w:color w:val="000000"/>
                <w:sz w:val="18"/>
                <w:szCs w:val="18"/>
              </w:rPr>
              <w:t>5</w:t>
            </w:r>
          </w:p>
        </w:tc>
        <w:tc>
          <w:tcPr>
            <w:tcW w:w="674" w:type="pct"/>
            <w:shd w:val="clear" w:color="auto" w:fill="auto"/>
            <w:vAlign w:val="center"/>
            <w:hideMark/>
          </w:tcPr>
          <w:p w14:paraId="20874802"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0E244D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377332A" w14:textId="77777777" w:rsidR="00665586" w:rsidRPr="0004176C" w:rsidRDefault="00665586" w:rsidP="00665586">
            <w:pPr>
              <w:jc w:val="center"/>
              <w:rPr>
                <w:color w:val="000000"/>
                <w:sz w:val="18"/>
                <w:szCs w:val="18"/>
              </w:rPr>
            </w:pPr>
            <w:r w:rsidRPr="0004176C">
              <w:rPr>
                <w:color w:val="000000"/>
                <w:sz w:val="18"/>
                <w:szCs w:val="18"/>
              </w:rPr>
              <w:t>Family - Adaptive reuse of an old mill creating rental housing</w:t>
            </w:r>
          </w:p>
        </w:tc>
      </w:tr>
      <w:tr w:rsidR="00665586" w:rsidRPr="0004176C" w14:paraId="4FAE15A9" w14:textId="77777777" w:rsidTr="00665586">
        <w:trPr>
          <w:trHeight w:val="480"/>
        </w:trPr>
        <w:tc>
          <w:tcPr>
            <w:tcW w:w="1326" w:type="pct"/>
            <w:shd w:val="clear" w:color="auto" w:fill="auto"/>
            <w:vAlign w:val="center"/>
          </w:tcPr>
          <w:p w14:paraId="60872A38" w14:textId="77777777" w:rsidR="002B7D1C" w:rsidRPr="0004176C" w:rsidRDefault="00665586" w:rsidP="00665586">
            <w:pPr>
              <w:jc w:val="center"/>
              <w:rPr>
                <w:sz w:val="18"/>
                <w:szCs w:val="18"/>
              </w:rPr>
            </w:pPr>
            <w:r w:rsidRPr="0004176C">
              <w:rPr>
                <w:sz w:val="18"/>
                <w:szCs w:val="18"/>
              </w:rPr>
              <w:t>Sirk and</w:t>
            </w:r>
            <w:r w:rsidR="002B7D1C" w:rsidRPr="0004176C">
              <w:rPr>
                <w:sz w:val="18"/>
                <w:szCs w:val="18"/>
              </w:rPr>
              <w:t xml:space="preserve"> Chestnut Square Redevelopment,</w:t>
            </w:r>
          </w:p>
          <w:p w14:paraId="08BC5D93" w14:textId="42FB9C35" w:rsidR="00665586" w:rsidRPr="0004176C" w:rsidRDefault="00665586" w:rsidP="00665586">
            <w:pPr>
              <w:jc w:val="center"/>
              <w:rPr>
                <w:sz w:val="18"/>
                <w:szCs w:val="18"/>
              </w:rPr>
            </w:pPr>
            <w:r w:rsidRPr="0004176C">
              <w:rPr>
                <w:sz w:val="18"/>
                <w:szCs w:val="18"/>
              </w:rPr>
              <w:t>Lowell</w:t>
            </w:r>
            <w:r w:rsidR="002B7D1C" w:rsidRPr="0004176C">
              <w:rPr>
                <w:sz w:val="18"/>
                <w:szCs w:val="18"/>
              </w:rPr>
              <w:t>**</w:t>
            </w:r>
          </w:p>
        </w:tc>
        <w:tc>
          <w:tcPr>
            <w:tcW w:w="596" w:type="pct"/>
            <w:shd w:val="clear" w:color="auto" w:fill="auto"/>
            <w:vAlign w:val="center"/>
          </w:tcPr>
          <w:p w14:paraId="3D5E7A45"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6C8578FE"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577FA913"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57862108" w14:textId="77777777" w:rsidR="00665586" w:rsidRPr="0004176C" w:rsidRDefault="00665586" w:rsidP="00665586">
            <w:pPr>
              <w:jc w:val="center"/>
              <w:rPr>
                <w:sz w:val="18"/>
                <w:szCs w:val="18"/>
              </w:rPr>
            </w:pPr>
            <w:r w:rsidRPr="0004176C">
              <w:rPr>
                <w:sz w:val="18"/>
                <w:szCs w:val="18"/>
              </w:rPr>
              <w:t>Existing – Rehab, Family Housing</w:t>
            </w:r>
          </w:p>
        </w:tc>
      </w:tr>
      <w:tr w:rsidR="00665586" w:rsidRPr="0004176C" w14:paraId="11DB8476" w14:textId="77777777" w:rsidTr="00665586">
        <w:trPr>
          <w:trHeight w:val="240"/>
        </w:trPr>
        <w:tc>
          <w:tcPr>
            <w:tcW w:w="1326" w:type="pct"/>
            <w:shd w:val="clear" w:color="auto" w:fill="auto"/>
            <w:vAlign w:val="center"/>
            <w:hideMark/>
          </w:tcPr>
          <w:p w14:paraId="6481C17E" w14:textId="77777777" w:rsidR="00665586" w:rsidRPr="0004176C" w:rsidRDefault="00665586" w:rsidP="00665586">
            <w:pPr>
              <w:jc w:val="center"/>
              <w:rPr>
                <w:color w:val="000000"/>
                <w:sz w:val="18"/>
                <w:szCs w:val="18"/>
              </w:rPr>
            </w:pPr>
            <w:r w:rsidRPr="0004176C">
              <w:rPr>
                <w:color w:val="000000"/>
                <w:sz w:val="18"/>
                <w:szCs w:val="18"/>
              </w:rPr>
              <w:t>Sirk Building</w:t>
            </w:r>
          </w:p>
        </w:tc>
        <w:tc>
          <w:tcPr>
            <w:tcW w:w="596" w:type="pct"/>
            <w:shd w:val="clear" w:color="auto" w:fill="auto"/>
            <w:vAlign w:val="center"/>
            <w:hideMark/>
          </w:tcPr>
          <w:p w14:paraId="60E8FB74"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65037492"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09BE04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6F8CCF5"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2E3DD617" w14:textId="77777777" w:rsidTr="00665586">
        <w:trPr>
          <w:trHeight w:val="240"/>
        </w:trPr>
        <w:tc>
          <w:tcPr>
            <w:tcW w:w="1326" w:type="pct"/>
            <w:shd w:val="clear" w:color="auto" w:fill="auto"/>
            <w:vAlign w:val="center"/>
            <w:hideMark/>
          </w:tcPr>
          <w:p w14:paraId="2D7551D9" w14:textId="77777777" w:rsidR="00665586" w:rsidRPr="0004176C" w:rsidRDefault="00665586" w:rsidP="00665586">
            <w:pPr>
              <w:jc w:val="center"/>
              <w:rPr>
                <w:color w:val="000000"/>
                <w:sz w:val="18"/>
                <w:szCs w:val="18"/>
              </w:rPr>
            </w:pPr>
            <w:r w:rsidRPr="0004176C">
              <w:rPr>
                <w:color w:val="000000"/>
                <w:sz w:val="18"/>
                <w:szCs w:val="18"/>
              </w:rPr>
              <w:t>Sitkowski School</w:t>
            </w:r>
          </w:p>
        </w:tc>
        <w:tc>
          <w:tcPr>
            <w:tcW w:w="596" w:type="pct"/>
            <w:shd w:val="clear" w:color="auto" w:fill="auto"/>
            <w:vAlign w:val="center"/>
            <w:hideMark/>
          </w:tcPr>
          <w:p w14:paraId="08D1C767"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2DB7E86"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991DF27"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C2ABA68" w14:textId="77777777" w:rsidR="00665586" w:rsidRPr="0004176C" w:rsidRDefault="00665586" w:rsidP="00665586">
            <w:pPr>
              <w:jc w:val="center"/>
              <w:rPr>
                <w:color w:val="000000"/>
                <w:sz w:val="18"/>
                <w:szCs w:val="18"/>
              </w:rPr>
            </w:pPr>
            <w:r w:rsidRPr="0004176C">
              <w:rPr>
                <w:color w:val="000000"/>
                <w:sz w:val="18"/>
                <w:szCs w:val="18"/>
              </w:rPr>
              <w:t>Elderly - Substantial rehab of former school</w:t>
            </w:r>
          </w:p>
        </w:tc>
      </w:tr>
      <w:tr w:rsidR="00665586" w:rsidRPr="0004176C" w14:paraId="34FE90CC" w14:textId="77777777" w:rsidTr="00665586">
        <w:trPr>
          <w:trHeight w:val="240"/>
        </w:trPr>
        <w:tc>
          <w:tcPr>
            <w:tcW w:w="1326" w:type="pct"/>
            <w:shd w:val="clear" w:color="auto" w:fill="auto"/>
            <w:vAlign w:val="center"/>
            <w:hideMark/>
          </w:tcPr>
          <w:p w14:paraId="154AED93" w14:textId="77777777" w:rsidR="00665586" w:rsidRPr="0004176C" w:rsidRDefault="00665586" w:rsidP="00665586">
            <w:pPr>
              <w:jc w:val="center"/>
              <w:rPr>
                <w:color w:val="000000"/>
                <w:sz w:val="18"/>
                <w:szCs w:val="18"/>
              </w:rPr>
            </w:pPr>
            <w:r w:rsidRPr="0004176C">
              <w:rPr>
                <w:color w:val="000000"/>
                <w:sz w:val="18"/>
                <w:szCs w:val="18"/>
              </w:rPr>
              <w:t>Southgate Place</w:t>
            </w:r>
          </w:p>
        </w:tc>
        <w:tc>
          <w:tcPr>
            <w:tcW w:w="596" w:type="pct"/>
            <w:shd w:val="clear" w:color="auto" w:fill="auto"/>
            <w:vAlign w:val="center"/>
            <w:hideMark/>
          </w:tcPr>
          <w:p w14:paraId="7688E33C" w14:textId="77777777" w:rsidR="00665586" w:rsidRPr="0004176C" w:rsidRDefault="00665586" w:rsidP="00665586">
            <w:pPr>
              <w:jc w:val="center"/>
              <w:rPr>
                <w:color w:val="000000"/>
                <w:sz w:val="18"/>
                <w:szCs w:val="18"/>
              </w:rPr>
            </w:pPr>
            <w:r w:rsidRPr="0004176C">
              <w:rPr>
                <w:color w:val="000000"/>
                <w:sz w:val="18"/>
                <w:szCs w:val="18"/>
              </w:rPr>
              <w:t>6</w:t>
            </w:r>
          </w:p>
        </w:tc>
        <w:tc>
          <w:tcPr>
            <w:tcW w:w="674" w:type="pct"/>
            <w:shd w:val="clear" w:color="auto" w:fill="auto"/>
            <w:vAlign w:val="center"/>
            <w:hideMark/>
          </w:tcPr>
          <w:p w14:paraId="7C8275E5"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3F1D132"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EF34081"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48039E1A" w14:textId="77777777" w:rsidTr="00665586">
        <w:trPr>
          <w:trHeight w:val="240"/>
        </w:trPr>
        <w:tc>
          <w:tcPr>
            <w:tcW w:w="1326" w:type="pct"/>
            <w:shd w:val="clear" w:color="auto" w:fill="auto"/>
            <w:vAlign w:val="center"/>
            <w:hideMark/>
          </w:tcPr>
          <w:p w14:paraId="2505A639" w14:textId="77777777" w:rsidR="00665586" w:rsidRPr="0004176C" w:rsidRDefault="00665586" w:rsidP="00665586">
            <w:pPr>
              <w:jc w:val="center"/>
              <w:rPr>
                <w:color w:val="000000"/>
                <w:sz w:val="18"/>
                <w:szCs w:val="18"/>
              </w:rPr>
            </w:pPr>
            <w:r w:rsidRPr="0004176C">
              <w:rPr>
                <w:color w:val="000000"/>
                <w:sz w:val="18"/>
                <w:szCs w:val="18"/>
              </w:rPr>
              <w:t>Spencer Green</w:t>
            </w:r>
          </w:p>
        </w:tc>
        <w:tc>
          <w:tcPr>
            <w:tcW w:w="596" w:type="pct"/>
            <w:shd w:val="clear" w:color="auto" w:fill="auto"/>
            <w:vAlign w:val="center"/>
            <w:hideMark/>
          </w:tcPr>
          <w:p w14:paraId="64C69074"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0A09160"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AF5E48C"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64D8C13"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387A3877" w14:textId="77777777" w:rsidTr="00665586">
        <w:trPr>
          <w:trHeight w:val="240"/>
        </w:trPr>
        <w:tc>
          <w:tcPr>
            <w:tcW w:w="1326" w:type="pct"/>
            <w:shd w:val="clear" w:color="auto" w:fill="auto"/>
            <w:vAlign w:val="center"/>
            <w:hideMark/>
          </w:tcPr>
          <w:p w14:paraId="4DD5262F" w14:textId="77777777" w:rsidR="00665586" w:rsidRPr="0004176C" w:rsidRDefault="00665586" w:rsidP="00665586">
            <w:pPr>
              <w:jc w:val="center"/>
              <w:rPr>
                <w:color w:val="000000"/>
                <w:sz w:val="18"/>
                <w:szCs w:val="18"/>
              </w:rPr>
            </w:pPr>
            <w:r w:rsidRPr="0004176C">
              <w:rPr>
                <w:color w:val="000000"/>
                <w:sz w:val="18"/>
                <w:szCs w:val="18"/>
              </w:rPr>
              <w:t>Spencer Row</w:t>
            </w:r>
          </w:p>
        </w:tc>
        <w:tc>
          <w:tcPr>
            <w:tcW w:w="596" w:type="pct"/>
            <w:shd w:val="clear" w:color="auto" w:fill="auto"/>
            <w:vAlign w:val="center"/>
            <w:hideMark/>
          </w:tcPr>
          <w:p w14:paraId="0526B1A5"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879AEE1"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F36C076"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28236B9"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1BDDE1B6" w14:textId="77777777" w:rsidTr="00665586">
        <w:trPr>
          <w:trHeight w:val="480"/>
        </w:trPr>
        <w:tc>
          <w:tcPr>
            <w:tcW w:w="1326" w:type="pct"/>
            <w:shd w:val="clear" w:color="auto" w:fill="auto"/>
            <w:vAlign w:val="center"/>
            <w:hideMark/>
          </w:tcPr>
          <w:p w14:paraId="43D4FE3A" w14:textId="77777777" w:rsidR="00665586" w:rsidRPr="0004176C" w:rsidRDefault="00665586" w:rsidP="00665586">
            <w:pPr>
              <w:jc w:val="center"/>
              <w:rPr>
                <w:color w:val="000000"/>
                <w:sz w:val="18"/>
                <w:szCs w:val="18"/>
              </w:rPr>
            </w:pPr>
            <w:r w:rsidRPr="0004176C">
              <w:rPr>
                <w:color w:val="000000"/>
                <w:sz w:val="18"/>
                <w:szCs w:val="18"/>
              </w:rPr>
              <w:t>Spring Gate</w:t>
            </w:r>
          </w:p>
        </w:tc>
        <w:tc>
          <w:tcPr>
            <w:tcW w:w="596" w:type="pct"/>
            <w:shd w:val="clear" w:color="auto" w:fill="auto"/>
            <w:vAlign w:val="center"/>
            <w:hideMark/>
          </w:tcPr>
          <w:p w14:paraId="5D29DE78" w14:textId="77777777" w:rsidR="00665586" w:rsidRPr="0004176C" w:rsidRDefault="00665586" w:rsidP="00665586">
            <w:pPr>
              <w:jc w:val="center"/>
              <w:rPr>
                <w:color w:val="000000"/>
                <w:sz w:val="18"/>
                <w:szCs w:val="18"/>
              </w:rPr>
            </w:pPr>
            <w:r w:rsidRPr="0004176C">
              <w:rPr>
                <w:color w:val="000000"/>
                <w:sz w:val="18"/>
                <w:szCs w:val="18"/>
              </w:rPr>
              <w:t>181</w:t>
            </w:r>
          </w:p>
        </w:tc>
        <w:tc>
          <w:tcPr>
            <w:tcW w:w="674" w:type="pct"/>
            <w:shd w:val="clear" w:color="auto" w:fill="auto"/>
            <w:vAlign w:val="center"/>
            <w:hideMark/>
          </w:tcPr>
          <w:p w14:paraId="2A4894E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D857707" w14:textId="77777777" w:rsidR="00665586" w:rsidRPr="0004176C" w:rsidRDefault="00665586" w:rsidP="00665586">
            <w:pPr>
              <w:jc w:val="center"/>
              <w:rPr>
                <w:color w:val="000000"/>
                <w:sz w:val="18"/>
                <w:szCs w:val="18"/>
              </w:rPr>
            </w:pPr>
            <w:r w:rsidRPr="0004176C">
              <w:rPr>
                <w:color w:val="000000"/>
                <w:sz w:val="18"/>
                <w:szCs w:val="18"/>
              </w:rPr>
              <w:t>Yes</w:t>
            </w:r>
          </w:p>
        </w:tc>
        <w:tc>
          <w:tcPr>
            <w:tcW w:w="1777" w:type="pct"/>
            <w:shd w:val="clear" w:color="auto" w:fill="auto"/>
            <w:vAlign w:val="center"/>
            <w:hideMark/>
          </w:tcPr>
          <w:p w14:paraId="44340CDA" w14:textId="77777777" w:rsidR="00665586" w:rsidRPr="0004176C" w:rsidRDefault="00665586" w:rsidP="00665586">
            <w:pPr>
              <w:jc w:val="center"/>
              <w:rPr>
                <w:color w:val="000000"/>
                <w:sz w:val="18"/>
                <w:szCs w:val="18"/>
              </w:rPr>
            </w:pPr>
            <w:r w:rsidRPr="0004176C">
              <w:rPr>
                <w:color w:val="000000"/>
                <w:sz w:val="18"/>
                <w:szCs w:val="18"/>
              </w:rPr>
              <w:t>RAD (Rent Supp) - Existing Family Housing - two-story, townhouse-style buildings</w:t>
            </w:r>
          </w:p>
        </w:tc>
      </w:tr>
      <w:tr w:rsidR="00665586" w:rsidRPr="0004176C" w14:paraId="03037D69" w14:textId="77777777" w:rsidTr="00665586">
        <w:trPr>
          <w:trHeight w:val="480"/>
        </w:trPr>
        <w:tc>
          <w:tcPr>
            <w:tcW w:w="1326" w:type="pct"/>
            <w:shd w:val="clear" w:color="auto" w:fill="auto"/>
            <w:vAlign w:val="center"/>
            <w:hideMark/>
          </w:tcPr>
          <w:p w14:paraId="2A28C6C7" w14:textId="77777777" w:rsidR="00665586" w:rsidRPr="0004176C" w:rsidRDefault="00665586" w:rsidP="00665586">
            <w:pPr>
              <w:jc w:val="center"/>
              <w:rPr>
                <w:color w:val="000000"/>
                <w:sz w:val="18"/>
                <w:szCs w:val="18"/>
              </w:rPr>
            </w:pPr>
            <w:r w:rsidRPr="0004176C">
              <w:rPr>
                <w:color w:val="000000"/>
                <w:sz w:val="18"/>
                <w:szCs w:val="18"/>
              </w:rPr>
              <w:t>Spring Hill</w:t>
            </w:r>
          </w:p>
        </w:tc>
        <w:tc>
          <w:tcPr>
            <w:tcW w:w="596" w:type="pct"/>
            <w:shd w:val="clear" w:color="auto" w:fill="auto"/>
            <w:vAlign w:val="center"/>
            <w:hideMark/>
          </w:tcPr>
          <w:p w14:paraId="795E9AF4" w14:textId="77777777" w:rsidR="00665586" w:rsidRPr="0004176C" w:rsidRDefault="00665586" w:rsidP="00665586">
            <w:pPr>
              <w:jc w:val="center"/>
              <w:rPr>
                <w:color w:val="000000"/>
                <w:sz w:val="18"/>
                <w:szCs w:val="18"/>
              </w:rPr>
            </w:pPr>
            <w:r w:rsidRPr="0004176C">
              <w:rPr>
                <w:color w:val="000000"/>
                <w:sz w:val="18"/>
                <w:szCs w:val="18"/>
              </w:rPr>
              <w:t>37</w:t>
            </w:r>
          </w:p>
        </w:tc>
        <w:tc>
          <w:tcPr>
            <w:tcW w:w="674" w:type="pct"/>
            <w:shd w:val="clear" w:color="auto" w:fill="auto"/>
            <w:vAlign w:val="center"/>
            <w:hideMark/>
          </w:tcPr>
          <w:p w14:paraId="3D6B7A9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F4B3871" w14:textId="77777777" w:rsidR="00665586" w:rsidRPr="0004176C" w:rsidRDefault="00665586" w:rsidP="00665586">
            <w:pPr>
              <w:jc w:val="center"/>
              <w:rPr>
                <w:color w:val="000000"/>
                <w:sz w:val="18"/>
                <w:szCs w:val="18"/>
              </w:rPr>
            </w:pPr>
            <w:r w:rsidRPr="0004176C">
              <w:rPr>
                <w:color w:val="000000"/>
                <w:sz w:val="18"/>
                <w:szCs w:val="18"/>
              </w:rPr>
              <w:t>Yes</w:t>
            </w:r>
          </w:p>
        </w:tc>
        <w:tc>
          <w:tcPr>
            <w:tcW w:w="1777" w:type="pct"/>
            <w:shd w:val="clear" w:color="auto" w:fill="auto"/>
            <w:vAlign w:val="center"/>
            <w:hideMark/>
          </w:tcPr>
          <w:p w14:paraId="63C1205D" w14:textId="77777777" w:rsidR="00665586" w:rsidRPr="0004176C" w:rsidRDefault="00665586" w:rsidP="00665586">
            <w:pPr>
              <w:jc w:val="center"/>
              <w:rPr>
                <w:color w:val="000000"/>
                <w:sz w:val="18"/>
                <w:szCs w:val="18"/>
              </w:rPr>
            </w:pPr>
            <w:r w:rsidRPr="0004176C">
              <w:rPr>
                <w:color w:val="000000"/>
                <w:sz w:val="18"/>
                <w:szCs w:val="18"/>
              </w:rPr>
              <w:t>RAD (Rent Supp) - Existing Family Housing - two-story, townhouse-style buildings</w:t>
            </w:r>
          </w:p>
        </w:tc>
      </w:tr>
      <w:tr w:rsidR="00665586" w:rsidRPr="0004176C" w14:paraId="7F04AFE5" w14:textId="77777777" w:rsidTr="00665586">
        <w:trPr>
          <w:trHeight w:val="480"/>
        </w:trPr>
        <w:tc>
          <w:tcPr>
            <w:tcW w:w="1326" w:type="pct"/>
            <w:shd w:val="clear" w:color="auto" w:fill="auto"/>
            <w:vAlign w:val="center"/>
            <w:hideMark/>
          </w:tcPr>
          <w:p w14:paraId="37EECEA8" w14:textId="77777777" w:rsidR="00665586" w:rsidRPr="0004176C" w:rsidRDefault="00665586" w:rsidP="00665586">
            <w:pPr>
              <w:jc w:val="center"/>
              <w:rPr>
                <w:color w:val="000000"/>
                <w:sz w:val="18"/>
                <w:szCs w:val="18"/>
              </w:rPr>
            </w:pPr>
            <w:r w:rsidRPr="0004176C">
              <w:rPr>
                <w:color w:val="000000"/>
                <w:sz w:val="18"/>
                <w:szCs w:val="18"/>
              </w:rPr>
              <w:t>Spring Meadow</w:t>
            </w:r>
          </w:p>
        </w:tc>
        <w:tc>
          <w:tcPr>
            <w:tcW w:w="596" w:type="pct"/>
            <w:shd w:val="clear" w:color="auto" w:fill="auto"/>
            <w:vAlign w:val="center"/>
            <w:hideMark/>
          </w:tcPr>
          <w:p w14:paraId="5F7ACEA2" w14:textId="77777777" w:rsidR="00665586" w:rsidRPr="0004176C" w:rsidRDefault="00665586" w:rsidP="00665586">
            <w:pPr>
              <w:jc w:val="center"/>
              <w:rPr>
                <w:color w:val="000000"/>
                <w:sz w:val="18"/>
                <w:szCs w:val="18"/>
              </w:rPr>
            </w:pPr>
            <w:r w:rsidRPr="0004176C">
              <w:rPr>
                <w:color w:val="000000"/>
                <w:sz w:val="18"/>
                <w:szCs w:val="18"/>
              </w:rPr>
              <w:t>52</w:t>
            </w:r>
          </w:p>
        </w:tc>
        <w:tc>
          <w:tcPr>
            <w:tcW w:w="674" w:type="pct"/>
            <w:shd w:val="clear" w:color="auto" w:fill="auto"/>
            <w:vAlign w:val="center"/>
            <w:hideMark/>
          </w:tcPr>
          <w:p w14:paraId="05561843"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2ED7C09"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BBC39DC" w14:textId="77777777" w:rsidR="00665586" w:rsidRPr="0004176C" w:rsidRDefault="00665586" w:rsidP="00665586">
            <w:pPr>
              <w:jc w:val="center"/>
              <w:rPr>
                <w:color w:val="000000"/>
                <w:sz w:val="18"/>
                <w:szCs w:val="18"/>
              </w:rPr>
            </w:pPr>
            <w:r w:rsidRPr="0004176C">
              <w:rPr>
                <w:color w:val="000000"/>
                <w:sz w:val="18"/>
                <w:szCs w:val="18"/>
              </w:rPr>
              <w:t>Expiring Use Project - Family - 52 out of 98 EVs converted to PBVs</w:t>
            </w:r>
          </w:p>
        </w:tc>
      </w:tr>
      <w:tr w:rsidR="00665586" w:rsidRPr="0004176C" w14:paraId="257EDDA9" w14:textId="77777777" w:rsidTr="00665586">
        <w:trPr>
          <w:trHeight w:val="240"/>
        </w:trPr>
        <w:tc>
          <w:tcPr>
            <w:tcW w:w="1326" w:type="pct"/>
            <w:shd w:val="clear" w:color="auto" w:fill="auto"/>
            <w:vAlign w:val="center"/>
            <w:hideMark/>
          </w:tcPr>
          <w:p w14:paraId="71DCD182" w14:textId="77777777" w:rsidR="00665586" w:rsidRPr="0004176C" w:rsidRDefault="00665586" w:rsidP="00665586">
            <w:pPr>
              <w:jc w:val="center"/>
              <w:rPr>
                <w:color w:val="000000"/>
                <w:sz w:val="18"/>
                <w:szCs w:val="18"/>
              </w:rPr>
            </w:pPr>
            <w:r w:rsidRPr="0004176C">
              <w:rPr>
                <w:color w:val="000000"/>
                <w:sz w:val="18"/>
                <w:szCs w:val="18"/>
              </w:rPr>
              <w:t>Squantum Gardens/The Moorings</w:t>
            </w:r>
          </w:p>
        </w:tc>
        <w:tc>
          <w:tcPr>
            <w:tcW w:w="596" w:type="pct"/>
            <w:shd w:val="clear" w:color="auto" w:fill="auto"/>
            <w:vAlign w:val="center"/>
            <w:hideMark/>
          </w:tcPr>
          <w:p w14:paraId="3F5E6907" w14:textId="77777777" w:rsidR="00665586" w:rsidRPr="0004176C" w:rsidRDefault="00665586" w:rsidP="00665586">
            <w:pPr>
              <w:jc w:val="center"/>
              <w:rPr>
                <w:color w:val="000000"/>
                <w:sz w:val="18"/>
                <w:szCs w:val="18"/>
              </w:rPr>
            </w:pPr>
            <w:r w:rsidRPr="0004176C">
              <w:rPr>
                <w:color w:val="000000"/>
                <w:sz w:val="18"/>
                <w:szCs w:val="18"/>
              </w:rPr>
              <w:t>39</w:t>
            </w:r>
          </w:p>
        </w:tc>
        <w:tc>
          <w:tcPr>
            <w:tcW w:w="674" w:type="pct"/>
            <w:shd w:val="clear" w:color="auto" w:fill="auto"/>
            <w:vAlign w:val="center"/>
            <w:hideMark/>
          </w:tcPr>
          <w:p w14:paraId="23F014A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C55F03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7EE2144"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41F518CB" w14:textId="77777777" w:rsidTr="00665586">
        <w:trPr>
          <w:trHeight w:val="480"/>
        </w:trPr>
        <w:tc>
          <w:tcPr>
            <w:tcW w:w="1326" w:type="pct"/>
            <w:shd w:val="clear" w:color="auto" w:fill="auto"/>
            <w:vAlign w:val="center"/>
          </w:tcPr>
          <w:p w14:paraId="0F0A5977" w14:textId="77777777" w:rsidR="00665586" w:rsidRPr="0004176C" w:rsidRDefault="00665586" w:rsidP="00665586">
            <w:pPr>
              <w:jc w:val="center"/>
              <w:rPr>
                <w:color w:val="000000"/>
                <w:sz w:val="18"/>
                <w:szCs w:val="18"/>
              </w:rPr>
            </w:pPr>
            <w:r w:rsidRPr="0004176C">
              <w:rPr>
                <w:color w:val="000000"/>
                <w:sz w:val="18"/>
                <w:szCs w:val="18"/>
              </w:rPr>
              <w:t>Squirrelwood,</w:t>
            </w:r>
          </w:p>
          <w:p w14:paraId="1B16DF22" w14:textId="68EB71C7" w:rsidR="00665586" w:rsidRPr="0004176C" w:rsidRDefault="00665586" w:rsidP="00665586">
            <w:pPr>
              <w:jc w:val="center"/>
              <w:rPr>
                <w:color w:val="000000"/>
                <w:sz w:val="18"/>
                <w:szCs w:val="18"/>
              </w:rPr>
            </w:pPr>
            <w:r w:rsidRPr="0004176C">
              <w:rPr>
                <w:color w:val="000000"/>
                <w:sz w:val="18"/>
                <w:szCs w:val="18"/>
              </w:rPr>
              <w:t>Cambridge</w:t>
            </w:r>
            <w:r w:rsidR="00533160" w:rsidRPr="0004176C">
              <w:rPr>
                <w:color w:val="000000"/>
                <w:sz w:val="18"/>
                <w:szCs w:val="18"/>
              </w:rPr>
              <w:t>*</w:t>
            </w:r>
          </w:p>
        </w:tc>
        <w:tc>
          <w:tcPr>
            <w:tcW w:w="596" w:type="pct"/>
            <w:shd w:val="clear" w:color="auto" w:fill="auto"/>
            <w:vAlign w:val="center"/>
          </w:tcPr>
          <w:p w14:paraId="577AD7F8" w14:textId="77777777" w:rsidR="00665586" w:rsidRPr="0004176C" w:rsidRDefault="00665586" w:rsidP="00665586">
            <w:pPr>
              <w:jc w:val="center"/>
              <w:rPr>
                <w:color w:val="000000"/>
                <w:sz w:val="18"/>
                <w:szCs w:val="18"/>
              </w:rPr>
            </w:pPr>
            <w:r w:rsidRPr="0004176C">
              <w:rPr>
                <w:sz w:val="18"/>
                <w:szCs w:val="18"/>
              </w:rPr>
              <w:t>2</w:t>
            </w:r>
          </w:p>
        </w:tc>
        <w:tc>
          <w:tcPr>
            <w:tcW w:w="674" w:type="pct"/>
            <w:shd w:val="clear" w:color="auto" w:fill="auto"/>
            <w:vAlign w:val="center"/>
          </w:tcPr>
          <w:p w14:paraId="1EBC1CE9" w14:textId="77777777" w:rsidR="00665586" w:rsidRPr="0004176C" w:rsidRDefault="00665586" w:rsidP="00665586">
            <w:pPr>
              <w:jc w:val="center"/>
              <w:rPr>
                <w:color w:val="000000"/>
                <w:sz w:val="18"/>
                <w:szCs w:val="18"/>
              </w:rPr>
            </w:pPr>
            <w:r w:rsidRPr="0004176C">
              <w:rPr>
                <w:sz w:val="18"/>
                <w:szCs w:val="18"/>
              </w:rPr>
              <w:t>Committed</w:t>
            </w:r>
          </w:p>
        </w:tc>
        <w:tc>
          <w:tcPr>
            <w:tcW w:w="627" w:type="pct"/>
            <w:shd w:val="clear" w:color="auto" w:fill="auto"/>
            <w:vAlign w:val="center"/>
          </w:tcPr>
          <w:p w14:paraId="31ADEBFD"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78431E7A" w14:textId="77777777" w:rsidR="00665586" w:rsidRPr="0004176C" w:rsidRDefault="00665586" w:rsidP="00665586">
            <w:pPr>
              <w:jc w:val="center"/>
              <w:rPr>
                <w:color w:val="000000"/>
                <w:sz w:val="18"/>
                <w:szCs w:val="18"/>
              </w:rPr>
            </w:pPr>
            <w:r w:rsidRPr="0004176C">
              <w:rPr>
                <w:color w:val="000000"/>
                <w:sz w:val="18"/>
                <w:szCs w:val="18"/>
              </w:rPr>
              <w:t>Rehab and New Construction - Family Housing</w:t>
            </w:r>
          </w:p>
        </w:tc>
      </w:tr>
      <w:tr w:rsidR="00665586" w:rsidRPr="0004176C" w14:paraId="2119C930" w14:textId="77777777" w:rsidTr="00665586">
        <w:trPr>
          <w:trHeight w:val="240"/>
        </w:trPr>
        <w:tc>
          <w:tcPr>
            <w:tcW w:w="1326" w:type="pct"/>
            <w:shd w:val="clear" w:color="auto" w:fill="auto"/>
            <w:vAlign w:val="center"/>
            <w:hideMark/>
          </w:tcPr>
          <w:p w14:paraId="72C501EE" w14:textId="77777777" w:rsidR="00665586" w:rsidRPr="0004176C" w:rsidRDefault="00665586" w:rsidP="00665586">
            <w:pPr>
              <w:jc w:val="center"/>
              <w:rPr>
                <w:color w:val="000000"/>
                <w:sz w:val="18"/>
                <w:szCs w:val="18"/>
              </w:rPr>
            </w:pPr>
            <w:r w:rsidRPr="0004176C">
              <w:rPr>
                <w:color w:val="000000"/>
                <w:sz w:val="18"/>
                <w:szCs w:val="18"/>
              </w:rPr>
              <w:t>St. Joseph’s Apartments</w:t>
            </w:r>
          </w:p>
        </w:tc>
        <w:tc>
          <w:tcPr>
            <w:tcW w:w="596" w:type="pct"/>
            <w:shd w:val="clear" w:color="auto" w:fill="auto"/>
            <w:vAlign w:val="center"/>
            <w:hideMark/>
          </w:tcPr>
          <w:p w14:paraId="0AE7EDAB"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7E95634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40F8B4A"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35F7BB6"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1B8A8248" w14:textId="77777777" w:rsidTr="00665586">
        <w:trPr>
          <w:trHeight w:val="480"/>
        </w:trPr>
        <w:tc>
          <w:tcPr>
            <w:tcW w:w="1326" w:type="pct"/>
            <w:shd w:val="clear" w:color="auto" w:fill="auto"/>
            <w:vAlign w:val="center"/>
            <w:hideMark/>
          </w:tcPr>
          <w:p w14:paraId="754808A2" w14:textId="77777777" w:rsidR="00665586" w:rsidRPr="0004176C" w:rsidRDefault="00665586" w:rsidP="00665586">
            <w:pPr>
              <w:jc w:val="center"/>
              <w:rPr>
                <w:color w:val="000000"/>
                <w:sz w:val="18"/>
                <w:szCs w:val="18"/>
              </w:rPr>
            </w:pPr>
            <w:r w:rsidRPr="0004176C">
              <w:rPr>
                <w:color w:val="000000"/>
                <w:sz w:val="18"/>
                <w:szCs w:val="18"/>
              </w:rPr>
              <w:t>St. Joseph’s Redevelopment</w:t>
            </w:r>
          </w:p>
        </w:tc>
        <w:tc>
          <w:tcPr>
            <w:tcW w:w="596" w:type="pct"/>
            <w:shd w:val="clear" w:color="auto" w:fill="auto"/>
            <w:vAlign w:val="center"/>
            <w:hideMark/>
          </w:tcPr>
          <w:p w14:paraId="678012A7"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7588EC6"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B6A104E"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F005A07" w14:textId="77777777" w:rsidR="00665586" w:rsidRPr="0004176C" w:rsidRDefault="00665586" w:rsidP="00665586">
            <w:pPr>
              <w:jc w:val="center"/>
              <w:rPr>
                <w:color w:val="000000"/>
                <w:sz w:val="18"/>
                <w:szCs w:val="18"/>
              </w:rPr>
            </w:pPr>
            <w:r w:rsidRPr="0004176C">
              <w:rPr>
                <w:color w:val="000000"/>
                <w:sz w:val="18"/>
                <w:szCs w:val="18"/>
              </w:rPr>
              <w:t>Family (3 units) and Disabled (5 units) - New construction of four-story, mixed-use building</w:t>
            </w:r>
          </w:p>
        </w:tc>
      </w:tr>
      <w:tr w:rsidR="00665586" w:rsidRPr="0004176C" w14:paraId="662C1C40" w14:textId="77777777" w:rsidTr="00665586">
        <w:trPr>
          <w:trHeight w:val="240"/>
        </w:trPr>
        <w:tc>
          <w:tcPr>
            <w:tcW w:w="1326" w:type="pct"/>
            <w:shd w:val="clear" w:color="auto" w:fill="auto"/>
            <w:vAlign w:val="center"/>
            <w:hideMark/>
          </w:tcPr>
          <w:p w14:paraId="2BB4BF6D" w14:textId="77777777" w:rsidR="00665586" w:rsidRPr="0004176C" w:rsidRDefault="00665586" w:rsidP="00665586">
            <w:pPr>
              <w:jc w:val="center"/>
              <w:rPr>
                <w:color w:val="000000"/>
                <w:sz w:val="18"/>
                <w:szCs w:val="18"/>
              </w:rPr>
            </w:pPr>
            <w:r w:rsidRPr="0004176C">
              <w:rPr>
                <w:color w:val="000000"/>
                <w:sz w:val="18"/>
                <w:szCs w:val="18"/>
              </w:rPr>
              <w:t>St. Polycarp I</w:t>
            </w:r>
          </w:p>
        </w:tc>
        <w:tc>
          <w:tcPr>
            <w:tcW w:w="596" w:type="pct"/>
            <w:shd w:val="clear" w:color="auto" w:fill="auto"/>
            <w:vAlign w:val="center"/>
            <w:hideMark/>
          </w:tcPr>
          <w:p w14:paraId="50208613"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0AC459B4"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9B1F6DB"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B57E655"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51ADB6A7" w14:textId="77777777" w:rsidTr="00665586">
        <w:trPr>
          <w:trHeight w:val="240"/>
        </w:trPr>
        <w:tc>
          <w:tcPr>
            <w:tcW w:w="1326" w:type="pct"/>
            <w:shd w:val="clear" w:color="auto" w:fill="auto"/>
            <w:vAlign w:val="center"/>
            <w:hideMark/>
          </w:tcPr>
          <w:p w14:paraId="4544A721" w14:textId="77777777" w:rsidR="00665586" w:rsidRPr="0004176C" w:rsidRDefault="00665586" w:rsidP="00665586">
            <w:pPr>
              <w:jc w:val="center"/>
              <w:rPr>
                <w:color w:val="000000"/>
                <w:sz w:val="18"/>
                <w:szCs w:val="18"/>
              </w:rPr>
            </w:pPr>
            <w:r w:rsidRPr="0004176C">
              <w:rPr>
                <w:color w:val="000000"/>
                <w:sz w:val="18"/>
                <w:szCs w:val="18"/>
              </w:rPr>
              <w:t>St. Polycarp-Phase II</w:t>
            </w:r>
          </w:p>
        </w:tc>
        <w:tc>
          <w:tcPr>
            <w:tcW w:w="596" w:type="pct"/>
            <w:shd w:val="clear" w:color="auto" w:fill="auto"/>
            <w:vAlign w:val="center"/>
            <w:hideMark/>
          </w:tcPr>
          <w:p w14:paraId="75CC7BB2"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40B24C48"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325404C"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7206ACB"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6891C2FC" w14:textId="77777777" w:rsidTr="00665586">
        <w:trPr>
          <w:trHeight w:val="480"/>
        </w:trPr>
        <w:tc>
          <w:tcPr>
            <w:tcW w:w="1326" w:type="pct"/>
            <w:shd w:val="clear" w:color="auto" w:fill="auto"/>
            <w:vAlign w:val="center"/>
            <w:hideMark/>
          </w:tcPr>
          <w:p w14:paraId="1044F465" w14:textId="77777777" w:rsidR="00665586" w:rsidRPr="0004176C" w:rsidRDefault="00665586" w:rsidP="00665586">
            <w:pPr>
              <w:jc w:val="center"/>
              <w:rPr>
                <w:color w:val="000000"/>
                <w:sz w:val="18"/>
                <w:szCs w:val="18"/>
              </w:rPr>
            </w:pPr>
            <w:r w:rsidRPr="0004176C">
              <w:rPr>
                <w:color w:val="000000"/>
                <w:sz w:val="18"/>
                <w:szCs w:val="18"/>
              </w:rPr>
              <w:t>St. Polycarp-Phase III</w:t>
            </w:r>
          </w:p>
        </w:tc>
        <w:tc>
          <w:tcPr>
            <w:tcW w:w="596" w:type="pct"/>
            <w:shd w:val="clear" w:color="auto" w:fill="auto"/>
            <w:vAlign w:val="center"/>
            <w:hideMark/>
          </w:tcPr>
          <w:p w14:paraId="4060845C"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51C283B4"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E4378C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D7CD204" w14:textId="77777777" w:rsidR="00665586" w:rsidRPr="0004176C" w:rsidRDefault="00665586" w:rsidP="00665586">
            <w:pPr>
              <w:jc w:val="center"/>
              <w:rPr>
                <w:color w:val="000000"/>
                <w:sz w:val="18"/>
                <w:szCs w:val="18"/>
              </w:rPr>
            </w:pPr>
            <w:r w:rsidRPr="0004176C">
              <w:rPr>
                <w:color w:val="000000"/>
                <w:sz w:val="18"/>
                <w:szCs w:val="18"/>
              </w:rPr>
              <w:t>Family and Disabled - Three units reserved for disabled - New construction of three-story building</w:t>
            </w:r>
          </w:p>
        </w:tc>
      </w:tr>
      <w:tr w:rsidR="00665586" w:rsidRPr="0004176C" w14:paraId="28A82D1B" w14:textId="77777777" w:rsidTr="00665586">
        <w:trPr>
          <w:trHeight w:val="480"/>
        </w:trPr>
        <w:tc>
          <w:tcPr>
            <w:tcW w:w="1326" w:type="pct"/>
            <w:shd w:val="clear" w:color="auto" w:fill="auto"/>
            <w:vAlign w:val="center"/>
          </w:tcPr>
          <w:p w14:paraId="2242F5E4" w14:textId="77777777" w:rsidR="002B7D1C" w:rsidRPr="0004176C" w:rsidRDefault="002B7D1C" w:rsidP="00665586">
            <w:pPr>
              <w:jc w:val="center"/>
              <w:rPr>
                <w:sz w:val="18"/>
                <w:szCs w:val="18"/>
              </w:rPr>
            </w:pPr>
            <w:r w:rsidRPr="0004176C">
              <w:rPr>
                <w:sz w:val="18"/>
                <w:szCs w:val="18"/>
              </w:rPr>
              <w:t>St. Therese Condo I</w:t>
            </w:r>
          </w:p>
          <w:p w14:paraId="3AF22E2A" w14:textId="66D4235E" w:rsidR="00665586" w:rsidRPr="0004176C" w:rsidRDefault="00665586" w:rsidP="00665586">
            <w:pPr>
              <w:jc w:val="center"/>
              <w:rPr>
                <w:sz w:val="18"/>
                <w:szCs w:val="18"/>
              </w:rPr>
            </w:pPr>
            <w:r w:rsidRPr="0004176C">
              <w:rPr>
                <w:sz w:val="18"/>
                <w:szCs w:val="18"/>
              </w:rPr>
              <w:t>Everett</w:t>
            </w:r>
            <w:r w:rsidR="002B7D1C" w:rsidRPr="0004176C">
              <w:rPr>
                <w:sz w:val="18"/>
                <w:szCs w:val="18"/>
              </w:rPr>
              <w:t xml:space="preserve"> **</w:t>
            </w:r>
          </w:p>
        </w:tc>
        <w:tc>
          <w:tcPr>
            <w:tcW w:w="596" w:type="pct"/>
            <w:shd w:val="clear" w:color="auto" w:fill="auto"/>
            <w:vAlign w:val="center"/>
          </w:tcPr>
          <w:p w14:paraId="77E1DB52"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2EA7BF5E"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7465463F"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6C44DB91" w14:textId="77777777" w:rsidR="00665586" w:rsidRPr="0004176C" w:rsidRDefault="00665586" w:rsidP="00665586">
            <w:pPr>
              <w:jc w:val="center"/>
              <w:rPr>
                <w:sz w:val="18"/>
                <w:szCs w:val="18"/>
              </w:rPr>
            </w:pPr>
            <w:r w:rsidRPr="0004176C">
              <w:rPr>
                <w:sz w:val="18"/>
                <w:szCs w:val="18"/>
              </w:rPr>
              <w:t>New Construction – Senior Housing (62yrs or older)</w:t>
            </w:r>
          </w:p>
        </w:tc>
      </w:tr>
      <w:tr w:rsidR="00665586" w:rsidRPr="0004176C" w14:paraId="377416D0" w14:textId="77777777" w:rsidTr="00665586">
        <w:trPr>
          <w:trHeight w:val="480"/>
        </w:trPr>
        <w:tc>
          <w:tcPr>
            <w:tcW w:w="1326" w:type="pct"/>
            <w:shd w:val="clear" w:color="auto" w:fill="auto"/>
            <w:vAlign w:val="center"/>
          </w:tcPr>
          <w:p w14:paraId="2DB920DD" w14:textId="77777777" w:rsidR="002B7D1C" w:rsidRPr="0004176C" w:rsidRDefault="002B7D1C" w:rsidP="00665586">
            <w:pPr>
              <w:jc w:val="center"/>
              <w:rPr>
                <w:sz w:val="18"/>
                <w:szCs w:val="18"/>
              </w:rPr>
            </w:pPr>
            <w:r w:rsidRPr="0004176C">
              <w:rPr>
                <w:sz w:val="18"/>
                <w:szCs w:val="18"/>
              </w:rPr>
              <w:t>St. Therese Condo II</w:t>
            </w:r>
          </w:p>
          <w:p w14:paraId="56D74025" w14:textId="7C4DCEA5" w:rsidR="00665586" w:rsidRPr="0004176C" w:rsidRDefault="00665586" w:rsidP="00665586">
            <w:pPr>
              <w:jc w:val="center"/>
              <w:rPr>
                <w:sz w:val="18"/>
                <w:szCs w:val="18"/>
              </w:rPr>
            </w:pPr>
            <w:r w:rsidRPr="0004176C">
              <w:rPr>
                <w:sz w:val="18"/>
                <w:szCs w:val="18"/>
              </w:rPr>
              <w:t>Everett</w:t>
            </w:r>
            <w:r w:rsidR="002B7D1C" w:rsidRPr="0004176C">
              <w:rPr>
                <w:sz w:val="18"/>
                <w:szCs w:val="18"/>
              </w:rPr>
              <w:t xml:space="preserve"> **</w:t>
            </w:r>
          </w:p>
        </w:tc>
        <w:tc>
          <w:tcPr>
            <w:tcW w:w="596" w:type="pct"/>
            <w:shd w:val="clear" w:color="auto" w:fill="auto"/>
            <w:vAlign w:val="center"/>
          </w:tcPr>
          <w:p w14:paraId="1AC4B565"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076F9107"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5E1B68E5"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5C94119A" w14:textId="77777777" w:rsidR="00665586" w:rsidRPr="0004176C" w:rsidRDefault="00665586" w:rsidP="00665586">
            <w:pPr>
              <w:jc w:val="center"/>
              <w:rPr>
                <w:sz w:val="18"/>
                <w:szCs w:val="18"/>
              </w:rPr>
            </w:pPr>
            <w:r w:rsidRPr="0004176C">
              <w:rPr>
                <w:sz w:val="18"/>
                <w:szCs w:val="18"/>
              </w:rPr>
              <w:t>New Construction – Senior Housing (62yrs or older)</w:t>
            </w:r>
          </w:p>
        </w:tc>
      </w:tr>
      <w:tr w:rsidR="00665586" w:rsidRPr="0004176C" w14:paraId="0713ED6F" w14:textId="77777777" w:rsidTr="00665586">
        <w:trPr>
          <w:trHeight w:val="480"/>
        </w:trPr>
        <w:tc>
          <w:tcPr>
            <w:tcW w:w="1326" w:type="pct"/>
            <w:shd w:val="clear" w:color="auto" w:fill="auto"/>
            <w:vAlign w:val="center"/>
            <w:hideMark/>
          </w:tcPr>
          <w:p w14:paraId="7B9C098B" w14:textId="77777777" w:rsidR="00665586" w:rsidRPr="0004176C" w:rsidRDefault="00665586" w:rsidP="00665586">
            <w:pPr>
              <w:jc w:val="center"/>
              <w:rPr>
                <w:color w:val="000000"/>
                <w:sz w:val="18"/>
                <w:szCs w:val="18"/>
              </w:rPr>
            </w:pPr>
            <w:r w:rsidRPr="0004176C">
              <w:rPr>
                <w:color w:val="000000"/>
                <w:sz w:val="18"/>
                <w:szCs w:val="18"/>
              </w:rPr>
              <w:t>Stable Path Residences</w:t>
            </w:r>
          </w:p>
        </w:tc>
        <w:tc>
          <w:tcPr>
            <w:tcW w:w="596" w:type="pct"/>
            <w:shd w:val="clear" w:color="auto" w:fill="auto"/>
            <w:vAlign w:val="center"/>
            <w:hideMark/>
          </w:tcPr>
          <w:p w14:paraId="2C270D7D" w14:textId="77777777" w:rsidR="00665586" w:rsidRPr="0004176C" w:rsidRDefault="00665586" w:rsidP="00665586">
            <w:pPr>
              <w:jc w:val="center"/>
              <w:rPr>
                <w:color w:val="000000"/>
                <w:sz w:val="18"/>
                <w:szCs w:val="18"/>
              </w:rPr>
            </w:pPr>
            <w:r w:rsidRPr="0004176C">
              <w:rPr>
                <w:color w:val="000000"/>
                <w:sz w:val="18"/>
                <w:szCs w:val="18"/>
              </w:rPr>
              <w:t>5</w:t>
            </w:r>
          </w:p>
        </w:tc>
        <w:tc>
          <w:tcPr>
            <w:tcW w:w="674" w:type="pct"/>
            <w:shd w:val="clear" w:color="auto" w:fill="auto"/>
            <w:vAlign w:val="center"/>
            <w:hideMark/>
          </w:tcPr>
          <w:p w14:paraId="713D2EC7"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338753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7F68332" w14:textId="77777777" w:rsidR="00665586" w:rsidRPr="0004176C" w:rsidRDefault="00665586" w:rsidP="00665586">
            <w:pPr>
              <w:jc w:val="center"/>
              <w:rPr>
                <w:color w:val="000000"/>
                <w:sz w:val="18"/>
                <w:szCs w:val="18"/>
              </w:rPr>
            </w:pPr>
            <w:r w:rsidRPr="0004176C">
              <w:rPr>
                <w:color w:val="000000"/>
                <w:sz w:val="18"/>
                <w:szCs w:val="18"/>
              </w:rPr>
              <w:t>Family - New construction of 10 buildings (2- and 3-bedroom townhouses)</w:t>
            </w:r>
          </w:p>
        </w:tc>
      </w:tr>
      <w:tr w:rsidR="00665586" w:rsidRPr="0004176C" w14:paraId="6DC76C19" w14:textId="77777777" w:rsidTr="00665586">
        <w:trPr>
          <w:trHeight w:val="480"/>
        </w:trPr>
        <w:tc>
          <w:tcPr>
            <w:tcW w:w="1326" w:type="pct"/>
            <w:shd w:val="clear" w:color="auto" w:fill="auto"/>
            <w:vAlign w:val="center"/>
            <w:hideMark/>
          </w:tcPr>
          <w:p w14:paraId="22886DC1" w14:textId="77777777" w:rsidR="00665586" w:rsidRPr="0004176C" w:rsidRDefault="00665586" w:rsidP="00665586">
            <w:pPr>
              <w:jc w:val="center"/>
              <w:rPr>
                <w:color w:val="000000"/>
                <w:sz w:val="18"/>
                <w:szCs w:val="18"/>
              </w:rPr>
            </w:pPr>
            <w:r w:rsidRPr="0004176C">
              <w:rPr>
                <w:color w:val="000000"/>
                <w:sz w:val="18"/>
                <w:szCs w:val="18"/>
              </w:rPr>
              <w:t>Stage Coach Residences</w:t>
            </w:r>
          </w:p>
        </w:tc>
        <w:tc>
          <w:tcPr>
            <w:tcW w:w="596" w:type="pct"/>
            <w:shd w:val="clear" w:color="auto" w:fill="auto"/>
            <w:vAlign w:val="center"/>
            <w:hideMark/>
          </w:tcPr>
          <w:p w14:paraId="66E741F4" w14:textId="77777777" w:rsidR="00665586" w:rsidRPr="0004176C" w:rsidRDefault="00665586" w:rsidP="00665586">
            <w:pPr>
              <w:jc w:val="center"/>
              <w:rPr>
                <w:color w:val="000000"/>
                <w:sz w:val="18"/>
                <w:szCs w:val="18"/>
              </w:rPr>
            </w:pPr>
            <w:r w:rsidRPr="0004176C">
              <w:rPr>
                <w:color w:val="000000"/>
                <w:sz w:val="18"/>
                <w:szCs w:val="18"/>
              </w:rPr>
              <w:t>6</w:t>
            </w:r>
          </w:p>
        </w:tc>
        <w:tc>
          <w:tcPr>
            <w:tcW w:w="674" w:type="pct"/>
            <w:shd w:val="clear" w:color="auto" w:fill="auto"/>
            <w:vAlign w:val="center"/>
            <w:hideMark/>
          </w:tcPr>
          <w:p w14:paraId="50DA1A5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A322AC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19F77E5" w14:textId="77777777" w:rsidR="00665586" w:rsidRPr="0004176C" w:rsidRDefault="00665586" w:rsidP="00665586">
            <w:pPr>
              <w:jc w:val="center"/>
              <w:rPr>
                <w:color w:val="000000"/>
                <w:sz w:val="18"/>
                <w:szCs w:val="18"/>
              </w:rPr>
            </w:pPr>
            <w:r w:rsidRPr="0004176C">
              <w:rPr>
                <w:color w:val="000000"/>
                <w:sz w:val="18"/>
                <w:szCs w:val="18"/>
              </w:rPr>
              <w:t>Family (4 units) and Disabled (2 units) - New construction/surplus PHA land</w:t>
            </w:r>
          </w:p>
        </w:tc>
      </w:tr>
      <w:tr w:rsidR="00665586" w:rsidRPr="0004176C" w14:paraId="418C22E8" w14:textId="77777777" w:rsidTr="00665586">
        <w:trPr>
          <w:trHeight w:val="240"/>
        </w:trPr>
        <w:tc>
          <w:tcPr>
            <w:tcW w:w="1326" w:type="pct"/>
            <w:shd w:val="clear" w:color="auto" w:fill="auto"/>
            <w:vAlign w:val="center"/>
            <w:hideMark/>
          </w:tcPr>
          <w:p w14:paraId="168AE81B" w14:textId="77777777" w:rsidR="00665586" w:rsidRPr="0004176C" w:rsidRDefault="00665586" w:rsidP="00665586">
            <w:pPr>
              <w:jc w:val="center"/>
              <w:rPr>
                <w:color w:val="000000"/>
                <w:sz w:val="18"/>
                <w:szCs w:val="18"/>
              </w:rPr>
            </w:pPr>
            <w:r w:rsidRPr="0004176C">
              <w:rPr>
                <w:color w:val="000000"/>
                <w:sz w:val="18"/>
                <w:szCs w:val="18"/>
              </w:rPr>
              <w:t>Steven’s Corner</w:t>
            </w:r>
          </w:p>
        </w:tc>
        <w:tc>
          <w:tcPr>
            <w:tcW w:w="596" w:type="pct"/>
            <w:shd w:val="clear" w:color="auto" w:fill="auto"/>
            <w:vAlign w:val="center"/>
            <w:hideMark/>
          </w:tcPr>
          <w:p w14:paraId="69F7125F"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4688BA0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6566203"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AFAC609"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7AE71339" w14:textId="77777777" w:rsidTr="00665586">
        <w:trPr>
          <w:trHeight w:val="480"/>
        </w:trPr>
        <w:tc>
          <w:tcPr>
            <w:tcW w:w="1326" w:type="pct"/>
            <w:shd w:val="clear" w:color="auto" w:fill="auto"/>
            <w:vAlign w:val="center"/>
            <w:hideMark/>
          </w:tcPr>
          <w:p w14:paraId="3823FDBE" w14:textId="77777777" w:rsidR="00665586" w:rsidRPr="0004176C" w:rsidRDefault="00665586" w:rsidP="00665586">
            <w:pPr>
              <w:jc w:val="center"/>
              <w:rPr>
                <w:color w:val="000000"/>
                <w:sz w:val="18"/>
                <w:szCs w:val="18"/>
              </w:rPr>
            </w:pPr>
            <w:r w:rsidRPr="0004176C">
              <w:rPr>
                <w:color w:val="000000"/>
                <w:sz w:val="18"/>
                <w:szCs w:val="18"/>
              </w:rPr>
              <w:t>Sudbury</w:t>
            </w:r>
          </w:p>
        </w:tc>
        <w:tc>
          <w:tcPr>
            <w:tcW w:w="596" w:type="pct"/>
            <w:shd w:val="clear" w:color="auto" w:fill="auto"/>
            <w:vAlign w:val="center"/>
            <w:hideMark/>
          </w:tcPr>
          <w:p w14:paraId="57CA253C" w14:textId="77777777" w:rsidR="00665586" w:rsidRPr="0004176C" w:rsidRDefault="00665586" w:rsidP="00665586">
            <w:pPr>
              <w:jc w:val="center"/>
              <w:rPr>
                <w:color w:val="000000"/>
                <w:sz w:val="18"/>
                <w:szCs w:val="18"/>
              </w:rPr>
            </w:pPr>
            <w:r w:rsidRPr="0004176C">
              <w:rPr>
                <w:color w:val="000000"/>
                <w:sz w:val="18"/>
                <w:szCs w:val="18"/>
              </w:rPr>
              <w:t>11</w:t>
            </w:r>
          </w:p>
        </w:tc>
        <w:tc>
          <w:tcPr>
            <w:tcW w:w="674" w:type="pct"/>
            <w:shd w:val="clear" w:color="auto" w:fill="auto"/>
            <w:vAlign w:val="center"/>
            <w:hideMark/>
          </w:tcPr>
          <w:p w14:paraId="01034604"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5A1CB69"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B0571AE" w14:textId="77777777" w:rsidR="00665586" w:rsidRPr="0004176C" w:rsidRDefault="00665586" w:rsidP="00665586">
            <w:pPr>
              <w:jc w:val="center"/>
              <w:rPr>
                <w:color w:val="000000"/>
                <w:sz w:val="18"/>
                <w:szCs w:val="18"/>
              </w:rPr>
            </w:pPr>
            <w:r w:rsidRPr="0004176C">
              <w:rPr>
                <w:color w:val="000000"/>
                <w:sz w:val="18"/>
                <w:szCs w:val="18"/>
              </w:rPr>
              <w:t>Family units; 41 Great Road, 56 Great Road, 11 Ford, 19 Greewood, 10 Landham</w:t>
            </w:r>
          </w:p>
        </w:tc>
      </w:tr>
      <w:tr w:rsidR="00665586" w:rsidRPr="0004176C" w14:paraId="34CAE627" w14:textId="77777777" w:rsidTr="00665586">
        <w:trPr>
          <w:trHeight w:val="480"/>
        </w:trPr>
        <w:tc>
          <w:tcPr>
            <w:tcW w:w="1326" w:type="pct"/>
            <w:shd w:val="clear" w:color="auto" w:fill="auto"/>
            <w:vAlign w:val="center"/>
            <w:hideMark/>
          </w:tcPr>
          <w:p w14:paraId="0DD96AF2" w14:textId="77777777" w:rsidR="00665586" w:rsidRPr="0004176C" w:rsidRDefault="00665586" w:rsidP="00665586">
            <w:pPr>
              <w:jc w:val="center"/>
              <w:rPr>
                <w:color w:val="000000"/>
                <w:sz w:val="18"/>
                <w:szCs w:val="18"/>
              </w:rPr>
            </w:pPr>
            <w:r w:rsidRPr="0004176C">
              <w:rPr>
                <w:color w:val="000000"/>
                <w:sz w:val="18"/>
                <w:szCs w:val="18"/>
              </w:rPr>
              <w:t>Summerhill Glen</w:t>
            </w:r>
          </w:p>
        </w:tc>
        <w:tc>
          <w:tcPr>
            <w:tcW w:w="596" w:type="pct"/>
            <w:shd w:val="clear" w:color="auto" w:fill="auto"/>
            <w:vAlign w:val="center"/>
            <w:hideMark/>
          </w:tcPr>
          <w:p w14:paraId="68E8757E" w14:textId="77777777" w:rsidR="00665586" w:rsidRPr="0004176C" w:rsidRDefault="00665586" w:rsidP="00665586">
            <w:pPr>
              <w:jc w:val="center"/>
              <w:rPr>
                <w:color w:val="000000"/>
                <w:sz w:val="18"/>
                <w:szCs w:val="18"/>
              </w:rPr>
            </w:pPr>
            <w:r w:rsidRPr="0004176C">
              <w:rPr>
                <w:color w:val="000000"/>
                <w:sz w:val="18"/>
                <w:szCs w:val="18"/>
              </w:rPr>
              <w:t>89</w:t>
            </w:r>
          </w:p>
        </w:tc>
        <w:tc>
          <w:tcPr>
            <w:tcW w:w="674" w:type="pct"/>
            <w:shd w:val="clear" w:color="auto" w:fill="auto"/>
            <w:vAlign w:val="center"/>
            <w:hideMark/>
          </w:tcPr>
          <w:p w14:paraId="38F049B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5492E12"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3797003" w14:textId="77777777" w:rsidR="00665586" w:rsidRPr="0004176C" w:rsidRDefault="00665586" w:rsidP="00665586">
            <w:pPr>
              <w:jc w:val="center"/>
              <w:rPr>
                <w:color w:val="000000"/>
                <w:sz w:val="18"/>
                <w:szCs w:val="18"/>
              </w:rPr>
            </w:pPr>
            <w:r w:rsidRPr="0004176C">
              <w:rPr>
                <w:color w:val="000000"/>
                <w:sz w:val="18"/>
                <w:szCs w:val="18"/>
              </w:rPr>
              <w:t>Expiring Use Project - Family - 89 out of 120 EVs converted to PBVs</w:t>
            </w:r>
          </w:p>
        </w:tc>
      </w:tr>
      <w:tr w:rsidR="00665586" w:rsidRPr="0004176C" w14:paraId="2828ECAF" w14:textId="77777777" w:rsidTr="00665586">
        <w:trPr>
          <w:trHeight w:val="240"/>
        </w:trPr>
        <w:tc>
          <w:tcPr>
            <w:tcW w:w="1326" w:type="pct"/>
            <w:shd w:val="clear" w:color="auto" w:fill="auto"/>
            <w:vAlign w:val="center"/>
            <w:hideMark/>
          </w:tcPr>
          <w:p w14:paraId="66EC2F72" w14:textId="77777777" w:rsidR="00665586" w:rsidRPr="0004176C" w:rsidRDefault="00665586" w:rsidP="00665586">
            <w:pPr>
              <w:jc w:val="center"/>
              <w:rPr>
                <w:color w:val="000000"/>
                <w:sz w:val="18"/>
                <w:szCs w:val="18"/>
              </w:rPr>
            </w:pPr>
            <w:r w:rsidRPr="0004176C">
              <w:rPr>
                <w:color w:val="000000"/>
                <w:sz w:val="18"/>
                <w:szCs w:val="18"/>
              </w:rPr>
              <w:t>Tapley Court</w:t>
            </w:r>
          </w:p>
        </w:tc>
        <w:tc>
          <w:tcPr>
            <w:tcW w:w="596" w:type="pct"/>
            <w:shd w:val="clear" w:color="auto" w:fill="auto"/>
            <w:vAlign w:val="center"/>
            <w:hideMark/>
          </w:tcPr>
          <w:p w14:paraId="0DE51AFC"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2948DE9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B90CED3"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D5B71C9"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3CAA06B4" w14:textId="77777777" w:rsidTr="00665586">
        <w:trPr>
          <w:trHeight w:val="240"/>
        </w:trPr>
        <w:tc>
          <w:tcPr>
            <w:tcW w:w="1326" w:type="pct"/>
            <w:shd w:val="clear" w:color="auto" w:fill="auto"/>
            <w:vAlign w:val="center"/>
            <w:hideMark/>
          </w:tcPr>
          <w:p w14:paraId="450CC60C" w14:textId="77777777" w:rsidR="00665586" w:rsidRPr="0004176C" w:rsidRDefault="00665586" w:rsidP="00665586">
            <w:pPr>
              <w:jc w:val="center"/>
              <w:rPr>
                <w:color w:val="000000"/>
                <w:sz w:val="18"/>
                <w:szCs w:val="18"/>
              </w:rPr>
            </w:pPr>
            <w:r w:rsidRPr="0004176C">
              <w:rPr>
                <w:color w:val="000000"/>
                <w:sz w:val="18"/>
                <w:szCs w:val="18"/>
              </w:rPr>
              <w:t>Tenney Place Phase I</w:t>
            </w:r>
          </w:p>
        </w:tc>
        <w:tc>
          <w:tcPr>
            <w:tcW w:w="596" w:type="pct"/>
            <w:shd w:val="clear" w:color="auto" w:fill="auto"/>
            <w:vAlign w:val="center"/>
            <w:hideMark/>
          </w:tcPr>
          <w:p w14:paraId="16169759"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BB8F4C4"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192EF5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CF4212F" w14:textId="77777777" w:rsidR="00665586" w:rsidRPr="0004176C" w:rsidRDefault="00665586" w:rsidP="00665586">
            <w:pPr>
              <w:jc w:val="center"/>
              <w:rPr>
                <w:color w:val="000000"/>
                <w:sz w:val="18"/>
                <w:szCs w:val="18"/>
              </w:rPr>
            </w:pPr>
            <w:r w:rsidRPr="0004176C">
              <w:rPr>
                <w:color w:val="000000"/>
                <w:sz w:val="18"/>
                <w:szCs w:val="18"/>
              </w:rPr>
              <w:t>Family - New construction of two buildings</w:t>
            </w:r>
          </w:p>
        </w:tc>
      </w:tr>
      <w:tr w:rsidR="00665586" w:rsidRPr="0004176C" w14:paraId="14DB0388" w14:textId="77777777" w:rsidTr="00665586">
        <w:trPr>
          <w:trHeight w:val="480"/>
        </w:trPr>
        <w:tc>
          <w:tcPr>
            <w:tcW w:w="1326" w:type="pct"/>
            <w:shd w:val="clear" w:color="auto" w:fill="auto"/>
            <w:vAlign w:val="center"/>
          </w:tcPr>
          <w:p w14:paraId="61D00BB8" w14:textId="77777777" w:rsidR="00665586" w:rsidRPr="0004176C" w:rsidRDefault="00665586" w:rsidP="00665586">
            <w:pPr>
              <w:jc w:val="center"/>
              <w:rPr>
                <w:sz w:val="18"/>
                <w:szCs w:val="18"/>
              </w:rPr>
            </w:pPr>
            <w:r w:rsidRPr="0004176C">
              <w:rPr>
                <w:sz w:val="18"/>
                <w:szCs w:val="18"/>
              </w:rPr>
              <w:t>Tenney Place Phase II, Haverhill</w:t>
            </w:r>
          </w:p>
        </w:tc>
        <w:tc>
          <w:tcPr>
            <w:tcW w:w="596" w:type="pct"/>
            <w:shd w:val="clear" w:color="auto" w:fill="auto"/>
            <w:vAlign w:val="center"/>
          </w:tcPr>
          <w:p w14:paraId="055E7401" w14:textId="77777777" w:rsidR="00665586" w:rsidRPr="0004176C" w:rsidRDefault="00665586" w:rsidP="00665586">
            <w:pPr>
              <w:jc w:val="center"/>
              <w:rPr>
                <w:color w:val="000000"/>
                <w:sz w:val="18"/>
                <w:szCs w:val="18"/>
              </w:rPr>
            </w:pPr>
            <w:r w:rsidRPr="0004176C">
              <w:rPr>
                <w:sz w:val="18"/>
                <w:szCs w:val="18"/>
              </w:rPr>
              <w:t>6</w:t>
            </w:r>
          </w:p>
        </w:tc>
        <w:tc>
          <w:tcPr>
            <w:tcW w:w="674" w:type="pct"/>
            <w:shd w:val="clear" w:color="auto" w:fill="auto"/>
            <w:vAlign w:val="center"/>
          </w:tcPr>
          <w:p w14:paraId="1394FBE5" w14:textId="77777777" w:rsidR="00665586" w:rsidRPr="0004176C" w:rsidRDefault="00665586" w:rsidP="00665586">
            <w:pPr>
              <w:jc w:val="center"/>
              <w:rPr>
                <w:color w:val="000000"/>
                <w:sz w:val="18"/>
                <w:szCs w:val="18"/>
              </w:rPr>
            </w:pPr>
            <w:r w:rsidRPr="0004176C">
              <w:rPr>
                <w:sz w:val="18"/>
                <w:szCs w:val="18"/>
              </w:rPr>
              <w:t>Leased/Issued</w:t>
            </w:r>
          </w:p>
        </w:tc>
        <w:tc>
          <w:tcPr>
            <w:tcW w:w="627" w:type="pct"/>
            <w:shd w:val="clear" w:color="auto" w:fill="auto"/>
            <w:vAlign w:val="center"/>
          </w:tcPr>
          <w:p w14:paraId="55903624"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1879D487" w14:textId="77777777" w:rsidR="00665586" w:rsidRPr="0004176C" w:rsidRDefault="00665586" w:rsidP="00665586">
            <w:pPr>
              <w:jc w:val="center"/>
              <w:rPr>
                <w:color w:val="000000"/>
                <w:sz w:val="18"/>
                <w:szCs w:val="18"/>
              </w:rPr>
            </w:pPr>
            <w:r w:rsidRPr="0004176C">
              <w:rPr>
                <w:rFonts w:eastAsia="Calibri"/>
                <w:sz w:val="18"/>
                <w:szCs w:val="18"/>
              </w:rPr>
              <w:t>New Construction – Family Housing</w:t>
            </w:r>
          </w:p>
        </w:tc>
      </w:tr>
      <w:tr w:rsidR="00665586" w:rsidRPr="0004176C" w14:paraId="38C02A4C" w14:textId="77777777" w:rsidTr="00665586">
        <w:trPr>
          <w:trHeight w:val="480"/>
        </w:trPr>
        <w:tc>
          <w:tcPr>
            <w:tcW w:w="1326" w:type="pct"/>
            <w:shd w:val="clear" w:color="auto" w:fill="auto"/>
            <w:vAlign w:val="center"/>
          </w:tcPr>
          <w:p w14:paraId="452018D7" w14:textId="77777777" w:rsidR="002B7D1C" w:rsidRPr="0004176C" w:rsidRDefault="002B7D1C" w:rsidP="00665586">
            <w:pPr>
              <w:jc w:val="center"/>
              <w:rPr>
                <w:sz w:val="18"/>
                <w:szCs w:val="18"/>
              </w:rPr>
            </w:pPr>
            <w:r w:rsidRPr="0004176C">
              <w:rPr>
                <w:sz w:val="18"/>
                <w:szCs w:val="18"/>
              </w:rPr>
              <w:t>Terrapin Ridge</w:t>
            </w:r>
          </w:p>
          <w:p w14:paraId="31232CA2" w14:textId="340C67C1" w:rsidR="00665586" w:rsidRPr="0004176C" w:rsidRDefault="00665586" w:rsidP="00665586">
            <w:pPr>
              <w:jc w:val="center"/>
              <w:rPr>
                <w:sz w:val="18"/>
                <w:szCs w:val="18"/>
              </w:rPr>
            </w:pPr>
            <w:r w:rsidRPr="0004176C">
              <w:rPr>
                <w:sz w:val="18"/>
                <w:szCs w:val="18"/>
              </w:rPr>
              <w:t>Sandwich</w:t>
            </w:r>
            <w:r w:rsidR="002B7D1C" w:rsidRPr="0004176C">
              <w:rPr>
                <w:sz w:val="18"/>
                <w:szCs w:val="18"/>
              </w:rPr>
              <w:t xml:space="preserve"> **</w:t>
            </w:r>
          </w:p>
        </w:tc>
        <w:tc>
          <w:tcPr>
            <w:tcW w:w="596" w:type="pct"/>
            <w:shd w:val="clear" w:color="auto" w:fill="auto"/>
            <w:vAlign w:val="center"/>
          </w:tcPr>
          <w:p w14:paraId="2D740D7B"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5835FE3A"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2A66C90B"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443B79E5" w14:textId="77777777" w:rsidR="00665586" w:rsidRPr="0004176C" w:rsidRDefault="00665586" w:rsidP="00665586">
            <w:pPr>
              <w:jc w:val="center"/>
              <w:rPr>
                <w:sz w:val="18"/>
                <w:szCs w:val="18"/>
              </w:rPr>
            </w:pPr>
            <w:r w:rsidRPr="0004176C">
              <w:rPr>
                <w:sz w:val="18"/>
                <w:szCs w:val="18"/>
              </w:rPr>
              <w:t>New Construction – Family Housing</w:t>
            </w:r>
          </w:p>
        </w:tc>
      </w:tr>
      <w:tr w:rsidR="00665586" w:rsidRPr="0004176C" w14:paraId="32DF7E30" w14:textId="77777777" w:rsidTr="00665586">
        <w:trPr>
          <w:trHeight w:val="240"/>
        </w:trPr>
        <w:tc>
          <w:tcPr>
            <w:tcW w:w="1326" w:type="pct"/>
            <w:shd w:val="clear" w:color="auto" w:fill="auto"/>
            <w:vAlign w:val="center"/>
            <w:hideMark/>
          </w:tcPr>
          <w:p w14:paraId="3F2372DC" w14:textId="77777777" w:rsidR="00665586" w:rsidRPr="0004176C" w:rsidRDefault="00665586" w:rsidP="00665586">
            <w:pPr>
              <w:jc w:val="center"/>
              <w:rPr>
                <w:color w:val="000000"/>
                <w:sz w:val="18"/>
                <w:szCs w:val="18"/>
              </w:rPr>
            </w:pPr>
            <w:r w:rsidRPr="0004176C">
              <w:rPr>
                <w:color w:val="000000"/>
                <w:sz w:val="18"/>
                <w:szCs w:val="18"/>
              </w:rPr>
              <w:t>Thankful Chase</w:t>
            </w:r>
          </w:p>
        </w:tc>
        <w:tc>
          <w:tcPr>
            <w:tcW w:w="596" w:type="pct"/>
            <w:shd w:val="clear" w:color="auto" w:fill="auto"/>
            <w:vAlign w:val="center"/>
            <w:hideMark/>
          </w:tcPr>
          <w:p w14:paraId="4DFA462D" w14:textId="77777777" w:rsidR="00665586" w:rsidRPr="0004176C" w:rsidRDefault="00665586" w:rsidP="00665586">
            <w:pPr>
              <w:jc w:val="center"/>
              <w:rPr>
                <w:color w:val="000000"/>
                <w:sz w:val="18"/>
                <w:szCs w:val="18"/>
              </w:rPr>
            </w:pPr>
            <w:r w:rsidRPr="0004176C">
              <w:rPr>
                <w:color w:val="000000"/>
                <w:sz w:val="18"/>
                <w:szCs w:val="18"/>
              </w:rPr>
              <w:t>5</w:t>
            </w:r>
          </w:p>
        </w:tc>
        <w:tc>
          <w:tcPr>
            <w:tcW w:w="674" w:type="pct"/>
            <w:shd w:val="clear" w:color="auto" w:fill="auto"/>
            <w:vAlign w:val="center"/>
            <w:hideMark/>
          </w:tcPr>
          <w:p w14:paraId="1563078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324EEC9"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AE94A99"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08A93AAD" w14:textId="77777777" w:rsidTr="00665586">
        <w:trPr>
          <w:trHeight w:val="480"/>
        </w:trPr>
        <w:tc>
          <w:tcPr>
            <w:tcW w:w="1326" w:type="pct"/>
            <w:shd w:val="clear" w:color="auto" w:fill="auto"/>
            <w:vAlign w:val="center"/>
            <w:hideMark/>
          </w:tcPr>
          <w:p w14:paraId="42F8D087" w14:textId="77777777" w:rsidR="00665586" w:rsidRPr="0004176C" w:rsidRDefault="00665586" w:rsidP="00665586">
            <w:pPr>
              <w:jc w:val="center"/>
              <w:rPr>
                <w:color w:val="000000"/>
                <w:sz w:val="18"/>
                <w:szCs w:val="18"/>
              </w:rPr>
            </w:pPr>
            <w:r w:rsidRPr="0004176C">
              <w:rPr>
                <w:color w:val="000000"/>
                <w:sz w:val="18"/>
                <w:szCs w:val="18"/>
              </w:rPr>
              <w:t>The Flats @ 22 (formerly Standard Box Apartments)</w:t>
            </w:r>
          </w:p>
        </w:tc>
        <w:tc>
          <w:tcPr>
            <w:tcW w:w="596" w:type="pct"/>
            <w:shd w:val="clear" w:color="auto" w:fill="auto"/>
            <w:vAlign w:val="center"/>
            <w:hideMark/>
          </w:tcPr>
          <w:p w14:paraId="5E64A3C2" w14:textId="77777777" w:rsidR="00665586" w:rsidRPr="0004176C" w:rsidRDefault="00665586" w:rsidP="00665586">
            <w:pPr>
              <w:jc w:val="center"/>
              <w:rPr>
                <w:color w:val="000000"/>
                <w:sz w:val="18"/>
                <w:szCs w:val="18"/>
              </w:rPr>
            </w:pPr>
            <w:r w:rsidRPr="0004176C">
              <w:rPr>
                <w:color w:val="000000"/>
                <w:sz w:val="18"/>
                <w:szCs w:val="18"/>
              </w:rPr>
              <w:t>5</w:t>
            </w:r>
          </w:p>
        </w:tc>
        <w:tc>
          <w:tcPr>
            <w:tcW w:w="674" w:type="pct"/>
            <w:shd w:val="clear" w:color="auto" w:fill="auto"/>
            <w:vAlign w:val="center"/>
            <w:hideMark/>
          </w:tcPr>
          <w:p w14:paraId="55EB25B6"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912A7F6"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BC250FA" w14:textId="77777777" w:rsidR="00665586" w:rsidRPr="0004176C" w:rsidRDefault="00665586" w:rsidP="00665586">
            <w:pPr>
              <w:jc w:val="center"/>
              <w:rPr>
                <w:color w:val="000000"/>
                <w:sz w:val="18"/>
                <w:szCs w:val="18"/>
              </w:rPr>
            </w:pPr>
            <w:r w:rsidRPr="0004176C">
              <w:rPr>
                <w:color w:val="000000"/>
                <w:sz w:val="18"/>
                <w:szCs w:val="18"/>
              </w:rPr>
              <w:t>Family and Disabled - Four units reserved for disabled; new construction/townhouse style</w:t>
            </w:r>
          </w:p>
        </w:tc>
      </w:tr>
      <w:tr w:rsidR="00665586" w:rsidRPr="0004176C" w14:paraId="449B3A84" w14:textId="77777777" w:rsidTr="00665586">
        <w:trPr>
          <w:trHeight w:val="240"/>
        </w:trPr>
        <w:tc>
          <w:tcPr>
            <w:tcW w:w="1326" w:type="pct"/>
            <w:shd w:val="clear" w:color="auto" w:fill="auto"/>
            <w:vAlign w:val="center"/>
            <w:hideMark/>
          </w:tcPr>
          <w:p w14:paraId="5F3CA6A2" w14:textId="77777777" w:rsidR="00665586" w:rsidRPr="0004176C" w:rsidRDefault="00665586" w:rsidP="00665586">
            <w:pPr>
              <w:jc w:val="center"/>
              <w:rPr>
                <w:color w:val="000000"/>
                <w:sz w:val="18"/>
                <w:szCs w:val="18"/>
              </w:rPr>
            </w:pPr>
            <w:r w:rsidRPr="0004176C">
              <w:rPr>
                <w:color w:val="000000"/>
                <w:sz w:val="18"/>
                <w:szCs w:val="18"/>
              </w:rPr>
              <w:t>The Kendall</w:t>
            </w:r>
          </w:p>
        </w:tc>
        <w:tc>
          <w:tcPr>
            <w:tcW w:w="596" w:type="pct"/>
            <w:shd w:val="clear" w:color="auto" w:fill="auto"/>
            <w:vAlign w:val="center"/>
            <w:hideMark/>
          </w:tcPr>
          <w:p w14:paraId="34D18000"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6428501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995AF96"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E7E0BE5" w14:textId="77777777" w:rsidR="00665586" w:rsidRPr="0004176C" w:rsidRDefault="00665586" w:rsidP="00665586">
            <w:pPr>
              <w:jc w:val="center"/>
              <w:rPr>
                <w:color w:val="000000"/>
                <w:sz w:val="18"/>
                <w:szCs w:val="18"/>
              </w:rPr>
            </w:pPr>
            <w:r w:rsidRPr="0004176C">
              <w:rPr>
                <w:color w:val="000000"/>
                <w:sz w:val="18"/>
                <w:szCs w:val="18"/>
              </w:rPr>
              <w:t>Existing SRO; six units at 50% AMI and two units at 30% AMI</w:t>
            </w:r>
          </w:p>
        </w:tc>
      </w:tr>
      <w:tr w:rsidR="00793045" w:rsidRPr="0004176C" w14:paraId="7600AF9E" w14:textId="77777777" w:rsidTr="00665586">
        <w:trPr>
          <w:trHeight w:val="240"/>
        </w:trPr>
        <w:tc>
          <w:tcPr>
            <w:tcW w:w="1326" w:type="pct"/>
            <w:shd w:val="clear" w:color="auto" w:fill="auto"/>
            <w:vAlign w:val="center"/>
          </w:tcPr>
          <w:p w14:paraId="634FF811" w14:textId="42FA8414" w:rsidR="00793045" w:rsidRPr="0004176C" w:rsidRDefault="00793045" w:rsidP="00665586">
            <w:pPr>
              <w:jc w:val="center"/>
              <w:rPr>
                <w:color w:val="000000"/>
                <w:sz w:val="18"/>
                <w:szCs w:val="18"/>
              </w:rPr>
            </w:pPr>
            <w:r w:rsidRPr="0004176C">
              <w:rPr>
                <w:color w:val="000000"/>
                <w:sz w:val="18"/>
                <w:szCs w:val="18"/>
              </w:rPr>
              <w:t>The Residences at Salisbury Square</w:t>
            </w:r>
          </w:p>
        </w:tc>
        <w:tc>
          <w:tcPr>
            <w:tcW w:w="596" w:type="pct"/>
            <w:shd w:val="clear" w:color="auto" w:fill="auto"/>
            <w:vAlign w:val="center"/>
          </w:tcPr>
          <w:p w14:paraId="0DEC7E8B" w14:textId="742408A0" w:rsidR="00793045" w:rsidRPr="0004176C" w:rsidRDefault="00793045" w:rsidP="00665586">
            <w:pPr>
              <w:jc w:val="center"/>
              <w:rPr>
                <w:color w:val="000000"/>
                <w:sz w:val="18"/>
                <w:szCs w:val="18"/>
              </w:rPr>
            </w:pPr>
            <w:r w:rsidRPr="0004176C">
              <w:rPr>
                <w:color w:val="000000"/>
                <w:sz w:val="18"/>
                <w:szCs w:val="18"/>
              </w:rPr>
              <w:t>8</w:t>
            </w:r>
          </w:p>
        </w:tc>
        <w:tc>
          <w:tcPr>
            <w:tcW w:w="674" w:type="pct"/>
            <w:shd w:val="clear" w:color="auto" w:fill="auto"/>
            <w:vAlign w:val="center"/>
          </w:tcPr>
          <w:p w14:paraId="44BF5038" w14:textId="1946409F" w:rsidR="00793045" w:rsidRPr="0004176C" w:rsidRDefault="00793045" w:rsidP="00665586">
            <w:pPr>
              <w:jc w:val="center"/>
              <w:rPr>
                <w:color w:val="000000"/>
                <w:sz w:val="18"/>
                <w:szCs w:val="18"/>
              </w:rPr>
            </w:pPr>
            <w:r w:rsidRPr="0004176C">
              <w:rPr>
                <w:color w:val="000000"/>
                <w:sz w:val="18"/>
                <w:szCs w:val="18"/>
              </w:rPr>
              <w:t>Leased/Issued</w:t>
            </w:r>
          </w:p>
        </w:tc>
        <w:tc>
          <w:tcPr>
            <w:tcW w:w="627" w:type="pct"/>
            <w:shd w:val="clear" w:color="auto" w:fill="auto"/>
            <w:vAlign w:val="center"/>
          </w:tcPr>
          <w:p w14:paraId="7A75573F" w14:textId="7399C477" w:rsidR="00793045" w:rsidRPr="0004176C" w:rsidRDefault="00793045" w:rsidP="00665586">
            <w:pPr>
              <w:jc w:val="center"/>
              <w:rPr>
                <w:color w:val="000000"/>
                <w:sz w:val="18"/>
                <w:szCs w:val="18"/>
              </w:rPr>
            </w:pPr>
            <w:r w:rsidRPr="0004176C">
              <w:rPr>
                <w:color w:val="000000"/>
                <w:sz w:val="18"/>
                <w:szCs w:val="18"/>
              </w:rPr>
              <w:t>No</w:t>
            </w:r>
          </w:p>
        </w:tc>
        <w:tc>
          <w:tcPr>
            <w:tcW w:w="1777" w:type="pct"/>
            <w:shd w:val="clear" w:color="auto" w:fill="auto"/>
            <w:vAlign w:val="center"/>
          </w:tcPr>
          <w:p w14:paraId="02A1031A" w14:textId="397EC3C0" w:rsidR="00793045" w:rsidRPr="0004176C" w:rsidRDefault="00793045" w:rsidP="00665586">
            <w:pPr>
              <w:jc w:val="center"/>
              <w:rPr>
                <w:color w:val="000000"/>
                <w:sz w:val="18"/>
                <w:szCs w:val="18"/>
              </w:rPr>
            </w:pPr>
            <w:r w:rsidRPr="0004176C">
              <w:rPr>
                <w:color w:val="000000"/>
                <w:sz w:val="18"/>
                <w:szCs w:val="18"/>
              </w:rPr>
              <w:t>Family new construction of affordable rental housing</w:t>
            </w:r>
          </w:p>
        </w:tc>
      </w:tr>
      <w:tr w:rsidR="00665586" w:rsidRPr="0004176C" w14:paraId="358407EA" w14:textId="77777777" w:rsidTr="00665586">
        <w:trPr>
          <w:trHeight w:val="480"/>
        </w:trPr>
        <w:tc>
          <w:tcPr>
            <w:tcW w:w="1326" w:type="pct"/>
            <w:shd w:val="clear" w:color="auto" w:fill="auto"/>
            <w:vAlign w:val="center"/>
          </w:tcPr>
          <w:p w14:paraId="6203EE7C" w14:textId="77777777" w:rsidR="002B7D1C" w:rsidRPr="0004176C" w:rsidRDefault="00665586" w:rsidP="00665586">
            <w:pPr>
              <w:jc w:val="center"/>
              <w:rPr>
                <w:sz w:val="18"/>
                <w:szCs w:val="18"/>
              </w:rPr>
            </w:pPr>
            <w:r w:rsidRPr="0004176C">
              <w:rPr>
                <w:sz w:val="18"/>
                <w:szCs w:val="18"/>
              </w:rPr>
              <w:t>The R</w:t>
            </w:r>
            <w:r w:rsidR="002B7D1C" w:rsidRPr="0004176C">
              <w:rPr>
                <w:sz w:val="18"/>
                <w:szCs w:val="18"/>
              </w:rPr>
              <w:t>esidences at Yarmouth Gardens</w:t>
            </w:r>
          </w:p>
          <w:p w14:paraId="1220AA34" w14:textId="0F725E2C" w:rsidR="00665586" w:rsidRPr="0004176C" w:rsidRDefault="002B7D1C" w:rsidP="00665586">
            <w:pPr>
              <w:jc w:val="center"/>
              <w:rPr>
                <w:sz w:val="18"/>
                <w:szCs w:val="18"/>
              </w:rPr>
            </w:pPr>
            <w:r w:rsidRPr="0004176C">
              <w:rPr>
                <w:sz w:val="18"/>
                <w:szCs w:val="18"/>
              </w:rPr>
              <w:t>Y</w:t>
            </w:r>
            <w:r w:rsidR="00665586" w:rsidRPr="0004176C">
              <w:rPr>
                <w:sz w:val="18"/>
                <w:szCs w:val="18"/>
              </w:rPr>
              <w:t>armouth</w:t>
            </w:r>
            <w:r w:rsidRPr="0004176C">
              <w:rPr>
                <w:sz w:val="18"/>
                <w:szCs w:val="18"/>
              </w:rPr>
              <w:t>**</w:t>
            </w:r>
          </w:p>
        </w:tc>
        <w:tc>
          <w:tcPr>
            <w:tcW w:w="596" w:type="pct"/>
            <w:shd w:val="clear" w:color="auto" w:fill="auto"/>
            <w:vAlign w:val="center"/>
          </w:tcPr>
          <w:p w14:paraId="0A2E54FA"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2E7EA442"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4B703C9C"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2BD21533" w14:textId="77777777" w:rsidR="00665586" w:rsidRPr="0004176C" w:rsidRDefault="00665586" w:rsidP="00665586">
            <w:pPr>
              <w:jc w:val="center"/>
              <w:rPr>
                <w:sz w:val="18"/>
                <w:szCs w:val="18"/>
              </w:rPr>
            </w:pPr>
            <w:r w:rsidRPr="0004176C">
              <w:rPr>
                <w:sz w:val="18"/>
                <w:szCs w:val="18"/>
              </w:rPr>
              <w:t>New Construction – Family Housing</w:t>
            </w:r>
          </w:p>
        </w:tc>
      </w:tr>
      <w:tr w:rsidR="00665586" w:rsidRPr="0004176C" w14:paraId="76AD8814" w14:textId="77777777" w:rsidTr="00665586">
        <w:trPr>
          <w:trHeight w:val="240"/>
        </w:trPr>
        <w:tc>
          <w:tcPr>
            <w:tcW w:w="1326" w:type="pct"/>
            <w:shd w:val="clear" w:color="auto" w:fill="auto"/>
            <w:vAlign w:val="center"/>
            <w:hideMark/>
          </w:tcPr>
          <w:p w14:paraId="2530734D" w14:textId="77777777" w:rsidR="00665586" w:rsidRPr="0004176C" w:rsidRDefault="00665586" w:rsidP="00665586">
            <w:pPr>
              <w:jc w:val="center"/>
              <w:rPr>
                <w:color w:val="000000"/>
                <w:sz w:val="18"/>
                <w:szCs w:val="18"/>
              </w:rPr>
            </w:pPr>
            <w:r w:rsidRPr="0004176C">
              <w:rPr>
                <w:color w:val="000000"/>
                <w:sz w:val="18"/>
                <w:szCs w:val="18"/>
              </w:rPr>
              <w:t>TILL Building</w:t>
            </w:r>
          </w:p>
        </w:tc>
        <w:tc>
          <w:tcPr>
            <w:tcW w:w="596" w:type="pct"/>
            <w:shd w:val="clear" w:color="auto" w:fill="auto"/>
            <w:vAlign w:val="center"/>
            <w:hideMark/>
          </w:tcPr>
          <w:p w14:paraId="4EC41BE6" w14:textId="77777777" w:rsidR="00665586" w:rsidRPr="0004176C" w:rsidRDefault="00665586" w:rsidP="00665586">
            <w:pPr>
              <w:jc w:val="center"/>
              <w:rPr>
                <w:color w:val="000000"/>
                <w:sz w:val="18"/>
                <w:szCs w:val="18"/>
              </w:rPr>
            </w:pPr>
            <w:r w:rsidRPr="0004176C">
              <w:rPr>
                <w:color w:val="000000"/>
                <w:sz w:val="18"/>
                <w:szCs w:val="18"/>
              </w:rPr>
              <w:t>5</w:t>
            </w:r>
          </w:p>
        </w:tc>
        <w:tc>
          <w:tcPr>
            <w:tcW w:w="674" w:type="pct"/>
            <w:shd w:val="clear" w:color="auto" w:fill="auto"/>
            <w:vAlign w:val="center"/>
            <w:hideMark/>
          </w:tcPr>
          <w:p w14:paraId="546F38F8"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9E969F2"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A923951"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0C3F4181" w14:textId="77777777" w:rsidTr="00665586">
        <w:trPr>
          <w:trHeight w:val="240"/>
        </w:trPr>
        <w:tc>
          <w:tcPr>
            <w:tcW w:w="1326" w:type="pct"/>
            <w:shd w:val="clear" w:color="auto" w:fill="auto"/>
            <w:vAlign w:val="center"/>
            <w:hideMark/>
          </w:tcPr>
          <w:p w14:paraId="7A4A552F" w14:textId="77777777" w:rsidR="00665586" w:rsidRPr="0004176C" w:rsidRDefault="00665586" w:rsidP="00665586">
            <w:pPr>
              <w:jc w:val="center"/>
              <w:rPr>
                <w:color w:val="000000"/>
                <w:sz w:val="18"/>
                <w:szCs w:val="18"/>
              </w:rPr>
            </w:pPr>
            <w:r w:rsidRPr="0004176C">
              <w:rPr>
                <w:color w:val="000000"/>
                <w:sz w:val="18"/>
                <w:szCs w:val="18"/>
              </w:rPr>
              <w:t>Tri-Town Landing</w:t>
            </w:r>
          </w:p>
        </w:tc>
        <w:tc>
          <w:tcPr>
            <w:tcW w:w="596" w:type="pct"/>
            <w:shd w:val="clear" w:color="auto" w:fill="auto"/>
            <w:vAlign w:val="center"/>
            <w:hideMark/>
          </w:tcPr>
          <w:p w14:paraId="10B2D7E6"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381154B8"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BEBD93C"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1F983B9" w14:textId="4B71D94F" w:rsidR="00665586" w:rsidRPr="0004176C" w:rsidRDefault="00665586" w:rsidP="00665586">
            <w:pPr>
              <w:jc w:val="center"/>
              <w:rPr>
                <w:color w:val="000000"/>
                <w:sz w:val="18"/>
                <w:szCs w:val="18"/>
              </w:rPr>
            </w:pPr>
            <w:r w:rsidRPr="0004176C">
              <w:rPr>
                <w:color w:val="000000"/>
                <w:sz w:val="18"/>
                <w:szCs w:val="18"/>
              </w:rPr>
              <w:t>Family - New construction on site of former drive-in</w:t>
            </w:r>
          </w:p>
        </w:tc>
      </w:tr>
      <w:tr w:rsidR="00665586" w:rsidRPr="0004176C" w14:paraId="1B5B742C" w14:textId="77777777" w:rsidTr="00665586">
        <w:trPr>
          <w:trHeight w:val="240"/>
        </w:trPr>
        <w:tc>
          <w:tcPr>
            <w:tcW w:w="1326" w:type="pct"/>
            <w:shd w:val="clear" w:color="auto" w:fill="auto"/>
            <w:vAlign w:val="center"/>
            <w:hideMark/>
          </w:tcPr>
          <w:p w14:paraId="71C0978D" w14:textId="77777777" w:rsidR="00665586" w:rsidRPr="0004176C" w:rsidRDefault="00665586" w:rsidP="00665586">
            <w:pPr>
              <w:jc w:val="center"/>
              <w:rPr>
                <w:color w:val="000000"/>
                <w:sz w:val="18"/>
                <w:szCs w:val="18"/>
              </w:rPr>
            </w:pPr>
            <w:r w:rsidRPr="0004176C">
              <w:rPr>
                <w:color w:val="000000"/>
                <w:sz w:val="18"/>
                <w:szCs w:val="18"/>
              </w:rPr>
              <w:t>Tri-Town Landing I</w:t>
            </w:r>
          </w:p>
        </w:tc>
        <w:tc>
          <w:tcPr>
            <w:tcW w:w="596" w:type="pct"/>
            <w:shd w:val="clear" w:color="auto" w:fill="auto"/>
            <w:vAlign w:val="center"/>
            <w:hideMark/>
          </w:tcPr>
          <w:p w14:paraId="0482E414"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2C747D74"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BFD88BC"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873539D"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5B37E47F" w14:textId="77777777" w:rsidTr="00665586">
        <w:trPr>
          <w:trHeight w:val="240"/>
        </w:trPr>
        <w:tc>
          <w:tcPr>
            <w:tcW w:w="1326" w:type="pct"/>
            <w:shd w:val="clear" w:color="auto" w:fill="auto"/>
            <w:vAlign w:val="center"/>
            <w:hideMark/>
          </w:tcPr>
          <w:p w14:paraId="1E847010" w14:textId="77777777" w:rsidR="00665586" w:rsidRPr="0004176C" w:rsidRDefault="00665586" w:rsidP="00665586">
            <w:pPr>
              <w:jc w:val="center"/>
              <w:rPr>
                <w:color w:val="000000"/>
                <w:sz w:val="18"/>
                <w:szCs w:val="18"/>
              </w:rPr>
            </w:pPr>
            <w:r w:rsidRPr="0004176C">
              <w:rPr>
                <w:color w:val="000000"/>
                <w:sz w:val="18"/>
                <w:szCs w:val="18"/>
              </w:rPr>
              <w:t>Tri-Town Landing II</w:t>
            </w:r>
          </w:p>
        </w:tc>
        <w:tc>
          <w:tcPr>
            <w:tcW w:w="596" w:type="pct"/>
            <w:shd w:val="clear" w:color="auto" w:fill="auto"/>
            <w:vAlign w:val="center"/>
            <w:hideMark/>
          </w:tcPr>
          <w:p w14:paraId="59CBD281"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B577DA5"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67C1A86"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21282FC" w14:textId="77777777" w:rsidR="00665586" w:rsidRPr="0004176C" w:rsidRDefault="00665586" w:rsidP="00665586">
            <w:pPr>
              <w:jc w:val="center"/>
              <w:rPr>
                <w:color w:val="000000"/>
                <w:sz w:val="18"/>
                <w:szCs w:val="18"/>
              </w:rPr>
            </w:pPr>
            <w:r w:rsidRPr="0004176C">
              <w:rPr>
                <w:color w:val="000000"/>
                <w:sz w:val="18"/>
                <w:szCs w:val="18"/>
              </w:rPr>
              <w:t>Family - New construction of three-story building; former drive-in</w:t>
            </w:r>
          </w:p>
        </w:tc>
      </w:tr>
      <w:tr w:rsidR="00665586" w:rsidRPr="0004176C" w14:paraId="60E5DC04" w14:textId="77777777" w:rsidTr="00665586">
        <w:trPr>
          <w:trHeight w:val="480"/>
        </w:trPr>
        <w:tc>
          <w:tcPr>
            <w:tcW w:w="1326" w:type="pct"/>
            <w:shd w:val="clear" w:color="auto" w:fill="auto"/>
            <w:vAlign w:val="center"/>
            <w:hideMark/>
          </w:tcPr>
          <w:p w14:paraId="0A45CC02" w14:textId="77777777" w:rsidR="00665586" w:rsidRPr="0004176C" w:rsidRDefault="00665586" w:rsidP="00665586">
            <w:pPr>
              <w:jc w:val="center"/>
              <w:rPr>
                <w:color w:val="000000"/>
                <w:sz w:val="18"/>
                <w:szCs w:val="18"/>
              </w:rPr>
            </w:pPr>
            <w:r w:rsidRPr="0004176C">
              <w:rPr>
                <w:color w:val="000000"/>
                <w:sz w:val="18"/>
                <w:szCs w:val="18"/>
              </w:rPr>
              <w:t>Twelve Summer Street</w:t>
            </w:r>
          </w:p>
        </w:tc>
        <w:tc>
          <w:tcPr>
            <w:tcW w:w="596" w:type="pct"/>
            <w:shd w:val="clear" w:color="auto" w:fill="auto"/>
            <w:vAlign w:val="center"/>
            <w:hideMark/>
          </w:tcPr>
          <w:p w14:paraId="32B02379"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2A4D9C05"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E673518"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86CCC48"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155A021F" w14:textId="77777777" w:rsidTr="00665586">
        <w:trPr>
          <w:trHeight w:val="240"/>
        </w:trPr>
        <w:tc>
          <w:tcPr>
            <w:tcW w:w="1326" w:type="pct"/>
            <w:shd w:val="clear" w:color="auto" w:fill="auto"/>
            <w:vAlign w:val="center"/>
            <w:hideMark/>
          </w:tcPr>
          <w:p w14:paraId="6D367AF0" w14:textId="77777777" w:rsidR="00665586" w:rsidRPr="0004176C" w:rsidRDefault="00665586" w:rsidP="00665586">
            <w:pPr>
              <w:jc w:val="center"/>
              <w:rPr>
                <w:sz w:val="18"/>
                <w:szCs w:val="18"/>
              </w:rPr>
            </w:pPr>
            <w:r w:rsidRPr="0004176C">
              <w:rPr>
                <w:sz w:val="18"/>
                <w:szCs w:val="18"/>
              </w:rPr>
              <w:t>Union Crossing</w:t>
            </w:r>
          </w:p>
        </w:tc>
        <w:tc>
          <w:tcPr>
            <w:tcW w:w="596" w:type="pct"/>
            <w:shd w:val="clear" w:color="auto" w:fill="auto"/>
            <w:vAlign w:val="center"/>
            <w:hideMark/>
          </w:tcPr>
          <w:p w14:paraId="5E174232"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hideMark/>
          </w:tcPr>
          <w:p w14:paraId="3D535F7E" w14:textId="77777777" w:rsidR="00665586" w:rsidRPr="0004176C" w:rsidRDefault="00665586" w:rsidP="00665586">
            <w:pPr>
              <w:jc w:val="center"/>
              <w:rPr>
                <w:sz w:val="18"/>
                <w:szCs w:val="18"/>
              </w:rPr>
            </w:pPr>
            <w:r w:rsidRPr="0004176C">
              <w:rPr>
                <w:sz w:val="18"/>
                <w:szCs w:val="18"/>
              </w:rPr>
              <w:t>Leased/Issued</w:t>
            </w:r>
          </w:p>
        </w:tc>
        <w:tc>
          <w:tcPr>
            <w:tcW w:w="627" w:type="pct"/>
            <w:shd w:val="clear" w:color="auto" w:fill="auto"/>
            <w:vAlign w:val="center"/>
            <w:hideMark/>
          </w:tcPr>
          <w:p w14:paraId="42832AC2"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hideMark/>
          </w:tcPr>
          <w:p w14:paraId="3D0C20FB" w14:textId="77777777" w:rsidR="00665586" w:rsidRPr="0004176C" w:rsidRDefault="00665586" w:rsidP="00665586">
            <w:pPr>
              <w:jc w:val="center"/>
              <w:rPr>
                <w:sz w:val="18"/>
                <w:szCs w:val="18"/>
              </w:rPr>
            </w:pPr>
            <w:r w:rsidRPr="0004176C">
              <w:rPr>
                <w:sz w:val="18"/>
                <w:szCs w:val="18"/>
              </w:rPr>
              <w:t>Family units</w:t>
            </w:r>
          </w:p>
        </w:tc>
      </w:tr>
      <w:tr w:rsidR="00665586" w:rsidRPr="0004176C" w14:paraId="0ED4BCBE" w14:textId="77777777" w:rsidTr="00665586">
        <w:trPr>
          <w:trHeight w:val="480"/>
        </w:trPr>
        <w:tc>
          <w:tcPr>
            <w:tcW w:w="1326" w:type="pct"/>
            <w:shd w:val="clear" w:color="auto" w:fill="auto"/>
            <w:vAlign w:val="center"/>
          </w:tcPr>
          <w:p w14:paraId="3EFD9BC7" w14:textId="77777777" w:rsidR="002B7D1C" w:rsidRPr="0004176C" w:rsidRDefault="00665586" w:rsidP="00665586">
            <w:pPr>
              <w:jc w:val="center"/>
              <w:rPr>
                <w:sz w:val="18"/>
                <w:szCs w:val="18"/>
              </w:rPr>
            </w:pPr>
            <w:r w:rsidRPr="0004176C">
              <w:rPr>
                <w:sz w:val="18"/>
                <w:szCs w:val="18"/>
              </w:rPr>
              <w:t xml:space="preserve">Union Street Lofts, </w:t>
            </w:r>
          </w:p>
          <w:p w14:paraId="391016EF" w14:textId="39A7201F" w:rsidR="00665586" w:rsidRPr="0004176C" w:rsidRDefault="00665586" w:rsidP="00665586">
            <w:pPr>
              <w:jc w:val="center"/>
              <w:rPr>
                <w:sz w:val="18"/>
                <w:szCs w:val="18"/>
              </w:rPr>
            </w:pPr>
            <w:r w:rsidRPr="0004176C">
              <w:rPr>
                <w:sz w:val="18"/>
                <w:szCs w:val="18"/>
              </w:rPr>
              <w:t>New Bedford</w:t>
            </w:r>
            <w:r w:rsidR="002B7D1C" w:rsidRPr="0004176C">
              <w:rPr>
                <w:sz w:val="18"/>
                <w:szCs w:val="18"/>
              </w:rPr>
              <w:t>**</w:t>
            </w:r>
          </w:p>
        </w:tc>
        <w:tc>
          <w:tcPr>
            <w:tcW w:w="596" w:type="pct"/>
            <w:shd w:val="clear" w:color="auto" w:fill="auto"/>
            <w:vAlign w:val="center"/>
          </w:tcPr>
          <w:p w14:paraId="394CA717" w14:textId="77777777" w:rsidR="00665586" w:rsidRPr="0004176C" w:rsidRDefault="00665586" w:rsidP="00665586">
            <w:pPr>
              <w:jc w:val="center"/>
              <w:rPr>
                <w:sz w:val="18"/>
                <w:szCs w:val="18"/>
              </w:rPr>
            </w:pPr>
            <w:r w:rsidRPr="0004176C">
              <w:rPr>
                <w:sz w:val="18"/>
                <w:szCs w:val="18"/>
              </w:rPr>
              <w:t>5</w:t>
            </w:r>
          </w:p>
        </w:tc>
        <w:tc>
          <w:tcPr>
            <w:tcW w:w="674" w:type="pct"/>
            <w:shd w:val="clear" w:color="auto" w:fill="auto"/>
            <w:vAlign w:val="center"/>
          </w:tcPr>
          <w:p w14:paraId="4CB2F625"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0899CCA6"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0F4CC2AA" w14:textId="77777777" w:rsidR="00665586" w:rsidRPr="0004176C" w:rsidRDefault="00665586" w:rsidP="00665586">
            <w:pPr>
              <w:jc w:val="center"/>
              <w:rPr>
                <w:sz w:val="18"/>
                <w:szCs w:val="18"/>
              </w:rPr>
            </w:pPr>
            <w:r w:rsidRPr="0004176C">
              <w:rPr>
                <w:sz w:val="18"/>
                <w:szCs w:val="18"/>
              </w:rPr>
              <w:t>Existing – Rehab, Family Housing</w:t>
            </w:r>
          </w:p>
        </w:tc>
      </w:tr>
      <w:tr w:rsidR="00665586" w:rsidRPr="0004176C" w14:paraId="14E78970" w14:textId="77777777" w:rsidTr="00665586">
        <w:trPr>
          <w:trHeight w:val="240"/>
        </w:trPr>
        <w:tc>
          <w:tcPr>
            <w:tcW w:w="1326" w:type="pct"/>
            <w:shd w:val="clear" w:color="auto" w:fill="auto"/>
            <w:vAlign w:val="center"/>
            <w:hideMark/>
          </w:tcPr>
          <w:p w14:paraId="1259755B" w14:textId="77777777" w:rsidR="00665586" w:rsidRPr="0004176C" w:rsidRDefault="00665586" w:rsidP="00665586">
            <w:pPr>
              <w:jc w:val="center"/>
              <w:rPr>
                <w:color w:val="000000"/>
                <w:sz w:val="18"/>
                <w:szCs w:val="18"/>
              </w:rPr>
            </w:pPr>
            <w:r w:rsidRPr="0004176C">
              <w:rPr>
                <w:color w:val="000000"/>
                <w:sz w:val="18"/>
                <w:szCs w:val="18"/>
              </w:rPr>
              <w:t>Unity House</w:t>
            </w:r>
          </w:p>
        </w:tc>
        <w:tc>
          <w:tcPr>
            <w:tcW w:w="596" w:type="pct"/>
            <w:shd w:val="clear" w:color="auto" w:fill="auto"/>
            <w:vAlign w:val="center"/>
            <w:hideMark/>
          </w:tcPr>
          <w:p w14:paraId="0CF7DD9B"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1BFD49F8"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F0B6D95"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477D9B3" w14:textId="77777777" w:rsidR="00665586" w:rsidRPr="0004176C" w:rsidRDefault="00665586" w:rsidP="00665586">
            <w:pPr>
              <w:jc w:val="center"/>
              <w:rPr>
                <w:color w:val="000000"/>
                <w:sz w:val="18"/>
                <w:szCs w:val="18"/>
              </w:rPr>
            </w:pPr>
            <w:r w:rsidRPr="0004176C">
              <w:rPr>
                <w:color w:val="000000"/>
                <w:sz w:val="18"/>
                <w:szCs w:val="18"/>
              </w:rPr>
              <w:t>Family units; supportive services</w:t>
            </w:r>
          </w:p>
        </w:tc>
      </w:tr>
      <w:tr w:rsidR="00665586" w:rsidRPr="0004176C" w14:paraId="3F78E69A" w14:textId="77777777" w:rsidTr="00665586">
        <w:trPr>
          <w:trHeight w:val="240"/>
        </w:trPr>
        <w:tc>
          <w:tcPr>
            <w:tcW w:w="1326" w:type="pct"/>
            <w:shd w:val="clear" w:color="auto" w:fill="auto"/>
            <w:vAlign w:val="center"/>
            <w:hideMark/>
          </w:tcPr>
          <w:p w14:paraId="11904643" w14:textId="77777777" w:rsidR="00665586" w:rsidRPr="0004176C" w:rsidRDefault="00665586" w:rsidP="00665586">
            <w:pPr>
              <w:jc w:val="center"/>
              <w:rPr>
                <w:color w:val="000000"/>
                <w:sz w:val="18"/>
                <w:szCs w:val="18"/>
              </w:rPr>
            </w:pPr>
            <w:r w:rsidRPr="0004176C">
              <w:rPr>
                <w:color w:val="000000"/>
                <w:sz w:val="18"/>
                <w:szCs w:val="18"/>
              </w:rPr>
              <w:t>Unquity House</w:t>
            </w:r>
          </w:p>
        </w:tc>
        <w:tc>
          <w:tcPr>
            <w:tcW w:w="596" w:type="pct"/>
            <w:shd w:val="clear" w:color="auto" w:fill="auto"/>
            <w:vAlign w:val="center"/>
            <w:hideMark/>
          </w:tcPr>
          <w:p w14:paraId="66E43122" w14:textId="77777777" w:rsidR="00665586" w:rsidRPr="0004176C" w:rsidRDefault="00665586" w:rsidP="00665586">
            <w:pPr>
              <w:jc w:val="center"/>
              <w:rPr>
                <w:color w:val="000000"/>
                <w:sz w:val="18"/>
                <w:szCs w:val="18"/>
              </w:rPr>
            </w:pPr>
            <w:r w:rsidRPr="0004176C">
              <w:rPr>
                <w:color w:val="000000"/>
                <w:sz w:val="18"/>
                <w:szCs w:val="18"/>
              </w:rPr>
              <w:t>139</w:t>
            </w:r>
          </w:p>
        </w:tc>
        <w:tc>
          <w:tcPr>
            <w:tcW w:w="674" w:type="pct"/>
            <w:shd w:val="clear" w:color="auto" w:fill="auto"/>
            <w:vAlign w:val="center"/>
            <w:hideMark/>
          </w:tcPr>
          <w:p w14:paraId="5B3DD96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ECA9F35" w14:textId="77777777" w:rsidR="00665586" w:rsidRPr="0004176C" w:rsidRDefault="00665586" w:rsidP="00665586">
            <w:pPr>
              <w:jc w:val="center"/>
              <w:rPr>
                <w:color w:val="000000"/>
                <w:sz w:val="18"/>
                <w:szCs w:val="18"/>
              </w:rPr>
            </w:pPr>
            <w:r w:rsidRPr="0004176C">
              <w:rPr>
                <w:color w:val="000000"/>
                <w:sz w:val="18"/>
                <w:szCs w:val="18"/>
              </w:rPr>
              <w:t>Yes</w:t>
            </w:r>
          </w:p>
        </w:tc>
        <w:tc>
          <w:tcPr>
            <w:tcW w:w="1777" w:type="pct"/>
            <w:shd w:val="clear" w:color="auto" w:fill="auto"/>
            <w:vAlign w:val="center"/>
            <w:hideMark/>
          </w:tcPr>
          <w:p w14:paraId="6E4A9D13" w14:textId="77777777" w:rsidR="00665586" w:rsidRPr="0004176C" w:rsidRDefault="00665586" w:rsidP="00665586">
            <w:pPr>
              <w:jc w:val="center"/>
              <w:rPr>
                <w:color w:val="000000"/>
                <w:sz w:val="18"/>
                <w:szCs w:val="18"/>
              </w:rPr>
            </w:pPr>
            <w:r w:rsidRPr="0004176C">
              <w:rPr>
                <w:color w:val="000000"/>
                <w:sz w:val="18"/>
                <w:szCs w:val="18"/>
              </w:rPr>
              <w:t>RAD (Rent Supp) - Existing Elderly Housing - one high rise</w:t>
            </w:r>
          </w:p>
        </w:tc>
      </w:tr>
      <w:tr w:rsidR="00665586" w:rsidRPr="0004176C" w14:paraId="21E7C2F3" w14:textId="77777777" w:rsidTr="00665586">
        <w:trPr>
          <w:trHeight w:val="480"/>
        </w:trPr>
        <w:tc>
          <w:tcPr>
            <w:tcW w:w="1326" w:type="pct"/>
            <w:shd w:val="clear" w:color="auto" w:fill="auto"/>
            <w:vAlign w:val="center"/>
            <w:hideMark/>
          </w:tcPr>
          <w:p w14:paraId="1C336FCC" w14:textId="77777777" w:rsidR="00665586" w:rsidRPr="0004176C" w:rsidRDefault="00665586" w:rsidP="00665586">
            <w:pPr>
              <w:jc w:val="center"/>
              <w:rPr>
                <w:color w:val="000000"/>
                <w:sz w:val="18"/>
                <w:szCs w:val="18"/>
              </w:rPr>
            </w:pPr>
            <w:r w:rsidRPr="0004176C">
              <w:rPr>
                <w:color w:val="000000"/>
                <w:sz w:val="18"/>
                <w:szCs w:val="18"/>
              </w:rPr>
              <w:t>Veteran’s Supportive Housing/1323 Broadway Street</w:t>
            </w:r>
          </w:p>
        </w:tc>
        <w:tc>
          <w:tcPr>
            <w:tcW w:w="596" w:type="pct"/>
            <w:shd w:val="clear" w:color="auto" w:fill="auto"/>
            <w:vAlign w:val="center"/>
            <w:hideMark/>
          </w:tcPr>
          <w:p w14:paraId="7C54B461" w14:textId="77777777" w:rsidR="00665586" w:rsidRPr="0004176C" w:rsidRDefault="00665586" w:rsidP="00665586">
            <w:pPr>
              <w:jc w:val="center"/>
              <w:rPr>
                <w:color w:val="000000"/>
                <w:sz w:val="18"/>
                <w:szCs w:val="18"/>
              </w:rPr>
            </w:pPr>
            <w:r w:rsidRPr="0004176C">
              <w:rPr>
                <w:color w:val="000000"/>
                <w:sz w:val="18"/>
                <w:szCs w:val="18"/>
              </w:rPr>
              <w:t>7</w:t>
            </w:r>
          </w:p>
        </w:tc>
        <w:tc>
          <w:tcPr>
            <w:tcW w:w="674" w:type="pct"/>
            <w:shd w:val="clear" w:color="auto" w:fill="auto"/>
            <w:vAlign w:val="center"/>
            <w:hideMark/>
          </w:tcPr>
          <w:p w14:paraId="5898F42F"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EDC8E28"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E4681A0" w14:textId="77777777" w:rsidR="00665586" w:rsidRPr="0004176C" w:rsidRDefault="00665586" w:rsidP="00665586">
            <w:pPr>
              <w:jc w:val="center"/>
              <w:rPr>
                <w:color w:val="000000"/>
                <w:sz w:val="18"/>
                <w:szCs w:val="18"/>
              </w:rPr>
            </w:pPr>
            <w:r w:rsidRPr="0004176C">
              <w:rPr>
                <w:color w:val="000000"/>
                <w:sz w:val="18"/>
                <w:szCs w:val="18"/>
              </w:rPr>
              <w:t>Supportive Housing - Homeless veterans; rehab of former nursing home</w:t>
            </w:r>
          </w:p>
        </w:tc>
      </w:tr>
      <w:tr w:rsidR="00665586" w:rsidRPr="0004176C" w14:paraId="2B696859" w14:textId="77777777" w:rsidTr="00665586">
        <w:trPr>
          <w:trHeight w:val="240"/>
        </w:trPr>
        <w:tc>
          <w:tcPr>
            <w:tcW w:w="1326" w:type="pct"/>
            <w:shd w:val="clear" w:color="auto" w:fill="auto"/>
            <w:vAlign w:val="center"/>
            <w:hideMark/>
          </w:tcPr>
          <w:p w14:paraId="532EA670" w14:textId="77777777" w:rsidR="00665586" w:rsidRPr="0004176C" w:rsidRDefault="00665586" w:rsidP="00665586">
            <w:pPr>
              <w:jc w:val="center"/>
              <w:rPr>
                <w:color w:val="000000"/>
                <w:sz w:val="18"/>
                <w:szCs w:val="18"/>
              </w:rPr>
            </w:pPr>
            <w:r w:rsidRPr="0004176C">
              <w:rPr>
                <w:color w:val="000000"/>
                <w:sz w:val="18"/>
                <w:szCs w:val="18"/>
              </w:rPr>
              <w:t>Veterans Park Apartments/Schoolhouse Green</w:t>
            </w:r>
          </w:p>
        </w:tc>
        <w:tc>
          <w:tcPr>
            <w:tcW w:w="596" w:type="pct"/>
            <w:shd w:val="clear" w:color="auto" w:fill="auto"/>
            <w:vAlign w:val="center"/>
            <w:hideMark/>
          </w:tcPr>
          <w:p w14:paraId="3FB3FF70"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75B42F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325621E"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C31BE96"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677583B4" w14:textId="77777777" w:rsidTr="00665586">
        <w:trPr>
          <w:trHeight w:val="240"/>
        </w:trPr>
        <w:tc>
          <w:tcPr>
            <w:tcW w:w="1326" w:type="pct"/>
            <w:shd w:val="clear" w:color="auto" w:fill="auto"/>
            <w:vAlign w:val="center"/>
            <w:hideMark/>
          </w:tcPr>
          <w:p w14:paraId="05D4DF60" w14:textId="69AA8756" w:rsidR="00665586" w:rsidRPr="0004176C" w:rsidRDefault="00665586" w:rsidP="00665586">
            <w:pPr>
              <w:jc w:val="center"/>
              <w:rPr>
                <w:color w:val="000000"/>
                <w:sz w:val="18"/>
                <w:szCs w:val="18"/>
              </w:rPr>
            </w:pPr>
            <w:r w:rsidRPr="0004176C">
              <w:rPr>
                <w:color w:val="000000"/>
                <w:sz w:val="18"/>
                <w:szCs w:val="18"/>
              </w:rPr>
              <w:t>Village at 815 Main</w:t>
            </w:r>
          </w:p>
        </w:tc>
        <w:tc>
          <w:tcPr>
            <w:tcW w:w="596" w:type="pct"/>
            <w:shd w:val="clear" w:color="auto" w:fill="auto"/>
            <w:vAlign w:val="center"/>
            <w:hideMark/>
          </w:tcPr>
          <w:p w14:paraId="528A0C76" w14:textId="77777777" w:rsidR="00665586" w:rsidRPr="0004176C" w:rsidRDefault="00665586" w:rsidP="00665586">
            <w:pPr>
              <w:jc w:val="center"/>
              <w:rPr>
                <w:color w:val="000000"/>
                <w:sz w:val="18"/>
                <w:szCs w:val="18"/>
              </w:rPr>
            </w:pPr>
            <w:r w:rsidRPr="0004176C">
              <w:rPr>
                <w:color w:val="000000"/>
                <w:sz w:val="18"/>
                <w:szCs w:val="18"/>
              </w:rPr>
              <w:t>5</w:t>
            </w:r>
          </w:p>
        </w:tc>
        <w:tc>
          <w:tcPr>
            <w:tcW w:w="674" w:type="pct"/>
            <w:shd w:val="clear" w:color="auto" w:fill="auto"/>
            <w:vAlign w:val="center"/>
            <w:hideMark/>
          </w:tcPr>
          <w:p w14:paraId="150CF99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DD0C158"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C96277C"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5A4851B1" w14:textId="77777777" w:rsidTr="00665586">
        <w:trPr>
          <w:trHeight w:val="240"/>
        </w:trPr>
        <w:tc>
          <w:tcPr>
            <w:tcW w:w="1326" w:type="pct"/>
            <w:shd w:val="clear" w:color="auto" w:fill="auto"/>
            <w:vAlign w:val="center"/>
            <w:hideMark/>
          </w:tcPr>
          <w:p w14:paraId="224A916B" w14:textId="77777777" w:rsidR="00665586" w:rsidRPr="0004176C" w:rsidRDefault="00665586" w:rsidP="00665586">
            <w:pPr>
              <w:jc w:val="center"/>
              <w:rPr>
                <w:color w:val="000000"/>
                <w:sz w:val="18"/>
                <w:szCs w:val="18"/>
              </w:rPr>
            </w:pPr>
            <w:r w:rsidRPr="0004176C">
              <w:rPr>
                <w:color w:val="000000"/>
                <w:sz w:val="18"/>
                <w:szCs w:val="18"/>
              </w:rPr>
              <w:t>Village at Hospital Hill</w:t>
            </w:r>
          </w:p>
        </w:tc>
        <w:tc>
          <w:tcPr>
            <w:tcW w:w="596" w:type="pct"/>
            <w:shd w:val="clear" w:color="auto" w:fill="auto"/>
            <w:vAlign w:val="center"/>
            <w:hideMark/>
          </w:tcPr>
          <w:p w14:paraId="21B98778"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658ED903"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42840C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74AC3DB"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6B28BFCF" w14:textId="77777777" w:rsidTr="00665586">
        <w:trPr>
          <w:trHeight w:val="240"/>
        </w:trPr>
        <w:tc>
          <w:tcPr>
            <w:tcW w:w="1326" w:type="pct"/>
            <w:shd w:val="clear" w:color="auto" w:fill="auto"/>
            <w:vAlign w:val="center"/>
            <w:hideMark/>
          </w:tcPr>
          <w:p w14:paraId="2372E8CA" w14:textId="77777777" w:rsidR="00665586" w:rsidRPr="0004176C" w:rsidRDefault="00665586" w:rsidP="00665586">
            <w:pPr>
              <w:jc w:val="center"/>
              <w:rPr>
                <w:color w:val="000000"/>
                <w:sz w:val="18"/>
                <w:szCs w:val="18"/>
              </w:rPr>
            </w:pPr>
            <w:r w:rsidRPr="0004176C">
              <w:rPr>
                <w:color w:val="000000"/>
                <w:sz w:val="18"/>
                <w:szCs w:val="18"/>
              </w:rPr>
              <w:t xml:space="preserve">Village at Hospital Hill II </w:t>
            </w:r>
            <w:r w:rsidRPr="0004176C">
              <w:rPr>
                <w:b/>
                <w:bCs/>
                <w:i/>
                <w:iCs/>
                <w:color w:val="000000"/>
                <w:sz w:val="18"/>
                <w:szCs w:val="18"/>
              </w:rPr>
              <w:t>Part of Phase I</w:t>
            </w:r>
          </w:p>
        </w:tc>
        <w:tc>
          <w:tcPr>
            <w:tcW w:w="596" w:type="pct"/>
            <w:shd w:val="clear" w:color="auto" w:fill="auto"/>
            <w:vAlign w:val="center"/>
            <w:hideMark/>
          </w:tcPr>
          <w:p w14:paraId="0A596008"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21C5D3C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D5AF820"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5EDB43F"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5B220A5D" w14:textId="77777777" w:rsidTr="00665586">
        <w:trPr>
          <w:trHeight w:val="240"/>
        </w:trPr>
        <w:tc>
          <w:tcPr>
            <w:tcW w:w="1326" w:type="pct"/>
            <w:shd w:val="clear" w:color="auto" w:fill="auto"/>
            <w:vAlign w:val="center"/>
            <w:hideMark/>
          </w:tcPr>
          <w:p w14:paraId="155349C2" w14:textId="77777777" w:rsidR="00665586" w:rsidRPr="0004176C" w:rsidRDefault="00665586" w:rsidP="00665586">
            <w:pPr>
              <w:jc w:val="center"/>
              <w:rPr>
                <w:color w:val="000000"/>
                <w:sz w:val="18"/>
                <w:szCs w:val="18"/>
              </w:rPr>
            </w:pPr>
            <w:r w:rsidRPr="0004176C">
              <w:rPr>
                <w:color w:val="000000"/>
                <w:sz w:val="18"/>
                <w:szCs w:val="18"/>
              </w:rPr>
              <w:t>Village at Lincoln Park</w:t>
            </w:r>
          </w:p>
        </w:tc>
        <w:tc>
          <w:tcPr>
            <w:tcW w:w="596" w:type="pct"/>
            <w:shd w:val="clear" w:color="auto" w:fill="auto"/>
            <w:vAlign w:val="center"/>
            <w:hideMark/>
          </w:tcPr>
          <w:p w14:paraId="37415E23" w14:textId="77777777" w:rsidR="00665586" w:rsidRPr="0004176C" w:rsidRDefault="00665586" w:rsidP="00665586">
            <w:pPr>
              <w:jc w:val="center"/>
              <w:rPr>
                <w:color w:val="000000"/>
                <w:sz w:val="18"/>
                <w:szCs w:val="18"/>
              </w:rPr>
            </w:pPr>
            <w:r w:rsidRPr="0004176C">
              <w:rPr>
                <w:color w:val="000000"/>
                <w:sz w:val="18"/>
                <w:szCs w:val="18"/>
              </w:rPr>
              <w:t>3</w:t>
            </w:r>
          </w:p>
        </w:tc>
        <w:tc>
          <w:tcPr>
            <w:tcW w:w="674" w:type="pct"/>
            <w:shd w:val="clear" w:color="auto" w:fill="auto"/>
            <w:vAlign w:val="center"/>
            <w:hideMark/>
          </w:tcPr>
          <w:p w14:paraId="61C52334"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2E46E76"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06E8645" w14:textId="77777777" w:rsidR="00665586" w:rsidRPr="0004176C" w:rsidRDefault="00665586" w:rsidP="00665586">
            <w:pPr>
              <w:jc w:val="center"/>
              <w:rPr>
                <w:color w:val="000000"/>
                <w:sz w:val="18"/>
                <w:szCs w:val="18"/>
              </w:rPr>
            </w:pPr>
            <w:r w:rsidRPr="0004176C">
              <w:rPr>
                <w:color w:val="000000"/>
                <w:sz w:val="18"/>
                <w:szCs w:val="18"/>
              </w:rPr>
              <w:t>Family - New construction on former amusement park site</w:t>
            </w:r>
          </w:p>
        </w:tc>
      </w:tr>
      <w:tr w:rsidR="00665586" w:rsidRPr="0004176C" w14:paraId="692FE964" w14:textId="77777777" w:rsidTr="00665586">
        <w:trPr>
          <w:trHeight w:val="240"/>
        </w:trPr>
        <w:tc>
          <w:tcPr>
            <w:tcW w:w="1326" w:type="pct"/>
            <w:shd w:val="clear" w:color="auto" w:fill="auto"/>
            <w:vAlign w:val="center"/>
            <w:hideMark/>
          </w:tcPr>
          <w:p w14:paraId="43F47105" w14:textId="77777777" w:rsidR="00665586" w:rsidRPr="0004176C" w:rsidRDefault="00665586" w:rsidP="00665586">
            <w:pPr>
              <w:jc w:val="center"/>
              <w:rPr>
                <w:color w:val="000000"/>
                <w:sz w:val="18"/>
                <w:szCs w:val="18"/>
              </w:rPr>
            </w:pPr>
            <w:r w:rsidRPr="0004176C">
              <w:rPr>
                <w:color w:val="000000"/>
                <w:sz w:val="18"/>
                <w:szCs w:val="18"/>
              </w:rPr>
              <w:t>Village at Lincoln Park Senior, Dartmouth</w:t>
            </w:r>
          </w:p>
        </w:tc>
        <w:tc>
          <w:tcPr>
            <w:tcW w:w="596" w:type="pct"/>
            <w:shd w:val="clear" w:color="auto" w:fill="auto"/>
            <w:vAlign w:val="center"/>
            <w:hideMark/>
          </w:tcPr>
          <w:p w14:paraId="13A0A17D"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145FF5A1"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05EE453"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36A1EE5" w14:textId="77777777" w:rsidR="00665586" w:rsidRPr="0004176C" w:rsidRDefault="00665586" w:rsidP="00665586">
            <w:pPr>
              <w:jc w:val="center"/>
              <w:rPr>
                <w:color w:val="000000"/>
                <w:sz w:val="18"/>
                <w:szCs w:val="18"/>
              </w:rPr>
            </w:pPr>
            <w:r w:rsidRPr="0004176C">
              <w:rPr>
                <w:color w:val="000000"/>
                <w:sz w:val="18"/>
                <w:szCs w:val="18"/>
              </w:rPr>
              <w:t>Elderly - New construction</w:t>
            </w:r>
          </w:p>
        </w:tc>
      </w:tr>
      <w:tr w:rsidR="00665586" w:rsidRPr="0004176C" w14:paraId="62A22051" w14:textId="77777777" w:rsidTr="00665586">
        <w:trPr>
          <w:trHeight w:val="720"/>
        </w:trPr>
        <w:tc>
          <w:tcPr>
            <w:tcW w:w="1326" w:type="pct"/>
            <w:shd w:val="clear" w:color="auto" w:fill="auto"/>
            <w:vAlign w:val="center"/>
            <w:hideMark/>
          </w:tcPr>
          <w:p w14:paraId="6E1995FD" w14:textId="77777777" w:rsidR="00665586" w:rsidRPr="0004176C" w:rsidRDefault="00665586" w:rsidP="00665586">
            <w:pPr>
              <w:jc w:val="center"/>
              <w:rPr>
                <w:color w:val="000000"/>
                <w:sz w:val="18"/>
                <w:szCs w:val="18"/>
              </w:rPr>
            </w:pPr>
            <w:r w:rsidRPr="0004176C">
              <w:rPr>
                <w:color w:val="000000"/>
                <w:sz w:val="18"/>
                <w:szCs w:val="18"/>
              </w:rPr>
              <w:t>Village Center/Haydenville</w:t>
            </w:r>
          </w:p>
        </w:tc>
        <w:tc>
          <w:tcPr>
            <w:tcW w:w="596" w:type="pct"/>
            <w:shd w:val="clear" w:color="auto" w:fill="auto"/>
            <w:vAlign w:val="center"/>
            <w:hideMark/>
          </w:tcPr>
          <w:p w14:paraId="669C03FE" w14:textId="77777777" w:rsidR="00665586" w:rsidRPr="0004176C" w:rsidRDefault="00665586" w:rsidP="00665586">
            <w:pPr>
              <w:jc w:val="center"/>
              <w:rPr>
                <w:color w:val="000000"/>
                <w:sz w:val="18"/>
                <w:szCs w:val="18"/>
              </w:rPr>
            </w:pPr>
            <w:r w:rsidRPr="0004176C">
              <w:rPr>
                <w:color w:val="000000"/>
                <w:sz w:val="18"/>
                <w:szCs w:val="18"/>
              </w:rPr>
              <w:t>6</w:t>
            </w:r>
          </w:p>
        </w:tc>
        <w:tc>
          <w:tcPr>
            <w:tcW w:w="674" w:type="pct"/>
            <w:shd w:val="clear" w:color="auto" w:fill="auto"/>
            <w:vAlign w:val="center"/>
            <w:hideMark/>
          </w:tcPr>
          <w:p w14:paraId="0A52157F"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A0F6409"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B7D57E8" w14:textId="4E16CDB3" w:rsidR="00665586" w:rsidRPr="0004176C" w:rsidRDefault="00665586" w:rsidP="00665586">
            <w:pPr>
              <w:jc w:val="center"/>
              <w:rPr>
                <w:color w:val="000000"/>
                <w:sz w:val="18"/>
                <w:szCs w:val="18"/>
              </w:rPr>
            </w:pPr>
            <w:r w:rsidRPr="0004176C">
              <w:rPr>
                <w:color w:val="000000"/>
                <w:sz w:val="18"/>
                <w:szCs w:val="18"/>
              </w:rPr>
              <w:t>Family - Rehabilitation of seven scattered site buildings: 11, 13 South Main Street; 1 North Main Street; 148 Main Street; 12 Williams Street; 397 Main Road; Chesterfield</w:t>
            </w:r>
          </w:p>
        </w:tc>
      </w:tr>
      <w:tr w:rsidR="00665586" w:rsidRPr="0004176C" w14:paraId="78916793" w14:textId="77777777" w:rsidTr="00665586">
        <w:trPr>
          <w:trHeight w:val="240"/>
        </w:trPr>
        <w:tc>
          <w:tcPr>
            <w:tcW w:w="1326" w:type="pct"/>
            <w:shd w:val="clear" w:color="auto" w:fill="auto"/>
            <w:vAlign w:val="center"/>
            <w:hideMark/>
          </w:tcPr>
          <w:p w14:paraId="00BEB6BF" w14:textId="77777777" w:rsidR="00665586" w:rsidRPr="0004176C" w:rsidRDefault="00665586" w:rsidP="00665586">
            <w:pPr>
              <w:jc w:val="center"/>
              <w:rPr>
                <w:color w:val="000000"/>
                <w:sz w:val="18"/>
                <w:szCs w:val="18"/>
              </w:rPr>
            </w:pPr>
            <w:r w:rsidRPr="0004176C">
              <w:rPr>
                <w:color w:val="000000"/>
                <w:sz w:val="18"/>
                <w:szCs w:val="18"/>
              </w:rPr>
              <w:t>Village Green Phase I</w:t>
            </w:r>
          </w:p>
        </w:tc>
        <w:tc>
          <w:tcPr>
            <w:tcW w:w="596" w:type="pct"/>
            <w:shd w:val="clear" w:color="auto" w:fill="auto"/>
            <w:vAlign w:val="center"/>
            <w:hideMark/>
          </w:tcPr>
          <w:p w14:paraId="2F755F68" w14:textId="77777777" w:rsidR="00665586" w:rsidRPr="0004176C" w:rsidRDefault="00665586" w:rsidP="00665586">
            <w:pPr>
              <w:jc w:val="center"/>
              <w:rPr>
                <w:color w:val="000000"/>
                <w:sz w:val="18"/>
                <w:szCs w:val="18"/>
              </w:rPr>
            </w:pPr>
            <w:r w:rsidRPr="0004176C">
              <w:rPr>
                <w:color w:val="000000"/>
                <w:sz w:val="18"/>
                <w:szCs w:val="18"/>
              </w:rPr>
              <w:t>6</w:t>
            </w:r>
          </w:p>
        </w:tc>
        <w:tc>
          <w:tcPr>
            <w:tcW w:w="674" w:type="pct"/>
            <w:shd w:val="clear" w:color="auto" w:fill="auto"/>
            <w:vAlign w:val="center"/>
            <w:hideMark/>
          </w:tcPr>
          <w:p w14:paraId="44D9DE17"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529FE5E"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71054C8" w14:textId="77777777" w:rsidR="00665586" w:rsidRPr="0004176C" w:rsidRDefault="00665586" w:rsidP="00665586">
            <w:pPr>
              <w:jc w:val="center"/>
              <w:rPr>
                <w:color w:val="000000"/>
                <w:sz w:val="18"/>
                <w:szCs w:val="18"/>
              </w:rPr>
            </w:pPr>
            <w:r w:rsidRPr="0004176C">
              <w:rPr>
                <w:color w:val="000000"/>
                <w:sz w:val="18"/>
                <w:szCs w:val="18"/>
              </w:rPr>
              <w:t>Family - New construction of two three-story buildings</w:t>
            </w:r>
          </w:p>
        </w:tc>
      </w:tr>
      <w:tr w:rsidR="00665586" w:rsidRPr="0004176C" w14:paraId="5B558C8B" w14:textId="77777777" w:rsidTr="00665586">
        <w:trPr>
          <w:trHeight w:val="240"/>
        </w:trPr>
        <w:tc>
          <w:tcPr>
            <w:tcW w:w="1326" w:type="pct"/>
            <w:shd w:val="clear" w:color="auto" w:fill="auto"/>
            <w:vAlign w:val="center"/>
            <w:hideMark/>
          </w:tcPr>
          <w:p w14:paraId="7D3F7A52" w14:textId="77777777" w:rsidR="00665586" w:rsidRPr="0004176C" w:rsidRDefault="00665586" w:rsidP="00665586">
            <w:pPr>
              <w:jc w:val="center"/>
              <w:rPr>
                <w:color w:val="000000"/>
                <w:sz w:val="18"/>
                <w:szCs w:val="18"/>
              </w:rPr>
            </w:pPr>
            <w:r w:rsidRPr="0004176C">
              <w:rPr>
                <w:color w:val="000000"/>
                <w:sz w:val="18"/>
                <w:szCs w:val="18"/>
              </w:rPr>
              <w:t>Village Green Phase II</w:t>
            </w:r>
          </w:p>
        </w:tc>
        <w:tc>
          <w:tcPr>
            <w:tcW w:w="596" w:type="pct"/>
            <w:shd w:val="clear" w:color="auto" w:fill="auto"/>
            <w:vAlign w:val="center"/>
            <w:hideMark/>
          </w:tcPr>
          <w:p w14:paraId="074488D0"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6B415220"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3F8892A"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0B2EDB2" w14:textId="77777777" w:rsidR="00665586" w:rsidRPr="0004176C" w:rsidRDefault="00665586" w:rsidP="00665586">
            <w:pPr>
              <w:jc w:val="center"/>
              <w:rPr>
                <w:color w:val="000000"/>
                <w:sz w:val="18"/>
                <w:szCs w:val="18"/>
              </w:rPr>
            </w:pPr>
            <w:r w:rsidRPr="0004176C">
              <w:rPr>
                <w:color w:val="000000"/>
                <w:sz w:val="18"/>
                <w:szCs w:val="18"/>
              </w:rPr>
              <w:t>Family - New construction - Phase II - PBVs are at 30% AMI</w:t>
            </w:r>
          </w:p>
        </w:tc>
      </w:tr>
      <w:tr w:rsidR="00665586" w:rsidRPr="0004176C" w14:paraId="2F4B84C4" w14:textId="77777777" w:rsidTr="00665586">
        <w:trPr>
          <w:trHeight w:val="240"/>
        </w:trPr>
        <w:tc>
          <w:tcPr>
            <w:tcW w:w="1326" w:type="pct"/>
            <w:shd w:val="clear" w:color="auto" w:fill="auto"/>
            <w:vAlign w:val="center"/>
            <w:hideMark/>
          </w:tcPr>
          <w:p w14:paraId="7BFDAA40" w14:textId="77777777" w:rsidR="00665586" w:rsidRPr="0004176C" w:rsidRDefault="00665586" w:rsidP="00665586">
            <w:pPr>
              <w:jc w:val="center"/>
              <w:rPr>
                <w:color w:val="000000"/>
                <w:sz w:val="18"/>
                <w:szCs w:val="18"/>
              </w:rPr>
            </w:pPr>
            <w:r w:rsidRPr="0004176C">
              <w:rPr>
                <w:color w:val="000000"/>
                <w:sz w:val="18"/>
                <w:szCs w:val="18"/>
              </w:rPr>
              <w:t>Wadleigh House</w:t>
            </w:r>
          </w:p>
        </w:tc>
        <w:tc>
          <w:tcPr>
            <w:tcW w:w="596" w:type="pct"/>
            <w:shd w:val="clear" w:color="auto" w:fill="auto"/>
            <w:vAlign w:val="center"/>
            <w:hideMark/>
          </w:tcPr>
          <w:p w14:paraId="4D795FD2" w14:textId="77777777" w:rsidR="00665586" w:rsidRPr="0004176C" w:rsidRDefault="00665586" w:rsidP="00665586">
            <w:pPr>
              <w:jc w:val="center"/>
              <w:rPr>
                <w:color w:val="000000"/>
                <w:sz w:val="18"/>
                <w:szCs w:val="18"/>
              </w:rPr>
            </w:pPr>
            <w:r w:rsidRPr="0004176C">
              <w:rPr>
                <w:color w:val="000000"/>
                <w:sz w:val="18"/>
                <w:szCs w:val="18"/>
              </w:rPr>
              <w:t>7</w:t>
            </w:r>
          </w:p>
        </w:tc>
        <w:tc>
          <w:tcPr>
            <w:tcW w:w="674" w:type="pct"/>
            <w:shd w:val="clear" w:color="auto" w:fill="auto"/>
            <w:vAlign w:val="center"/>
            <w:hideMark/>
          </w:tcPr>
          <w:p w14:paraId="445DDDD2"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01395A8"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A613C19" w14:textId="77777777" w:rsidR="00665586" w:rsidRPr="0004176C" w:rsidRDefault="00665586" w:rsidP="00665586">
            <w:pPr>
              <w:jc w:val="center"/>
              <w:rPr>
                <w:color w:val="000000"/>
                <w:sz w:val="18"/>
                <w:szCs w:val="18"/>
              </w:rPr>
            </w:pPr>
            <w:r w:rsidRPr="0004176C">
              <w:rPr>
                <w:color w:val="000000"/>
                <w:sz w:val="18"/>
                <w:szCs w:val="18"/>
              </w:rPr>
              <w:t>Supportive services</w:t>
            </w:r>
          </w:p>
        </w:tc>
      </w:tr>
      <w:tr w:rsidR="00665586" w:rsidRPr="0004176C" w14:paraId="66D74557" w14:textId="77777777" w:rsidTr="00665586">
        <w:trPr>
          <w:trHeight w:val="240"/>
        </w:trPr>
        <w:tc>
          <w:tcPr>
            <w:tcW w:w="1326" w:type="pct"/>
            <w:shd w:val="clear" w:color="auto" w:fill="auto"/>
            <w:vAlign w:val="center"/>
            <w:hideMark/>
          </w:tcPr>
          <w:p w14:paraId="7F312C70" w14:textId="77777777" w:rsidR="00665586" w:rsidRPr="0004176C" w:rsidRDefault="00665586" w:rsidP="00665586">
            <w:pPr>
              <w:jc w:val="center"/>
              <w:rPr>
                <w:color w:val="000000"/>
                <w:sz w:val="18"/>
                <w:szCs w:val="18"/>
              </w:rPr>
            </w:pPr>
            <w:r w:rsidRPr="0004176C">
              <w:rPr>
                <w:color w:val="000000"/>
                <w:sz w:val="18"/>
                <w:szCs w:val="18"/>
              </w:rPr>
              <w:t>Washington Square</w:t>
            </w:r>
          </w:p>
        </w:tc>
        <w:tc>
          <w:tcPr>
            <w:tcW w:w="596" w:type="pct"/>
            <w:shd w:val="clear" w:color="auto" w:fill="auto"/>
            <w:vAlign w:val="center"/>
            <w:hideMark/>
          </w:tcPr>
          <w:p w14:paraId="1C82D1B4"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61B3BA8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707F2EF"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16FF9A83"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7E6D8FA5" w14:textId="77777777" w:rsidTr="00665586">
        <w:trPr>
          <w:trHeight w:val="240"/>
        </w:trPr>
        <w:tc>
          <w:tcPr>
            <w:tcW w:w="1326" w:type="pct"/>
            <w:shd w:val="clear" w:color="auto" w:fill="auto"/>
            <w:vAlign w:val="center"/>
            <w:hideMark/>
          </w:tcPr>
          <w:p w14:paraId="6B8C0BD2" w14:textId="77777777" w:rsidR="00665586" w:rsidRPr="0004176C" w:rsidRDefault="00665586" w:rsidP="00665586">
            <w:pPr>
              <w:jc w:val="center"/>
              <w:rPr>
                <w:color w:val="000000"/>
                <w:sz w:val="18"/>
                <w:szCs w:val="18"/>
              </w:rPr>
            </w:pPr>
            <w:r w:rsidRPr="0004176C">
              <w:rPr>
                <w:color w:val="000000"/>
                <w:sz w:val="18"/>
                <w:szCs w:val="18"/>
              </w:rPr>
              <w:t>Washington Street SRO, Malden</w:t>
            </w:r>
          </w:p>
        </w:tc>
        <w:tc>
          <w:tcPr>
            <w:tcW w:w="596" w:type="pct"/>
            <w:shd w:val="clear" w:color="auto" w:fill="auto"/>
            <w:vAlign w:val="center"/>
            <w:hideMark/>
          </w:tcPr>
          <w:p w14:paraId="76AE62BC"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1B0EB26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DDF90E9"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4C6EC8C" w14:textId="77777777" w:rsidR="00665586" w:rsidRPr="0004176C" w:rsidRDefault="00665586" w:rsidP="00665586">
            <w:pPr>
              <w:jc w:val="center"/>
              <w:rPr>
                <w:color w:val="000000"/>
                <w:sz w:val="18"/>
                <w:szCs w:val="18"/>
              </w:rPr>
            </w:pPr>
            <w:r w:rsidRPr="0004176C">
              <w:rPr>
                <w:color w:val="000000"/>
                <w:sz w:val="18"/>
                <w:szCs w:val="18"/>
              </w:rPr>
              <w:t>Rehab of SRO facility (three-story building) preference for disabled</w:t>
            </w:r>
          </w:p>
        </w:tc>
      </w:tr>
      <w:tr w:rsidR="00665586" w:rsidRPr="0004176C" w14:paraId="7238D42A" w14:textId="77777777" w:rsidTr="00665586">
        <w:trPr>
          <w:trHeight w:val="480"/>
        </w:trPr>
        <w:tc>
          <w:tcPr>
            <w:tcW w:w="1326" w:type="pct"/>
            <w:shd w:val="clear" w:color="auto" w:fill="auto"/>
            <w:vAlign w:val="center"/>
          </w:tcPr>
          <w:p w14:paraId="4C2CB682" w14:textId="77777777" w:rsidR="00665586" w:rsidRPr="0004176C" w:rsidRDefault="00665586" w:rsidP="00665586">
            <w:pPr>
              <w:jc w:val="center"/>
              <w:rPr>
                <w:color w:val="000000"/>
                <w:sz w:val="18"/>
                <w:szCs w:val="18"/>
              </w:rPr>
            </w:pPr>
            <w:r w:rsidRPr="0004176C">
              <w:rPr>
                <w:color w:val="000000"/>
                <w:sz w:val="18"/>
                <w:szCs w:val="18"/>
              </w:rPr>
              <w:t>Washington Westminster House,</w:t>
            </w:r>
          </w:p>
          <w:p w14:paraId="6A6285F2" w14:textId="7F1B8909" w:rsidR="00665586" w:rsidRPr="0004176C" w:rsidRDefault="00665586" w:rsidP="00665586">
            <w:pPr>
              <w:jc w:val="center"/>
              <w:rPr>
                <w:color w:val="000000"/>
                <w:sz w:val="18"/>
                <w:szCs w:val="18"/>
              </w:rPr>
            </w:pPr>
            <w:r w:rsidRPr="0004176C">
              <w:rPr>
                <w:color w:val="000000"/>
                <w:sz w:val="18"/>
                <w:szCs w:val="18"/>
              </w:rPr>
              <w:t>Boston</w:t>
            </w:r>
            <w:r w:rsidR="00533160" w:rsidRPr="0004176C">
              <w:rPr>
                <w:color w:val="000000"/>
                <w:sz w:val="18"/>
                <w:szCs w:val="18"/>
              </w:rPr>
              <w:t>*</w:t>
            </w:r>
          </w:p>
        </w:tc>
        <w:tc>
          <w:tcPr>
            <w:tcW w:w="596" w:type="pct"/>
            <w:shd w:val="clear" w:color="auto" w:fill="auto"/>
            <w:vAlign w:val="center"/>
          </w:tcPr>
          <w:p w14:paraId="60B98441" w14:textId="77777777" w:rsidR="00665586" w:rsidRPr="0004176C" w:rsidRDefault="00665586" w:rsidP="00665586">
            <w:pPr>
              <w:jc w:val="center"/>
              <w:rPr>
                <w:color w:val="000000"/>
                <w:sz w:val="18"/>
                <w:szCs w:val="18"/>
              </w:rPr>
            </w:pPr>
            <w:r w:rsidRPr="0004176C">
              <w:rPr>
                <w:sz w:val="18"/>
                <w:szCs w:val="18"/>
              </w:rPr>
              <w:t>8</w:t>
            </w:r>
          </w:p>
        </w:tc>
        <w:tc>
          <w:tcPr>
            <w:tcW w:w="674" w:type="pct"/>
            <w:shd w:val="clear" w:color="auto" w:fill="auto"/>
            <w:vAlign w:val="center"/>
          </w:tcPr>
          <w:p w14:paraId="4813AEAB" w14:textId="77777777" w:rsidR="00665586" w:rsidRPr="0004176C" w:rsidRDefault="00665586" w:rsidP="00665586">
            <w:pPr>
              <w:jc w:val="center"/>
              <w:rPr>
                <w:color w:val="000000"/>
                <w:sz w:val="18"/>
                <w:szCs w:val="18"/>
              </w:rPr>
            </w:pPr>
            <w:r w:rsidRPr="0004176C">
              <w:rPr>
                <w:sz w:val="18"/>
                <w:szCs w:val="18"/>
              </w:rPr>
              <w:t>Committed</w:t>
            </w:r>
          </w:p>
        </w:tc>
        <w:tc>
          <w:tcPr>
            <w:tcW w:w="627" w:type="pct"/>
            <w:shd w:val="clear" w:color="auto" w:fill="auto"/>
            <w:vAlign w:val="center"/>
          </w:tcPr>
          <w:p w14:paraId="3620B608" w14:textId="77777777" w:rsidR="00665586" w:rsidRPr="0004176C" w:rsidRDefault="00665586" w:rsidP="00665586">
            <w:pPr>
              <w:jc w:val="center"/>
              <w:rPr>
                <w:color w:val="000000"/>
                <w:sz w:val="18"/>
                <w:szCs w:val="18"/>
              </w:rPr>
            </w:pPr>
            <w:r w:rsidRPr="0004176C">
              <w:rPr>
                <w:sz w:val="18"/>
                <w:szCs w:val="18"/>
              </w:rPr>
              <w:t>No</w:t>
            </w:r>
          </w:p>
        </w:tc>
        <w:tc>
          <w:tcPr>
            <w:tcW w:w="1777" w:type="pct"/>
            <w:shd w:val="clear" w:color="auto" w:fill="auto"/>
            <w:vAlign w:val="center"/>
          </w:tcPr>
          <w:p w14:paraId="1FF41791" w14:textId="77777777" w:rsidR="00665586" w:rsidRPr="0004176C" w:rsidRDefault="00665586" w:rsidP="00665586">
            <w:pPr>
              <w:jc w:val="center"/>
              <w:rPr>
                <w:color w:val="000000"/>
                <w:sz w:val="18"/>
                <w:szCs w:val="18"/>
              </w:rPr>
            </w:pPr>
            <w:r w:rsidRPr="0004176C">
              <w:rPr>
                <w:color w:val="000000"/>
                <w:sz w:val="18"/>
                <w:szCs w:val="18"/>
              </w:rPr>
              <w:t>New Construction - Family Housing</w:t>
            </w:r>
          </w:p>
        </w:tc>
      </w:tr>
      <w:tr w:rsidR="00665586" w:rsidRPr="0004176C" w14:paraId="3F9F6B00" w14:textId="77777777" w:rsidTr="00665586">
        <w:trPr>
          <w:trHeight w:val="240"/>
        </w:trPr>
        <w:tc>
          <w:tcPr>
            <w:tcW w:w="1326" w:type="pct"/>
            <w:shd w:val="clear" w:color="auto" w:fill="auto"/>
            <w:vAlign w:val="center"/>
            <w:hideMark/>
          </w:tcPr>
          <w:p w14:paraId="09303BD5" w14:textId="77777777" w:rsidR="00665586" w:rsidRPr="0004176C" w:rsidRDefault="00665586" w:rsidP="00665586">
            <w:pPr>
              <w:jc w:val="center"/>
              <w:rPr>
                <w:color w:val="000000"/>
                <w:sz w:val="18"/>
                <w:szCs w:val="18"/>
              </w:rPr>
            </w:pPr>
            <w:r w:rsidRPr="0004176C">
              <w:rPr>
                <w:color w:val="000000"/>
                <w:sz w:val="18"/>
                <w:szCs w:val="18"/>
              </w:rPr>
              <w:t>Water Mill (formerly Whitney Carriage)</w:t>
            </w:r>
          </w:p>
        </w:tc>
        <w:tc>
          <w:tcPr>
            <w:tcW w:w="596" w:type="pct"/>
            <w:shd w:val="clear" w:color="auto" w:fill="auto"/>
            <w:vAlign w:val="center"/>
            <w:hideMark/>
          </w:tcPr>
          <w:p w14:paraId="1A741580"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72698F0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6A14DAB"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52D8DA3"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0FF0FE37" w14:textId="77777777" w:rsidTr="00665586">
        <w:trPr>
          <w:trHeight w:val="480"/>
        </w:trPr>
        <w:tc>
          <w:tcPr>
            <w:tcW w:w="1326" w:type="pct"/>
            <w:shd w:val="clear" w:color="auto" w:fill="auto"/>
            <w:vAlign w:val="center"/>
          </w:tcPr>
          <w:p w14:paraId="61D8AF19" w14:textId="30995F88" w:rsidR="00665586" w:rsidRPr="0004176C" w:rsidRDefault="00665586" w:rsidP="00665586">
            <w:pPr>
              <w:jc w:val="center"/>
              <w:rPr>
                <w:sz w:val="18"/>
                <w:szCs w:val="18"/>
              </w:rPr>
            </w:pPr>
            <w:r w:rsidRPr="0004176C">
              <w:rPr>
                <w:sz w:val="18"/>
                <w:szCs w:val="18"/>
              </w:rPr>
              <w:t>Wells School Apartments, Southbridge</w:t>
            </w:r>
            <w:r w:rsidR="002B7D1C" w:rsidRPr="0004176C">
              <w:rPr>
                <w:sz w:val="18"/>
                <w:szCs w:val="18"/>
              </w:rPr>
              <w:t xml:space="preserve"> **</w:t>
            </w:r>
          </w:p>
        </w:tc>
        <w:tc>
          <w:tcPr>
            <w:tcW w:w="596" w:type="pct"/>
            <w:shd w:val="clear" w:color="auto" w:fill="auto"/>
            <w:vAlign w:val="center"/>
          </w:tcPr>
          <w:p w14:paraId="50C23297" w14:textId="77777777" w:rsidR="00665586" w:rsidRPr="0004176C" w:rsidRDefault="00665586" w:rsidP="00665586">
            <w:pPr>
              <w:jc w:val="center"/>
              <w:rPr>
                <w:sz w:val="18"/>
                <w:szCs w:val="18"/>
              </w:rPr>
            </w:pPr>
            <w:r w:rsidRPr="0004176C">
              <w:rPr>
                <w:sz w:val="18"/>
                <w:szCs w:val="18"/>
              </w:rPr>
              <w:t>8</w:t>
            </w:r>
          </w:p>
        </w:tc>
        <w:tc>
          <w:tcPr>
            <w:tcW w:w="674" w:type="pct"/>
            <w:shd w:val="clear" w:color="auto" w:fill="auto"/>
            <w:vAlign w:val="center"/>
          </w:tcPr>
          <w:p w14:paraId="451BA2E5" w14:textId="77777777" w:rsidR="00665586" w:rsidRPr="0004176C" w:rsidRDefault="00665586" w:rsidP="00665586">
            <w:pPr>
              <w:jc w:val="center"/>
              <w:rPr>
                <w:sz w:val="18"/>
                <w:szCs w:val="18"/>
              </w:rPr>
            </w:pPr>
            <w:r w:rsidRPr="0004176C">
              <w:rPr>
                <w:sz w:val="18"/>
                <w:szCs w:val="18"/>
              </w:rPr>
              <w:t>Committed</w:t>
            </w:r>
          </w:p>
        </w:tc>
        <w:tc>
          <w:tcPr>
            <w:tcW w:w="627" w:type="pct"/>
            <w:shd w:val="clear" w:color="auto" w:fill="auto"/>
            <w:vAlign w:val="center"/>
          </w:tcPr>
          <w:p w14:paraId="50451570" w14:textId="77777777" w:rsidR="00665586" w:rsidRPr="0004176C" w:rsidRDefault="00665586" w:rsidP="00665586">
            <w:pPr>
              <w:jc w:val="center"/>
              <w:rPr>
                <w:sz w:val="18"/>
                <w:szCs w:val="18"/>
              </w:rPr>
            </w:pPr>
            <w:r w:rsidRPr="0004176C">
              <w:rPr>
                <w:sz w:val="18"/>
                <w:szCs w:val="18"/>
              </w:rPr>
              <w:t>No</w:t>
            </w:r>
          </w:p>
        </w:tc>
        <w:tc>
          <w:tcPr>
            <w:tcW w:w="1777" w:type="pct"/>
            <w:shd w:val="clear" w:color="auto" w:fill="auto"/>
            <w:vAlign w:val="center"/>
          </w:tcPr>
          <w:p w14:paraId="05545942" w14:textId="77777777" w:rsidR="00665586" w:rsidRPr="0004176C" w:rsidRDefault="00665586" w:rsidP="00665586">
            <w:pPr>
              <w:jc w:val="center"/>
              <w:rPr>
                <w:sz w:val="18"/>
                <w:szCs w:val="18"/>
              </w:rPr>
            </w:pPr>
            <w:r w:rsidRPr="0004176C">
              <w:rPr>
                <w:sz w:val="18"/>
                <w:szCs w:val="18"/>
              </w:rPr>
              <w:t>New Construction – 55+ Senior Housing</w:t>
            </w:r>
          </w:p>
        </w:tc>
      </w:tr>
      <w:tr w:rsidR="00665586" w:rsidRPr="0004176C" w14:paraId="2338AE13" w14:textId="77777777" w:rsidTr="00665586">
        <w:trPr>
          <w:trHeight w:val="240"/>
        </w:trPr>
        <w:tc>
          <w:tcPr>
            <w:tcW w:w="1326" w:type="pct"/>
            <w:shd w:val="clear" w:color="auto" w:fill="auto"/>
            <w:vAlign w:val="center"/>
            <w:hideMark/>
          </w:tcPr>
          <w:p w14:paraId="2B55312A" w14:textId="77777777" w:rsidR="00665586" w:rsidRPr="0004176C" w:rsidRDefault="00665586" w:rsidP="00665586">
            <w:pPr>
              <w:jc w:val="center"/>
              <w:rPr>
                <w:color w:val="000000"/>
                <w:sz w:val="18"/>
                <w:szCs w:val="18"/>
              </w:rPr>
            </w:pPr>
            <w:r w:rsidRPr="0004176C">
              <w:rPr>
                <w:color w:val="000000"/>
                <w:sz w:val="18"/>
                <w:szCs w:val="18"/>
              </w:rPr>
              <w:t>Westfield Hotel</w:t>
            </w:r>
          </w:p>
        </w:tc>
        <w:tc>
          <w:tcPr>
            <w:tcW w:w="596" w:type="pct"/>
            <w:shd w:val="clear" w:color="auto" w:fill="auto"/>
            <w:vAlign w:val="center"/>
            <w:hideMark/>
          </w:tcPr>
          <w:p w14:paraId="7E4BE009" w14:textId="77777777" w:rsidR="00665586" w:rsidRPr="0004176C" w:rsidRDefault="00665586" w:rsidP="00665586">
            <w:pPr>
              <w:jc w:val="center"/>
              <w:rPr>
                <w:color w:val="000000"/>
                <w:sz w:val="18"/>
                <w:szCs w:val="18"/>
              </w:rPr>
            </w:pPr>
            <w:r w:rsidRPr="0004176C">
              <w:rPr>
                <w:color w:val="000000"/>
                <w:sz w:val="18"/>
                <w:szCs w:val="18"/>
              </w:rPr>
              <w:t>5</w:t>
            </w:r>
          </w:p>
        </w:tc>
        <w:tc>
          <w:tcPr>
            <w:tcW w:w="674" w:type="pct"/>
            <w:shd w:val="clear" w:color="auto" w:fill="auto"/>
            <w:vAlign w:val="center"/>
            <w:hideMark/>
          </w:tcPr>
          <w:p w14:paraId="3FDEB9E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E8F67E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E92DD18" w14:textId="77777777" w:rsidR="00665586" w:rsidRPr="0004176C" w:rsidRDefault="00665586" w:rsidP="00665586">
            <w:pPr>
              <w:jc w:val="center"/>
              <w:rPr>
                <w:color w:val="000000"/>
                <w:sz w:val="18"/>
                <w:szCs w:val="18"/>
              </w:rPr>
            </w:pPr>
            <w:r w:rsidRPr="0004176C">
              <w:rPr>
                <w:color w:val="000000"/>
                <w:sz w:val="18"/>
                <w:szCs w:val="18"/>
              </w:rPr>
              <w:t>Supportive services</w:t>
            </w:r>
          </w:p>
        </w:tc>
      </w:tr>
      <w:tr w:rsidR="00665586" w:rsidRPr="0004176C" w14:paraId="0F756D69" w14:textId="77777777" w:rsidTr="00665586">
        <w:trPr>
          <w:trHeight w:val="240"/>
        </w:trPr>
        <w:tc>
          <w:tcPr>
            <w:tcW w:w="1326" w:type="pct"/>
            <w:shd w:val="clear" w:color="auto" w:fill="auto"/>
            <w:vAlign w:val="center"/>
            <w:hideMark/>
          </w:tcPr>
          <w:p w14:paraId="507AC5E6" w14:textId="77777777" w:rsidR="00665586" w:rsidRPr="0004176C" w:rsidRDefault="00665586" w:rsidP="00665586">
            <w:pPr>
              <w:jc w:val="center"/>
              <w:rPr>
                <w:color w:val="000000"/>
                <w:sz w:val="18"/>
                <w:szCs w:val="18"/>
              </w:rPr>
            </w:pPr>
            <w:r w:rsidRPr="0004176C">
              <w:rPr>
                <w:color w:val="000000"/>
                <w:sz w:val="18"/>
                <w:szCs w:val="18"/>
              </w:rPr>
              <w:t>Westhampton Senior</w:t>
            </w:r>
          </w:p>
        </w:tc>
        <w:tc>
          <w:tcPr>
            <w:tcW w:w="596" w:type="pct"/>
            <w:shd w:val="clear" w:color="auto" w:fill="auto"/>
            <w:vAlign w:val="center"/>
            <w:hideMark/>
          </w:tcPr>
          <w:p w14:paraId="1106EED6" w14:textId="77777777" w:rsidR="00665586" w:rsidRPr="0004176C" w:rsidRDefault="00665586" w:rsidP="00665586">
            <w:pPr>
              <w:jc w:val="center"/>
              <w:rPr>
                <w:color w:val="000000"/>
                <w:sz w:val="18"/>
                <w:szCs w:val="18"/>
              </w:rPr>
            </w:pPr>
            <w:r w:rsidRPr="0004176C">
              <w:rPr>
                <w:color w:val="000000"/>
                <w:sz w:val="18"/>
                <w:szCs w:val="18"/>
              </w:rPr>
              <w:t>3</w:t>
            </w:r>
          </w:p>
        </w:tc>
        <w:tc>
          <w:tcPr>
            <w:tcW w:w="674" w:type="pct"/>
            <w:shd w:val="clear" w:color="auto" w:fill="auto"/>
            <w:vAlign w:val="center"/>
            <w:hideMark/>
          </w:tcPr>
          <w:p w14:paraId="520538E5"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D648907"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04E9913C"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6BA29C26" w14:textId="77777777" w:rsidTr="00665586">
        <w:trPr>
          <w:trHeight w:val="240"/>
        </w:trPr>
        <w:tc>
          <w:tcPr>
            <w:tcW w:w="1326" w:type="pct"/>
            <w:shd w:val="clear" w:color="auto" w:fill="auto"/>
            <w:vAlign w:val="center"/>
            <w:hideMark/>
          </w:tcPr>
          <w:p w14:paraId="26F31AFB" w14:textId="77777777" w:rsidR="00665586" w:rsidRPr="0004176C" w:rsidRDefault="00665586" w:rsidP="00665586">
            <w:pPr>
              <w:jc w:val="center"/>
              <w:rPr>
                <w:color w:val="000000"/>
                <w:sz w:val="18"/>
                <w:szCs w:val="18"/>
              </w:rPr>
            </w:pPr>
            <w:r w:rsidRPr="0004176C">
              <w:rPr>
                <w:color w:val="000000"/>
                <w:sz w:val="18"/>
                <w:szCs w:val="18"/>
              </w:rPr>
              <w:t>Westhampton Woods/Senior Housing-Phase II</w:t>
            </w:r>
          </w:p>
        </w:tc>
        <w:tc>
          <w:tcPr>
            <w:tcW w:w="596" w:type="pct"/>
            <w:shd w:val="clear" w:color="auto" w:fill="auto"/>
            <w:vAlign w:val="center"/>
            <w:hideMark/>
          </w:tcPr>
          <w:p w14:paraId="575ECDBF" w14:textId="77777777" w:rsidR="00665586" w:rsidRPr="0004176C" w:rsidRDefault="00665586" w:rsidP="00665586">
            <w:pPr>
              <w:jc w:val="center"/>
              <w:rPr>
                <w:color w:val="000000"/>
                <w:sz w:val="18"/>
                <w:szCs w:val="18"/>
              </w:rPr>
            </w:pPr>
            <w:r w:rsidRPr="0004176C">
              <w:rPr>
                <w:color w:val="000000"/>
                <w:sz w:val="18"/>
                <w:szCs w:val="18"/>
              </w:rPr>
              <w:t>2</w:t>
            </w:r>
          </w:p>
        </w:tc>
        <w:tc>
          <w:tcPr>
            <w:tcW w:w="674" w:type="pct"/>
            <w:shd w:val="clear" w:color="auto" w:fill="auto"/>
            <w:vAlign w:val="center"/>
            <w:hideMark/>
          </w:tcPr>
          <w:p w14:paraId="6B080BE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EBE6063"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8846EFC" w14:textId="77777777" w:rsidR="00665586" w:rsidRPr="0004176C" w:rsidRDefault="00665586" w:rsidP="00665586">
            <w:pPr>
              <w:jc w:val="center"/>
              <w:rPr>
                <w:color w:val="000000"/>
                <w:sz w:val="18"/>
                <w:szCs w:val="18"/>
              </w:rPr>
            </w:pPr>
            <w:r w:rsidRPr="0004176C">
              <w:rPr>
                <w:color w:val="000000"/>
                <w:sz w:val="18"/>
                <w:szCs w:val="18"/>
              </w:rPr>
              <w:t>Elderly - New construction of four duplex buildings</w:t>
            </w:r>
          </w:p>
        </w:tc>
      </w:tr>
      <w:tr w:rsidR="00665586" w:rsidRPr="0004176C" w14:paraId="03FF865C" w14:textId="77777777" w:rsidTr="00665586">
        <w:trPr>
          <w:trHeight w:val="240"/>
        </w:trPr>
        <w:tc>
          <w:tcPr>
            <w:tcW w:w="1326" w:type="pct"/>
            <w:shd w:val="clear" w:color="auto" w:fill="auto"/>
            <w:vAlign w:val="center"/>
            <w:hideMark/>
          </w:tcPr>
          <w:p w14:paraId="584D5F81" w14:textId="77777777" w:rsidR="00665586" w:rsidRPr="0004176C" w:rsidRDefault="00665586" w:rsidP="00665586">
            <w:pPr>
              <w:jc w:val="center"/>
              <w:rPr>
                <w:color w:val="000000"/>
                <w:sz w:val="18"/>
                <w:szCs w:val="18"/>
              </w:rPr>
            </w:pPr>
            <w:r w:rsidRPr="0004176C">
              <w:rPr>
                <w:color w:val="000000"/>
                <w:sz w:val="18"/>
                <w:szCs w:val="18"/>
              </w:rPr>
              <w:t>Westport Village Apartments</w:t>
            </w:r>
          </w:p>
        </w:tc>
        <w:tc>
          <w:tcPr>
            <w:tcW w:w="596" w:type="pct"/>
            <w:shd w:val="clear" w:color="auto" w:fill="auto"/>
            <w:vAlign w:val="center"/>
            <w:hideMark/>
          </w:tcPr>
          <w:p w14:paraId="2B55C1E3" w14:textId="77777777" w:rsidR="00665586" w:rsidRPr="0004176C" w:rsidRDefault="00665586" w:rsidP="00665586">
            <w:pPr>
              <w:jc w:val="center"/>
              <w:rPr>
                <w:color w:val="000000"/>
                <w:sz w:val="18"/>
                <w:szCs w:val="18"/>
              </w:rPr>
            </w:pPr>
            <w:r w:rsidRPr="0004176C">
              <w:rPr>
                <w:color w:val="000000"/>
                <w:sz w:val="18"/>
                <w:szCs w:val="18"/>
              </w:rPr>
              <w:t>12</w:t>
            </w:r>
          </w:p>
        </w:tc>
        <w:tc>
          <w:tcPr>
            <w:tcW w:w="674" w:type="pct"/>
            <w:shd w:val="clear" w:color="auto" w:fill="auto"/>
            <w:vAlign w:val="center"/>
            <w:hideMark/>
          </w:tcPr>
          <w:p w14:paraId="13FBFC22"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5044F96"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16DFFEA"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3FF67332" w14:textId="77777777" w:rsidTr="00665586">
        <w:trPr>
          <w:trHeight w:val="240"/>
        </w:trPr>
        <w:tc>
          <w:tcPr>
            <w:tcW w:w="1326" w:type="pct"/>
            <w:shd w:val="clear" w:color="auto" w:fill="auto"/>
            <w:vAlign w:val="center"/>
            <w:hideMark/>
          </w:tcPr>
          <w:p w14:paraId="7CD21C6F" w14:textId="77777777" w:rsidR="00665586" w:rsidRPr="0004176C" w:rsidRDefault="00665586" w:rsidP="00665586">
            <w:pPr>
              <w:jc w:val="center"/>
              <w:rPr>
                <w:color w:val="000000"/>
                <w:sz w:val="18"/>
                <w:szCs w:val="18"/>
              </w:rPr>
            </w:pPr>
            <w:r w:rsidRPr="0004176C">
              <w:rPr>
                <w:color w:val="000000"/>
                <w:sz w:val="18"/>
                <w:szCs w:val="18"/>
              </w:rPr>
              <w:t>Whipple School Annex</w:t>
            </w:r>
          </w:p>
        </w:tc>
        <w:tc>
          <w:tcPr>
            <w:tcW w:w="596" w:type="pct"/>
            <w:shd w:val="clear" w:color="auto" w:fill="auto"/>
            <w:vAlign w:val="center"/>
            <w:hideMark/>
          </w:tcPr>
          <w:p w14:paraId="2399C430"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5D0834A3"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ED82AD5"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5EFEA25" w14:textId="77777777" w:rsidR="00665586" w:rsidRPr="0004176C" w:rsidRDefault="00665586" w:rsidP="00665586">
            <w:pPr>
              <w:jc w:val="center"/>
              <w:rPr>
                <w:color w:val="000000"/>
                <w:sz w:val="18"/>
                <w:szCs w:val="18"/>
              </w:rPr>
            </w:pPr>
            <w:r w:rsidRPr="0004176C">
              <w:rPr>
                <w:color w:val="000000"/>
                <w:sz w:val="18"/>
                <w:szCs w:val="18"/>
              </w:rPr>
              <w:t>Elderly/Disabled units</w:t>
            </w:r>
          </w:p>
        </w:tc>
      </w:tr>
      <w:tr w:rsidR="00665586" w:rsidRPr="0004176C" w14:paraId="075F60BB" w14:textId="77777777" w:rsidTr="00665586">
        <w:trPr>
          <w:trHeight w:val="240"/>
        </w:trPr>
        <w:tc>
          <w:tcPr>
            <w:tcW w:w="1326" w:type="pct"/>
            <w:shd w:val="clear" w:color="auto" w:fill="auto"/>
            <w:vAlign w:val="center"/>
            <w:hideMark/>
          </w:tcPr>
          <w:p w14:paraId="6CAE1243" w14:textId="77777777" w:rsidR="00665586" w:rsidRPr="0004176C" w:rsidRDefault="00665586" w:rsidP="00665586">
            <w:pPr>
              <w:jc w:val="center"/>
              <w:rPr>
                <w:color w:val="000000"/>
                <w:sz w:val="18"/>
                <w:szCs w:val="18"/>
              </w:rPr>
            </w:pPr>
            <w:r w:rsidRPr="0004176C">
              <w:rPr>
                <w:color w:val="000000"/>
                <w:sz w:val="18"/>
                <w:szCs w:val="18"/>
              </w:rPr>
              <w:t>Wilber School</w:t>
            </w:r>
          </w:p>
        </w:tc>
        <w:tc>
          <w:tcPr>
            <w:tcW w:w="596" w:type="pct"/>
            <w:shd w:val="clear" w:color="auto" w:fill="auto"/>
            <w:vAlign w:val="center"/>
            <w:hideMark/>
          </w:tcPr>
          <w:p w14:paraId="6CFF9105"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236B5040"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66F25C39"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AC8E0A7" w14:textId="77777777" w:rsidR="00665586" w:rsidRPr="0004176C" w:rsidRDefault="00665586" w:rsidP="00665586">
            <w:pPr>
              <w:jc w:val="center"/>
              <w:rPr>
                <w:color w:val="000000"/>
                <w:sz w:val="18"/>
                <w:szCs w:val="18"/>
              </w:rPr>
            </w:pPr>
            <w:r w:rsidRPr="0004176C">
              <w:rPr>
                <w:color w:val="000000"/>
                <w:sz w:val="18"/>
                <w:szCs w:val="18"/>
              </w:rPr>
              <w:t>Family units</w:t>
            </w:r>
          </w:p>
        </w:tc>
      </w:tr>
      <w:tr w:rsidR="00665586" w:rsidRPr="0004176C" w14:paraId="6954FA43" w14:textId="77777777" w:rsidTr="00665586">
        <w:trPr>
          <w:trHeight w:val="480"/>
        </w:trPr>
        <w:tc>
          <w:tcPr>
            <w:tcW w:w="1326" w:type="pct"/>
            <w:shd w:val="clear" w:color="auto" w:fill="auto"/>
            <w:vAlign w:val="center"/>
            <w:hideMark/>
          </w:tcPr>
          <w:p w14:paraId="710E955C" w14:textId="77777777" w:rsidR="00665586" w:rsidRPr="0004176C" w:rsidRDefault="00665586" w:rsidP="00665586">
            <w:pPr>
              <w:jc w:val="center"/>
              <w:rPr>
                <w:color w:val="000000"/>
                <w:sz w:val="18"/>
                <w:szCs w:val="18"/>
              </w:rPr>
            </w:pPr>
            <w:r w:rsidRPr="0004176C">
              <w:rPr>
                <w:color w:val="000000"/>
                <w:sz w:val="18"/>
                <w:szCs w:val="18"/>
              </w:rPr>
              <w:t>Wilkins Glen</w:t>
            </w:r>
          </w:p>
        </w:tc>
        <w:tc>
          <w:tcPr>
            <w:tcW w:w="596" w:type="pct"/>
            <w:shd w:val="clear" w:color="auto" w:fill="auto"/>
            <w:vAlign w:val="center"/>
            <w:hideMark/>
          </w:tcPr>
          <w:p w14:paraId="5784E9CD" w14:textId="77777777" w:rsidR="00665586" w:rsidRPr="0004176C" w:rsidRDefault="00665586" w:rsidP="00665586">
            <w:pPr>
              <w:jc w:val="center"/>
              <w:rPr>
                <w:color w:val="000000"/>
                <w:sz w:val="18"/>
                <w:szCs w:val="18"/>
              </w:rPr>
            </w:pPr>
            <w:r w:rsidRPr="0004176C">
              <w:rPr>
                <w:color w:val="000000"/>
                <w:sz w:val="18"/>
                <w:szCs w:val="18"/>
              </w:rPr>
              <w:t>82</w:t>
            </w:r>
          </w:p>
        </w:tc>
        <w:tc>
          <w:tcPr>
            <w:tcW w:w="674" w:type="pct"/>
            <w:shd w:val="clear" w:color="auto" w:fill="auto"/>
            <w:vAlign w:val="center"/>
            <w:hideMark/>
          </w:tcPr>
          <w:p w14:paraId="210A2F39"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EC257B4"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20AB5E7F" w14:textId="77777777" w:rsidR="00665586" w:rsidRPr="0004176C" w:rsidRDefault="00665586" w:rsidP="00665586">
            <w:pPr>
              <w:jc w:val="center"/>
              <w:rPr>
                <w:color w:val="000000"/>
                <w:sz w:val="18"/>
                <w:szCs w:val="18"/>
              </w:rPr>
            </w:pPr>
            <w:r w:rsidRPr="0004176C">
              <w:rPr>
                <w:color w:val="000000"/>
                <w:sz w:val="18"/>
                <w:szCs w:val="18"/>
              </w:rPr>
              <w:t>Expiring Use Project - Family - 82 out of 103 EVs converted to PBVs</w:t>
            </w:r>
          </w:p>
        </w:tc>
      </w:tr>
      <w:tr w:rsidR="00665586" w:rsidRPr="0004176C" w14:paraId="734133CC" w14:textId="77777777" w:rsidTr="00665586">
        <w:trPr>
          <w:trHeight w:val="240"/>
        </w:trPr>
        <w:tc>
          <w:tcPr>
            <w:tcW w:w="1326" w:type="pct"/>
            <w:shd w:val="clear" w:color="auto" w:fill="auto"/>
            <w:vAlign w:val="center"/>
            <w:hideMark/>
          </w:tcPr>
          <w:p w14:paraId="7C11CB28" w14:textId="77777777" w:rsidR="00665586" w:rsidRPr="0004176C" w:rsidRDefault="00665586" w:rsidP="00665586">
            <w:pPr>
              <w:jc w:val="center"/>
              <w:rPr>
                <w:color w:val="000000"/>
                <w:sz w:val="18"/>
                <w:szCs w:val="18"/>
              </w:rPr>
            </w:pPr>
            <w:r w:rsidRPr="0004176C">
              <w:rPr>
                <w:color w:val="000000"/>
                <w:sz w:val="18"/>
                <w:szCs w:val="18"/>
              </w:rPr>
              <w:t>Winter Gardens</w:t>
            </w:r>
          </w:p>
        </w:tc>
        <w:tc>
          <w:tcPr>
            <w:tcW w:w="596" w:type="pct"/>
            <w:shd w:val="clear" w:color="auto" w:fill="auto"/>
            <w:vAlign w:val="center"/>
            <w:hideMark/>
          </w:tcPr>
          <w:p w14:paraId="51ABB02C" w14:textId="77777777" w:rsidR="00665586" w:rsidRPr="0004176C" w:rsidRDefault="00665586" w:rsidP="00665586">
            <w:pPr>
              <w:jc w:val="center"/>
              <w:rPr>
                <w:color w:val="000000"/>
                <w:sz w:val="18"/>
                <w:szCs w:val="18"/>
              </w:rPr>
            </w:pPr>
            <w:r w:rsidRPr="0004176C">
              <w:rPr>
                <w:color w:val="000000"/>
                <w:sz w:val="18"/>
                <w:szCs w:val="18"/>
              </w:rPr>
              <w:t>6</w:t>
            </w:r>
          </w:p>
        </w:tc>
        <w:tc>
          <w:tcPr>
            <w:tcW w:w="674" w:type="pct"/>
            <w:shd w:val="clear" w:color="auto" w:fill="auto"/>
            <w:vAlign w:val="center"/>
            <w:hideMark/>
          </w:tcPr>
          <w:p w14:paraId="42925E87"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04413305"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44EEF5A" w14:textId="77777777" w:rsidR="00665586" w:rsidRPr="0004176C" w:rsidRDefault="00665586" w:rsidP="00665586">
            <w:pPr>
              <w:jc w:val="center"/>
              <w:rPr>
                <w:color w:val="000000"/>
                <w:sz w:val="18"/>
                <w:szCs w:val="18"/>
              </w:rPr>
            </w:pPr>
            <w:r w:rsidRPr="0004176C">
              <w:rPr>
                <w:color w:val="000000"/>
                <w:sz w:val="18"/>
                <w:szCs w:val="18"/>
              </w:rPr>
              <w:t>Family and Elderly/Disabled units</w:t>
            </w:r>
          </w:p>
        </w:tc>
      </w:tr>
      <w:tr w:rsidR="00665586" w:rsidRPr="0004176C" w14:paraId="03D81328" w14:textId="77777777" w:rsidTr="00665586">
        <w:trPr>
          <w:trHeight w:val="240"/>
        </w:trPr>
        <w:tc>
          <w:tcPr>
            <w:tcW w:w="1326" w:type="pct"/>
            <w:shd w:val="clear" w:color="auto" w:fill="auto"/>
            <w:vAlign w:val="center"/>
            <w:hideMark/>
          </w:tcPr>
          <w:p w14:paraId="276D0CBA" w14:textId="5BDE359A" w:rsidR="00665586" w:rsidRPr="0004176C" w:rsidRDefault="00665586" w:rsidP="00665586">
            <w:pPr>
              <w:jc w:val="center"/>
              <w:rPr>
                <w:color w:val="000000"/>
                <w:sz w:val="18"/>
                <w:szCs w:val="18"/>
              </w:rPr>
            </w:pPr>
            <w:r w:rsidRPr="0004176C">
              <w:rPr>
                <w:color w:val="000000"/>
                <w:sz w:val="18"/>
                <w:szCs w:val="18"/>
              </w:rPr>
              <w:t>Winter Street</w:t>
            </w:r>
          </w:p>
        </w:tc>
        <w:tc>
          <w:tcPr>
            <w:tcW w:w="596" w:type="pct"/>
            <w:shd w:val="clear" w:color="auto" w:fill="auto"/>
            <w:vAlign w:val="center"/>
            <w:hideMark/>
          </w:tcPr>
          <w:p w14:paraId="1D8DF98A" w14:textId="77777777" w:rsidR="00665586" w:rsidRPr="0004176C" w:rsidRDefault="00665586" w:rsidP="00665586">
            <w:pPr>
              <w:jc w:val="center"/>
              <w:rPr>
                <w:color w:val="000000"/>
                <w:sz w:val="18"/>
                <w:szCs w:val="18"/>
              </w:rPr>
            </w:pPr>
            <w:r w:rsidRPr="0004176C">
              <w:rPr>
                <w:color w:val="000000"/>
                <w:sz w:val="18"/>
                <w:szCs w:val="18"/>
              </w:rPr>
              <w:t>13</w:t>
            </w:r>
          </w:p>
        </w:tc>
        <w:tc>
          <w:tcPr>
            <w:tcW w:w="674" w:type="pct"/>
            <w:shd w:val="clear" w:color="auto" w:fill="auto"/>
            <w:vAlign w:val="center"/>
            <w:hideMark/>
          </w:tcPr>
          <w:p w14:paraId="6AAADEEC"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383701FD"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1542339" w14:textId="76BB2C29" w:rsidR="00665586" w:rsidRPr="0004176C" w:rsidRDefault="00665586" w:rsidP="00665586">
            <w:pPr>
              <w:jc w:val="center"/>
              <w:rPr>
                <w:color w:val="000000"/>
                <w:sz w:val="18"/>
                <w:szCs w:val="18"/>
              </w:rPr>
            </w:pPr>
            <w:r w:rsidRPr="0004176C">
              <w:rPr>
                <w:color w:val="000000"/>
                <w:sz w:val="18"/>
                <w:szCs w:val="18"/>
              </w:rPr>
              <w:t>Family - Workforce rental housing</w:t>
            </w:r>
          </w:p>
        </w:tc>
      </w:tr>
      <w:tr w:rsidR="00665586" w:rsidRPr="0004176C" w14:paraId="28F7679F" w14:textId="77777777" w:rsidTr="00665586">
        <w:trPr>
          <w:trHeight w:val="240"/>
        </w:trPr>
        <w:tc>
          <w:tcPr>
            <w:tcW w:w="1326" w:type="pct"/>
            <w:shd w:val="clear" w:color="auto" w:fill="auto"/>
            <w:vAlign w:val="center"/>
            <w:hideMark/>
          </w:tcPr>
          <w:p w14:paraId="1363AA05" w14:textId="77777777" w:rsidR="00665586" w:rsidRPr="0004176C" w:rsidRDefault="00665586" w:rsidP="00665586">
            <w:pPr>
              <w:jc w:val="center"/>
              <w:rPr>
                <w:color w:val="000000"/>
                <w:sz w:val="18"/>
                <w:szCs w:val="18"/>
              </w:rPr>
            </w:pPr>
            <w:r w:rsidRPr="0004176C">
              <w:rPr>
                <w:color w:val="000000"/>
                <w:sz w:val="18"/>
                <w:szCs w:val="18"/>
              </w:rPr>
              <w:t>Winthrop Apartments</w:t>
            </w:r>
          </w:p>
        </w:tc>
        <w:tc>
          <w:tcPr>
            <w:tcW w:w="596" w:type="pct"/>
            <w:shd w:val="clear" w:color="auto" w:fill="auto"/>
            <w:vAlign w:val="center"/>
            <w:hideMark/>
          </w:tcPr>
          <w:p w14:paraId="717E360A"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11EC0EA1"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27F9E6AB"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9130018" w14:textId="77777777" w:rsidR="00665586" w:rsidRPr="0004176C" w:rsidRDefault="00665586" w:rsidP="00665586">
            <w:pPr>
              <w:jc w:val="center"/>
              <w:rPr>
                <w:color w:val="000000"/>
                <w:sz w:val="18"/>
                <w:szCs w:val="18"/>
              </w:rPr>
            </w:pPr>
            <w:r w:rsidRPr="0004176C">
              <w:rPr>
                <w:color w:val="000000"/>
                <w:sz w:val="18"/>
                <w:szCs w:val="18"/>
              </w:rPr>
              <w:t>Elderly - New construction of four-story building</w:t>
            </w:r>
          </w:p>
        </w:tc>
      </w:tr>
      <w:tr w:rsidR="00665586" w:rsidRPr="0004176C" w14:paraId="7F86D1A8" w14:textId="77777777" w:rsidTr="00665586">
        <w:trPr>
          <w:trHeight w:val="480"/>
        </w:trPr>
        <w:tc>
          <w:tcPr>
            <w:tcW w:w="1326" w:type="pct"/>
            <w:shd w:val="clear" w:color="auto" w:fill="auto"/>
            <w:vAlign w:val="center"/>
            <w:hideMark/>
          </w:tcPr>
          <w:p w14:paraId="364EFC81" w14:textId="77777777" w:rsidR="00665586" w:rsidRPr="0004176C" w:rsidRDefault="00665586" w:rsidP="00665586">
            <w:pPr>
              <w:jc w:val="center"/>
              <w:rPr>
                <w:color w:val="000000"/>
                <w:sz w:val="18"/>
                <w:szCs w:val="18"/>
              </w:rPr>
            </w:pPr>
            <w:r w:rsidRPr="0004176C">
              <w:rPr>
                <w:color w:val="000000"/>
                <w:sz w:val="18"/>
                <w:szCs w:val="18"/>
              </w:rPr>
              <w:t>Woods at Wareham</w:t>
            </w:r>
          </w:p>
        </w:tc>
        <w:tc>
          <w:tcPr>
            <w:tcW w:w="596" w:type="pct"/>
            <w:shd w:val="clear" w:color="auto" w:fill="auto"/>
            <w:vAlign w:val="center"/>
            <w:hideMark/>
          </w:tcPr>
          <w:p w14:paraId="0F39AE1E" w14:textId="77777777" w:rsidR="00665586" w:rsidRPr="0004176C" w:rsidRDefault="00665586" w:rsidP="00665586">
            <w:pPr>
              <w:jc w:val="center"/>
              <w:rPr>
                <w:color w:val="000000"/>
                <w:sz w:val="18"/>
                <w:szCs w:val="18"/>
              </w:rPr>
            </w:pPr>
            <w:r w:rsidRPr="0004176C">
              <w:rPr>
                <w:color w:val="000000"/>
                <w:sz w:val="18"/>
                <w:szCs w:val="18"/>
              </w:rPr>
              <w:t>19</w:t>
            </w:r>
          </w:p>
        </w:tc>
        <w:tc>
          <w:tcPr>
            <w:tcW w:w="674" w:type="pct"/>
            <w:shd w:val="clear" w:color="auto" w:fill="auto"/>
            <w:vAlign w:val="center"/>
            <w:hideMark/>
          </w:tcPr>
          <w:p w14:paraId="32D972CA"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5B158A92"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6471DF0D" w14:textId="77777777" w:rsidR="00665586" w:rsidRPr="0004176C" w:rsidRDefault="00665586" w:rsidP="00665586">
            <w:pPr>
              <w:jc w:val="center"/>
              <w:rPr>
                <w:color w:val="000000"/>
                <w:sz w:val="18"/>
                <w:szCs w:val="18"/>
              </w:rPr>
            </w:pPr>
            <w:r w:rsidRPr="0004176C">
              <w:rPr>
                <w:color w:val="000000"/>
                <w:sz w:val="18"/>
                <w:szCs w:val="18"/>
              </w:rPr>
              <w:t>Expiring Use Project - Family - 19 out of 22 EVs converted to PBVs</w:t>
            </w:r>
          </w:p>
        </w:tc>
      </w:tr>
      <w:tr w:rsidR="00665586" w:rsidRPr="0004176C" w14:paraId="45455093" w14:textId="77777777" w:rsidTr="00665586">
        <w:trPr>
          <w:trHeight w:val="240"/>
        </w:trPr>
        <w:tc>
          <w:tcPr>
            <w:tcW w:w="1326" w:type="pct"/>
            <w:shd w:val="clear" w:color="auto" w:fill="auto"/>
            <w:vAlign w:val="center"/>
            <w:hideMark/>
          </w:tcPr>
          <w:p w14:paraId="7226155C" w14:textId="77777777" w:rsidR="00665586" w:rsidRPr="0004176C" w:rsidRDefault="00665586" w:rsidP="00665586">
            <w:pPr>
              <w:jc w:val="center"/>
              <w:rPr>
                <w:color w:val="000000"/>
                <w:sz w:val="18"/>
                <w:szCs w:val="18"/>
              </w:rPr>
            </w:pPr>
            <w:r w:rsidRPr="0004176C">
              <w:rPr>
                <w:color w:val="000000"/>
                <w:sz w:val="18"/>
                <w:szCs w:val="18"/>
              </w:rPr>
              <w:t>Worcester Loomworks 2</w:t>
            </w:r>
          </w:p>
        </w:tc>
        <w:tc>
          <w:tcPr>
            <w:tcW w:w="596" w:type="pct"/>
            <w:shd w:val="clear" w:color="auto" w:fill="auto"/>
            <w:vAlign w:val="center"/>
            <w:hideMark/>
          </w:tcPr>
          <w:p w14:paraId="3A0E6A07" w14:textId="77777777" w:rsidR="00665586" w:rsidRPr="0004176C" w:rsidRDefault="00665586" w:rsidP="00665586">
            <w:pPr>
              <w:jc w:val="center"/>
              <w:rPr>
                <w:color w:val="000000"/>
                <w:sz w:val="18"/>
                <w:szCs w:val="18"/>
              </w:rPr>
            </w:pPr>
            <w:r w:rsidRPr="0004176C">
              <w:rPr>
                <w:color w:val="000000"/>
                <w:sz w:val="18"/>
                <w:szCs w:val="18"/>
              </w:rPr>
              <w:t>8</w:t>
            </w:r>
          </w:p>
        </w:tc>
        <w:tc>
          <w:tcPr>
            <w:tcW w:w="674" w:type="pct"/>
            <w:shd w:val="clear" w:color="auto" w:fill="auto"/>
            <w:vAlign w:val="center"/>
            <w:hideMark/>
          </w:tcPr>
          <w:p w14:paraId="56064EE8"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4B0DF53E"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718638FE" w14:textId="77777777" w:rsidR="00665586" w:rsidRPr="0004176C" w:rsidRDefault="00665586" w:rsidP="00665586">
            <w:pPr>
              <w:jc w:val="center"/>
              <w:rPr>
                <w:color w:val="000000"/>
                <w:sz w:val="18"/>
                <w:szCs w:val="18"/>
              </w:rPr>
            </w:pPr>
            <w:r w:rsidRPr="0004176C">
              <w:rPr>
                <w:color w:val="000000"/>
                <w:sz w:val="18"/>
                <w:szCs w:val="18"/>
              </w:rPr>
              <w:t>Family - New construction (55 units); former mill site</w:t>
            </w:r>
          </w:p>
        </w:tc>
      </w:tr>
      <w:tr w:rsidR="00665586" w:rsidRPr="0004176C" w14:paraId="7503EAE3" w14:textId="77777777" w:rsidTr="00665586">
        <w:trPr>
          <w:trHeight w:val="240"/>
        </w:trPr>
        <w:tc>
          <w:tcPr>
            <w:tcW w:w="1326" w:type="pct"/>
            <w:shd w:val="clear" w:color="auto" w:fill="auto"/>
            <w:vAlign w:val="center"/>
            <w:hideMark/>
          </w:tcPr>
          <w:p w14:paraId="0F30EB40" w14:textId="77777777" w:rsidR="00665586" w:rsidRPr="0004176C" w:rsidRDefault="00665586" w:rsidP="00665586">
            <w:pPr>
              <w:jc w:val="center"/>
              <w:rPr>
                <w:color w:val="000000"/>
                <w:sz w:val="18"/>
                <w:szCs w:val="18"/>
              </w:rPr>
            </w:pPr>
            <w:r w:rsidRPr="0004176C">
              <w:rPr>
                <w:color w:val="000000"/>
                <w:sz w:val="18"/>
                <w:szCs w:val="18"/>
              </w:rPr>
              <w:t>Yarmouth Green</w:t>
            </w:r>
          </w:p>
        </w:tc>
        <w:tc>
          <w:tcPr>
            <w:tcW w:w="596" w:type="pct"/>
            <w:shd w:val="clear" w:color="auto" w:fill="auto"/>
            <w:vAlign w:val="center"/>
            <w:hideMark/>
          </w:tcPr>
          <w:p w14:paraId="62BDB38A" w14:textId="77777777" w:rsidR="00665586" w:rsidRPr="0004176C" w:rsidRDefault="00665586" w:rsidP="00665586">
            <w:pPr>
              <w:jc w:val="center"/>
              <w:rPr>
                <w:color w:val="000000"/>
                <w:sz w:val="18"/>
                <w:szCs w:val="18"/>
              </w:rPr>
            </w:pPr>
            <w:r w:rsidRPr="0004176C">
              <w:rPr>
                <w:color w:val="000000"/>
                <w:sz w:val="18"/>
                <w:szCs w:val="18"/>
              </w:rPr>
              <w:t>7</w:t>
            </w:r>
          </w:p>
        </w:tc>
        <w:tc>
          <w:tcPr>
            <w:tcW w:w="674" w:type="pct"/>
            <w:shd w:val="clear" w:color="auto" w:fill="auto"/>
            <w:vAlign w:val="center"/>
            <w:hideMark/>
          </w:tcPr>
          <w:p w14:paraId="229DA54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4DB5198"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3CD5E6CC" w14:textId="77777777" w:rsidR="00665586" w:rsidRPr="0004176C" w:rsidRDefault="00665586" w:rsidP="00665586">
            <w:pPr>
              <w:jc w:val="center"/>
              <w:rPr>
                <w:color w:val="000000"/>
                <w:sz w:val="18"/>
                <w:szCs w:val="18"/>
              </w:rPr>
            </w:pPr>
            <w:r w:rsidRPr="0004176C">
              <w:rPr>
                <w:color w:val="000000"/>
                <w:sz w:val="18"/>
                <w:szCs w:val="18"/>
              </w:rPr>
              <w:t>New construction, family housing at 30% AMI</w:t>
            </w:r>
          </w:p>
        </w:tc>
      </w:tr>
      <w:tr w:rsidR="00665586" w:rsidRPr="0004176C" w14:paraId="36E0D973" w14:textId="77777777" w:rsidTr="00665586">
        <w:trPr>
          <w:trHeight w:val="240"/>
        </w:trPr>
        <w:tc>
          <w:tcPr>
            <w:tcW w:w="1326" w:type="pct"/>
            <w:shd w:val="clear" w:color="auto" w:fill="auto"/>
            <w:vAlign w:val="center"/>
            <w:hideMark/>
          </w:tcPr>
          <w:p w14:paraId="3256EAF2" w14:textId="77777777" w:rsidR="00665586" w:rsidRPr="0004176C" w:rsidRDefault="00665586" w:rsidP="00665586">
            <w:pPr>
              <w:jc w:val="center"/>
              <w:rPr>
                <w:color w:val="000000"/>
                <w:sz w:val="18"/>
                <w:szCs w:val="18"/>
              </w:rPr>
            </w:pPr>
            <w:r w:rsidRPr="0004176C">
              <w:rPr>
                <w:color w:val="000000"/>
                <w:sz w:val="18"/>
                <w:szCs w:val="18"/>
              </w:rPr>
              <w:t>YMCA</w:t>
            </w:r>
          </w:p>
        </w:tc>
        <w:tc>
          <w:tcPr>
            <w:tcW w:w="596" w:type="pct"/>
            <w:shd w:val="clear" w:color="auto" w:fill="auto"/>
            <w:vAlign w:val="center"/>
            <w:hideMark/>
          </w:tcPr>
          <w:p w14:paraId="4B800FB8" w14:textId="77777777" w:rsidR="00665586" w:rsidRPr="0004176C" w:rsidRDefault="00665586" w:rsidP="00665586">
            <w:pPr>
              <w:jc w:val="center"/>
              <w:rPr>
                <w:color w:val="000000"/>
                <w:sz w:val="18"/>
                <w:szCs w:val="18"/>
              </w:rPr>
            </w:pPr>
            <w:r w:rsidRPr="0004176C">
              <w:rPr>
                <w:color w:val="000000"/>
                <w:sz w:val="18"/>
                <w:szCs w:val="18"/>
              </w:rPr>
              <w:t>30</w:t>
            </w:r>
          </w:p>
        </w:tc>
        <w:tc>
          <w:tcPr>
            <w:tcW w:w="674" w:type="pct"/>
            <w:shd w:val="clear" w:color="auto" w:fill="auto"/>
            <w:vAlign w:val="center"/>
            <w:hideMark/>
          </w:tcPr>
          <w:p w14:paraId="0AE7DC77"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7C0173CE"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5EC496FA" w14:textId="77777777" w:rsidR="00665586" w:rsidRPr="0004176C" w:rsidRDefault="00665586" w:rsidP="00665586">
            <w:pPr>
              <w:jc w:val="center"/>
              <w:rPr>
                <w:color w:val="000000"/>
                <w:sz w:val="18"/>
                <w:szCs w:val="18"/>
              </w:rPr>
            </w:pPr>
            <w:r w:rsidRPr="0004176C">
              <w:rPr>
                <w:color w:val="000000"/>
                <w:sz w:val="18"/>
                <w:szCs w:val="18"/>
              </w:rPr>
              <w:t>Elderly/Disabled units; two units for homeless individuals</w:t>
            </w:r>
          </w:p>
        </w:tc>
      </w:tr>
      <w:tr w:rsidR="00665586" w:rsidRPr="0004176C" w14:paraId="7875ED31" w14:textId="77777777" w:rsidTr="00665586">
        <w:trPr>
          <w:trHeight w:val="480"/>
        </w:trPr>
        <w:tc>
          <w:tcPr>
            <w:tcW w:w="1326" w:type="pct"/>
            <w:shd w:val="clear" w:color="auto" w:fill="auto"/>
            <w:vAlign w:val="center"/>
            <w:hideMark/>
          </w:tcPr>
          <w:p w14:paraId="6B02E871" w14:textId="77777777" w:rsidR="00665586" w:rsidRPr="0004176C" w:rsidRDefault="00665586" w:rsidP="00665586">
            <w:pPr>
              <w:jc w:val="center"/>
              <w:rPr>
                <w:color w:val="000000"/>
                <w:sz w:val="18"/>
                <w:szCs w:val="18"/>
              </w:rPr>
            </w:pPr>
            <w:r w:rsidRPr="0004176C">
              <w:rPr>
                <w:color w:val="000000"/>
                <w:sz w:val="18"/>
                <w:szCs w:val="18"/>
              </w:rPr>
              <w:t>YWCA Market Street</w:t>
            </w:r>
          </w:p>
        </w:tc>
        <w:tc>
          <w:tcPr>
            <w:tcW w:w="596" w:type="pct"/>
            <w:shd w:val="clear" w:color="auto" w:fill="auto"/>
            <w:vAlign w:val="center"/>
            <w:hideMark/>
          </w:tcPr>
          <w:p w14:paraId="699C24D2" w14:textId="77777777" w:rsidR="00665586" w:rsidRPr="0004176C" w:rsidRDefault="00665586" w:rsidP="00665586">
            <w:pPr>
              <w:jc w:val="center"/>
              <w:rPr>
                <w:color w:val="000000"/>
                <w:sz w:val="18"/>
                <w:szCs w:val="18"/>
              </w:rPr>
            </w:pPr>
            <w:r w:rsidRPr="0004176C">
              <w:rPr>
                <w:color w:val="000000"/>
                <w:sz w:val="18"/>
                <w:szCs w:val="18"/>
              </w:rPr>
              <w:t>4</w:t>
            </w:r>
          </w:p>
        </w:tc>
        <w:tc>
          <w:tcPr>
            <w:tcW w:w="674" w:type="pct"/>
            <w:shd w:val="clear" w:color="auto" w:fill="auto"/>
            <w:vAlign w:val="center"/>
            <w:hideMark/>
          </w:tcPr>
          <w:p w14:paraId="263D6A2D" w14:textId="77777777" w:rsidR="00665586" w:rsidRPr="0004176C" w:rsidRDefault="00665586" w:rsidP="00665586">
            <w:pPr>
              <w:jc w:val="center"/>
              <w:rPr>
                <w:color w:val="000000"/>
                <w:sz w:val="18"/>
                <w:szCs w:val="18"/>
              </w:rPr>
            </w:pPr>
            <w:r w:rsidRPr="0004176C">
              <w:rPr>
                <w:color w:val="000000"/>
                <w:sz w:val="18"/>
                <w:szCs w:val="18"/>
              </w:rPr>
              <w:t>Leased/Issued</w:t>
            </w:r>
          </w:p>
        </w:tc>
        <w:tc>
          <w:tcPr>
            <w:tcW w:w="627" w:type="pct"/>
            <w:shd w:val="clear" w:color="auto" w:fill="auto"/>
            <w:vAlign w:val="center"/>
            <w:hideMark/>
          </w:tcPr>
          <w:p w14:paraId="1D1F0AAE" w14:textId="77777777" w:rsidR="00665586" w:rsidRPr="0004176C" w:rsidRDefault="00665586" w:rsidP="00665586">
            <w:pPr>
              <w:jc w:val="center"/>
              <w:rPr>
                <w:color w:val="000000"/>
                <w:sz w:val="18"/>
                <w:szCs w:val="18"/>
              </w:rPr>
            </w:pPr>
            <w:r w:rsidRPr="0004176C">
              <w:rPr>
                <w:color w:val="000000"/>
                <w:sz w:val="18"/>
                <w:szCs w:val="18"/>
              </w:rPr>
              <w:t>No</w:t>
            </w:r>
          </w:p>
        </w:tc>
        <w:tc>
          <w:tcPr>
            <w:tcW w:w="1777" w:type="pct"/>
            <w:shd w:val="clear" w:color="auto" w:fill="auto"/>
            <w:vAlign w:val="center"/>
            <w:hideMark/>
          </w:tcPr>
          <w:p w14:paraId="4AE96FE1" w14:textId="77777777" w:rsidR="00665586" w:rsidRPr="0004176C" w:rsidRDefault="00665586" w:rsidP="00665586">
            <w:pPr>
              <w:jc w:val="center"/>
              <w:rPr>
                <w:color w:val="000000"/>
                <w:sz w:val="18"/>
                <w:szCs w:val="18"/>
              </w:rPr>
            </w:pPr>
            <w:r w:rsidRPr="0004176C">
              <w:rPr>
                <w:color w:val="000000"/>
                <w:sz w:val="18"/>
                <w:szCs w:val="18"/>
              </w:rPr>
              <w:t>Family - Rehab of an existing five-unit building plus a new addition for five units</w:t>
            </w:r>
          </w:p>
        </w:tc>
      </w:tr>
      <w:tr w:rsidR="00793045" w:rsidRPr="0004176C" w14:paraId="352672BD" w14:textId="77777777" w:rsidTr="00665586">
        <w:trPr>
          <w:trHeight w:val="480"/>
        </w:trPr>
        <w:tc>
          <w:tcPr>
            <w:tcW w:w="1326" w:type="pct"/>
            <w:shd w:val="clear" w:color="auto" w:fill="auto"/>
            <w:vAlign w:val="center"/>
          </w:tcPr>
          <w:p w14:paraId="4AC475E7" w14:textId="62C54C5F" w:rsidR="00793045" w:rsidRPr="0004176C" w:rsidRDefault="00793045" w:rsidP="00665586">
            <w:pPr>
              <w:jc w:val="center"/>
              <w:rPr>
                <w:color w:val="000000"/>
                <w:sz w:val="18"/>
                <w:szCs w:val="18"/>
              </w:rPr>
            </w:pPr>
            <w:r w:rsidRPr="0004176C">
              <w:rPr>
                <w:color w:val="000000"/>
                <w:sz w:val="18"/>
                <w:szCs w:val="18"/>
              </w:rPr>
              <w:t>Zelma Lacey Mishawum</w:t>
            </w:r>
          </w:p>
        </w:tc>
        <w:tc>
          <w:tcPr>
            <w:tcW w:w="596" w:type="pct"/>
            <w:shd w:val="clear" w:color="auto" w:fill="auto"/>
            <w:vAlign w:val="center"/>
          </w:tcPr>
          <w:p w14:paraId="6DEBEF50" w14:textId="32718764" w:rsidR="00793045" w:rsidRPr="0004176C" w:rsidRDefault="00793045" w:rsidP="00665586">
            <w:pPr>
              <w:jc w:val="center"/>
              <w:rPr>
                <w:color w:val="000000"/>
                <w:sz w:val="18"/>
                <w:szCs w:val="18"/>
              </w:rPr>
            </w:pPr>
            <w:r w:rsidRPr="0004176C">
              <w:rPr>
                <w:color w:val="000000"/>
                <w:sz w:val="18"/>
                <w:szCs w:val="18"/>
              </w:rPr>
              <w:t>20</w:t>
            </w:r>
          </w:p>
        </w:tc>
        <w:tc>
          <w:tcPr>
            <w:tcW w:w="674" w:type="pct"/>
            <w:shd w:val="clear" w:color="auto" w:fill="auto"/>
            <w:vAlign w:val="center"/>
          </w:tcPr>
          <w:p w14:paraId="0F48CC72" w14:textId="16A3E2AA" w:rsidR="00793045" w:rsidRPr="0004176C" w:rsidRDefault="00793045" w:rsidP="00665586">
            <w:pPr>
              <w:jc w:val="center"/>
              <w:rPr>
                <w:color w:val="000000"/>
                <w:sz w:val="18"/>
                <w:szCs w:val="18"/>
              </w:rPr>
            </w:pPr>
            <w:r w:rsidRPr="0004176C">
              <w:rPr>
                <w:color w:val="000000"/>
                <w:sz w:val="18"/>
                <w:szCs w:val="18"/>
              </w:rPr>
              <w:t>Leased/Issued</w:t>
            </w:r>
          </w:p>
        </w:tc>
        <w:tc>
          <w:tcPr>
            <w:tcW w:w="627" w:type="pct"/>
            <w:shd w:val="clear" w:color="auto" w:fill="auto"/>
            <w:vAlign w:val="center"/>
          </w:tcPr>
          <w:p w14:paraId="76D7F8F8" w14:textId="0AE1FCCD" w:rsidR="00793045" w:rsidRPr="0004176C" w:rsidRDefault="00793045" w:rsidP="00665586">
            <w:pPr>
              <w:jc w:val="center"/>
              <w:rPr>
                <w:color w:val="000000"/>
                <w:sz w:val="18"/>
                <w:szCs w:val="18"/>
              </w:rPr>
            </w:pPr>
            <w:r w:rsidRPr="0004176C">
              <w:rPr>
                <w:color w:val="000000"/>
                <w:sz w:val="18"/>
                <w:szCs w:val="18"/>
              </w:rPr>
              <w:t>No</w:t>
            </w:r>
          </w:p>
        </w:tc>
        <w:tc>
          <w:tcPr>
            <w:tcW w:w="1777" w:type="pct"/>
            <w:shd w:val="clear" w:color="auto" w:fill="auto"/>
            <w:vAlign w:val="center"/>
          </w:tcPr>
          <w:p w14:paraId="56772DD7" w14:textId="604E43E8" w:rsidR="00793045" w:rsidRPr="0004176C" w:rsidRDefault="00793045" w:rsidP="00665586">
            <w:pPr>
              <w:jc w:val="center"/>
              <w:rPr>
                <w:color w:val="000000"/>
                <w:sz w:val="18"/>
                <w:szCs w:val="18"/>
              </w:rPr>
            </w:pPr>
            <w:r w:rsidRPr="0004176C">
              <w:rPr>
                <w:color w:val="000000"/>
                <w:sz w:val="18"/>
                <w:szCs w:val="18"/>
              </w:rPr>
              <w:t>Supportive Services</w:t>
            </w:r>
          </w:p>
        </w:tc>
      </w:tr>
      <w:tr w:rsidR="009B1E44" w:rsidRPr="0004176C" w14:paraId="0E0763DA" w14:textId="77777777" w:rsidTr="00665586">
        <w:trPr>
          <w:trHeight w:val="240"/>
        </w:trPr>
        <w:tc>
          <w:tcPr>
            <w:tcW w:w="1326" w:type="pct"/>
            <w:shd w:val="clear" w:color="auto" w:fill="auto"/>
            <w:vAlign w:val="center"/>
          </w:tcPr>
          <w:p w14:paraId="0D5C4A4E" w14:textId="77777777" w:rsidR="009B1E44" w:rsidRPr="0004176C" w:rsidRDefault="009B1E44" w:rsidP="00665586">
            <w:pPr>
              <w:jc w:val="center"/>
              <w:rPr>
                <w:b/>
                <w:color w:val="000000"/>
                <w:sz w:val="22"/>
              </w:rPr>
            </w:pPr>
            <w:r w:rsidRPr="0004176C">
              <w:rPr>
                <w:b/>
                <w:color w:val="000000"/>
                <w:sz w:val="22"/>
              </w:rPr>
              <w:t>Planned/Actual Existing Project-Based Vouchers</w:t>
            </w:r>
          </w:p>
        </w:tc>
        <w:tc>
          <w:tcPr>
            <w:tcW w:w="596" w:type="pct"/>
            <w:shd w:val="clear" w:color="auto" w:fill="auto"/>
            <w:vAlign w:val="center"/>
          </w:tcPr>
          <w:p w14:paraId="289B4EF4" w14:textId="4F8B99C9" w:rsidR="009B1E44" w:rsidRPr="0004176C" w:rsidRDefault="00793045" w:rsidP="00665586">
            <w:pPr>
              <w:jc w:val="center"/>
              <w:rPr>
                <w:b/>
                <w:color w:val="000000"/>
                <w:sz w:val="22"/>
              </w:rPr>
            </w:pPr>
            <w:r w:rsidRPr="0004176C">
              <w:rPr>
                <w:b/>
                <w:color w:val="000000"/>
                <w:sz w:val="22"/>
              </w:rPr>
              <w:t>3,834</w:t>
            </w:r>
          </w:p>
        </w:tc>
        <w:tc>
          <w:tcPr>
            <w:tcW w:w="3078" w:type="pct"/>
            <w:gridSpan w:val="3"/>
            <w:shd w:val="clear" w:color="auto" w:fill="auto"/>
            <w:vAlign w:val="center"/>
          </w:tcPr>
          <w:p w14:paraId="6930BE74" w14:textId="77777777" w:rsidR="009B1E44" w:rsidRPr="0004176C" w:rsidRDefault="009B1E44" w:rsidP="00665586">
            <w:pPr>
              <w:jc w:val="center"/>
              <w:rPr>
                <w:color w:val="000000"/>
                <w:sz w:val="22"/>
              </w:rPr>
            </w:pPr>
          </w:p>
        </w:tc>
      </w:tr>
    </w:tbl>
    <w:p w14:paraId="69817C31" w14:textId="10A507DD" w:rsidR="00491461" w:rsidRPr="0004176C" w:rsidRDefault="002B7D1C" w:rsidP="00B54650">
      <w:pPr>
        <w:rPr>
          <w:i/>
          <w:sz w:val="18"/>
          <w:szCs w:val="20"/>
        </w:rPr>
      </w:pPr>
      <w:r w:rsidRPr="0004176C">
        <w:rPr>
          <w:i/>
          <w:sz w:val="18"/>
          <w:szCs w:val="20"/>
        </w:rPr>
        <w:t xml:space="preserve">* Projects which were previously reported as leased/issued; however, they are still in the phase of committed and not yet leased/issued. </w:t>
      </w:r>
      <w:r w:rsidR="00491461" w:rsidRPr="0004176C">
        <w:rPr>
          <w:i/>
          <w:sz w:val="18"/>
          <w:szCs w:val="20"/>
        </w:rPr>
        <w:t xml:space="preserve"> </w:t>
      </w:r>
    </w:p>
    <w:p w14:paraId="262B5293" w14:textId="256CBF91" w:rsidR="002B7D1C" w:rsidRPr="0004176C" w:rsidRDefault="002B7D1C" w:rsidP="00B54650">
      <w:pPr>
        <w:rPr>
          <w:i/>
          <w:sz w:val="18"/>
          <w:szCs w:val="20"/>
        </w:rPr>
      </w:pPr>
      <w:r w:rsidRPr="0004176C">
        <w:rPr>
          <w:i/>
          <w:sz w:val="18"/>
          <w:szCs w:val="20"/>
        </w:rPr>
        <w:t xml:space="preserve">** PB projects which were not previously reported. </w:t>
      </w:r>
    </w:p>
    <w:p w14:paraId="251323CC" w14:textId="77777777" w:rsidR="00017343" w:rsidRPr="0004176C" w:rsidRDefault="00017343" w:rsidP="00017343">
      <w:pPr>
        <w:rPr>
          <w:sz w:val="18"/>
        </w:rPr>
      </w:pPr>
    </w:p>
    <w:p w14:paraId="27865F0F" w14:textId="77777777" w:rsidR="00146D35" w:rsidRPr="0004176C" w:rsidRDefault="00146D35" w:rsidP="00111F4B">
      <w:pPr>
        <w:rPr>
          <w:i/>
          <w:sz w:val="22"/>
          <w:szCs w:val="22"/>
        </w:rPr>
      </w:pPr>
    </w:p>
    <w:p w14:paraId="68F99492" w14:textId="0C7951A2" w:rsidR="009B6B80" w:rsidRPr="0004176C" w:rsidRDefault="00510108" w:rsidP="00AA5A80">
      <w:pPr>
        <w:pStyle w:val="ListParagraph"/>
        <w:numPr>
          <w:ilvl w:val="0"/>
          <w:numId w:val="29"/>
        </w:numPr>
        <w:rPr>
          <w:b/>
          <w:i/>
        </w:rPr>
      </w:pPr>
      <w:bookmarkStart w:id="24" w:name="_Toc528576626"/>
      <w:r w:rsidRPr="0004176C">
        <w:rPr>
          <w:b/>
          <w:i/>
        </w:rPr>
        <w:t>Planned</w:t>
      </w:r>
      <w:r w:rsidR="00CD529F" w:rsidRPr="0004176C">
        <w:rPr>
          <w:b/>
          <w:i/>
        </w:rPr>
        <w:t xml:space="preserve"> Other Changes to MTW Housing Stock </w:t>
      </w:r>
      <w:r w:rsidRPr="0004176C">
        <w:rPr>
          <w:b/>
          <w:i/>
        </w:rPr>
        <w:t>Antic</w:t>
      </w:r>
      <w:r w:rsidR="00F65C44" w:rsidRPr="0004176C">
        <w:rPr>
          <w:b/>
          <w:i/>
        </w:rPr>
        <w:t>ipated During</w:t>
      </w:r>
      <w:r w:rsidR="00CD529F" w:rsidRPr="0004176C">
        <w:rPr>
          <w:b/>
          <w:i/>
        </w:rPr>
        <w:t xml:space="preserve"> the Plan Year</w:t>
      </w:r>
      <w:bookmarkEnd w:id="24"/>
    </w:p>
    <w:p w14:paraId="253D68C1" w14:textId="222EE0F9" w:rsidR="00F65C44" w:rsidRPr="0004176C" w:rsidRDefault="00F65C44" w:rsidP="00F65C44"/>
    <w:p w14:paraId="7B7986FF" w14:textId="2F91F3BE" w:rsidR="00893392" w:rsidRPr="0004176C" w:rsidRDefault="00893392" w:rsidP="00424525">
      <w:pPr>
        <w:pStyle w:val="Heading4"/>
        <w:numPr>
          <w:ilvl w:val="0"/>
          <w:numId w:val="0"/>
        </w:numPr>
        <w:jc w:val="center"/>
        <w:rPr>
          <w:sz w:val="20"/>
        </w:rPr>
      </w:pPr>
      <w:bookmarkStart w:id="25" w:name="_Toc33016920"/>
      <w:r w:rsidRPr="0004176C">
        <w:rPr>
          <w:sz w:val="20"/>
        </w:rPr>
        <w:t xml:space="preserve">Table </w:t>
      </w:r>
      <w:r w:rsidR="00F61294" w:rsidRPr="0004176C">
        <w:rPr>
          <w:sz w:val="20"/>
        </w:rPr>
        <w:t>5</w:t>
      </w:r>
      <w:r w:rsidRPr="0004176C">
        <w:rPr>
          <w:sz w:val="20"/>
        </w:rPr>
        <w:t xml:space="preserve">: Planned Other </w:t>
      </w:r>
      <w:r w:rsidR="00F61294" w:rsidRPr="0004176C">
        <w:rPr>
          <w:sz w:val="20"/>
        </w:rPr>
        <w:t>Changes to MTW Housing Stock</w:t>
      </w:r>
      <w:bookmarkEnd w:id="25"/>
    </w:p>
    <w:p w14:paraId="7601940F" w14:textId="77777777" w:rsidR="00F61294" w:rsidRPr="0004176C" w:rsidRDefault="00F61294" w:rsidP="00F61294"/>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93392" w:rsidRPr="0004176C" w14:paraId="0B2D08A2" w14:textId="77777777" w:rsidTr="00893392">
        <w:trPr>
          <w:tblHeader/>
        </w:trPr>
        <w:tc>
          <w:tcPr>
            <w:tcW w:w="9535" w:type="dxa"/>
          </w:tcPr>
          <w:p w14:paraId="61621784" w14:textId="77777777" w:rsidR="00893392" w:rsidRPr="0004176C" w:rsidRDefault="00893392" w:rsidP="002E29C6">
            <w:pPr>
              <w:jc w:val="center"/>
              <w:rPr>
                <w:b/>
                <w:sz w:val="20"/>
                <w:szCs w:val="20"/>
              </w:rPr>
            </w:pPr>
            <w:r w:rsidRPr="0004176C">
              <w:rPr>
                <w:b/>
                <w:sz w:val="20"/>
                <w:szCs w:val="20"/>
              </w:rPr>
              <w:t>Description</w:t>
            </w:r>
          </w:p>
        </w:tc>
      </w:tr>
      <w:tr w:rsidR="00893392" w:rsidRPr="0004176C" w14:paraId="1BF7439B" w14:textId="77777777" w:rsidTr="00893392">
        <w:trPr>
          <w:tblHeader/>
        </w:trPr>
        <w:tc>
          <w:tcPr>
            <w:tcW w:w="9535" w:type="dxa"/>
            <w:shd w:val="clear" w:color="auto" w:fill="FFFFFF" w:themeFill="background1"/>
          </w:tcPr>
          <w:p w14:paraId="74B341FC" w14:textId="52D2811C" w:rsidR="00893392" w:rsidRPr="0004176C" w:rsidRDefault="00893392" w:rsidP="002E29C6">
            <w:pPr>
              <w:rPr>
                <w:sz w:val="20"/>
                <w:szCs w:val="20"/>
              </w:rPr>
            </w:pPr>
            <w:r w:rsidRPr="0004176C">
              <w:rPr>
                <w:sz w:val="20"/>
                <w:szCs w:val="20"/>
              </w:rPr>
              <w:t>DHCD does not own or manage any federally funded public housing.</w:t>
            </w:r>
          </w:p>
        </w:tc>
      </w:tr>
    </w:tbl>
    <w:p w14:paraId="51072C59" w14:textId="77777777" w:rsidR="00F65C44" w:rsidRPr="0004176C" w:rsidRDefault="00F65C44" w:rsidP="00F65C44"/>
    <w:p w14:paraId="3588061B" w14:textId="77777777" w:rsidR="00176111" w:rsidRPr="0004176C" w:rsidRDefault="00176111" w:rsidP="00111F4B">
      <w:pPr>
        <w:rPr>
          <w:i/>
          <w:sz w:val="16"/>
          <w:szCs w:val="18"/>
        </w:rPr>
      </w:pPr>
    </w:p>
    <w:p w14:paraId="3E5F1226" w14:textId="7D6A3720" w:rsidR="00F54531" w:rsidRPr="0004176C" w:rsidRDefault="00F54531" w:rsidP="00AA5A80">
      <w:pPr>
        <w:pStyle w:val="ListParagraph"/>
        <w:numPr>
          <w:ilvl w:val="0"/>
          <w:numId w:val="29"/>
        </w:numPr>
        <w:rPr>
          <w:b/>
          <w:i/>
        </w:rPr>
      </w:pPr>
      <w:bookmarkStart w:id="26" w:name="_Toc528576627"/>
      <w:r w:rsidRPr="0004176C">
        <w:rPr>
          <w:b/>
          <w:i/>
        </w:rPr>
        <w:t>Ge</w:t>
      </w:r>
      <w:r w:rsidR="00B75626" w:rsidRPr="0004176C">
        <w:rPr>
          <w:b/>
          <w:i/>
        </w:rPr>
        <w:t xml:space="preserve">neral Description of </w:t>
      </w:r>
      <w:r w:rsidR="00510108" w:rsidRPr="0004176C">
        <w:rPr>
          <w:b/>
          <w:i/>
        </w:rPr>
        <w:t>All Planned</w:t>
      </w:r>
      <w:r w:rsidRPr="0004176C">
        <w:rPr>
          <w:b/>
          <w:i/>
        </w:rPr>
        <w:t xml:space="preserve"> Capital Expenditures During the Plan Year</w:t>
      </w:r>
      <w:bookmarkEnd w:id="26"/>
    </w:p>
    <w:p w14:paraId="6ED1B5BE" w14:textId="13C73BAB" w:rsidR="00F61294" w:rsidRPr="0004176C" w:rsidRDefault="00F61294" w:rsidP="00F61294"/>
    <w:p w14:paraId="59423BF7" w14:textId="77152981" w:rsidR="00F61294" w:rsidRPr="0004176C" w:rsidRDefault="00F61294" w:rsidP="00424525">
      <w:pPr>
        <w:pStyle w:val="Heading4"/>
        <w:numPr>
          <w:ilvl w:val="0"/>
          <w:numId w:val="0"/>
        </w:numPr>
        <w:jc w:val="center"/>
        <w:rPr>
          <w:sz w:val="20"/>
        </w:rPr>
      </w:pPr>
      <w:bookmarkStart w:id="27" w:name="_Toc33016921"/>
      <w:r w:rsidRPr="0004176C">
        <w:rPr>
          <w:sz w:val="20"/>
        </w:rPr>
        <w:t>Table 6: General Description of All Planned Capital Expenditures During the Plan Year</w:t>
      </w:r>
      <w:bookmarkEnd w:id="27"/>
    </w:p>
    <w:p w14:paraId="01E63653" w14:textId="52B61F32" w:rsidR="00F61294" w:rsidRPr="0004176C" w:rsidRDefault="00F61294" w:rsidP="00F61294"/>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F61294" w:rsidRPr="0004176C" w14:paraId="0E1C6F8C" w14:textId="77777777" w:rsidTr="002E29C6">
        <w:trPr>
          <w:tblHeader/>
        </w:trPr>
        <w:tc>
          <w:tcPr>
            <w:tcW w:w="9535" w:type="dxa"/>
          </w:tcPr>
          <w:p w14:paraId="4EA43F47" w14:textId="77777777" w:rsidR="00F61294" w:rsidRPr="0004176C" w:rsidRDefault="00F61294" w:rsidP="002E29C6">
            <w:pPr>
              <w:jc w:val="center"/>
              <w:rPr>
                <w:b/>
                <w:sz w:val="20"/>
                <w:szCs w:val="20"/>
              </w:rPr>
            </w:pPr>
            <w:r w:rsidRPr="0004176C">
              <w:rPr>
                <w:b/>
                <w:sz w:val="20"/>
                <w:szCs w:val="20"/>
              </w:rPr>
              <w:t>Description</w:t>
            </w:r>
          </w:p>
        </w:tc>
      </w:tr>
      <w:tr w:rsidR="00F61294" w:rsidRPr="0004176C" w14:paraId="590E564F" w14:textId="77777777" w:rsidTr="002E29C6">
        <w:trPr>
          <w:tblHeader/>
        </w:trPr>
        <w:tc>
          <w:tcPr>
            <w:tcW w:w="9535" w:type="dxa"/>
            <w:shd w:val="clear" w:color="auto" w:fill="FFFFFF" w:themeFill="background1"/>
          </w:tcPr>
          <w:p w14:paraId="73EFFEC9" w14:textId="00F046E4" w:rsidR="00F61294" w:rsidRPr="0004176C" w:rsidRDefault="00F61294" w:rsidP="002E29C6">
            <w:pPr>
              <w:rPr>
                <w:sz w:val="20"/>
                <w:szCs w:val="20"/>
              </w:rPr>
            </w:pPr>
            <w:r w:rsidRPr="0004176C">
              <w:rPr>
                <w:sz w:val="20"/>
                <w:szCs w:val="20"/>
              </w:rPr>
              <w:t>DHCD does not own or manage any federally funded public housing nor does it receive public housing capital funds from HUD.</w:t>
            </w:r>
          </w:p>
        </w:tc>
      </w:tr>
    </w:tbl>
    <w:p w14:paraId="576679E9" w14:textId="77777777" w:rsidR="005C0DFB" w:rsidRPr="0004176C" w:rsidRDefault="005C0DFB" w:rsidP="005C0DFB"/>
    <w:p w14:paraId="46A5D38E" w14:textId="1B1D8AE7" w:rsidR="00783927" w:rsidRPr="0004176C" w:rsidRDefault="00783927" w:rsidP="00AA5A80">
      <w:pPr>
        <w:pStyle w:val="Heading2"/>
        <w:numPr>
          <w:ilvl w:val="0"/>
          <w:numId w:val="27"/>
        </w:numPr>
      </w:pPr>
      <w:bookmarkStart w:id="28" w:name="_Toc33016922"/>
      <w:r w:rsidRPr="0004176C">
        <w:t>Leasing Information</w:t>
      </w:r>
      <w:bookmarkEnd w:id="28"/>
      <w:r w:rsidRPr="0004176C">
        <w:t xml:space="preserve"> </w:t>
      </w:r>
    </w:p>
    <w:p w14:paraId="62B1D05E" w14:textId="77777777" w:rsidR="00783927" w:rsidRPr="0004176C" w:rsidRDefault="00783927" w:rsidP="00783927">
      <w:pPr>
        <w:rPr>
          <w:color w:val="000000"/>
        </w:rPr>
      </w:pPr>
    </w:p>
    <w:p w14:paraId="5A93818F" w14:textId="77777777" w:rsidR="00783927" w:rsidRPr="0004176C" w:rsidRDefault="007B3263" w:rsidP="00AA5A80">
      <w:pPr>
        <w:pStyle w:val="ListParagraph"/>
        <w:numPr>
          <w:ilvl w:val="0"/>
          <w:numId w:val="30"/>
        </w:numPr>
        <w:rPr>
          <w:b/>
          <w:i/>
        </w:rPr>
      </w:pPr>
      <w:bookmarkStart w:id="29" w:name="_Toc528576629"/>
      <w:r w:rsidRPr="0004176C">
        <w:rPr>
          <w:b/>
          <w:i/>
        </w:rPr>
        <w:t xml:space="preserve">Planned </w:t>
      </w:r>
      <w:r w:rsidR="00783927" w:rsidRPr="0004176C">
        <w:rPr>
          <w:b/>
          <w:i/>
        </w:rPr>
        <w:t>Number of Households Served</w:t>
      </w:r>
      <w:bookmarkEnd w:id="29"/>
    </w:p>
    <w:p w14:paraId="67DE3BDD" w14:textId="77777777" w:rsidR="00783927" w:rsidRPr="0004176C" w:rsidRDefault="00783927" w:rsidP="000E6825">
      <w:pPr>
        <w:rPr>
          <w:sz w:val="22"/>
          <w:szCs w:val="22"/>
        </w:rPr>
      </w:pPr>
    </w:p>
    <w:p w14:paraId="086E5910" w14:textId="1933D53D" w:rsidR="00E22960" w:rsidRPr="0004176C" w:rsidRDefault="00E22960" w:rsidP="00074854">
      <w:pPr>
        <w:jc w:val="both"/>
        <w:rPr>
          <w:sz w:val="22"/>
          <w:szCs w:val="22"/>
        </w:rPr>
      </w:pPr>
      <w:r w:rsidRPr="0004176C">
        <w:rPr>
          <w:sz w:val="22"/>
          <w:szCs w:val="22"/>
        </w:rPr>
        <w:t>Table 7 below provides information only on MTW households that DH</w:t>
      </w:r>
      <w:r w:rsidR="008676E2" w:rsidRPr="0004176C">
        <w:rPr>
          <w:sz w:val="22"/>
          <w:szCs w:val="22"/>
        </w:rPr>
        <w:t xml:space="preserve">CD plans to serve during </w:t>
      </w:r>
      <w:r w:rsidR="006D6331" w:rsidRPr="0004176C">
        <w:rPr>
          <w:sz w:val="22"/>
          <w:szCs w:val="22"/>
        </w:rPr>
        <w:t>FY 2021</w:t>
      </w:r>
      <w:r w:rsidR="008676E2" w:rsidRPr="0004176C">
        <w:rPr>
          <w:sz w:val="22"/>
          <w:szCs w:val="22"/>
        </w:rPr>
        <w:t xml:space="preserve">.   In total, in </w:t>
      </w:r>
      <w:r w:rsidR="006D6331" w:rsidRPr="0004176C">
        <w:rPr>
          <w:sz w:val="22"/>
          <w:szCs w:val="22"/>
        </w:rPr>
        <w:t>FY 2021</w:t>
      </w:r>
      <w:r w:rsidRPr="0004176C">
        <w:rPr>
          <w:sz w:val="22"/>
          <w:szCs w:val="22"/>
        </w:rPr>
        <w:t xml:space="preserve"> DHCD expects to serve </w:t>
      </w:r>
      <w:r w:rsidR="00A430CC" w:rsidRPr="0004176C">
        <w:rPr>
          <w:sz w:val="22"/>
          <w:szCs w:val="22"/>
        </w:rPr>
        <w:t>20,774</w:t>
      </w:r>
      <w:r w:rsidR="004A153D" w:rsidRPr="0004176C">
        <w:rPr>
          <w:sz w:val="22"/>
          <w:szCs w:val="22"/>
        </w:rPr>
        <w:t xml:space="preserve"> </w:t>
      </w:r>
      <w:r w:rsidRPr="0004176C">
        <w:rPr>
          <w:sz w:val="22"/>
          <w:szCs w:val="22"/>
        </w:rPr>
        <w:t xml:space="preserve">MTW and </w:t>
      </w:r>
      <w:r w:rsidR="00A430CC" w:rsidRPr="0004176C">
        <w:rPr>
          <w:sz w:val="22"/>
          <w:szCs w:val="22"/>
        </w:rPr>
        <w:t>841</w:t>
      </w:r>
      <w:r w:rsidR="002E6383" w:rsidRPr="0004176C">
        <w:rPr>
          <w:sz w:val="22"/>
          <w:szCs w:val="22"/>
        </w:rPr>
        <w:t xml:space="preserve"> </w:t>
      </w:r>
      <w:r w:rsidRPr="0004176C">
        <w:rPr>
          <w:sz w:val="22"/>
          <w:szCs w:val="22"/>
        </w:rPr>
        <w:t>Non-MTW households.</w:t>
      </w:r>
    </w:p>
    <w:p w14:paraId="75D5F7CC" w14:textId="77777777" w:rsidR="00783927" w:rsidRPr="0004176C" w:rsidRDefault="00783927" w:rsidP="000E6825">
      <w:pPr>
        <w:ind w:left="360" w:hanging="360"/>
      </w:pPr>
    </w:p>
    <w:p w14:paraId="2C904200" w14:textId="146D55BF" w:rsidR="00F21E8B" w:rsidRPr="0004176C" w:rsidRDefault="00F21E8B" w:rsidP="00424525">
      <w:pPr>
        <w:pStyle w:val="Heading4"/>
        <w:numPr>
          <w:ilvl w:val="0"/>
          <w:numId w:val="0"/>
        </w:numPr>
        <w:jc w:val="center"/>
        <w:rPr>
          <w:sz w:val="20"/>
          <w:szCs w:val="20"/>
        </w:rPr>
      </w:pPr>
      <w:bookmarkStart w:id="30" w:name="_Toc33016923"/>
      <w:r w:rsidRPr="0004176C">
        <w:rPr>
          <w:sz w:val="20"/>
          <w:szCs w:val="20"/>
        </w:rPr>
        <w:t xml:space="preserve">Table </w:t>
      </w:r>
      <w:r w:rsidR="005641C1" w:rsidRPr="0004176C">
        <w:rPr>
          <w:sz w:val="20"/>
          <w:szCs w:val="20"/>
        </w:rPr>
        <w:t>7</w:t>
      </w:r>
      <w:r w:rsidRPr="0004176C">
        <w:rPr>
          <w:sz w:val="20"/>
          <w:szCs w:val="20"/>
        </w:rPr>
        <w:t xml:space="preserve">: </w:t>
      </w:r>
      <w:r w:rsidR="007B3263" w:rsidRPr="0004176C">
        <w:rPr>
          <w:sz w:val="20"/>
          <w:szCs w:val="20"/>
        </w:rPr>
        <w:t>Planned Number of Households Served</w:t>
      </w:r>
      <w:bookmarkEnd w:id="30"/>
    </w:p>
    <w:p w14:paraId="3540BB43" w14:textId="77777777" w:rsidR="008F03AA" w:rsidRPr="0004176C" w:rsidRDefault="008F03AA" w:rsidP="00F21E8B">
      <w:pPr>
        <w:jc w:val="center"/>
        <w:rPr>
          <w:b/>
          <w:sz w:val="20"/>
          <w:szCs w:val="20"/>
        </w:rPr>
      </w:pPr>
    </w:p>
    <w:tbl>
      <w:tblPr>
        <w:tblW w:w="93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317"/>
        <w:gridCol w:w="2430"/>
        <w:gridCol w:w="2603"/>
      </w:tblGrid>
      <w:tr w:rsidR="001135C3" w:rsidRPr="0004176C" w14:paraId="3FC8D132" w14:textId="77777777" w:rsidTr="006C688D">
        <w:trPr>
          <w:tblHeader/>
        </w:trPr>
        <w:tc>
          <w:tcPr>
            <w:tcW w:w="4317" w:type="dxa"/>
            <w:shd w:val="clear" w:color="auto" w:fill="BFBFBF" w:themeFill="background1" w:themeFillShade="BF"/>
            <w:hideMark/>
          </w:tcPr>
          <w:p w14:paraId="0F5CDB33" w14:textId="77777777" w:rsidR="001135C3" w:rsidRPr="0004176C" w:rsidRDefault="001135C3" w:rsidP="002F0EF5">
            <w:pPr>
              <w:ind w:left="90"/>
              <w:rPr>
                <w:rFonts w:eastAsiaTheme="minorHAnsi"/>
                <w:b/>
                <w:bCs/>
                <w:sz w:val="20"/>
                <w:szCs w:val="20"/>
              </w:rPr>
            </w:pPr>
            <w:r w:rsidRPr="0004176C">
              <w:rPr>
                <w:b/>
                <w:bCs/>
                <w:sz w:val="20"/>
                <w:szCs w:val="20"/>
              </w:rPr>
              <w:t>Planned Number of Households Served Through:</w:t>
            </w:r>
          </w:p>
        </w:tc>
        <w:tc>
          <w:tcPr>
            <w:tcW w:w="2430" w:type="dxa"/>
            <w:shd w:val="clear" w:color="auto" w:fill="BFBFBF" w:themeFill="background1" w:themeFillShade="BF"/>
            <w:tcMar>
              <w:top w:w="0" w:type="dxa"/>
              <w:left w:w="108" w:type="dxa"/>
              <w:bottom w:w="0" w:type="dxa"/>
              <w:right w:w="108" w:type="dxa"/>
            </w:tcMar>
            <w:hideMark/>
          </w:tcPr>
          <w:p w14:paraId="7851EF8B" w14:textId="15C59E24" w:rsidR="001135C3" w:rsidRPr="0004176C" w:rsidRDefault="001135C3" w:rsidP="001135C3">
            <w:pPr>
              <w:jc w:val="center"/>
              <w:rPr>
                <w:b/>
                <w:bCs/>
                <w:sz w:val="20"/>
                <w:szCs w:val="20"/>
              </w:rPr>
            </w:pPr>
            <w:r w:rsidRPr="0004176C">
              <w:rPr>
                <w:b/>
                <w:bCs/>
                <w:sz w:val="20"/>
                <w:szCs w:val="20"/>
              </w:rPr>
              <w:t>Planned Number of Unit Months Occupied/Leased</w:t>
            </w:r>
          </w:p>
        </w:tc>
        <w:tc>
          <w:tcPr>
            <w:tcW w:w="2603" w:type="dxa"/>
            <w:shd w:val="clear" w:color="auto" w:fill="BFBFBF" w:themeFill="background1" w:themeFillShade="BF"/>
            <w:tcMar>
              <w:top w:w="0" w:type="dxa"/>
              <w:left w:w="108" w:type="dxa"/>
              <w:bottom w:w="0" w:type="dxa"/>
              <w:right w:w="108" w:type="dxa"/>
            </w:tcMar>
            <w:hideMark/>
          </w:tcPr>
          <w:p w14:paraId="7A5F944A" w14:textId="52D8CF86" w:rsidR="001135C3" w:rsidRPr="0004176C" w:rsidRDefault="001135C3" w:rsidP="001135C3">
            <w:pPr>
              <w:jc w:val="center"/>
              <w:rPr>
                <w:b/>
                <w:bCs/>
                <w:sz w:val="20"/>
                <w:szCs w:val="20"/>
              </w:rPr>
            </w:pPr>
            <w:r w:rsidRPr="0004176C">
              <w:rPr>
                <w:b/>
                <w:bCs/>
                <w:sz w:val="20"/>
                <w:szCs w:val="20"/>
              </w:rPr>
              <w:t>Planned Number of Households to Be Served</w:t>
            </w:r>
          </w:p>
        </w:tc>
      </w:tr>
      <w:tr w:rsidR="001135C3" w:rsidRPr="0004176C" w14:paraId="19924928" w14:textId="77777777" w:rsidTr="006C688D">
        <w:tc>
          <w:tcPr>
            <w:tcW w:w="4317" w:type="dxa"/>
            <w:tcMar>
              <w:top w:w="0" w:type="dxa"/>
              <w:left w:w="108" w:type="dxa"/>
              <w:bottom w:w="0" w:type="dxa"/>
              <w:right w:w="108" w:type="dxa"/>
            </w:tcMar>
            <w:hideMark/>
          </w:tcPr>
          <w:p w14:paraId="160E3DD0" w14:textId="77777777" w:rsidR="001135C3" w:rsidRPr="0004176C" w:rsidRDefault="001135C3">
            <w:pPr>
              <w:jc w:val="center"/>
              <w:rPr>
                <w:sz w:val="20"/>
                <w:szCs w:val="20"/>
              </w:rPr>
            </w:pPr>
            <w:r w:rsidRPr="0004176C">
              <w:rPr>
                <w:sz w:val="20"/>
                <w:szCs w:val="20"/>
              </w:rPr>
              <w:t>MTW Public Housing Units Leased</w:t>
            </w:r>
          </w:p>
        </w:tc>
        <w:tc>
          <w:tcPr>
            <w:tcW w:w="2430" w:type="dxa"/>
            <w:tcMar>
              <w:top w:w="0" w:type="dxa"/>
              <w:left w:w="108" w:type="dxa"/>
              <w:bottom w:w="0" w:type="dxa"/>
              <w:right w:w="108" w:type="dxa"/>
            </w:tcMar>
            <w:hideMark/>
          </w:tcPr>
          <w:p w14:paraId="3B661573" w14:textId="77777777" w:rsidR="001135C3" w:rsidRPr="0004176C" w:rsidRDefault="001135C3">
            <w:pPr>
              <w:jc w:val="center"/>
              <w:rPr>
                <w:sz w:val="20"/>
                <w:szCs w:val="20"/>
              </w:rPr>
            </w:pPr>
            <w:r w:rsidRPr="0004176C">
              <w:rPr>
                <w:sz w:val="20"/>
                <w:szCs w:val="20"/>
              </w:rPr>
              <w:t>NA</w:t>
            </w:r>
          </w:p>
        </w:tc>
        <w:tc>
          <w:tcPr>
            <w:tcW w:w="2603" w:type="dxa"/>
            <w:tcMar>
              <w:top w:w="0" w:type="dxa"/>
              <w:left w:w="108" w:type="dxa"/>
              <w:bottom w:w="0" w:type="dxa"/>
              <w:right w:w="108" w:type="dxa"/>
            </w:tcMar>
            <w:hideMark/>
          </w:tcPr>
          <w:p w14:paraId="5651C227" w14:textId="77777777" w:rsidR="001135C3" w:rsidRPr="0004176C" w:rsidRDefault="001135C3">
            <w:pPr>
              <w:jc w:val="center"/>
              <w:rPr>
                <w:sz w:val="20"/>
                <w:szCs w:val="20"/>
              </w:rPr>
            </w:pPr>
            <w:r w:rsidRPr="0004176C">
              <w:rPr>
                <w:sz w:val="20"/>
                <w:szCs w:val="20"/>
              </w:rPr>
              <w:t>NA</w:t>
            </w:r>
          </w:p>
        </w:tc>
      </w:tr>
      <w:tr w:rsidR="001135C3" w:rsidRPr="0004176C" w14:paraId="14064CDF" w14:textId="77777777" w:rsidTr="006C688D">
        <w:tc>
          <w:tcPr>
            <w:tcW w:w="4317" w:type="dxa"/>
            <w:tcMar>
              <w:top w:w="0" w:type="dxa"/>
              <w:left w:w="108" w:type="dxa"/>
              <w:bottom w:w="0" w:type="dxa"/>
              <w:right w:w="108" w:type="dxa"/>
            </w:tcMar>
            <w:hideMark/>
          </w:tcPr>
          <w:p w14:paraId="1C0D4818" w14:textId="77777777" w:rsidR="001135C3" w:rsidRPr="0004176C" w:rsidRDefault="001135C3" w:rsidP="001135C3">
            <w:pPr>
              <w:jc w:val="center"/>
              <w:rPr>
                <w:sz w:val="20"/>
                <w:szCs w:val="20"/>
              </w:rPr>
            </w:pPr>
            <w:r w:rsidRPr="0004176C">
              <w:rPr>
                <w:sz w:val="20"/>
                <w:szCs w:val="20"/>
              </w:rPr>
              <w:t>MTW Housing Choice Vouchers (HCV) Utilized</w:t>
            </w:r>
          </w:p>
        </w:tc>
        <w:tc>
          <w:tcPr>
            <w:tcW w:w="2430" w:type="dxa"/>
            <w:tcMar>
              <w:top w:w="0" w:type="dxa"/>
              <w:left w:w="108" w:type="dxa"/>
              <w:bottom w:w="0" w:type="dxa"/>
              <w:right w:w="108" w:type="dxa"/>
            </w:tcMar>
            <w:hideMark/>
          </w:tcPr>
          <w:p w14:paraId="44937BEA" w14:textId="313B3181" w:rsidR="001135C3" w:rsidRPr="0004176C" w:rsidRDefault="004A153D">
            <w:pPr>
              <w:jc w:val="center"/>
              <w:rPr>
                <w:sz w:val="20"/>
                <w:szCs w:val="20"/>
              </w:rPr>
            </w:pPr>
            <w:r w:rsidRPr="0004176C">
              <w:rPr>
                <w:sz w:val="20"/>
                <w:szCs w:val="20"/>
              </w:rPr>
              <w:t>243,15</w:t>
            </w:r>
            <w:r w:rsidR="002E6383" w:rsidRPr="0004176C">
              <w:rPr>
                <w:sz w:val="20"/>
                <w:szCs w:val="20"/>
              </w:rPr>
              <w:t>6</w:t>
            </w:r>
          </w:p>
        </w:tc>
        <w:tc>
          <w:tcPr>
            <w:tcW w:w="2603" w:type="dxa"/>
            <w:tcMar>
              <w:top w:w="0" w:type="dxa"/>
              <w:left w:w="108" w:type="dxa"/>
              <w:bottom w:w="0" w:type="dxa"/>
              <w:right w:w="108" w:type="dxa"/>
            </w:tcMar>
            <w:hideMark/>
          </w:tcPr>
          <w:p w14:paraId="69058683" w14:textId="2D914960" w:rsidR="004A153D" w:rsidRPr="0004176C" w:rsidRDefault="004A153D" w:rsidP="004A153D">
            <w:pPr>
              <w:jc w:val="center"/>
              <w:rPr>
                <w:sz w:val="20"/>
                <w:szCs w:val="20"/>
              </w:rPr>
            </w:pPr>
            <w:r w:rsidRPr="0004176C">
              <w:rPr>
                <w:sz w:val="20"/>
                <w:szCs w:val="20"/>
              </w:rPr>
              <w:t>20,263</w:t>
            </w:r>
          </w:p>
        </w:tc>
      </w:tr>
      <w:tr w:rsidR="002E6383" w:rsidRPr="0004176C" w14:paraId="67F55109" w14:textId="77777777" w:rsidTr="006C688D">
        <w:tc>
          <w:tcPr>
            <w:tcW w:w="4317" w:type="dxa"/>
            <w:tcMar>
              <w:top w:w="0" w:type="dxa"/>
              <w:left w:w="108" w:type="dxa"/>
              <w:bottom w:w="0" w:type="dxa"/>
              <w:right w:w="108" w:type="dxa"/>
            </w:tcMar>
            <w:hideMark/>
          </w:tcPr>
          <w:p w14:paraId="50BFD576" w14:textId="6CE8638E" w:rsidR="002E6383" w:rsidRPr="0004176C" w:rsidRDefault="002E6383" w:rsidP="002E6383">
            <w:pPr>
              <w:jc w:val="center"/>
              <w:rPr>
                <w:sz w:val="20"/>
                <w:szCs w:val="20"/>
              </w:rPr>
            </w:pPr>
            <w:r w:rsidRPr="0004176C">
              <w:rPr>
                <w:sz w:val="20"/>
                <w:szCs w:val="20"/>
              </w:rPr>
              <w:t>Local, Non-Traditional: Tenant-Based</w:t>
            </w:r>
          </w:p>
        </w:tc>
        <w:tc>
          <w:tcPr>
            <w:tcW w:w="2430" w:type="dxa"/>
            <w:tcMar>
              <w:top w:w="0" w:type="dxa"/>
              <w:left w:w="108" w:type="dxa"/>
              <w:bottom w:w="0" w:type="dxa"/>
              <w:right w:w="108" w:type="dxa"/>
            </w:tcMar>
            <w:hideMark/>
          </w:tcPr>
          <w:p w14:paraId="6A6CF086" w14:textId="3E4F95C2" w:rsidR="002E6383" w:rsidRPr="0004176C" w:rsidRDefault="00A430CC" w:rsidP="002E6383">
            <w:pPr>
              <w:jc w:val="center"/>
              <w:rPr>
                <w:sz w:val="20"/>
                <w:szCs w:val="20"/>
              </w:rPr>
            </w:pPr>
            <w:r w:rsidRPr="0004176C">
              <w:rPr>
                <w:sz w:val="20"/>
                <w:szCs w:val="20"/>
              </w:rPr>
              <w:t>6,132</w:t>
            </w:r>
          </w:p>
        </w:tc>
        <w:tc>
          <w:tcPr>
            <w:tcW w:w="2603" w:type="dxa"/>
            <w:tcMar>
              <w:top w:w="0" w:type="dxa"/>
              <w:left w:w="108" w:type="dxa"/>
              <w:bottom w:w="0" w:type="dxa"/>
              <w:right w:w="108" w:type="dxa"/>
            </w:tcMar>
            <w:hideMark/>
          </w:tcPr>
          <w:p w14:paraId="70542AA8" w14:textId="4052127D" w:rsidR="002E6383" w:rsidRPr="0004176C" w:rsidRDefault="00A430CC" w:rsidP="00234500">
            <w:pPr>
              <w:jc w:val="center"/>
              <w:rPr>
                <w:sz w:val="20"/>
                <w:szCs w:val="20"/>
              </w:rPr>
            </w:pPr>
            <w:r w:rsidRPr="0004176C">
              <w:rPr>
                <w:sz w:val="20"/>
                <w:szCs w:val="20"/>
              </w:rPr>
              <w:t>511</w:t>
            </w:r>
          </w:p>
        </w:tc>
      </w:tr>
      <w:tr w:rsidR="001135C3" w:rsidRPr="0004176C" w14:paraId="75C238F9" w14:textId="77777777" w:rsidTr="006C688D">
        <w:tc>
          <w:tcPr>
            <w:tcW w:w="4317" w:type="dxa"/>
            <w:tcBorders>
              <w:bottom w:val="single" w:sz="4" w:space="0" w:color="auto"/>
            </w:tcBorders>
            <w:tcMar>
              <w:top w:w="0" w:type="dxa"/>
              <w:left w:w="108" w:type="dxa"/>
              <w:bottom w:w="0" w:type="dxa"/>
              <w:right w:w="108" w:type="dxa"/>
            </w:tcMar>
            <w:hideMark/>
          </w:tcPr>
          <w:p w14:paraId="4932B696" w14:textId="649528FB" w:rsidR="001135C3" w:rsidRPr="0004176C" w:rsidRDefault="001135C3">
            <w:pPr>
              <w:jc w:val="center"/>
              <w:rPr>
                <w:sz w:val="20"/>
                <w:szCs w:val="20"/>
              </w:rPr>
            </w:pPr>
            <w:r w:rsidRPr="0004176C">
              <w:rPr>
                <w:sz w:val="20"/>
                <w:szCs w:val="20"/>
              </w:rPr>
              <w:t>Local, Non-Traditional: Property-Based</w:t>
            </w:r>
          </w:p>
        </w:tc>
        <w:tc>
          <w:tcPr>
            <w:tcW w:w="2430" w:type="dxa"/>
            <w:tcMar>
              <w:top w:w="0" w:type="dxa"/>
              <w:left w:w="108" w:type="dxa"/>
              <w:bottom w:w="0" w:type="dxa"/>
              <w:right w:w="108" w:type="dxa"/>
            </w:tcMar>
          </w:tcPr>
          <w:p w14:paraId="39937D0C" w14:textId="17CB48F2" w:rsidR="001135C3" w:rsidRPr="0004176C" w:rsidRDefault="005641C1">
            <w:pPr>
              <w:jc w:val="center"/>
              <w:rPr>
                <w:sz w:val="20"/>
                <w:szCs w:val="20"/>
              </w:rPr>
            </w:pPr>
            <w:r w:rsidRPr="0004176C">
              <w:rPr>
                <w:sz w:val="20"/>
                <w:szCs w:val="20"/>
              </w:rPr>
              <w:t>0</w:t>
            </w:r>
          </w:p>
        </w:tc>
        <w:tc>
          <w:tcPr>
            <w:tcW w:w="2603" w:type="dxa"/>
            <w:tcMar>
              <w:top w:w="0" w:type="dxa"/>
              <w:left w:w="108" w:type="dxa"/>
              <w:bottom w:w="0" w:type="dxa"/>
              <w:right w:w="108" w:type="dxa"/>
            </w:tcMar>
          </w:tcPr>
          <w:p w14:paraId="6A31060E" w14:textId="6C75B9DF" w:rsidR="001135C3" w:rsidRPr="0004176C" w:rsidRDefault="005641C1">
            <w:pPr>
              <w:jc w:val="center"/>
              <w:rPr>
                <w:sz w:val="20"/>
                <w:szCs w:val="20"/>
              </w:rPr>
            </w:pPr>
            <w:r w:rsidRPr="0004176C">
              <w:rPr>
                <w:sz w:val="20"/>
                <w:szCs w:val="20"/>
              </w:rPr>
              <w:t>0</w:t>
            </w:r>
          </w:p>
        </w:tc>
      </w:tr>
      <w:tr w:rsidR="001135C3" w:rsidRPr="0004176C" w14:paraId="69250286" w14:textId="77777777" w:rsidTr="006C688D">
        <w:tc>
          <w:tcPr>
            <w:tcW w:w="4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10AC42" w14:textId="2F2AFC86" w:rsidR="001135C3" w:rsidRPr="0004176C" w:rsidRDefault="001135C3">
            <w:pPr>
              <w:jc w:val="center"/>
              <w:rPr>
                <w:sz w:val="20"/>
                <w:szCs w:val="20"/>
              </w:rPr>
            </w:pPr>
            <w:r w:rsidRPr="0004176C">
              <w:rPr>
                <w:sz w:val="20"/>
                <w:szCs w:val="20"/>
              </w:rPr>
              <w:t>Local, Non-Traditional: Homeownership</w:t>
            </w:r>
          </w:p>
        </w:tc>
        <w:tc>
          <w:tcPr>
            <w:tcW w:w="2430" w:type="dxa"/>
            <w:tcBorders>
              <w:left w:val="single" w:sz="4" w:space="0" w:color="auto"/>
              <w:bottom w:val="single" w:sz="4" w:space="0" w:color="auto"/>
            </w:tcBorders>
            <w:tcMar>
              <w:top w:w="0" w:type="dxa"/>
              <w:left w:w="108" w:type="dxa"/>
              <w:bottom w:w="0" w:type="dxa"/>
              <w:right w:w="108" w:type="dxa"/>
            </w:tcMar>
          </w:tcPr>
          <w:p w14:paraId="15AD26F0" w14:textId="1F5D554E" w:rsidR="001135C3" w:rsidRPr="0004176C" w:rsidRDefault="000936BE">
            <w:pPr>
              <w:jc w:val="center"/>
              <w:rPr>
                <w:sz w:val="20"/>
                <w:szCs w:val="20"/>
              </w:rPr>
            </w:pPr>
            <w:r w:rsidRPr="0004176C">
              <w:rPr>
                <w:sz w:val="20"/>
                <w:szCs w:val="20"/>
              </w:rPr>
              <w:t>N/A</w:t>
            </w:r>
          </w:p>
        </w:tc>
        <w:tc>
          <w:tcPr>
            <w:tcW w:w="2603" w:type="dxa"/>
            <w:tcMar>
              <w:top w:w="0" w:type="dxa"/>
              <w:left w:w="108" w:type="dxa"/>
              <w:bottom w:w="0" w:type="dxa"/>
              <w:right w:w="108" w:type="dxa"/>
            </w:tcMar>
          </w:tcPr>
          <w:p w14:paraId="2EBB7930" w14:textId="0B65C2D2" w:rsidR="001135C3" w:rsidRPr="0004176C" w:rsidRDefault="000936BE">
            <w:pPr>
              <w:jc w:val="center"/>
              <w:rPr>
                <w:sz w:val="20"/>
                <w:szCs w:val="20"/>
              </w:rPr>
            </w:pPr>
            <w:r w:rsidRPr="0004176C">
              <w:rPr>
                <w:sz w:val="20"/>
                <w:szCs w:val="20"/>
              </w:rPr>
              <w:t>N/A</w:t>
            </w:r>
          </w:p>
        </w:tc>
      </w:tr>
      <w:tr w:rsidR="001135C3" w:rsidRPr="0004176C" w14:paraId="75DF56BB" w14:textId="77777777" w:rsidTr="006C688D">
        <w:tc>
          <w:tcPr>
            <w:tcW w:w="4317" w:type="dxa"/>
            <w:tcBorders>
              <w:top w:val="single" w:sz="4" w:space="0" w:color="auto"/>
              <w:left w:val="nil"/>
              <w:bottom w:val="nil"/>
              <w:right w:val="single" w:sz="4" w:space="0" w:color="auto"/>
            </w:tcBorders>
            <w:tcMar>
              <w:top w:w="0" w:type="dxa"/>
              <w:left w:w="108" w:type="dxa"/>
              <w:bottom w:w="0" w:type="dxa"/>
              <w:right w:w="108" w:type="dxa"/>
            </w:tcMar>
            <w:hideMark/>
          </w:tcPr>
          <w:p w14:paraId="4BDEB196" w14:textId="05960A85" w:rsidR="001135C3" w:rsidRPr="0004176C" w:rsidRDefault="00561BFB" w:rsidP="00561BFB">
            <w:pPr>
              <w:jc w:val="right"/>
              <w:rPr>
                <w:b/>
                <w:bCs/>
                <w:sz w:val="20"/>
                <w:szCs w:val="20"/>
              </w:rPr>
            </w:pPr>
            <w:r w:rsidRPr="0004176C">
              <w:rPr>
                <w:b/>
                <w:bCs/>
                <w:sz w:val="20"/>
                <w:szCs w:val="20"/>
              </w:rPr>
              <w:t>Planned</w:t>
            </w:r>
            <w:r w:rsidR="001135C3" w:rsidRPr="0004176C">
              <w:rPr>
                <w:b/>
                <w:bCs/>
                <w:sz w:val="20"/>
                <w:szCs w:val="20"/>
              </w:rPr>
              <w:t xml:space="preserve"> Total</w:t>
            </w:r>
            <w:r w:rsidRPr="0004176C">
              <w:rPr>
                <w:b/>
                <w:bCs/>
                <w:sz w:val="20"/>
                <w:szCs w:val="20"/>
              </w:rPr>
              <w:t xml:space="preserve"> Households Served</w:t>
            </w:r>
          </w:p>
        </w:tc>
        <w:tc>
          <w:tcPr>
            <w:tcW w:w="24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14:paraId="394F9857" w14:textId="12A11B32" w:rsidR="001135C3" w:rsidRPr="0004176C" w:rsidRDefault="00A430CC">
            <w:pPr>
              <w:jc w:val="center"/>
              <w:rPr>
                <w:b/>
                <w:sz w:val="20"/>
                <w:szCs w:val="20"/>
              </w:rPr>
            </w:pPr>
            <w:r w:rsidRPr="0004176C">
              <w:rPr>
                <w:b/>
                <w:sz w:val="20"/>
                <w:szCs w:val="20"/>
              </w:rPr>
              <w:t>249,288</w:t>
            </w:r>
          </w:p>
        </w:tc>
        <w:tc>
          <w:tcPr>
            <w:tcW w:w="2603" w:type="dxa"/>
            <w:tcBorders>
              <w:left w:val="single" w:sz="4" w:space="0" w:color="auto"/>
            </w:tcBorders>
            <w:shd w:val="clear" w:color="auto" w:fill="BFBFBF" w:themeFill="background1" w:themeFillShade="BF"/>
            <w:tcMar>
              <w:top w:w="0" w:type="dxa"/>
              <w:left w:w="108" w:type="dxa"/>
              <w:bottom w:w="0" w:type="dxa"/>
              <w:right w:w="108" w:type="dxa"/>
            </w:tcMar>
            <w:hideMark/>
          </w:tcPr>
          <w:p w14:paraId="3D941B12" w14:textId="38F31889" w:rsidR="001135C3" w:rsidRPr="0004176C" w:rsidRDefault="00A430CC">
            <w:pPr>
              <w:jc w:val="center"/>
              <w:rPr>
                <w:b/>
                <w:sz w:val="20"/>
                <w:szCs w:val="20"/>
              </w:rPr>
            </w:pPr>
            <w:r w:rsidRPr="0004176C">
              <w:rPr>
                <w:b/>
                <w:sz w:val="20"/>
                <w:szCs w:val="20"/>
              </w:rPr>
              <w:t>20,774</w:t>
            </w:r>
          </w:p>
        </w:tc>
      </w:tr>
    </w:tbl>
    <w:p w14:paraId="140F31EE" w14:textId="77777777" w:rsidR="005864B2" w:rsidRPr="0004176C" w:rsidRDefault="005864B2" w:rsidP="00AB38BA">
      <w:pPr>
        <w:jc w:val="both"/>
        <w:rPr>
          <w:i/>
          <w:sz w:val="8"/>
          <w:szCs w:val="18"/>
        </w:rPr>
      </w:pPr>
    </w:p>
    <w:p w14:paraId="7E29BA21" w14:textId="4625C0F9" w:rsidR="004B24FB" w:rsidRPr="0004176C" w:rsidRDefault="004B24FB" w:rsidP="00F21E8B">
      <w:pPr>
        <w:jc w:val="both"/>
        <w:rPr>
          <w:color w:val="000000"/>
        </w:rPr>
      </w:pPr>
    </w:p>
    <w:p w14:paraId="21D66CF7" w14:textId="6D77EF1E" w:rsidR="0060633A" w:rsidRPr="0004176C" w:rsidRDefault="001A19FA" w:rsidP="00424525">
      <w:pPr>
        <w:pStyle w:val="Heading4"/>
        <w:numPr>
          <w:ilvl w:val="0"/>
          <w:numId w:val="0"/>
        </w:numPr>
        <w:jc w:val="center"/>
        <w:rPr>
          <w:sz w:val="20"/>
          <w:szCs w:val="20"/>
        </w:rPr>
      </w:pPr>
      <w:bookmarkStart w:id="31" w:name="_Toc33016924"/>
      <w:r w:rsidRPr="0004176C">
        <w:rPr>
          <w:sz w:val="20"/>
          <w:szCs w:val="20"/>
        </w:rPr>
        <w:t>Table 7A</w:t>
      </w:r>
      <w:r w:rsidR="0060633A" w:rsidRPr="0004176C">
        <w:rPr>
          <w:sz w:val="20"/>
          <w:szCs w:val="20"/>
        </w:rPr>
        <w:t>: Local, Non-Traditional Housing Programs</w:t>
      </w:r>
      <w:bookmarkEnd w:id="31"/>
    </w:p>
    <w:p w14:paraId="6D0369C3" w14:textId="77777777" w:rsidR="001A19FA" w:rsidRPr="0004176C" w:rsidRDefault="001A19FA" w:rsidP="0060633A">
      <w:pPr>
        <w:jc w:val="center"/>
        <w:rPr>
          <w:b/>
          <w:sz w:val="20"/>
          <w:szCs w:val="20"/>
        </w:rPr>
      </w:pPr>
    </w:p>
    <w:tbl>
      <w:tblPr>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57"/>
        <w:gridCol w:w="3345"/>
        <w:gridCol w:w="2070"/>
        <w:gridCol w:w="1887"/>
      </w:tblGrid>
      <w:tr w:rsidR="004F02CD" w:rsidRPr="0004176C" w14:paraId="3BE8540E" w14:textId="77777777" w:rsidTr="006C688D">
        <w:trPr>
          <w:tblHeader/>
        </w:trPr>
        <w:tc>
          <w:tcPr>
            <w:tcW w:w="2057" w:type="dxa"/>
            <w:shd w:val="clear" w:color="auto" w:fill="BFBFBF" w:themeFill="background1" w:themeFillShade="BF"/>
          </w:tcPr>
          <w:p w14:paraId="53282A1C" w14:textId="77777777" w:rsidR="004F02CD" w:rsidRPr="0004176C" w:rsidRDefault="004F02CD" w:rsidP="002F0EF5">
            <w:pPr>
              <w:rPr>
                <w:sz w:val="20"/>
                <w:szCs w:val="20"/>
              </w:rPr>
            </w:pPr>
            <w:r w:rsidRPr="0004176C">
              <w:rPr>
                <w:b/>
                <w:sz w:val="20"/>
                <w:szCs w:val="20"/>
              </w:rPr>
              <w:t>Local, Non-Traditional Category</w:t>
            </w:r>
          </w:p>
        </w:tc>
        <w:tc>
          <w:tcPr>
            <w:tcW w:w="3345" w:type="dxa"/>
            <w:shd w:val="clear" w:color="auto" w:fill="BFBFBF" w:themeFill="background1" w:themeFillShade="BF"/>
          </w:tcPr>
          <w:p w14:paraId="46E46397" w14:textId="77777777" w:rsidR="004F02CD" w:rsidRPr="0004176C" w:rsidRDefault="004F02CD" w:rsidP="004F02CD">
            <w:pPr>
              <w:jc w:val="center"/>
              <w:rPr>
                <w:sz w:val="20"/>
                <w:szCs w:val="20"/>
              </w:rPr>
            </w:pPr>
            <w:r w:rsidRPr="0004176C">
              <w:rPr>
                <w:b/>
                <w:sz w:val="20"/>
                <w:szCs w:val="20"/>
              </w:rPr>
              <w:t>MTW Activity Name/Number</w:t>
            </w:r>
          </w:p>
        </w:tc>
        <w:tc>
          <w:tcPr>
            <w:tcW w:w="2070" w:type="dxa"/>
            <w:shd w:val="clear" w:color="auto" w:fill="BFBFBF" w:themeFill="background1" w:themeFillShade="BF"/>
          </w:tcPr>
          <w:p w14:paraId="42CD7584" w14:textId="14BB2688" w:rsidR="004F02CD" w:rsidRPr="0004176C" w:rsidRDefault="004F02CD" w:rsidP="004F02CD">
            <w:pPr>
              <w:jc w:val="center"/>
              <w:rPr>
                <w:b/>
                <w:sz w:val="20"/>
                <w:szCs w:val="20"/>
              </w:rPr>
            </w:pPr>
            <w:r w:rsidRPr="0004176C">
              <w:rPr>
                <w:b/>
                <w:sz w:val="20"/>
                <w:szCs w:val="20"/>
              </w:rPr>
              <w:t>Planned Number</w:t>
            </w:r>
            <w:r w:rsidR="001A19FA" w:rsidRPr="0004176C">
              <w:rPr>
                <w:b/>
                <w:sz w:val="20"/>
                <w:szCs w:val="20"/>
              </w:rPr>
              <w:t xml:space="preserve"> of Unit Months Occupied/Leased</w:t>
            </w:r>
          </w:p>
        </w:tc>
        <w:tc>
          <w:tcPr>
            <w:tcW w:w="1887" w:type="dxa"/>
            <w:shd w:val="clear" w:color="auto" w:fill="BFBFBF" w:themeFill="background1" w:themeFillShade="BF"/>
          </w:tcPr>
          <w:p w14:paraId="5F2224BD" w14:textId="77777777" w:rsidR="004F02CD" w:rsidRPr="0004176C" w:rsidRDefault="004F02CD" w:rsidP="004F02CD">
            <w:pPr>
              <w:jc w:val="center"/>
              <w:rPr>
                <w:b/>
                <w:sz w:val="20"/>
                <w:szCs w:val="20"/>
              </w:rPr>
            </w:pPr>
            <w:r w:rsidRPr="0004176C">
              <w:rPr>
                <w:b/>
                <w:sz w:val="20"/>
                <w:szCs w:val="20"/>
              </w:rPr>
              <w:t>Planned Number of Households to Be Served</w:t>
            </w:r>
          </w:p>
        </w:tc>
      </w:tr>
      <w:tr w:rsidR="004F02CD" w:rsidRPr="0004176C" w14:paraId="09FFE217" w14:textId="77777777" w:rsidTr="004F02CD">
        <w:tc>
          <w:tcPr>
            <w:tcW w:w="2057" w:type="dxa"/>
          </w:tcPr>
          <w:p w14:paraId="5AED7E6B" w14:textId="77777777" w:rsidR="004F02CD" w:rsidRPr="0004176C" w:rsidRDefault="004F02CD" w:rsidP="004F02CD">
            <w:pPr>
              <w:rPr>
                <w:sz w:val="20"/>
                <w:szCs w:val="20"/>
              </w:rPr>
            </w:pPr>
            <w:r w:rsidRPr="0004176C">
              <w:rPr>
                <w:sz w:val="20"/>
                <w:szCs w:val="20"/>
              </w:rPr>
              <w:t>Tenant-Based</w:t>
            </w:r>
          </w:p>
        </w:tc>
        <w:tc>
          <w:tcPr>
            <w:tcW w:w="3345" w:type="dxa"/>
          </w:tcPr>
          <w:p w14:paraId="6417A6D6" w14:textId="77777777" w:rsidR="004F02CD" w:rsidRPr="0004176C" w:rsidRDefault="004F02CD" w:rsidP="004F02CD">
            <w:pPr>
              <w:rPr>
                <w:sz w:val="20"/>
                <w:szCs w:val="20"/>
              </w:rPr>
            </w:pPr>
            <w:r w:rsidRPr="0004176C">
              <w:rPr>
                <w:sz w:val="20"/>
                <w:szCs w:val="20"/>
              </w:rPr>
              <w:t>Family Economic Stability Program (FESP)</w:t>
            </w:r>
          </w:p>
        </w:tc>
        <w:tc>
          <w:tcPr>
            <w:tcW w:w="2070" w:type="dxa"/>
            <w:vAlign w:val="center"/>
          </w:tcPr>
          <w:p w14:paraId="7A684305" w14:textId="2E813133" w:rsidR="004F02CD" w:rsidRPr="0004176C" w:rsidRDefault="00C0150B" w:rsidP="004F02CD">
            <w:pPr>
              <w:jc w:val="center"/>
              <w:rPr>
                <w:sz w:val="20"/>
                <w:szCs w:val="20"/>
              </w:rPr>
            </w:pPr>
            <w:r w:rsidRPr="0004176C">
              <w:rPr>
                <w:sz w:val="20"/>
                <w:szCs w:val="20"/>
              </w:rPr>
              <w:t>600</w:t>
            </w:r>
          </w:p>
        </w:tc>
        <w:tc>
          <w:tcPr>
            <w:tcW w:w="1887" w:type="dxa"/>
            <w:vAlign w:val="center"/>
          </w:tcPr>
          <w:p w14:paraId="0CE00A82" w14:textId="6C16ECED" w:rsidR="004F02CD" w:rsidRPr="0004176C" w:rsidRDefault="00C0150B" w:rsidP="004F02CD">
            <w:pPr>
              <w:jc w:val="center"/>
              <w:rPr>
                <w:sz w:val="20"/>
                <w:szCs w:val="20"/>
              </w:rPr>
            </w:pPr>
            <w:r w:rsidRPr="0004176C">
              <w:rPr>
                <w:sz w:val="20"/>
                <w:szCs w:val="20"/>
              </w:rPr>
              <w:t>50</w:t>
            </w:r>
          </w:p>
        </w:tc>
      </w:tr>
      <w:tr w:rsidR="004F02CD" w:rsidRPr="0004176C" w14:paraId="2778FDF1" w14:textId="77777777" w:rsidTr="004F02CD">
        <w:tc>
          <w:tcPr>
            <w:tcW w:w="2057" w:type="dxa"/>
          </w:tcPr>
          <w:p w14:paraId="38913D0F" w14:textId="77777777" w:rsidR="004F02CD" w:rsidRPr="0004176C" w:rsidRDefault="004F02CD" w:rsidP="004F02CD">
            <w:pPr>
              <w:rPr>
                <w:sz w:val="20"/>
                <w:szCs w:val="20"/>
              </w:rPr>
            </w:pPr>
            <w:r w:rsidRPr="0004176C">
              <w:rPr>
                <w:sz w:val="20"/>
                <w:szCs w:val="20"/>
              </w:rPr>
              <w:t>Tenant-Based</w:t>
            </w:r>
          </w:p>
        </w:tc>
        <w:tc>
          <w:tcPr>
            <w:tcW w:w="3345" w:type="dxa"/>
          </w:tcPr>
          <w:p w14:paraId="36E044D6" w14:textId="77777777" w:rsidR="004F02CD" w:rsidRPr="0004176C" w:rsidRDefault="004F02CD" w:rsidP="004F02CD">
            <w:pPr>
              <w:rPr>
                <w:sz w:val="20"/>
                <w:szCs w:val="20"/>
              </w:rPr>
            </w:pPr>
            <w:r w:rsidRPr="0004176C">
              <w:rPr>
                <w:sz w:val="20"/>
                <w:szCs w:val="20"/>
              </w:rPr>
              <w:t>Youth Transition to Success Program (YTTSP)</w:t>
            </w:r>
          </w:p>
        </w:tc>
        <w:tc>
          <w:tcPr>
            <w:tcW w:w="2070" w:type="dxa"/>
            <w:vAlign w:val="center"/>
          </w:tcPr>
          <w:p w14:paraId="54BD9E28" w14:textId="5476508C" w:rsidR="004F02CD" w:rsidRPr="0004176C" w:rsidRDefault="002E6383" w:rsidP="004F02CD">
            <w:pPr>
              <w:jc w:val="center"/>
              <w:rPr>
                <w:sz w:val="20"/>
                <w:szCs w:val="20"/>
              </w:rPr>
            </w:pPr>
            <w:r w:rsidRPr="0004176C">
              <w:rPr>
                <w:sz w:val="20"/>
                <w:szCs w:val="20"/>
              </w:rPr>
              <w:t>684</w:t>
            </w:r>
          </w:p>
        </w:tc>
        <w:tc>
          <w:tcPr>
            <w:tcW w:w="1887" w:type="dxa"/>
            <w:vAlign w:val="center"/>
          </w:tcPr>
          <w:p w14:paraId="09694B43" w14:textId="7F80259B" w:rsidR="004F02CD" w:rsidRPr="0004176C" w:rsidRDefault="002E6383" w:rsidP="004F02CD">
            <w:pPr>
              <w:jc w:val="center"/>
              <w:rPr>
                <w:sz w:val="20"/>
                <w:szCs w:val="20"/>
              </w:rPr>
            </w:pPr>
            <w:r w:rsidRPr="0004176C">
              <w:rPr>
                <w:sz w:val="20"/>
                <w:szCs w:val="20"/>
              </w:rPr>
              <w:t>57</w:t>
            </w:r>
          </w:p>
        </w:tc>
      </w:tr>
      <w:tr w:rsidR="004F02CD" w:rsidRPr="0004176C" w14:paraId="67136A3D" w14:textId="77777777" w:rsidTr="004F02CD">
        <w:tc>
          <w:tcPr>
            <w:tcW w:w="2057" w:type="dxa"/>
          </w:tcPr>
          <w:p w14:paraId="67B2CDA8" w14:textId="77777777" w:rsidR="004F02CD" w:rsidRPr="0004176C" w:rsidRDefault="004F02CD" w:rsidP="004F02CD">
            <w:pPr>
              <w:rPr>
                <w:sz w:val="20"/>
                <w:szCs w:val="20"/>
              </w:rPr>
            </w:pPr>
            <w:r w:rsidRPr="0004176C">
              <w:rPr>
                <w:sz w:val="20"/>
                <w:szCs w:val="20"/>
              </w:rPr>
              <w:t>Tenant-Based</w:t>
            </w:r>
          </w:p>
        </w:tc>
        <w:tc>
          <w:tcPr>
            <w:tcW w:w="3345" w:type="dxa"/>
          </w:tcPr>
          <w:p w14:paraId="51888E55" w14:textId="043DAF27" w:rsidR="004F02CD" w:rsidRPr="0004176C" w:rsidRDefault="004F02CD" w:rsidP="004F02CD">
            <w:pPr>
              <w:rPr>
                <w:sz w:val="20"/>
                <w:szCs w:val="20"/>
              </w:rPr>
            </w:pPr>
            <w:r w:rsidRPr="0004176C">
              <w:rPr>
                <w:sz w:val="20"/>
                <w:szCs w:val="20"/>
              </w:rPr>
              <w:t>Expanding Housing Opportunities: Relocation Assistance</w:t>
            </w:r>
            <w:r w:rsidR="005C0DFB" w:rsidRPr="0004176C">
              <w:rPr>
                <w:sz w:val="20"/>
                <w:szCs w:val="20"/>
              </w:rPr>
              <w:t>*</w:t>
            </w:r>
          </w:p>
        </w:tc>
        <w:tc>
          <w:tcPr>
            <w:tcW w:w="2070" w:type="dxa"/>
            <w:vAlign w:val="center"/>
          </w:tcPr>
          <w:p w14:paraId="7EC926B8" w14:textId="16CD44FE" w:rsidR="004F02CD" w:rsidRPr="0004176C" w:rsidRDefault="005C0DFB" w:rsidP="004F02CD">
            <w:pPr>
              <w:jc w:val="center"/>
              <w:rPr>
                <w:sz w:val="20"/>
                <w:szCs w:val="20"/>
              </w:rPr>
            </w:pPr>
            <w:r w:rsidRPr="0004176C">
              <w:rPr>
                <w:sz w:val="20"/>
                <w:szCs w:val="20"/>
              </w:rPr>
              <w:t>3,744</w:t>
            </w:r>
          </w:p>
        </w:tc>
        <w:tc>
          <w:tcPr>
            <w:tcW w:w="1887" w:type="dxa"/>
            <w:vAlign w:val="center"/>
          </w:tcPr>
          <w:p w14:paraId="05DF6ADE" w14:textId="170201B6" w:rsidR="004F02CD" w:rsidRPr="0004176C" w:rsidRDefault="0080525D" w:rsidP="004F02CD">
            <w:pPr>
              <w:jc w:val="center"/>
              <w:rPr>
                <w:sz w:val="20"/>
                <w:szCs w:val="20"/>
              </w:rPr>
            </w:pPr>
            <w:r w:rsidRPr="0004176C">
              <w:rPr>
                <w:sz w:val="20"/>
                <w:szCs w:val="20"/>
              </w:rPr>
              <w:t>312</w:t>
            </w:r>
          </w:p>
        </w:tc>
      </w:tr>
      <w:tr w:rsidR="00A11AC3" w:rsidRPr="0004176C" w14:paraId="72DDB7CF" w14:textId="77777777" w:rsidTr="004F02CD">
        <w:tc>
          <w:tcPr>
            <w:tcW w:w="2057" w:type="dxa"/>
          </w:tcPr>
          <w:p w14:paraId="02DFD4A0" w14:textId="2EDAB886" w:rsidR="00A11AC3" w:rsidRPr="0004176C" w:rsidRDefault="00A11AC3" w:rsidP="004F02CD">
            <w:pPr>
              <w:rPr>
                <w:sz w:val="20"/>
                <w:szCs w:val="20"/>
              </w:rPr>
            </w:pPr>
            <w:r w:rsidRPr="0004176C">
              <w:rPr>
                <w:sz w:val="20"/>
                <w:szCs w:val="20"/>
              </w:rPr>
              <w:t>Tenant-Based</w:t>
            </w:r>
          </w:p>
        </w:tc>
        <w:tc>
          <w:tcPr>
            <w:tcW w:w="3345" w:type="dxa"/>
          </w:tcPr>
          <w:p w14:paraId="5FECA443" w14:textId="0210A49F" w:rsidR="00A11AC3" w:rsidRPr="0004176C" w:rsidRDefault="00A11AC3" w:rsidP="004F02CD">
            <w:pPr>
              <w:rPr>
                <w:sz w:val="20"/>
                <w:szCs w:val="20"/>
              </w:rPr>
            </w:pPr>
            <w:r w:rsidRPr="0004176C">
              <w:rPr>
                <w:sz w:val="20"/>
                <w:szCs w:val="20"/>
              </w:rPr>
              <w:t>Massachusetts Student Housing Security Pilot</w:t>
            </w:r>
          </w:p>
        </w:tc>
        <w:tc>
          <w:tcPr>
            <w:tcW w:w="2070" w:type="dxa"/>
            <w:vAlign w:val="center"/>
          </w:tcPr>
          <w:p w14:paraId="146689A4" w14:textId="09B66098" w:rsidR="00A11AC3" w:rsidRPr="0004176C" w:rsidRDefault="00A11AC3" w:rsidP="004F02CD">
            <w:pPr>
              <w:jc w:val="center"/>
              <w:rPr>
                <w:sz w:val="20"/>
                <w:szCs w:val="20"/>
              </w:rPr>
            </w:pPr>
            <w:r w:rsidRPr="0004176C">
              <w:rPr>
                <w:sz w:val="20"/>
                <w:szCs w:val="20"/>
              </w:rPr>
              <w:t>240</w:t>
            </w:r>
          </w:p>
        </w:tc>
        <w:tc>
          <w:tcPr>
            <w:tcW w:w="1887" w:type="dxa"/>
            <w:vAlign w:val="center"/>
          </w:tcPr>
          <w:p w14:paraId="3CBB2741" w14:textId="286C10D8" w:rsidR="00A11AC3" w:rsidRPr="0004176C" w:rsidRDefault="00A11AC3" w:rsidP="004F02CD">
            <w:pPr>
              <w:jc w:val="center"/>
              <w:rPr>
                <w:sz w:val="20"/>
                <w:szCs w:val="20"/>
              </w:rPr>
            </w:pPr>
            <w:r w:rsidRPr="0004176C">
              <w:rPr>
                <w:sz w:val="20"/>
                <w:szCs w:val="20"/>
              </w:rPr>
              <w:t>20</w:t>
            </w:r>
          </w:p>
        </w:tc>
      </w:tr>
      <w:tr w:rsidR="004F02CD" w:rsidRPr="0004176C" w14:paraId="336A865B" w14:textId="77777777" w:rsidTr="00260FF8">
        <w:tc>
          <w:tcPr>
            <w:tcW w:w="2057" w:type="dxa"/>
            <w:tcBorders>
              <w:bottom w:val="single" w:sz="4" w:space="0" w:color="auto"/>
            </w:tcBorders>
          </w:tcPr>
          <w:p w14:paraId="6EDF8AB6" w14:textId="77777777" w:rsidR="004F02CD" w:rsidRPr="0004176C" w:rsidRDefault="004F02CD" w:rsidP="004F02CD">
            <w:pPr>
              <w:rPr>
                <w:sz w:val="20"/>
                <w:szCs w:val="20"/>
              </w:rPr>
            </w:pPr>
            <w:r w:rsidRPr="0004176C">
              <w:rPr>
                <w:sz w:val="20"/>
                <w:szCs w:val="20"/>
              </w:rPr>
              <w:t>Property-Based</w:t>
            </w:r>
          </w:p>
        </w:tc>
        <w:tc>
          <w:tcPr>
            <w:tcW w:w="3345" w:type="dxa"/>
            <w:tcBorders>
              <w:bottom w:val="single" w:sz="4" w:space="0" w:color="auto"/>
            </w:tcBorders>
          </w:tcPr>
          <w:p w14:paraId="10D95F2E" w14:textId="1A9E06A2" w:rsidR="004F02CD" w:rsidRPr="0004176C" w:rsidRDefault="004F02CD" w:rsidP="004F02CD">
            <w:pPr>
              <w:rPr>
                <w:sz w:val="20"/>
                <w:szCs w:val="20"/>
              </w:rPr>
            </w:pPr>
            <w:r w:rsidRPr="0004176C">
              <w:rPr>
                <w:sz w:val="20"/>
                <w:szCs w:val="20"/>
              </w:rPr>
              <w:t>Affordable Housing Preservation and Development Fund</w:t>
            </w:r>
            <w:r w:rsidR="005C0DFB" w:rsidRPr="0004176C">
              <w:rPr>
                <w:sz w:val="20"/>
                <w:szCs w:val="20"/>
              </w:rPr>
              <w:t xml:space="preserve"> **</w:t>
            </w:r>
          </w:p>
        </w:tc>
        <w:tc>
          <w:tcPr>
            <w:tcW w:w="2070" w:type="dxa"/>
            <w:vAlign w:val="center"/>
          </w:tcPr>
          <w:p w14:paraId="7E25334F" w14:textId="426FBC56" w:rsidR="004F02CD" w:rsidRPr="0004176C" w:rsidRDefault="00B80F27" w:rsidP="00B80F27">
            <w:pPr>
              <w:jc w:val="center"/>
              <w:rPr>
                <w:sz w:val="20"/>
                <w:szCs w:val="20"/>
              </w:rPr>
            </w:pPr>
            <w:r w:rsidRPr="0004176C">
              <w:rPr>
                <w:sz w:val="20"/>
                <w:szCs w:val="20"/>
              </w:rPr>
              <w:t>864</w:t>
            </w:r>
          </w:p>
        </w:tc>
        <w:tc>
          <w:tcPr>
            <w:tcW w:w="1887" w:type="dxa"/>
            <w:vAlign w:val="center"/>
          </w:tcPr>
          <w:p w14:paraId="742E6877" w14:textId="14C805D9" w:rsidR="004F02CD" w:rsidRPr="0004176C" w:rsidRDefault="00B80F27" w:rsidP="00B80F27">
            <w:pPr>
              <w:jc w:val="center"/>
              <w:rPr>
                <w:sz w:val="20"/>
                <w:szCs w:val="20"/>
              </w:rPr>
            </w:pPr>
            <w:r w:rsidRPr="0004176C">
              <w:rPr>
                <w:sz w:val="20"/>
                <w:szCs w:val="20"/>
              </w:rPr>
              <w:t>72</w:t>
            </w:r>
          </w:p>
        </w:tc>
      </w:tr>
      <w:tr w:rsidR="004F02CD" w:rsidRPr="0004176C" w14:paraId="5EB790F3" w14:textId="77777777" w:rsidTr="00260FF8">
        <w:tc>
          <w:tcPr>
            <w:tcW w:w="2057" w:type="dxa"/>
            <w:tcBorders>
              <w:top w:val="single" w:sz="4" w:space="0" w:color="auto"/>
              <w:left w:val="single" w:sz="4" w:space="0" w:color="auto"/>
              <w:bottom w:val="single" w:sz="4" w:space="0" w:color="auto"/>
              <w:right w:val="single" w:sz="4" w:space="0" w:color="auto"/>
            </w:tcBorders>
          </w:tcPr>
          <w:p w14:paraId="18B124E8" w14:textId="77777777" w:rsidR="004F02CD" w:rsidRPr="0004176C" w:rsidRDefault="004F02CD" w:rsidP="004F02CD">
            <w:pPr>
              <w:rPr>
                <w:sz w:val="20"/>
                <w:szCs w:val="20"/>
              </w:rPr>
            </w:pPr>
            <w:r w:rsidRPr="0004176C">
              <w:rPr>
                <w:sz w:val="20"/>
                <w:szCs w:val="20"/>
              </w:rPr>
              <w:t>Homeownership</w:t>
            </w:r>
          </w:p>
        </w:tc>
        <w:tc>
          <w:tcPr>
            <w:tcW w:w="3345" w:type="dxa"/>
            <w:tcBorders>
              <w:top w:val="single" w:sz="4" w:space="0" w:color="auto"/>
              <w:left w:val="single" w:sz="4" w:space="0" w:color="auto"/>
              <w:bottom w:val="single" w:sz="4" w:space="0" w:color="auto"/>
              <w:right w:val="single" w:sz="4" w:space="0" w:color="auto"/>
            </w:tcBorders>
          </w:tcPr>
          <w:p w14:paraId="5EE19592" w14:textId="77777777" w:rsidR="004F02CD" w:rsidRPr="0004176C" w:rsidRDefault="004F02CD" w:rsidP="004F02CD">
            <w:pPr>
              <w:rPr>
                <w:sz w:val="20"/>
                <w:szCs w:val="20"/>
              </w:rPr>
            </w:pPr>
            <w:r w:rsidRPr="0004176C">
              <w:rPr>
                <w:sz w:val="20"/>
                <w:szCs w:val="20"/>
              </w:rPr>
              <w:t>N/A</w:t>
            </w:r>
          </w:p>
        </w:tc>
        <w:tc>
          <w:tcPr>
            <w:tcW w:w="2070" w:type="dxa"/>
            <w:tcBorders>
              <w:left w:val="single" w:sz="4" w:space="0" w:color="auto"/>
              <w:bottom w:val="single" w:sz="4" w:space="0" w:color="auto"/>
            </w:tcBorders>
            <w:vAlign w:val="center"/>
          </w:tcPr>
          <w:p w14:paraId="0F33F236" w14:textId="0FADFAE0" w:rsidR="004F02CD" w:rsidRPr="0004176C" w:rsidRDefault="00211001" w:rsidP="004F02CD">
            <w:pPr>
              <w:jc w:val="center"/>
              <w:rPr>
                <w:sz w:val="20"/>
                <w:szCs w:val="20"/>
              </w:rPr>
            </w:pPr>
            <w:r w:rsidRPr="0004176C">
              <w:rPr>
                <w:sz w:val="20"/>
                <w:szCs w:val="20"/>
              </w:rPr>
              <w:t>N/A</w:t>
            </w:r>
          </w:p>
        </w:tc>
        <w:tc>
          <w:tcPr>
            <w:tcW w:w="1887" w:type="dxa"/>
            <w:vAlign w:val="center"/>
          </w:tcPr>
          <w:p w14:paraId="56DFB1DF" w14:textId="77777777" w:rsidR="004F02CD" w:rsidRPr="0004176C" w:rsidRDefault="004F02CD" w:rsidP="004F02CD">
            <w:pPr>
              <w:jc w:val="center"/>
              <w:rPr>
                <w:sz w:val="20"/>
                <w:szCs w:val="20"/>
              </w:rPr>
            </w:pPr>
            <w:r w:rsidRPr="0004176C">
              <w:rPr>
                <w:sz w:val="20"/>
                <w:szCs w:val="20"/>
              </w:rPr>
              <w:t>N/A</w:t>
            </w:r>
          </w:p>
        </w:tc>
      </w:tr>
      <w:tr w:rsidR="000936BE" w:rsidRPr="0004176C" w14:paraId="37784014" w14:textId="77777777" w:rsidTr="006C688D">
        <w:tc>
          <w:tcPr>
            <w:tcW w:w="5402" w:type="dxa"/>
            <w:gridSpan w:val="2"/>
            <w:tcBorders>
              <w:top w:val="single" w:sz="4" w:space="0" w:color="auto"/>
              <w:left w:val="nil"/>
              <w:bottom w:val="nil"/>
              <w:right w:val="single" w:sz="4" w:space="0" w:color="auto"/>
            </w:tcBorders>
          </w:tcPr>
          <w:p w14:paraId="3DB182EE" w14:textId="281C6DF4" w:rsidR="000936BE" w:rsidRPr="0004176C" w:rsidRDefault="000936BE" w:rsidP="000936BE">
            <w:pPr>
              <w:jc w:val="right"/>
              <w:rPr>
                <w:b/>
                <w:sz w:val="20"/>
                <w:szCs w:val="20"/>
              </w:rPr>
            </w:pPr>
            <w:r w:rsidRPr="0004176C">
              <w:rPr>
                <w:b/>
                <w:sz w:val="20"/>
                <w:szCs w:val="20"/>
              </w:rPr>
              <w:t>Planned Households Served – Local Non-Traditional Programs</w:t>
            </w:r>
          </w:p>
        </w:tc>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F8B382" w14:textId="723995EA" w:rsidR="000936BE" w:rsidRPr="0004176C" w:rsidRDefault="00A430CC" w:rsidP="004F02CD">
            <w:pPr>
              <w:jc w:val="center"/>
              <w:rPr>
                <w:sz w:val="20"/>
                <w:szCs w:val="20"/>
              </w:rPr>
            </w:pPr>
            <w:r w:rsidRPr="0004176C">
              <w:rPr>
                <w:sz w:val="20"/>
                <w:szCs w:val="20"/>
              </w:rPr>
              <w:t>6,132</w:t>
            </w:r>
          </w:p>
        </w:tc>
        <w:tc>
          <w:tcPr>
            <w:tcW w:w="1887" w:type="dxa"/>
            <w:tcBorders>
              <w:left w:val="single" w:sz="4" w:space="0" w:color="auto"/>
            </w:tcBorders>
            <w:shd w:val="clear" w:color="auto" w:fill="BFBFBF" w:themeFill="background1" w:themeFillShade="BF"/>
            <w:vAlign w:val="center"/>
          </w:tcPr>
          <w:p w14:paraId="290B7445" w14:textId="7731B507" w:rsidR="000936BE" w:rsidRPr="0004176C" w:rsidRDefault="00A430CC" w:rsidP="004F02CD">
            <w:pPr>
              <w:jc w:val="center"/>
              <w:rPr>
                <w:sz w:val="20"/>
                <w:szCs w:val="20"/>
              </w:rPr>
            </w:pPr>
            <w:r w:rsidRPr="0004176C">
              <w:rPr>
                <w:sz w:val="20"/>
                <w:szCs w:val="20"/>
              </w:rPr>
              <w:t>511</w:t>
            </w:r>
          </w:p>
        </w:tc>
      </w:tr>
      <w:tr w:rsidR="0080525D" w:rsidRPr="0004176C" w14:paraId="4FB83999" w14:textId="77777777" w:rsidTr="00C75B7A">
        <w:tc>
          <w:tcPr>
            <w:tcW w:w="9359" w:type="dxa"/>
            <w:gridSpan w:val="4"/>
          </w:tcPr>
          <w:p w14:paraId="700D77C2" w14:textId="2AE79302" w:rsidR="0080525D" w:rsidRPr="0004176C" w:rsidRDefault="0080525D" w:rsidP="009D527C">
            <w:pPr>
              <w:rPr>
                <w:i/>
                <w:sz w:val="20"/>
                <w:szCs w:val="20"/>
              </w:rPr>
            </w:pPr>
            <w:r w:rsidRPr="0004176C">
              <w:rPr>
                <w:i/>
                <w:sz w:val="20"/>
                <w:szCs w:val="20"/>
              </w:rPr>
              <w:t>*</w:t>
            </w:r>
            <w:r w:rsidR="009D527C" w:rsidRPr="0004176C">
              <w:rPr>
                <w:i/>
                <w:sz w:val="20"/>
                <w:szCs w:val="20"/>
              </w:rPr>
              <w:t xml:space="preserve"> DHCD used the HUD required methodology to calculate Planned Number</w:t>
            </w:r>
            <w:r w:rsidR="00260FF8" w:rsidRPr="0004176C">
              <w:rPr>
                <w:i/>
                <w:sz w:val="20"/>
                <w:szCs w:val="20"/>
              </w:rPr>
              <w:t xml:space="preserve"> of Unit Months Occupied/Leased;</w:t>
            </w:r>
            <w:r w:rsidR="009D527C" w:rsidRPr="0004176C">
              <w:rPr>
                <w:i/>
                <w:sz w:val="20"/>
                <w:szCs w:val="20"/>
              </w:rPr>
              <w:t xml:space="preserve"> however, DHCD does not expect all 312 HHs to be leased/relocated for all 12 months of the plan year. </w:t>
            </w:r>
          </w:p>
        </w:tc>
      </w:tr>
      <w:tr w:rsidR="00D8278E" w:rsidRPr="0004176C" w14:paraId="0C1750B0" w14:textId="77777777" w:rsidTr="00C75B7A">
        <w:tc>
          <w:tcPr>
            <w:tcW w:w="9359" w:type="dxa"/>
            <w:gridSpan w:val="4"/>
          </w:tcPr>
          <w:p w14:paraId="5C50353D" w14:textId="5C92067D" w:rsidR="00D8278E" w:rsidRPr="0004176C" w:rsidRDefault="00D8278E" w:rsidP="00B80F27">
            <w:pPr>
              <w:rPr>
                <w:i/>
                <w:sz w:val="20"/>
                <w:szCs w:val="20"/>
              </w:rPr>
            </w:pPr>
            <w:r w:rsidRPr="0004176C">
              <w:rPr>
                <w:i/>
                <w:sz w:val="20"/>
                <w:szCs w:val="20"/>
              </w:rPr>
              <w:t>**</w:t>
            </w:r>
            <w:r w:rsidR="009D527C" w:rsidRPr="0004176C">
              <w:rPr>
                <w:i/>
                <w:sz w:val="20"/>
                <w:szCs w:val="20"/>
              </w:rPr>
              <w:t xml:space="preserve">While funds will be used in </w:t>
            </w:r>
            <w:r w:rsidR="006D6331" w:rsidRPr="0004176C">
              <w:rPr>
                <w:i/>
                <w:sz w:val="20"/>
                <w:szCs w:val="20"/>
              </w:rPr>
              <w:t>FY 2021</w:t>
            </w:r>
            <w:r w:rsidR="009D527C" w:rsidRPr="0004176C">
              <w:rPr>
                <w:i/>
                <w:sz w:val="20"/>
                <w:szCs w:val="20"/>
              </w:rPr>
              <w:t xml:space="preserve"> for the preservation of two state aided public hou</w:t>
            </w:r>
            <w:r w:rsidR="00234500" w:rsidRPr="0004176C">
              <w:rPr>
                <w:i/>
                <w:sz w:val="20"/>
                <w:szCs w:val="20"/>
              </w:rPr>
              <w:t>sing developments, DHCD</w:t>
            </w:r>
            <w:r w:rsidR="009D527C" w:rsidRPr="0004176C">
              <w:rPr>
                <w:i/>
                <w:sz w:val="20"/>
                <w:szCs w:val="20"/>
              </w:rPr>
              <w:t xml:space="preserve"> anticipate</w:t>
            </w:r>
            <w:r w:rsidR="00234500" w:rsidRPr="0004176C">
              <w:rPr>
                <w:i/>
                <w:sz w:val="20"/>
                <w:szCs w:val="20"/>
              </w:rPr>
              <w:t>s only 72</w:t>
            </w:r>
            <w:r w:rsidR="009D527C" w:rsidRPr="0004176C">
              <w:rPr>
                <w:i/>
                <w:sz w:val="20"/>
                <w:szCs w:val="20"/>
              </w:rPr>
              <w:t xml:space="preserve"> the units to be ready and leased up in the plan year</w:t>
            </w:r>
            <w:r w:rsidR="00B80F27" w:rsidRPr="0004176C">
              <w:rPr>
                <w:i/>
                <w:sz w:val="20"/>
                <w:szCs w:val="20"/>
              </w:rPr>
              <w:t>.  Please note that DHCD used the HUD required methodology to calculate Planned Number of Unit Months Occupied/Leased; however, DHCD does not expect all72 HHs to be leased/relocated for all 12 months of the plan year.</w:t>
            </w:r>
          </w:p>
        </w:tc>
      </w:tr>
    </w:tbl>
    <w:p w14:paraId="52CE4969" w14:textId="33D4F578" w:rsidR="001A19FA" w:rsidRPr="0004176C" w:rsidRDefault="001A19FA" w:rsidP="00394A22">
      <w:pPr>
        <w:rPr>
          <w:sz w:val="22"/>
          <w:szCs w:val="22"/>
        </w:rPr>
      </w:pPr>
    </w:p>
    <w:p w14:paraId="17702D31" w14:textId="33997A37" w:rsidR="00211001" w:rsidRPr="0004176C" w:rsidRDefault="00211001" w:rsidP="00074854">
      <w:pPr>
        <w:contextualSpacing/>
        <w:jc w:val="both"/>
        <w:rPr>
          <w:sz w:val="22"/>
          <w:szCs w:val="22"/>
        </w:rPr>
      </w:pPr>
      <w:r w:rsidRPr="0004176C">
        <w:rPr>
          <w:sz w:val="22"/>
          <w:szCs w:val="22"/>
        </w:rPr>
        <w:t xml:space="preserve">Table 7B provides information on Non-MTW vouchers projected to be leased during </w:t>
      </w:r>
      <w:r w:rsidR="006D6331" w:rsidRPr="0004176C">
        <w:rPr>
          <w:sz w:val="22"/>
          <w:szCs w:val="22"/>
        </w:rPr>
        <w:t>FY 2021</w:t>
      </w:r>
      <w:r w:rsidRPr="0004176C">
        <w:rPr>
          <w:sz w:val="22"/>
          <w:szCs w:val="22"/>
        </w:rPr>
        <w:t>.  This table is not a requirement of Attachment B to the Standard MTW Agreement.</w:t>
      </w:r>
    </w:p>
    <w:p w14:paraId="0B0DAFFF" w14:textId="77777777" w:rsidR="00424525" w:rsidRPr="0004176C" w:rsidRDefault="00424525" w:rsidP="00424525">
      <w:pPr>
        <w:pStyle w:val="Heading4"/>
        <w:numPr>
          <w:ilvl w:val="0"/>
          <w:numId w:val="0"/>
        </w:numPr>
        <w:rPr>
          <w:szCs w:val="24"/>
        </w:rPr>
      </w:pPr>
    </w:p>
    <w:p w14:paraId="36F481F7" w14:textId="35AEB976" w:rsidR="00211001" w:rsidRPr="0004176C" w:rsidRDefault="00211001" w:rsidP="00424525">
      <w:pPr>
        <w:pStyle w:val="Heading4"/>
        <w:numPr>
          <w:ilvl w:val="0"/>
          <w:numId w:val="0"/>
        </w:numPr>
        <w:jc w:val="center"/>
        <w:rPr>
          <w:sz w:val="20"/>
          <w:szCs w:val="20"/>
        </w:rPr>
      </w:pPr>
      <w:bookmarkStart w:id="32" w:name="_Toc33016925"/>
      <w:r w:rsidRPr="0004176C">
        <w:rPr>
          <w:sz w:val="20"/>
          <w:szCs w:val="20"/>
        </w:rPr>
        <w:t>Table 7B: Non-MTW Voucher Households</w:t>
      </w:r>
      <w:bookmarkEnd w:id="32"/>
    </w:p>
    <w:p w14:paraId="5D2AB147" w14:textId="77777777" w:rsidR="00211001" w:rsidRPr="0004176C" w:rsidRDefault="00211001" w:rsidP="00211001">
      <w:pP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2130"/>
        <w:gridCol w:w="2530"/>
      </w:tblGrid>
      <w:tr w:rsidR="00496A48" w:rsidRPr="0004176C" w14:paraId="769F0C22" w14:textId="77777777" w:rsidTr="00496A48">
        <w:tc>
          <w:tcPr>
            <w:tcW w:w="2508" w:type="pct"/>
            <w:tcBorders>
              <w:top w:val="single" w:sz="4" w:space="0" w:color="auto"/>
              <w:left w:val="single" w:sz="4" w:space="0" w:color="auto"/>
              <w:bottom w:val="single" w:sz="4" w:space="0" w:color="auto"/>
            </w:tcBorders>
            <w:shd w:val="clear" w:color="auto" w:fill="BFBFBF" w:themeFill="background1" w:themeFillShade="BF"/>
          </w:tcPr>
          <w:p w14:paraId="49DFD4BF" w14:textId="77777777" w:rsidR="00496A48" w:rsidRPr="0004176C" w:rsidRDefault="00496A48" w:rsidP="00496A48">
            <w:pPr>
              <w:rPr>
                <w:rFonts w:eastAsia="Calibri"/>
                <w:b/>
                <w:sz w:val="20"/>
                <w:szCs w:val="20"/>
              </w:rPr>
            </w:pPr>
            <w:r w:rsidRPr="0004176C">
              <w:rPr>
                <w:rFonts w:eastAsia="Calibri"/>
                <w:b/>
                <w:sz w:val="20"/>
                <w:szCs w:val="20"/>
              </w:rPr>
              <w:t>Non-MTW Households to be Served Through:</w:t>
            </w:r>
          </w:p>
        </w:tc>
        <w:tc>
          <w:tcPr>
            <w:tcW w:w="1139" w:type="pct"/>
            <w:tcBorders>
              <w:top w:val="single" w:sz="4" w:space="0" w:color="auto"/>
            </w:tcBorders>
            <w:shd w:val="clear" w:color="auto" w:fill="BFBFBF" w:themeFill="background1" w:themeFillShade="BF"/>
          </w:tcPr>
          <w:p w14:paraId="34C9AFB5" w14:textId="12DF65F1" w:rsidR="00496A48" w:rsidRPr="0004176C" w:rsidRDefault="00496A48" w:rsidP="00496A48">
            <w:pPr>
              <w:jc w:val="center"/>
              <w:rPr>
                <w:rFonts w:eastAsia="Calibri"/>
                <w:b/>
                <w:sz w:val="20"/>
                <w:szCs w:val="20"/>
              </w:rPr>
            </w:pPr>
            <w:r w:rsidRPr="0004176C">
              <w:rPr>
                <w:rFonts w:eastAsia="Calibri"/>
                <w:b/>
                <w:sz w:val="20"/>
                <w:szCs w:val="20"/>
              </w:rPr>
              <w:t>Planned Number of Unit Months Occupied/Leased</w:t>
            </w:r>
          </w:p>
        </w:tc>
        <w:tc>
          <w:tcPr>
            <w:tcW w:w="1353" w:type="pct"/>
            <w:tcBorders>
              <w:top w:val="single" w:sz="4" w:space="0" w:color="auto"/>
            </w:tcBorders>
            <w:shd w:val="clear" w:color="auto" w:fill="BFBFBF" w:themeFill="background1" w:themeFillShade="BF"/>
          </w:tcPr>
          <w:p w14:paraId="2AF18911" w14:textId="031A7962" w:rsidR="00496A48" w:rsidRPr="0004176C" w:rsidRDefault="00496A48" w:rsidP="00496A48">
            <w:pPr>
              <w:jc w:val="center"/>
              <w:rPr>
                <w:rFonts w:eastAsia="Calibri"/>
                <w:b/>
                <w:sz w:val="20"/>
                <w:szCs w:val="20"/>
              </w:rPr>
            </w:pPr>
            <w:r w:rsidRPr="0004176C">
              <w:rPr>
                <w:rFonts w:eastAsia="Calibri"/>
                <w:b/>
                <w:sz w:val="20"/>
                <w:szCs w:val="20"/>
              </w:rPr>
              <w:t>Planned Number of Households to be Served</w:t>
            </w:r>
          </w:p>
        </w:tc>
      </w:tr>
      <w:tr w:rsidR="00496A48" w:rsidRPr="0004176C" w14:paraId="2DA4CF19" w14:textId="77777777" w:rsidTr="00496A48">
        <w:trPr>
          <w:trHeight w:val="260"/>
        </w:trPr>
        <w:tc>
          <w:tcPr>
            <w:tcW w:w="2508" w:type="pct"/>
            <w:tcBorders>
              <w:top w:val="single" w:sz="4" w:space="0" w:color="auto"/>
              <w:left w:val="single" w:sz="4" w:space="0" w:color="auto"/>
              <w:bottom w:val="single" w:sz="4" w:space="0" w:color="auto"/>
            </w:tcBorders>
            <w:shd w:val="clear" w:color="auto" w:fill="auto"/>
          </w:tcPr>
          <w:p w14:paraId="4EA17DC5" w14:textId="77777777" w:rsidR="00496A48" w:rsidRPr="0004176C" w:rsidRDefault="00496A48" w:rsidP="00496A48">
            <w:pPr>
              <w:rPr>
                <w:rFonts w:eastAsia="Calibri"/>
                <w:sz w:val="20"/>
                <w:szCs w:val="20"/>
              </w:rPr>
            </w:pPr>
            <w:r w:rsidRPr="0004176C">
              <w:rPr>
                <w:rFonts w:eastAsia="Calibri"/>
                <w:sz w:val="20"/>
                <w:szCs w:val="20"/>
              </w:rPr>
              <w:t>VASH</w:t>
            </w:r>
          </w:p>
        </w:tc>
        <w:tc>
          <w:tcPr>
            <w:tcW w:w="1139" w:type="pct"/>
            <w:vAlign w:val="center"/>
          </w:tcPr>
          <w:p w14:paraId="4FC5250E" w14:textId="581ECA8C" w:rsidR="00496A48" w:rsidRPr="0004176C" w:rsidRDefault="00520DBE" w:rsidP="00496A48">
            <w:pPr>
              <w:jc w:val="center"/>
              <w:rPr>
                <w:rFonts w:eastAsia="Calibri"/>
                <w:sz w:val="20"/>
                <w:szCs w:val="20"/>
              </w:rPr>
            </w:pPr>
            <w:r w:rsidRPr="0004176C">
              <w:rPr>
                <w:rFonts w:eastAsia="Calibri"/>
                <w:sz w:val="20"/>
                <w:szCs w:val="20"/>
              </w:rPr>
              <w:t>8,124</w:t>
            </w:r>
          </w:p>
        </w:tc>
        <w:tc>
          <w:tcPr>
            <w:tcW w:w="1353" w:type="pct"/>
            <w:shd w:val="clear" w:color="auto" w:fill="auto"/>
            <w:vAlign w:val="center"/>
          </w:tcPr>
          <w:p w14:paraId="2462CD81" w14:textId="7E6C399B" w:rsidR="00496A48" w:rsidRPr="0004176C" w:rsidRDefault="00520DBE" w:rsidP="00496A48">
            <w:pPr>
              <w:jc w:val="center"/>
              <w:rPr>
                <w:rFonts w:eastAsia="Calibri"/>
                <w:sz w:val="20"/>
                <w:szCs w:val="20"/>
              </w:rPr>
            </w:pPr>
            <w:r w:rsidRPr="0004176C">
              <w:rPr>
                <w:rFonts w:eastAsia="Calibri"/>
                <w:sz w:val="20"/>
                <w:szCs w:val="20"/>
              </w:rPr>
              <w:t>677</w:t>
            </w:r>
          </w:p>
        </w:tc>
      </w:tr>
      <w:tr w:rsidR="00496A48" w:rsidRPr="0004176C" w14:paraId="35720D69" w14:textId="77777777" w:rsidTr="00496A48">
        <w:trPr>
          <w:trHeight w:val="260"/>
        </w:trPr>
        <w:tc>
          <w:tcPr>
            <w:tcW w:w="2508" w:type="pct"/>
            <w:tcBorders>
              <w:top w:val="single" w:sz="4" w:space="0" w:color="auto"/>
              <w:left w:val="single" w:sz="4" w:space="0" w:color="auto"/>
              <w:bottom w:val="single" w:sz="4" w:space="0" w:color="auto"/>
            </w:tcBorders>
            <w:shd w:val="clear" w:color="auto" w:fill="auto"/>
          </w:tcPr>
          <w:p w14:paraId="6F987965" w14:textId="0660D4C6" w:rsidR="00496A48" w:rsidRPr="0004176C" w:rsidRDefault="00496A48" w:rsidP="00496A48">
            <w:pPr>
              <w:rPr>
                <w:rFonts w:eastAsia="Calibri"/>
                <w:sz w:val="20"/>
                <w:szCs w:val="20"/>
              </w:rPr>
            </w:pPr>
            <w:r w:rsidRPr="0004176C">
              <w:rPr>
                <w:rFonts w:eastAsia="Calibri"/>
                <w:sz w:val="20"/>
                <w:szCs w:val="20"/>
              </w:rPr>
              <w:t>Mainstream 811</w:t>
            </w:r>
          </w:p>
        </w:tc>
        <w:tc>
          <w:tcPr>
            <w:tcW w:w="1139" w:type="pct"/>
            <w:vAlign w:val="center"/>
          </w:tcPr>
          <w:p w14:paraId="73099138" w14:textId="5767B9F4" w:rsidR="00496A48" w:rsidRPr="0004176C" w:rsidRDefault="00496A48" w:rsidP="00496A48">
            <w:pPr>
              <w:jc w:val="center"/>
              <w:rPr>
                <w:rFonts w:eastAsia="Calibri"/>
                <w:sz w:val="20"/>
                <w:szCs w:val="20"/>
              </w:rPr>
            </w:pPr>
            <w:r w:rsidRPr="0004176C">
              <w:rPr>
                <w:rFonts w:eastAsia="Calibri"/>
                <w:sz w:val="20"/>
                <w:szCs w:val="20"/>
              </w:rPr>
              <w:t>1,068</w:t>
            </w:r>
          </w:p>
        </w:tc>
        <w:tc>
          <w:tcPr>
            <w:tcW w:w="1353" w:type="pct"/>
            <w:shd w:val="clear" w:color="auto" w:fill="auto"/>
            <w:vAlign w:val="center"/>
          </w:tcPr>
          <w:p w14:paraId="4776041D" w14:textId="7D6A5A00" w:rsidR="00496A48" w:rsidRPr="0004176C" w:rsidRDefault="00496A48" w:rsidP="00496A48">
            <w:pPr>
              <w:jc w:val="center"/>
              <w:rPr>
                <w:rFonts w:eastAsia="Calibri"/>
                <w:sz w:val="20"/>
                <w:szCs w:val="20"/>
              </w:rPr>
            </w:pPr>
            <w:r w:rsidRPr="0004176C">
              <w:rPr>
                <w:rFonts w:eastAsia="Calibri"/>
                <w:sz w:val="20"/>
                <w:szCs w:val="20"/>
              </w:rPr>
              <w:t>89</w:t>
            </w:r>
          </w:p>
        </w:tc>
      </w:tr>
      <w:tr w:rsidR="00496A48" w:rsidRPr="0004176C" w14:paraId="2F24751C" w14:textId="77777777" w:rsidTr="00496A48">
        <w:tc>
          <w:tcPr>
            <w:tcW w:w="2508" w:type="pct"/>
            <w:tcBorders>
              <w:top w:val="single" w:sz="4" w:space="0" w:color="auto"/>
              <w:left w:val="single" w:sz="4" w:space="0" w:color="auto"/>
              <w:bottom w:val="single" w:sz="4" w:space="0" w:color="auto"/>
            </w:tcBorders>
            <w:shd w:val="clear" w:color="auto" w:fill="auto"/>
          </w:tcPr>
          <w:p w14:paraId="26A9B37F" w14:textId="77777777" w:rsidR="00496A48" w:rsidRPr="0004176C" w:rsidRDefault="00496A48" w:rsidP="00496A48">
            <w:pPr>
              <w:rPr>
                <w:rFonts w:eastAsia="Calibri"/>
                <w:sz w:val="20"/>
                <w:szCs w:val="20"/>
              </w:rPr>
            </w:pPr>
            <w:r w:rsidRPr="0004176C">
              <w:rPr>
                <w:rFonts w:eastAsia="Calibri"/>
                <w:sz w:val="20"/>
                <w:szCs w:val="20"/>
              </w:rPr>
              <w:t>Mainstream 5</w:t>
            </w:r>
          </w:p>
        </w:tc>
        <w:tc>
          <w:tcPr>
            <w:tcW w:w="1139" w:type="pct"/>
            <w:tcBorders>
              <w:bottom w:val="single" w:sz="4" w:space="0" w:color="auto"/>
            </w:tcBorders>
            <w:vAlign w:val="center"/>
          </w:tcPr>
          <w:p w14:paraId="30ED1292" w14:textId="089A654B" w:rsidR="00496A48" w:rsidRPr="0004176C" w:rsidRDefault="00520DBE" w:rsidP="00496A48">
            <w:pPr>
              <w:jc w:val="center"/>
              <w:rPr>
                <w:rFonts w:eastAsia="Calibri"/>
                <w:sz w:val="20"/>
                <w:szCs w:val="20"/>
              </w:rPr>
            </w:pPr>
            <w:r w:rsidRPr="0004176C">
              <w:rPr>
                <w:rFonts w:eastAsia="Calibri"/>
                <w:sz w:val="20"/>
                <w:szCs w:val="20"/>
              </w:rPr>
              <w:t>900</w:t>
            </w:r>
          </w:p>
        </w:tc>
        <w:tc>
          <w:tcPr>
            <w:tcW w:w="1353" w:type="pct"/>
            <w:tcBorders>
              <w:bottom w:val="single" w:sz="4" w:space="0" w:color="auto"/>
            </w:tcBorders>
            <w:shd w:val="clear" w:color="auto" w:fill="auto"/>
            <w:vAlign w:val="center"/>
          </w:tcPr>
          <w:p w14:paraId="5757D891" w14:textId="2E92093F" w:rsidR="00496A48" w:rsidRPr="0004176C" w:rsidRDefault="00496A48" w:rsidP="00496A48">
            <w:pPr>
              <w:jc w:val="center"/>
              <w:rPr>
                <w:rFonts w:eastAsia="Calibri"/>
                <w:sz w:val="20"/>
                <w:szCs w:val="20"/>
              </w:rPr>
            </w:pPr>
            <w:r w:rsidRPr="0004176C">
              <w:rPr>
                <w:rFonts w:eastAsia="Calibri"/>
                <w:sz w:val="20"/>
                <w:szCs w:val="20"/>
              </w:rPr>
              <w:t>7</w:t>
            </w:r>
            <w:r w:rsidR="00520DBE" w:rsidRPr="0004176C">
              <w:rPr>
                <w:rFonts w:eastAsia="Calibri"/>
                <w:sz w:val="20"/>
                <w:szCs w:val="20"/>
              </w:rPr>
              <w:t>5</w:t>
            </w:r>
          </w:p>
        </w:tc>
      </w:tr>
      <w:tr w:rsidR="00496A48" w:rsidRPr="0004176C" w14:paraId="17D586D6" w14:textId="77777777" w:rsidTr="00496A48">
        <w:tc>
          <w:tcPr>
            <w:tcW w:w="2508" w:type="pct"/>
            <w:tcBorders>
              <w:top w:val="single" w:sz="4" w:space="0" w:color="auto"/>
              <w:left w:val="nil"/>
              <w:bottom w:val="nil"/>
              <w:right w:val="single" w:sz="4" w:space="0" w:color="auto"/>
            </w:tcBorders>
            <w:shd w:val="clear" w:color="auto" w:fill="auto"/>
          </w:tcPr>
          <w:p w14:paraId="24AD7C14" w14:textId="77777777" w:rsidR="00496A48" w:rsidRPr="0004176C" w:rsidRDefault="00496A48" w:rsidP="00496A48">
            <w:pPr>
              <w:jc w:val="right"/>
              <w:rPr>
                <w:rFonts w:eastAsia="Calibri"/>
                <w:b/>
                <w:sz w:val="20"/>
                <w:szCs w:val="20"/>
              </w:rPr>
            </w:pPr>
            <w:r w:rsidRPr="0004176C">
              <w:rPr>
                <w:rFonts w:eastAsia="Calibri"/>
                <w:b/>
                <w:sz w:val="20"/>
                <w:szCs w:val="20"/>
              </w:rPr>
              <w:t>Total Non-MTW Households Projected to be Served</w:t>
            </w:r>
          </w:p>
        </w:tc>
        <w:tc>
          <w:tcPr>
            <w:tcW w:w="1139" w:type="pct"/>
            <w:tcBorders>
              <w:left w:val="single" w:sz="4" w:space="0" w:color="auto"/>
              <w:right w:val="single" w:sz="4" w:space="0" w:color="auto"/>
            </w:tcBorders>
            <w:shd w:val="clear" w:color="auto" w:fill="BFBFBF" w:themeFill="background1" w:themeFillShade="BF"/>
          </w:tcPr>
          <w:p w14:paraId="79A20244" w14:textId="5D6CD4B3" w:rsidR="00496A48" w:rsidRPr="0004176C" w:rsidRDefault="00520DBE" w:rsidP="00496A48">
            <w:pPr>
              <w:jc w:val="center"/>
              <w:rPr>
                <w:rFonts w:eastAsia="Calibri"/>
                <w:sz w:val="20"/>
                <w:szCs w:val="20"/>
              </w:rPr>
            </w:pPr>
            <w:r w:rsidRPr="0004176C">
              <w:rPr>
                <w:rFonts w:eastAsia="Calibri"/>
                <w:sz w:val="20"/>
                <w:szCs w:val="20"/>
              </w:rPr>
              <w:fldChar w:fldCharType="begin"/>
            </w:r>
            <w:r w:rsidRPr="0004176C">
              <w:rPr>
                <w:rFonts w:eastAsia="Calibri"/>
                <w:sz w:val="20"/>
                <w:szCs w:val="20"/>
              </w:rPr>
              <w:instrText xml:space="preserve"> =SUM(ABOVE) </w:instrText>
            </w:r>
            <w:r w:rsidRPr="0004176C">
              <w:rPr>
                <w:rFonts w:eastAsia="Calibri"/>
                <w:sz w:val="20"/>
                <w:szCs w:val="20"/>
              </w:rPr>
              <w:fldChar w:fldCharType="separate"/>
            </w:r>
            <w:r w:rsidRPr="0004176C">
              <w:rPr>
                <w:rFonts w:eastAsia="Calibri"/>
                <w:noProof/>
                <w:sz w:val="20"/>
                <w:szCs w:val="20"/>
              </w:rPr>
              <w:t>10,092</w:t>
            </w:r>
            <w:r w:rsidRPr="0004176C">
              <w:rPr>
                <w:rFonts w:eastAsia="Calibri"/>
                <w:sz w:val="20"/>
                <w:szCs w:val="20"/>
              </w:rPr>
              <w:fldChar w:fldCharType="end"/>
            </w:r>
          </w:p>
        </w:tc>
        <w:tc>
          <w:tcPr>
            <w:tcW w:w="1353" w:type="pct"/>
            <w:tcBorders>
              <w:left w:val="single" w:sz="4" w:space="0" w:color="auto"/>
            </w:tcBorders>
            <w:shd w:val="clear" w:color="auto" w:fill="BFBFBF" w:themeFill="background1" w:themeFillShade="BF"/>
          </w:tcPr>
          <w:p w14:paraId="2E7DDAFE" w14:textId="3374AEE0" w:rsidR="00496A48" w:rsidRPr="0004176C" w:rsidRDefault="00520DBE" w:rsidP="00496A48">
            <w:pPr>
              <w:jc w:val="center"/>
              <w:rPr>
                <w:rFonts w:eastAsia="Calibri"/>
                <w:sz w:val="20"/>
                <w:szCs w:val="20"/>
              </w:rPr>
            </w:pPr>
            <w:r w:rsidRPr="0004176C">
              <w:rPr>
                <w:rFonts w:eastAsia="Calibri"/>
                <w:sz w:val="20"/>
                <w:szCs w:val="20"/>
              </w:rPr>
              <w:fldChar w:fldCharType="begin"/>
            </w:r>
            <w:r w:rsidRPr="0004176C">
              <w:rPr>
                <w:rFonts w:eastAsia="Calibri"/>
                <w:sz w:val="20"/>
                <w:szCs w:val="20"/>
              </w:rPr>
              <w:instrText xml:space="preserve"> =SUM(ABOVE) </w:instrText>
            </w:r>
            <w:r w:rsidRPr="0004176C">
              <w:rPr>
                <w:rFonts w:eastAsia="Calibri"/>
                <w:sz w:val="20"/>
                <w:szCs w:val="20"/>
              </w:rPr>
              <w:fldChar w:fldCharType="separate"/>
            </w:r>
            <w:r w:rsidRPr="0004176C">
              <w:rPr>
                <w:rFonts w:eastAsia="Calibri"/>
                <w:noProof/>
                <w:sz w:val="20"/>
                <w:szCs w:val="20"/>
              </w:rPr>
              <w:t>841</w:t>
            </w:r>
            <w:r w:rsidRPr="0004176C">
              <w:rPr>
                <w:rFonts w:eastAsia="Calibri"/>
                <w:sz w:val="20"/>
                <w:szCs w:val="20"/>
              </w:rPr>
              <w:fldChar w:fldCharType="end"/>
            </w:r>
          </w:p>
        </w:tc>
      </w:tr>
    </w:tbl>
    <w:p w14:paraId="75A281C0" w14:textId="77777777" w:rsidR="00211001" w:rsidRPr="0004176C" w:rsidRDefault="00211001" w:rsidP="00211001">
      <w:pPr>
        <w:rPr>
          <w:i/>
          <w:sz w:val="18"/>
          <w:szCs w:val="18"/>
        </w:rPr>
      </w:pPr>
    </w:p>
    <w:p w14:paraId="0C283D86" w14:textId="77777777" w:rsidR="00211001" w:rsidRPr="0004176C" w:rsidRDefault="00211001" w:rsidP="00394A22">
      <w:pPr>
        <w:rPr>
          <w:sz w:val="22"/>
          <w:szCs w:val="22"/>
        </w:rPr>
      </w:pPr>
    </w:p>
    <w:p w14:paraId="325A4918" w14:textId="67FCF376" w:rsidR="0060633A" w:rsidRPr="0004176C" w:rsidRDefault="0060633A" w:rsidP="00AA5A80">
      <w:pPr>
        <w:pStyle w:val="ListParagraph"/>
        <w:numPr>
          <w:ilvl w:val="0"/>
          <w:numId w:val="30"/>
        </w:numPr>
        <w:rPr>
          <w:b/>
          <w:i/>
        </w:rPr>
      </w:pPr>
      <w:bookmarkStart w:id="33" w:name="_Toc528576630"/>
      <w:r w:rsidRPr="0004176C">
        <w:rPr>
          <w:b/>
          <w:i/>
        </w:rPr>
        <w:t xml:space="preserve">Discussion of Any </w:t>
      </w:r>
      <w:r w:rsidR="004F02CD" w:rsidRPr="0004176C">
        <w:rPr>
          <w:b/>
          <w:i/>
        </w:rPr>
        <w:t>Anticipated</w:t>
      </w:r>
      <w:r w:rsidRPr="0004176C">
        <w:rPr>
          <w:b/>
          <w:i/>
        </w:rPr>
        <w:t xml:space="preserve"> Issues/</w:t>
      </w:r>
      <w:r w:rsidR="00211001" w:rsidRPr="0004176C">
        <w:rPr>
          <w:b/>
          <w:i/>
        </w:rPr>
        <w:t xml:space="preserve">Possible </w:t>
      </w:r>
      <w:r w:rsidRPr="0004176C">
        <w:rPr>
          <w:b/>
          <w:i/>
        </w:rPr>
        <w:t>Solutions Related to Leasing</w:t>
      </w:r>
      <w:bookmarkEnd w:id="33"/>
    </w:p>
    <w:p w14:paraId="4CB2F190" w14:textId="1863D504" w:rsidR="0060633A" w:rsidRPr="0004176C" w:rsidRDefault="0060633A" w:rsidP="0060633A">
      <w:pPr>
        <w:rPr>
          <w:sz w:val="20"/>
          <w:szCs w:val="20"/>
        </w:rPr>
      </w:pPr>
    </w:p>
    <w:p w14:paraId="48EFB100" w14:textId="44203060" w:rsidR="00424525" w:rsidRPr="0004176C" w:rsidRDefault="00424525" w:rsidP="00424525">
      <w:pPr>
        <w:pStyle w:val="Heading4"/>
        <w:numPr>
          <w:ilvl w:val="0"/>
          <w:numId w:val="0"/>
        </w:numPr>
        <w:jc w:val="center"/>
        <w:rPr>
          <w:sz w:val="20"/>
        </w:rPr>
      </w:pPr>
      <w:bookmarkStart w:id="34" w:name="_Toc531163906"/>
      <w:bookmarkStart w:id="35" w:name="_Toc33016926"/>
      <w:r w:rsidRPr="0004176C">
        <w:rPr>
          <w:sz w:val="20"/>
        </w:rPr>
        <w:t>Table 8: Anticipated Issues and Possible Solutions Related to Leasing</w:t>
      </w:r>
      <w:bookmarkEnd w:id="34"/>
      <w:bookmarkEnd w:id="35"/>
    </w:p>
    <w:p w14:paraId="4A4DB785" w14:textId="77777777" w:rsidR="00424525" w:rsidRPr="0004176C" w:rsidRDefault="00424525" w:rsidP="00424525"/>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45"/>
        <w:gridCol w:w="6205"/>
      </w:tblGrid>
      <w:tr w:rsidR="0060633A" w:rsidRPr="0004176C" w14:paraId="5E17B92C" w14:textId="77777777" w:rsidTr="006C688D">
        <w:trPr>
          <w:tblHeader/>
          <w:jc w:val="center"/>
        </w:trPr>
        <w:tc>
          <w:tcPr>
            <w:tcW w:w="3145" w:type="dxa"/>
            <w:shd w:val="clear" w:color="auto" w:fill="BFBFBF" w:themeFill="background1" w:themeFillShade="BF"/>
          </w:tcPr>
          <w:p w14:paraId="07EA04F9" w14:textId="77777777" w:rsidR="0060633A" w:rsidRPr="0004176C" w:rsidRDefault="0060633A" w:rsidP="002F0EF5">
            <w:pPr>
              <w:rPr>
                <w:b/>
                <w:sz w:val="20"/>
                <w:szCs w:val="20"/>
              </w:rPr>
            </w:pPr>
            <w:r w:rsidRPr="0004176C">
              <w:rPr>
                <w:b/>
                <w:sz w:val="20"/>
                <w:szCs w:val="20"/>
              </w:rPr>
              <w:t>Housing Program</w:t>
            </w:r>
          </w:p>
        </w:tc>
        <w:tc>
          <w:tcPr>
            <w:tcW w:w="6205" w:type="dxa"/>
            <w:shd w:val="clear" w:color="auto" w:fill="BFBFBF" w:themeFill="background1" w:themeFillShade="BF"/>
          </w:tcPr>
          <w:p w14:paraId="37CD67E6" w14:textId="10118D53" w:rsidR="0060633A" w:rsidRPr="0004176C" w:rsidRDefault="00211001" w:rsidP="00561BFB">
            <w:pPr>
              <w:jc w:val="center"/>
              <w:rPr>
                <w:b/>
                <w:sz w:val="20"/>
                <w:szCs w:val="20"/>
              </w:rPr>
            </w:pPr>
            <w:r w:rsidRPr="0004176C">
              <w:rPr>
                <w:b/>
                <w:sz w:val="20"/>
                <w:szCs w:val="20"/>
              </w:rPr>
              <w:t>Description of Anticipated</w:t>
            </w:r>
            <w:r w:rsidR="0060633A" w:rsidRPr="0004176C">
              <w:rPr>
                <w:b/>
                <w:sz w:val="20"/>
                <w:szCs w:val="20"/>
              </w:rPr>
              <w:t xml:space="preserve"> Leasing Issues and </w:t>
            </w:r>
            <w:r w:rsidRPr="0004176C">
              <w:rPr>
                <w:b/>
                <w:sz w:val="20"/>
                <w:szCs w:val="20"/>
              </w:rPr>
              <w:t xml:space="preserve">Possible </w:t>
            </w:r>
            <w:r w:rsidR="0060633A" w:rsidRPr="0004176C">
              <w:rPr>
                <w:b/>
                <w:sz w:val="20"/>
                <w:szCs w:val="20"/>
              </w:rPr>
              <w:t>Solutions</w:t>
            </w:r>
          </w:p>
        </w:tc>
      </w:tr>
      <w:tr w:rsidR="0060633A" w:rsidRPr="0004176C" w14:paraId="2D4058DB" w14:textId="77777777" w:rsidTr="007D6A02">
        <w:trPr>
          <w:jc w:val="center"/>
        </w:trPr>
        <w:tc>
          <w:tcPr>
            <w:tcW w:w="3145" w:type="dxa"/>
            <w:shd w:val="clear" w:color="auto" w:fill="auto"/>
          </w:tcPr>
          <w:p w14:paraId="4F27A5EC" w14:textId="77777777" w:rsidR="0060633A" w:rsidRPr="0004176C" w:rsidRDefault="0060633A" w:rsidP="00976208">
            <w:pPr>
              <w:rPr>
                <w:sz w:val="20"/>
                <w:szCs w:val="20"/>
              </w:rPr>
            </w:pPr>
            <w:r w:rsidRPr="0004176C">
              <w:rPr>
                <w:sz w:val="20"/>
                <w:szCs w:val="20"/>
              </w:rPr>
              <w:t>MTW Public Housing</w:t>
            </w:r>
          </w:p>
        </w:tc>
        <w:tc>
          <w:tcPr>
            <w:tcW w:w="6205" w:type="dxa"/>
            <w:shd w:val="clear" w:color="auto" w:fill="auto"/>
          </w:tcPr>
          <w:p w14:paraId="3F153FE0" w14:textId="77777777" w:rsidR="0060633A" w:rsidRPr="0004176C" w:rsidRDefault="00536B62" w:rsidP="00976208">
            <w:pPr>
              <w:rPr>
                <w:sz w:val="20"/>
                <w:szCs w:val="20"/>
              </w:rPr>
            </w:pPr>
            <w:r w:rsidRPr="0004176C">
              <w:rPr>
                <w:sz w:val="20"/>
                <w:szCs w:val="20"/>
              </w:rPr>
              <w:t>N</w:t>
            </w:r>
            <w:r w:rsidR="00B16EF0" w:rsidRPr="0004176C">
              <w:rPr>
                <w:sz w:val="20"/>
                <w:szCs w:val="20"/>
              </w:rPr>
              <w:t>/A</w:t>
            </w:r>
          </w:p>
        </w:tc>
      </w:tr>
      <w:tr w:rsidR="0060633A" w:rsidRPr="0004176C" w14:paraId="55333777" w14:textId="77777777" w:rsidTr="007D6A02">
        <w:trPr>
          <w:jc w:val="center"/>
        </w:trPr>
        <w:tc>
          <w:tcPr>
            <w:tcW w:w="3145" w:type="dxa"/>
            <w:shd w:val="clear" w:color="auto" w:fill="auto"/>
          </w:tcPr>
          <w:p w14:paraId="189D934A" w14:textId="77777777" w:rsidR="0060633A" w:rsidRPr="0004176C" w:rsidRDefault="0060633A" w:rsidP="00976208">
            <w:pPr>
              <w:rPr>
                <w:sz w:val="20"/>
                <w:szCs w:val="20"/>
              </w:rPr>
            </w:pPr>
            <w:r w:rsidRPr="0004176C">
              <w:rPr>
                <w:sz w:val="20"/>
                <w:szCs w:val="20"/>
              </w:rPr>
              <w:t>MTW Housing Choice Voucher</w:t>
            </w:r>
          </w:p>
        </w:tc>
        <w:tc>
          <w:tcPr>
            <w:tcW w:w="6205" w:type="dxa"/>
            <w:shd w:val="clear" w:color="auto" w:fill="auto"/>
          </w:tcPr>
          <w:p w14:paraId="70284D87" w14:textId="765E0867" w:rsidR="0060633A" w:rsidRPr="0004176C" w:rsidRDefault="006D313E" w:rsidP="006D313E">
            <w:pPr>
              <w:rPr>
                <w:sz w:val="20"/>
                <w:szCs w:val="20"/>
              </w:rPr>
            </w:pPr>
            <w:r w:rsidRPr="0004176C">
              <w:rPr>
                <w:sz w:val="20"/>
                <w:szCs w:val="20"/>
              </w:rPr>
              <w:t>DHCD does not anticipate any leasing issues in the MTW HCV program.</w:t>
            </w:r>
          </w:p>
        </w:tc>
      </w:tr>
      <w:tr w:rsidR="0060633A" w:rsidRPr="0004176C" w14:paraId="6F49C554" w14:textId="77777777" w:rsidTr="007D6A02">
        <w:trPr>
          <w:jc w:val="center"/>
        </w:trPr>
        <w:tc>
          <w:tcPr>
            <w:tcW w:w="3145" w:type="dxa"/>
            <w:shd w:val="clear" w:color="auto" w:fill="auto"/>
          </w:tcPr>
          <w:p w14:paraId="28E3C126" w14:textId="77777777" w:rsidR="0060633A" w:rsidRPr="0004176C" w:rsidRDefault="0060633A" w:rsidP="00976208">
            <w:pPr>
              <w:rPr>
                <w:sz w:val="20"/>
                <w:szCs w:val="20"/>
              </w:rPr>
            </w:pPr>
            <w:r w:rsidRPr="0004176C">
              <w:rPr>
                <w:sz w:val="20"/>
                <w:szCs w:val="20"/>
              </w:rPr>
              <w:t>Local, Non-Traditional</w:t>
            </w:r>
          </w:p>
        </w:tc>
        <w:tc>
          <w:tcPr>
            <w:tcW w:w="6205" w:type="dxa"/>
            <w:shd w:val="clear" w:color="auto" w:fill="auto"/>
          </w:tcPr>
          <w:p w14:paraId="44759E61" w14:textId="76AEA59F" w:rsidR="0060633A" w:rsidRPr="0004176C" w:rsidRDefault="00C02941" w:rsidP="00C02941">
            <w:pPr>
              <w:rPr>
                <w:sz w:val="20"/>
                <w:szCs w:val="20"/>
              </w:rPr>
            </w:pPr>
            <w:r w:rsidRPr="0004176C">
              <w:rPr>
                <w:sz w:val="20"/>
                <w:szCs w:val="20"/>
              </w:rPr>
              <w:t xml:space="preserve">Vouchers issued under </w:t>
            </w:r>
            <w:r w:rsidR="00657908" w:rsidRPr="0004176C">
              <w:rPr>
                <w:sz w:val="20"/>
                <w:szCs w:val="20"/>
              </w:rPr>
              <w:t>the FES P</w:t>
            </w:r>
            <w:r w:rsidRPr="0004176C">
              <w:rPr>
                <w:sz w:val="20"/>
                <w:szCs w:val="20"/>
              </w:rPr>
              <w:t>rogram generally serve clients in the Boston area.  Leasing all of the issued vouchers has affected the success rate of voucher holders due to the lack of availability of affordable housing options in the Boston housing market.</w:t>
            </w:r>
            <w:r w:rsidR="00657908" w:rsidRPr="0004176C">
              <w:rPr>
                <w:sz w:val="20"/>
                <w:szCs w:val="20"/>
              </w:rPr>
              <w:t xml:space="preserve">  </w:t>
            </w:r>
            <w:r w:rsidRPr="0004176C">
              <w:rPr>
                <w:sz w:val="20"/>
                <w:szCs w:val="20"/>
              </w:rPr>
              <w:t xml:space="preserve">Additionally, </w:t>
            </w:r>
            <w:r w:rsidR="005C0DFB" w:rsidRPr="0004176C">
              <w:rPr>
                <w:sz w:val="20"/>
                <w:szCs w:val="20"/>
              </w:rPr>
              <w:t>utilization of the YTTSP vouchers is based upon referrals from the partner agencies.</w:t>
            </w:r>
          </w:p>
        </w:tc>
      </w:tr>
    </w:tbl>
    <w:p w14:paraId="6D767FA8" w14:textId="59B552FD" w:rsidR="00DF04F7" w:rsidRPr="0004176C" w:rsidRDefault="00DF04F7" w:rsidP="00DF04F7">
      <w:pPr>
        <w:pStyle w:val="Heading2"/>
        <w:numPr>
          <w:ilvl w:val="0"/>
          <w:numId w:val="0"/>
        </w:numPr>
        <w:ind w:left="360"/>
      </w:pPr>
      <w:bookmarkStart w:id="36" w:name="_Toc415115899"/>
    </w:p>
    <w:p w14:paraId="1C3DA009" w14:textId="77777777" w:rsidR="00DF04F7" w:rsidRPr="0004176C" w:rsidRDefault="00DF04F7" w:rsidP="00DF04F7">
      <w:pPr>
        <w:pStyle w:val="Heading20"/>
      </w:pPr>
    </w:p>
    <w:p w14:paraId="1062830C" w14:textId="5FAF91BA" w:rsidR="003F655B" w:rsidRPr="0004176C" w:rsidRDefault="005D2CD1" w:rsidP="001F2A56">
      <w:pPr>
        <w:pStyle w:val="Heading2"/>
      </w:pPr>
      <w:bookmarkStart w:id="37" w:name="_Toc33016927"/>
      <w:r w:rsidRPr="0004176C">
        <w:t>Wait</w:t>
      </w:r>
      <w:r w:rsidR="004F02CD" w:rsidRPr="0004176C">
        <w:t>ing</w:t>
      </w:r>
      <w:r w:rsidRPr="0004176C">
        <w:t xml:space="preserve"> List Information</w:t>
      </w:r>
      <w:bookmarkEnd w:id="36"/>
      <w:bookmarkEnd w:id="37"/>
    </w:p>
    <w:p w14:paraId="2E4A1EEE" w14:textId="77777777" w:rsidR="00474E0E" w:rsidRPr="0004176C" w:rsidRDefault="00474E0E" w:rsidP="005D2CD1">
      <w:pPr>
        <w:rPr>
          <w:sz w:val="22"/>
          <w:szCs w:val="22"/>
        </w:rPr>
      </w:pPr>
    </w:p>
    <w:p w14:paraId="6C915372" w14:textId="6782A902" w:rsidR="001E30F8" w:rsidRPr="0004176C" w:rsidRDefault="001E30F8" w:rsidP="00AA5A80">
      <w:pPr>
        <w:pStyle w:val="ListParagraph"/>
        <w:numPr>
          <w:ilvl w:val="0"/>
          <w:numId w:val="31"/>
        </w:numPr>
        <w:rPr>
          <w:b/>
          <w:i/>
        </w:rPr>
      </w:pPr>
      <w:bookmarkStart w:id="38" w:name="_Toc528576632"/>
      <w:r w:rsidRPr="0004176C">
        <w:rPr>
          <w:b/>
          <w:i/>
        </w:rPr>
        <w:t>Waiting List Information</w:t>
      </w:r>
      <w:r w:rsidR="009A4051" w:rsidRPr="0004176C">
        <w:rPr>
          <w:b/>
          <w:i/>
        </w:rPr>
        <w:t xml:space="preserve"> Anticipated</w:t>
      </w:r>
      <w:bookmarkEnd w:id="38"/>
    </w:p>
    <w:p w14:paraId="1E3B2517" w14:textId="77777777" w:rsidR="001E30F8" w:rsidRPr="0004176C" w:rsidRDefault="001E30F8" w:rsidP="001E30F8">
      <w:pPr>
        <w:rPr>
          <w:b/>
          <w:i/>
          <w:sz w:val="22"/>
          <w:szCs w:val="22"/>
        </w:rPr>
      </w:pPr>
    </w:p>
    <w:p w14:paraId="5E0AB3C1" w14:textId="16B9ADFD" w:rsidR="001E30F8" w:rsidRPr="0004176C" w:rsidRDefault="00424525" w:rsidP="00424525">
      <w:pPr>
        <w:pStyle w:val="Heading4"/>
        <w:numPr>
          <w:ilvl w:val="0"/>
          <w:numId w:val="0"/>
        </w:numPr>
        <w:jc w:val="center"/>
        <w:rPr>
          <w:sz w:val="20"/>
          <w:szCs w:val="20"/>
        </w:rPr>
      </w:pPr>
      <w:bookmarkStart w:id="39" w:name="_Toc33016928"/>
      <w:r w:rsidRPr="0004176C">
        <w:rPr>
          <w:sz w:val="20"/>
          <w:szCs w:val="20"/>
        </w:rPr>
        <w:t>Table 9</w:t>
      </w:r>
      <w:r w:rsidR="001E30F8" w:rsidRPr="0004176C">
        <w:rPr>
          <w:sz w:val="20"/>
          <w:szCs w:val="20"/>
        </w:rPr>
        <w:t xml:space="preserve">: Waiting List Information </w:t>
      </w:r>
      <w:r w:rsidR="009A4051" w:rsidRPr="0004176C">
        <w:rPr>
          <w:sz w:val="20"/>
          <w:szCs w:val="20"/>
        </w:rPr>
        <w:t>Anticipated</w:t>
      </w:r>
      <w:bookmarkEnd w:id="39"/>
    </w:p>
    <w:p w14:paraId="5B9EC921" w14:textId="77777777" w:rsidR="001E30F8" w:rsidRPr="0004176C" w:rsidRDefault="001E30F8" w:rsidP="001E30F8"/>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35"/>
        <w:gridCol w:w="1463"/>
        <w:gridCol w:w="1417"/>
        <w:gridCol w:w="1710"/>
        <w:gridCol w:w="1841"/>
      </w:tblGrid>
      <w:tr w:rsidR="001E30F8" w:rsidRPr="0004176C" w14:paraId="7B3F91C2" w14:textId="77777777" w:rsidTr="00424525">
        <w:trPr>
          <w:tblHeader/>
        </w:trPr>
        <w:tc>
          <w:tcPr>
            <w:tcW w:w="2335" w:type="dxa"/>
            <w:shd w:val="clear" w:color="auto" w:fill="BFBFBF" w:themeFill="background1" w:themeFillShade="BF"/>
          </w:tcPr>
          <w:p w14:paraId="38D88407" w14:textId="77777777" w:rsidR="001E30F8" w:rsidRPr="0004176C" w:rsidRDefault="001E30F8" w:rsidP="00976208">
            <w:pPr>
              <w:rPr>
                <w:b/>
                <w:sz w:val="20"/>
                <w:szCs w:val="20"/>
              </w:rPr>
            </w:pPr>
            <w:r w:rsidRPr="0004176C">
              <w:rPr>
                <w:b/>
                <w:sz w:val="20"/>
                <w:szCs w:val="20"/>
              </w:rPr>
              <w:t>Waiting List Name</w:t>
            </w:r>
          </w:p>
        </w:tc>
        <w:tc>
          <w:tcPr>
            <w:tcW w:w="1463" w:type="dxa"/>
            <w:shd w:val="clear" w:color="auto" w:fill="BFBFBF" w:themeFill="background1" w:themeFillShade="BF"/>
          </w:tcPr>
          <w:p w14:paraId="77EAA5D2" w14:textId="77777777" w:rsidR="001E30F8" w:rsidRPr="0004176C" w:rsidRDefault="001E30F8" w:rsidP="009A4051">
            <w:pPr>
              <w:jc w:val="center"/>
              <w:rPr>
                <w:b/>
                <w:sz w:val="20"/>
                <w:szCs w:val="20"/>
              </w:rPr>
            </w:pPr>
            <w:r w:rsidRPr="0004176C">
              <w:rPr>
                <w:b/>
                <w:sz w:val="20"/>
                <w:szCs w:val="20"/>
              </w:rPr>
              <w:t>Description</w:t>
            </w:r>
          </w:p>
        </w:tc>
        <w:tc>
          <w:tcPr>
            <w:tcW w:w="1417" w:type="dxa"/>
            <w:shd w:val="clear" w:color="auto" w:fill="BFBFBF" w:themeFill="background1" w:themeFillShade="BF"/>
          </w:tcPr>
          <w:p w14:paraId="7FE86272" w14:textId="77777777" w:rsidR="001E30F8" w:rsidRPr="0004176C" w:rsidRDefault="001E30F8" w:rsidP="009A4051">
            <w:pPr>
              <w:jc w:val="center"/>
              <w:rPr>
                <w:b/>
                <w:sz w:val="20"/>
                <w:szCs w:val="20"/>
              </w:rPr>
            </w:pPr>
            <w:r w:rsidRPr="0004176C">
              <w:rPr>
                <w:b/>
                <w:sz w:val="20"/>
                <w:szCs w:val="20"/>
              </w:rPr>
              <w:t>Number of Households on Waiting List</w:t>
            </w:r>
          </w:p>
        </w:tc>
        <w:tc>
          <w:tcPr>
            <w:tcW w:w="1710" w:type="dxa"/>
            <w:shd w:val="clear" w:color="auto" w:fill="BFBFBF" w:themeFill="background1" w:themeFillShade="BF"/>
          </w:tcPr>
          <w:p w14:paraId="1115A4AE" w14:textId="77777777" w:rsidR="001E30F8" w:rsidRPr="0004176C" w:rsidRDefault="001E30F8" w:rsidP="009A4051">
            <w:pPr>
              <w:jc w:val="center"/>
              <w:rPr>
                <w:b/>
                <w:sz w:val="20"/>
                <w:szCs w:val="20"/>
              </w:rPr>
            </w:pPr>
            <w:r w:rsidRPr="0004176C">
              <w:rPr>
                <w:b/>
                <w:sz w:val="20"/>
                <w:szCs w:val="20"/>
              </w:rPr>
              <w:t>Waiting List Open, Partially Open or Closed</w:t>
            </w:r>
          </w:p>
        </w:tc>
        <w:tc>
          <w:tcPr>
            <w:tcW w:w="1841" w:type="dxa"/>
            <w:shd w:val="clear" w:color="auto" w:fill="BFBFBF" w:themeFill="background1" w:themeFillShade="BF"/>
          </w:tcPr>
          <w:p w14:paraId="065B6508" w14:textId="4FCF32D5" w:rsidR="001E30F8" w:rsidRPr="0004176C" w:rsidRDefault="009A4051" w:rsidP="009A4051">
            <w:pPr>
              <w:jc w:val="center"/>
              <w:rPr>
                <w:b/>
                <w:sz w:val="20"/>
                <w:szCs w:val="20"/>
              </w:rPr>
            </w:pPr>
            <w:r w:rsidRPr="0004176C">
              <w:rPr>
                <w:b/>
                <w:sz w:val="20"/>
                <w:szCs w:val="20"/>
              </w:rPr>
              <w:t>Plans to Open</w:t>
            </w:r>
            <w:r w:rsidR="001E30F8" w:rsidRPr="0004176C">
              <w:rPr>
                <w:b/>
                <w:sz w:val="20"/>
                <w:szCs w:val="20"/>
              </w:rPr>
              <w:t xml:space="preserve"> the Waiting List </w:t>
            </w:r>
            <w:r w:rsidRPr="0004176C">
              <w:rPr>
                <w:b/>
                <w:sz w:val="20"/>
                <w:szCs w:val="20"/>
              </w:rPr>
              <w:t>During the Plan</w:t>
            </w:r>
            <w:r w:rsidR="001E30F8" w:rsidRPr="0004176C">
              <w:rPr>
                <w:b/>
                <w:sz w:val="20"/>
                <w:szCs w:val="20"/>
              </w:rPr>
              <w:t xml:space="preserve"> Year</w:t>
            </w:r>
          </w:p>
        </w:tc>
      </w:tr>
      <w:tr w:rsidR="001E30F8" w:rsidRPr="0004176C" w14:paraId="157EFC9A" w14:textId="77777777" w:rsidTr="009A4051">
        <w:tc>
          <w:tcPr>
            <w:tcW w:w="2335" w:type="dxa"/>
          </w:tcPr>
          <w:p w14:paraId="50C7C5F9" w14:textId="77777777" w:rsidR="001E30F8" w:rsidRPr="0004176C" w:rsidRDefault="001E30F8" w:rsidP="001E30F8">
            <w:pPr>
              <w:rPr>
                <w:sz w:val="20"/>
                <w:szCs w:val="20"/>
              </w:rPr>
            </w:pPr>
            <w:r w:rsidRPr="0004176C">
              <w:rPr>
                <w:sz w:val="20"/>
                <w:szCs w:val="20"/>
              </w:rPr>
              <w:t>Federal MTW Housing Choice Voucher Program, Federal Non-MTW Housing Choice Voucher Units</w:t>
            </w:r>
          </w:p>
        </w:tc>
        <w:tc>
          <w:tcPr>
            <w:tcW w:w="1463" w:type="dxa"/>
          </w:tcPr>
          <w:p w14:paraId="1B02BD19" w14:textId="6936B34A" w:rsidR="001E30F8" w:rsidRPr="0004176C" w:rsidRDefault="00982697" w:rsidP="009A4051">
            <w:pPr>
              <w:jc w:val="center"/>
              <w:rPr>
                <w:sz w:val="20"/>
                <w:szCs w:val="20"/>
              </w:rPr>
            </w:pPr>
            <w:r w:rsidRPr="0004176C">
              <w:rPr>
                <w:sz w:val="20"/>
                <w:szCs w:val="20"/>
              </w:rPr>
              <w:t>Other</w:t>
            </w:r>
            <w:r w:rsidR="00904EB0" w:rsidRPr="0004176C">
              <w:rPr>
                <w:sz w:val="20"/>
                <w:szCs w:val="20"/>
              </w:rPr>
              <w:t>*</w:t>
            </w:r>
          </w:p>
        </w:tc>
        <w:tc>
          <w:tcPr>
            <w:tcW w:w="1417" w:type="dxa"/>
          </w:tcPr>
          <w:p w14:paraId="531D212D" w14:textId="0A782041" w:rsidR="001E30F8" w:rsidRPr="0004176C" w:rsidRDefault="00DE75A4" w:rsidP="009A4051">
            <w:pPr>
              <w:jc w:val="center"/>
              <w:rPr>
                <w:sz w:val="20"/>
                <w:szCs w:val="20"/>
              </w:rPr>
            </w:pPr>
            <w:r w:rsidRPr="0004176C">
              <w:rPr>
                <w:sz w:val="20"/>
                <w:szCs w:val="20"/>
              </w:rPr>
              <w:t>30,708</w:t>
            </w:r>
          </w:p>
        </w:tc>
        <w:tc>
          <w:tcPr>
            <w:tcW w:w="1710" w:type="dxa"/>
          </w:tcPr>
          <w:p w14:paraId="1F8EA4ED" w14:textId="77777777" w:rsidR="001E30F8" w:rsidRPr="0004176C" w:rsidRDefault="00F854C3" w:rsidP="009A4051">
            <w:pPr>
              <w:jc w:val="center"/>
              <w:rPr>
                <w:sz w:val="20"/>
                <w:szCs w:val="20"/>
              </w:rPr>
            </w:pPr>
            <w:r w:rsidRPr="0004176C">
              <w:rPr>
                <w:sz w:val="20"/>
                <w:szCs w:val="20"/>
              </w:rPr>
              <w:t>Open</w:t>
            </w:r>
          </w:p>
        </w:tc>
        <w:tc>
          <w:tcPr>
            <w:tcW w:w="1841" w:type="dxa"/>
          </w:tcPr>
          <w:p w14:paraId="3E59C8F4" w14:textId="77777777" w:rsidR="001E30F8" w:rsidRPr="0004176C" w:rsidRDefault="00F854C3" w:rsidP="009A4051">
            <w:pPr>
              <w:jc w:val="center"/>
              <w:rPr>
                <w:sz w:val="20"/>
                <w:szCs w:val="20"/>
              </w:rPr>
            </w:pPr>
            <w:r w:rsidRPr="0004176C">
              <w:rPr>
                <w:sz w:val="20"/>
                <w:szCs w:val="20"/>
              </w:rPr>
              <w:t>Yes</w:t>
            </w:r>
          </w:p>
        </w:tc>
      </w:tr>
      <w:tr w:rsidR="001E30F8" w:rsidRPr="0004176C" w14:paraId="3E7B9928" w14:textId="77777777" w:rsidTr="009A4051">
        <w:tc>
          <w:tcPr>
            <w:tcW w:w="2335" w:type="dxa"/>
          </w:tcPr>
          <w:p w14:paraId="43AD701E" w14:textId="77777777" w:rsidR="001E30F8" w:rsidRPr="0004176C" w:rsidRDefault="001E30F8" w:rsidP="001E30F8">
            <w:pPr>
              <w:rPr>
                <w:sz w:val="20"/>
                <w:szCs w:val="20"/>
              </w:rPr>
            </w:pPr>
            <w:r w:rsidRPr="0004176C">
              <w:rPr>
                <w:sz w:val="20"/>
                <w:szCs w:val="20"/>
              </w:rPr>
              <w:t>Tenant-Based Local Non-Traditional MTW Housing Assistance Program</w:t>
            </w:r>
          </w:p>
        </w:tc>
        <w:tc>
          <w:tcPr>
            <w:tcW w:w="1463" w:type="dxa"/>
          </w:tcPr>
          <w:p w14:paraId="6FB3165F" w14:textId="30549839" w:rsidR="001E30F8" w:rsidRPr="0004176C" w:rsidRDefault="00982697" w:rsidP="009A4051">
            <w:pPr>
              <w:jc w:val="center"/>
              <w:rPr>
                <w:sz w:val="20"/>
                <w:szCs w:val="20"/>
              </w:rPr>
            </w:pPr>
            <w:r w:rsidRPr="0004176C">
              <w:rPr>
                <w:sz w:val="20"/>
                <w:szCs w:val="20"/>
              </w:rPr>
              <w:t>Other</w:t>
            </w:r>
            <w:r w:rsidR="00B572CC" w:rsidRPr="0004176C">
              <w:rPr>
                <w:sz w:val="20"/>
                <w:szCs w:val="20"/>
              </w:rPr>
              <w:t>**</w:t>
            </w:r>
          </w:p>
        </w:tc>
        <w:tc>
          <w:tcPr>
            <w:tcW w:w="1417" w:type="dxa"/>
          </w:tcPr>
          <w:p w14:paraId="446E34CB" w14:textId="1097C75D" w:rsidR="001E30F8" w:rsidRPr="0004176C" w:rsidRDefault="00C02941" w:rsidP="009A4051">
            <w:pPr>
              <w:jc w:val="center"/>
              <w:rPr>
                <w:sz w:val="20"/>
                <w:szCs w:val="20"/>
              </w:rPr>
            </w:pPr>
            <w:r w:rsidRPr="0004176C">
              <w:rPr>
                <w:sz w:val="20"/>
                <w:szCs w:val="20"/>
              </w:rPr>
              <w:t>331</w:t>
            </w:r>
          </w:p>
        </w:tc>
        <w:tc>
          <w:tcPr>
            <w:tcW w:w="1710" w:type="dxa"/>
          </w:tcPr>
          <w:p w14:paraId="52EC3A5E" w14:textId="77777777" w:rsidR="001E30F8" w:rsidRPr="0004176C" w:rsidRDefault="00F854C3" w:rsidP="009A4051">
            <w:pPr>
              <w:jc w:val="center"/>
              <w:rPr>
                <w:sz w:val="20"/>
                <w:szCs w:val="20"/>
              </w:rPr>
            </w:pPr>
            <w:r w:rsidRPr="0004176C">
              <w:rPr>
                <w:sz w:val="20"/>
                <w:szCs w:val="20"/>
              </w:rPr>
              <w:t>Open</w:t>
            </w:r>
          </w:p>
        </w:tc>
        <w:tc>
          <w:tcPr>
            <w:tcW w:w="1841" w:type="dxa"/>
          </w:tcPr>
          <w:p w14:paraId="4B881432" w14:textId="77777777" w:rsidR="001E30F8" w:rsidRPr="0004176C" w:rsidRDefault="00F854C3" w:rsidP="009A4051">
            <w:pPr>
              <w:jc w:val="center"/>
              <w:rPr>
                <w:sz w:val="20"/>
                <w:szCs w:val="20"/>
              </w:rPr>
            </w:pPr>
            <w:r w:rsidRPr="0004176C">
              <w:rPr>
                <w:sz w:val="20"/>
                <w:szCs w:val="20"/>
              </w:rPr>
              <w:t>Yes</w:t>
            </w:r>
          </w:p>
        </w:tc>
      </w:tr>
    </w:tbl>
    <w:p w14:paraId="400C3087" w14:textId="089A19AC" w:rsidR="00904EB0" w:rsidRPr="0004176C" w:rsidRDefault="00904EB0" w:rsidP="00074854">
      <w:pPr>
        <w:jc w:val="both"/>
        <w:rPr>
          <w:rFonts w:eastAsia="Calibri"/>
          <w:i/>
          <w:sz w:val="20"/>
          <w:szCs w:val="20"/>
        </w:rPr>
      </w:pPr>
      <w:r w:rsidRPr="0004176C">
        <w:rPr>
          <w:rFonts w:eastAsia="Calibri"/>
          <w:i/>
          <w:sz w:val="20"/>
          <w:szCs w:val="20"/>
        </w:rPr>
        <w:t xml:space="preserve">*DHCD combines site-based and centrally managed wait list features.  All of DHCD’s Section 8 programs (including MTW and Non-MTW vouchers) use a regional, centrally managed wait list with the exception of certain Project Based developments.  There are currently </w:t>
      </w:r>
      <w:r w:rsidR="00852109" w:rsidRPr="0004176C">
        <w:rPr>
          <w:rFonts w:eastAsia="Calibri"/>
          <w:i/>
          <w:sz w:val="20"/>
          <w:szCs w:val="20"/>
        </w:rPr>
        <w:t>one hundred forty nine (187</w:t>
      </w:r>
      <w:r w:rsidRPr="0004176C">
        <w:rPr>
          <w:rFonts w:eastAsia="Calibri"/>
          <w:i/>
          <w:sz w:val="20"/>
          <w:szCs w:val="20"/>
        </w:rPr>
        <w:t>) Project Based developments that have site-based wait lists that each developm</w:t>
      </w:r>
      <w:r w:rsidR="00AB32AA" w:rsidRPr="0004176C">
        <w:rPr>
          <w:rFonts w:eastAsia="Calibri"/>
          <w:i/>
          <w:sz w:val="20"/>
          <w:szCs w:val="20"/>
        </w:rPr>
        <w:t>ent is responsible for managing</w:t>
      </w:r>
      <w:r w:rsidRPr="0004176C">
        <w:rPr>
          <w:rFonts w:eastAsia="Calibri"/>
          <w:i/>
          <w:sz w:val="20"/>
          <w:szCs w:val="20"/>
        </w:rPr>
        <w:t xml:space="preserve"> (does not reflect the </w:t>
      </w:r>
      <w:r w:rsidR="00E32927" w:rsidRPr="0004176C">
        <w:rPr>
          <w:rFonts w:eastAsia="Calibri"/>
          <w:i/>
          <w:sz w:val="20"/>
          <w:szCs w:val="20"/>
        </w:rPr>
        <w:t xml:space="preserve">PB contracts planned for </w:t>
      </w:r>
      <w:r w:rsidR="006D6331" w:rsidRPr="0004176C">
        <w:rPr>
          <w:rFonts w:eastAsia="Calibri"/>
          <w:i/>
          <w:sz w:val="20"/>
          <w:szCs w:val="20"/>
        </w:rPr>
        <w:t>FY 2021</w:t>
      </w:r>
      <w:r w:rsidRPr="0004176C">
        <w:rPr>
          <w:rFonts w:eastAsia="Calibri"/>
          <w:i/>
          <w:sz w:val="20"/>
          <w:szCs w:val="20"/>
        </w:rPr>
        <w:t>).  The remaining Project Based developments have centrally managed waitlists maintained by DHCD and each regional administering agency.</w:t>
      </w:r>
      <w:r w:rsidR="00DE75A4" w:rsidRPr="0004176C">
        <w:rPr>
          <w:rFonts w:eastAsia="Calibri"/>
          <w:i/>
          <w:sz w:val="20"/>
          <w:szCs w:val="20"/>
        </w:rPr>
        <w:t xml:space="preserve"> </w:t>
      </w:r>
      <w:r w:rsidR="00DE75A4" w:rsidRPr="0004176C">
        <w:rPr>
          <w:sz w:val="20"/>
          <w:szCs w:val="20"/>
        </w:rPr>
        <w:t>The number on the Federal WL is drastically reduced from the last plan year as a result of a WL purge</w:t>
      </w:r>
      <w:r w:rsidR="00657908" w:rsidRPr="0004176C">
        <w:rPr>
          <w:sz w:val="20"/>
          <w:szCs w:val="20"/>
        </w:rPr>
        <w:t>,</w:t>
      </w:r>
      <w:r w:rsidR="00DE75A4" w:rsidRPr="0004176C">
        <w:rPr>
          <w:sz w:val="20"/>
          <w:szCs w:val="20"/>
        </w:rPr>
        <w:t xml:space="preserve"> which was completed during the last fiscal year.</w:t>
      </w:r>
    </w:p>
    <w:p w14:paraId="2EAE796B" w14:textId="77777777" w:rsidR="00904EB0" w:rsidRPr="0004176C" w:rsidRDefault="00904EB0" w:rsidP="00074854">
      <w:pPr>
        <w:ind w:left="720" w:hanging="360"/>
        <w:jc w:val="both"/>
        <w:rPr>
          <w:rFonts w:eastAsia="Calibri"/>
          <w:i/>
          <w:sz w:val="20"/>
          <w:szCs w:val="20"/>
        </w:rPr>
      </w:pPr>
    </w:p>
    <w:p w14:paraId="4D2E6E41" w14:textId="17C6C823" w:rsidR="00904EB0" w:rsidRPr="0004176C" w:rsidRDefault="00904EB0" w:rsidP="00074854">
      <w:pPr>
        <w:jc w:val="both"/>
        <w:rPr>
          <w:rFonts w:eastAsia="Calibri"/>
          <w:i/>
          <w:sz w:val="20"/>
          <w:szCs w:val="20"/>
        </w:rPr>
      </w:pPr>
      <w:r w:rsidRPr="0004176C">
        <w:rPr>
          <w:i/>
          <w:sz w:val="20"/>
          <w:szCs w:val="20"/>
        </w:rPr>
        <w:t>**</w:t>
      </w:r>
      <w:r w:rsidRPr="0004176C">
        <w:rPr>
          <w:rFonts w:eastAsia="Calibri"/>
          <w:i/>
          <w:sz w:val="20"/>
          <w:szCs w:val="20"/>
        </w:rPr>
        <w:t xml:space="preserve"> The Tenant-Based Local Non-Traditional MTW Housing Assistance Program is the Family Economic Stability Program.  The waitlist for this program is managed by </w:t>
      </w:r>
      <w:r w:rsidR="00AC1528" w:rsidRPr="0004176C">
        <w:rPr>
          <w:rFonts w:eastAsia="Calibri"/>
          <w:i/>
          <w:sz w:val="20"/>
          <w:szCs w:val="20"/>
        </w:rPr>
        <w:t>Metro Housing|Boston</w:t>
      </w:r>
      <w:r w:rsidRPr="0004176C">
        <w:rPr>
          <w:rFonts w:eastAsia="Calibri"/>
          <w:i/>
          <w:sz w:val="20"/>
          <w:szCs w:val="20"/>
        </w:rPr>
        <w:t>.  Applicants must meet certain requirements such as working at least part-time or participating in a full-time job training program.</w:t>
      </w:r>
    </w:p>
    <w:p w14:paraId="3E47F79B" w14:textId="77777777" w:rsidR="008676E2" w:rsidRPr="0004176C" w:rsidRDefault="008676E2" w:rsidP="001E30F8"/>
    <w:p w14:paraId="325A0ED1" w14:textId="77777777" w:rsidR="001E30F8" w:rsidRPr="0004176C" w:rsidRDefault="001E30F8" w:rsidP="001E30F8">
      <w:pPr>
        <w:rPr>
          <w:b/>
          <w:sz w:val="22"/>
        </w:rPr>
      </w:pPr>
      <w:r w:rsidRPr="0004176C">
        <w:rPr>
          <w:b/>
          <w:sz w:val="22"/>
        </w:rPr>
        <w:t>Describe any duplication of applicants across waiting lists:</w:t>
      </w:r>
    </w:p>
    <w:p w14:paraId="43F727EA" w14:textId="77777777" w:rsidR="001E30F8" w:rsidRPr="0004176C" w:rsidRDefault="001E30F8" w:rsidP="001E30F8">
      <w:pPr>
        <w:rPr>
          <w:b/>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50"/>
      </w:tblGrid>
      <w:tr w:rsidR="001E30F8" w:rsidRPr="0004176C" w14:paraId="06DC2F7D" w14:textId="77777777" w:rsidTr="009A4051">
        <w:tc>
          <w:tcPr>
            <w:tcW w:w="9350" w:type="dxa"/>
          </w:tcPr>
          <w:p w14:paraId="7BC31A7D" w14:textId="79F416A2" w:rsidR="001E30F8" w:rsidRPr="0004176C" w:rsidRDefault="00D34080" w:rsidP="00DE75A4">
            <w:pPr>
              <w:rPr>
                <w:sz w:val="20"/>
                <w:szCs w:val="20"/>
              </w:rPr>
            </w:pPr>
            <w:r w:rsidRPr="0004176C">
              <w:rPr>
                <w:sz w:val="20"/>
                <w:szCs w:val="20"/>
              </w:rPr>
              <w:t xml:space="preserve">The individuals on the Local Non-Traditional Waiting List for the FES program may also be on the Federal HCV Waiting List.  </w:t>
            </w:r>
          </w:p>
        </w:tc>
      </w:tr>
    </w:tbl>
    <w:p w14:paraId="48168E79" w14:textId="77777777" w:rsidR="001E30F8" w:rsidRPr="0004176C" w:rsidRDefault="001E30F8" w:rsidP="001E30F8"/>
    <w:p w14:paraId="24649D69" w14:textId="0A137676" w:rsidR="001E30F8" w:rsidRPr="0004176C" w:rsidRDefault="009A4051" w:rsidP="00AA5A80">
      <w:pPr>
        <w:pStyle w:val="ListParagraph"/>
        <w:numPr>
          <w:ilvl w:val="0"/>
          <w:numId w:val="31"/>
        </w:numPr>
        <w:rPr>
          <w:b/>
          <w:i/>
        </w:rPr>
      </w:pPr>
      <w:bookmarkStart w:id="40" w:name="_Toc528576633"/>
      <w:r w:rsidRPr="0004176C">
        <w:rPr>
          <w:b/>
          <w:i/>
        </w:rPr>
        <w:t xml:space="preserve">Planned </w:t>
      </w:r>
      <w:r w:rsidR="00154BE2" w:rsidRPr="0004176C">
        <w:rPr>
          <w:b/>
          <w:i/>
        </w:rPr>
        <w:t>Changes to Waiting List in the Plan Year</w:t>
      </w:r>
      <w:bookmarkEnd w:id="40"/>
    </w:p>
    <w:p w14:paraId="42F79CBC" w14:textId="161659DF" w:rsidR="00154BE2" w:rsidRPr="0004176C" w:rsidRDefault="00154BE2" w:rsidP="00154BE2">
      <w:pPr>
        <w:rPr>
          <w:b/>
          <w:sz w:val="22"/>
          <w:szCs w:val="22"/>
        </w:rPr>
      </w:pPr>
    </w:p>
    <w:p w14:paraId="728277FB" w14:textId="0260984B" w:rsidR="003C04D8" w:rsidRPr="0004176C" w:rsidRDefault="003C04D8" w:rsidP="00154BE2">
      <w:pPr>
        <w:rPr>
          <w:sz w:val="22"/>
          <w:szCs w:val="22"/>
        </w:rPr>
      </w:pPr>
      <w:r w:rsidRPr="0004176C">
        <w:rPr>
          <w:sz w:val="22"/>
          <w:szCs w:val="22"/>
        </w:rPr>
        <w:t xml:space="preserve">DHCD </w:t>
      </w:r>
      <w:r w:rsidR="00C0150B" w:rsidRPr="0004176C">
        <w:rPr>
          <w:sz w:val="22"/>
          <w:szCs w:val="22"/>
        </w:rPr>
        <w:t xml:space="preserve">does not have any planned </w:t>
      </w:r>
      <w:r w:rsidR="006D313E" w:rsidRPr="0004176C">
        <w:rPr>
          <w:sz w:val="22"/>
          <w:szCs w:val="22"/>
        </w:rPr>
        <w:t>changes to the waiting list:</w:t>
      </w:r>
    </w:p>
    <w:p w14:paraId="712D063C" w14:textId="77777777" w:rsidR="003C04D8" w:rsidRPr="0004176C" w:rsidRDefault="003C04D8" w:rsidP="00154BE2">
      <w:pPr>
        <w:rPr>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5"/>
        <w:gridCol w:w="4675"/>
      </w:tblGrid>
      <w:tr w:rsidR="00154BE2" w:rsidRPr="0004176C" w14:paraId="0FFAD071" w14:textId="77777777" w:rsidTr="003B4E96">
        <w:trPr>
          <w:tblHeader/>
        </w:trPr>
        <w:tc>
          <w:tcPr>
            <w:tcW w:w="4675" w:type="dxa"/>
            <w:shd w:val="clear" w:color="auto" w:fill="BFBFBF" w:themeFill="background1" w:themeFillShade="BF"/>
          </w:tcPr>
          <w:p w14:paraId="3044BF1A" w14:textId="77777777" w:rsidR="00154BE2" w:rsidRPr="0004176C" w:rsidRDefault="00154BE2" w:rsidP="00154BE2">
            <w:pPr>
              <w:rPr>
                <w:b/>
                <w:sz w:val="20"/>
                <w:szCs w:val="20"/>
              </w:rPr>
            </w:pPr>
            <w:r w:rsidRPr="0004176C">
              <w:rPr>
                <w:b/>
                <w:sz w:val="20"/>
                <w:szCs w:val="20"/>
              </w:rPr>
              <w:t>Waiting List Name</w:t>
            </w:r>
          </w:p>
        </w:tc>
        <w:tc>
          <w:tcPr>
            <w:tcW w:w="4675" w:type="dxa"/>
            <w:shd w:val="clear" w:color="auto" w:fill="BFBFBF" w:themeFill="background1" w:themeFillShade="BF"/>
          </w:tcPr>
          <w:p w14:paraId="58640403" w14:textId="31538190" w:rsidR="00154BE2" w:rsidRPr="0004176C" w:rsidRDefault="00154BE2" w:rsidP="002F0EF5">
            <w:pPr>
              <w:jc w:val="center"/>
              <w:rPr>
                <w:b/>
                <w:sz w:val="20"/>
                <w:szCs w:val="20"/>
              </w:rPr>
            </w:pPr>
            <w:r w:rsidRPr="0004176C">
              <w:rPr>
                <w:b/>
                <w:sz w:val="20"/>
                <w:szCs w:val="20"/>
              </w:rPr>
              <w:t>D</w:t>
            </w:r>
            <w:r w:rsidR="00642B24" w:rsidRPr="0004176C">
              <w:rPr>
                <w:b/>
                <w:sz w:val="20"/>
                <w:szCs w:val="20"/>
              </w:rPr>
              <w:t>escription of Planned</w:t>
            </w:r>
            <w:r w:rsidRPr="0004176C">
              <w:rPr>
                <w:b/>
                <w:sz w:val="20"/>
                <w:szCs w:val="20"/>
              </w:rPr>
              <w:t xml:space="preserve"> Changes to Waiting List</w:t>
            </w:r>
          </w:p>
        </w:tc>
      </w:tr>
      <w:tr w:rsidR="00154BE2" w:rsidRPr="0004176C" w14:paraId="63ABCA38" w14:textId="77777777" w:rsidTr="00C0150B">
        <w:trPr>
          <w:trHeight w:val="391"/>
        </w:trPr>
        <w:tc>
          <w:tcPr>
            <w:tcW w:w="4675" w:type="dxa"/>
          </w:tcPr>
          <w:p w14:paraId="241B415D" w14:textId="4A6E4FF4" w:rsidR="00154BE2" w:rsidRPr="0004176C" w:rsidRDefault="00C0150B" w:rsidP="005864B2">
            <w:pPr>
              <w:rPr>
                <w:sz w:val="20"/>
                <w:szCs w:val="20"/>
              </w:rPr>
            </w:pPr>
            <w:r w:rsidRPr="0004176C">
              <w:rPr>
                <w:sz w:val="20"/>
                <w:szCs w:val="20"/>
              </w:rPr>
              <w:t>No Changes</w:t>
            </w:r>
          </w:p>
        </w:tc>
        <w:tc>
          <w:tcPr>
            <w:tcW w:w="4675" w:type="dxa"/>
          </w:tcPr>
          <w:p w14:paraId="44A75D1C" w14:textId="17C01FB0" w:rsidR="006D313E" w:rsidRPr="0004176C" w:rsidRDefault="00C0150B" w:rsidP="00C0150B">
            <w:pPr>
              <w:rPr>
                <w:sz w:val="20"/>
                <w:szCs w:val="20"/>
              </w:rPr>
            </w:pPr>
            <w:r w:rsidRPr="0004176C">
              <w:rPr>
                <w:sz w:val="20"/>
                <w:szCs w:val="20"/>
              </w:rPr>
              <w:t>No Changes</w:t>
            </w:r>
          </w:p>
        </w:tc>
      </w:tr>
    </w:tbl>
    <w:p w14:paraId="59321FAE" w14:textId="77777777" w:rsidR="00E003BD" w:rsidRPr="0004176C" w:rsidRDefault="00E003BD" w:rsidP="00AA5A80">
      <w:pPr>
        <w:pStyle w:val="Heading1"/>
        <w:numPr>
          <w:ilvl w:val="0"/>
          <w:numId w:val="28"/>
        </w:numPr>
        <w:pBdr>
          <w:bottom w:val="single" w:sz="4" w:space="1" w:color="auto"/>
        </w:pBdr>
        <w:ind w:left="360"/>
        <w:rPr>
          <w:rFonts w:ascii="Times New Roman" w:hAnsi="Times New Roman"/>
          <w:sz w:val="36"/>
          <w:szCs w:val="36"/>
        </w:rPr>
        <w:sectPr w:rsidR="00E003BD" w:rsidRPr="0004176C" w:rsidSect="00751854">
          <w:pgSz w:w="12240" w:h="15840" w:code="1"/>
          <w:pgMar w:top="1440" w:right="1440" w:bottom="1152" w:left="1440" w:header="720" w:footer="720" w:gutter="0"/>
          <w:cols w:space="720"/>
          <w:docGrid w:linePitch="360"/>
        </w:sectPr>
      </w:pPr>
      <w:bookmarkStart w:id="41" w:name="_Toc415115900"/>
    </w:p>
    <w:p w14:paraId="34BDFAFB" w14:textId="0869AD83" w:rsidR="002E29C6" w:rsidRPr="0004176C" w:rsidRDefault="002E29C6" w:rsidP="00AA5A80">
      <w:pPr>
        <w:pStyle w:val="Heading1"/>
        <w:numPr>
          <w:ilvl w:val="0"/>
          <w:numId w:val="28"/>
        </w:numPr>
        <w:pBdr>
          <w:bottom w:val="single" w:sz="4" w:space="1" w:color="auto"/>
        </w:pBdr>
        <w:ind w:left="360"/>
        <w:rPr>
          <w:rFonts w:ascii="Times New Roman" w:hAnsi="Times New Roman"/>
          <w:sz w:val="36"/>
          <w:szCs w:val="36"/>
        </w:rPr>
      </w:pPr>
      <w:bookmarkStart w:id="42" w:name="_Toc33016929"/>
      <w:r w:rsidRPr="0004176C">
        <w:rPr>
          <w:rFonts w:ascii="Times New Roman" w:hAnsi="Times New Roman"/>
          <w:sz w:val="36"/>
          <w:szCs w:val="36"/>
        </w:rPr>
        <w:t>Proposed MTW Activities</w:t>
      </w:r>
      <w:bookmarkEnd w:id="42"/>
    </w:p>
    <w:p w14:paraId="1FEBB468" w14:textId="041779DE" w:rsidR="00281D94" w:rsidRPr="0004176C" w:rsidRDefault="00281D94" w:rsidP="00281D94">
      <w:bookmarkStart w:id="43" w:name="_Toc415115901"/>
      <w:bookmarkEnd w:id="41"/>
    </w:p>
    <w:p w14:paraId="406DE6A4" w14:textId="4B536BB5" w:rsidR="00E84C93" w:rsidRDefault="00E161C2" w:rsidP="00C23FD2">
      <w:pPr>
        <w:pStyle w:val="Heading3"/>
      </w:pPr>
      <w:bookmarkStart w:id="44" w:name="_Toc33016930"/>
      <w:r w:rsidRPr="0004176C">
        <w:t>Activity 2021</w:t>
      </w:r>
      <w:r w:rsidR="00C23FD2" w:rsidRPr="0004176C">
        <w:t>-01: Fair Housing Init</w:t>
      </w:r>
      <w:r w:rsidR="00C11FBC" w:rsidRPr="0004176C">
        <w:t>i</w:t>
      </w:r>
      <w:r w:rsidR="00C23FD2" w:rsidRPr="0004176C">
        <w:t>ative</w:t>
      </w:r>
      <w:bookmarkEnd w:id="44"/>
    </w:p>
    <w:p w14:paraId="702B8AAD" w14:textId="77777777" w:rsidR="00544781" w:rsidRDefault="00544781" w:rsidP="001F2A56"/>
    <w:p w14:paraId="165FF4B8" w14:textId="6A128A59" w:rsidR="00C11FBC" w:rsidRPr="00A54071" w:rsidRDefault="00C11FBC" w:rsidP="00C11FBC">
      <w:pPr>
        <w:jc w:val="both"/>
        <w:rPr>
          <w:b/>
          <w:sz w:val="22"/>
          <w:shd w:val="clear" w:color="auto" w:fill="FFFFFF"/>
        </w:rPr>
      </w:pPr>
      <w:r w:rsidRPr="00A54071">
        <w:rPr>
          <w:b/>
          <w:sz w:val="22"/>
          <w:shd w:val="clear" w:color="auto" w:fill="FFFFFF"/>
        </w:rPr>
        <w:t>Description of MTW Activity</w:t>
      </w:r>
    </w:p>
    <w:p w14:paraId="5025F8CF" w14:textId="79097C8F" w:rsidR="00A54071" w:rsidRPr="001041A0" w:rsidRDefault="00A54071" w:rsidP="00A54071">
      <w:pPr>
        <w:jc w:val="both"/>
        <w:rPr>
          <w:sz w:val="22"/>
        </w:rPr>
      </w:pPr>
      <w:r w:rsidRPr="001041A0">
        <w:rPr>
          <w:sz w:val="22"/>
          <w:shd w:val="clear" w:color="auto" w:fill="FFFFFF"/>
        </w:rPr>
        <w:t>The Fair Housing Act prohibits discrimination in the sale, rental, and financing of housing based on race, color, national origin, religion, sex, familial status, and disability.</w:t>
      </w:r>
      <w:r>
        <w:rPr>
          <w:sz w:val="22"/>
          <w:shd w:val="clear" w:color="auto" w:fill="FFFFFF"/>
        </w:rPr>
        <w:t xml:space="preserve"> Massachusetts further prohibits discrimination on the basis of marital status, military or veteran status, sexual orientation, gender identity and expression, age, ancestry, receipt of public assistance, and age of children (under 6 years) in housing containing lead paint. Despite progress, many challenges remain, and DHCD regularly hears from its voucher holders and others about instances of discrimination, with the Massachusetts Commission Against Discrimination alone having received over 400 housing discrimination complaints in FY</w:t>
      </w:r>
      <w:r w:rsidR="00657908">
        <w:rPr>
          <w:sz w:val="22"/>
          <w:shd w:val="clear" w:color="auto" w:fill="FFFFFF"/>
        </w:rPr>
        <w:t xml:space="preserve"> 20</w:t>
      </w:r>
      <w:r>
        <w:rPr>
          <w:sz w:val="22"/>
          <w:shd w:val="clear" w:color="auto" w:fill="FFFFFF"/>
        </w:rPr>
        <w:t>19.</w:t>
      </w:r>
    </w:p>
    <w:p w14:paraId="5BC70858" w14:textId="77777777" w:rsidR="00A54071" w:rsidRPr="001041A0" w:rsidRDefault="00A54071" w:rsidP="00A54071">
      <w:pPr>
        <w:jc w:val="both"/>
        <w:rPr>
          <w:sz w:val="22"/>
        </w:rPr>
      </w:pPr>
    </w:p>
    <w:p w14:paraId="7D980E6D" w14:textId="77777777" w:rsidR="00A54071" w:rsidRPr="001041A0" w:rsidRDefault="00A54071" w:rsidP="00A54071">
      <w:pPr>
        <w:jc w:val="both"/>
        <w:rPr>
          <w:sz w:val="22"/>
          <w:szCs w:val="22"/>
        </w:rPr>
      </w:pPr>
      <w:r w:rsidRPr="001041A0">
        <w:rPr>
          <w:sz w:val="22"/>
          <w:szCs w:val="22"/>
        </w:rPr>
        <w:t>DHCD plans to utilize</w:t>
      </w:r>
      <w:r>
        <w:rPr>
          <w:sz w:val="22"/>
          <w:szCs w:val="22"/>
        </w:rPr>
        <w:t xml:space="preserve"> up to</w:t>
      </w:r>
      <w:r w:rsidRPr="001041A0">
        <w:rPr>
          <w:sz w:val="22"/>
          <w:szCs w:val="22"/>
        </w:rPr>
        <w:t xml:space="preserve"> $</w:t>
      </w:r>
      <w:r>
        <w:rPr>
          <w:sz w:val="22"/>
          <w:szCs w:val="22"/>
        </w:rPr>
        <w:t>5</w:t>
      </w:r>
      <w:r w:rsidRPr="001041A0">
        <w:rPr>
          <w:sz w:val="22"/>
          <w:szCs w:val="22"/>
        </w:rPr>
        <w:t>00K in MTW Block Grant funding flexibility to award funding to a selected non-profit agency</w:t>
      </w:r>
      <w:r>
        <w:rPr>
          <w:sz w:val="22"/>
          <w:szCs w:val="22"/>
        </w:rPr>
        <w:t xml:space="preserve"> or agencies</w:t>
      </w:r>
      <w:r w:rsidRPr="001041A0">
        <w:rPr>
          <w:sz w:val="22"/>
          <w:szCs w:val="22"/>
        </w:rPr>
        <w:t xml:space="preserve"> to identify fair housing compliance and enforcement issues across DHCD’s jurisdiction</w:t>
      </w:r>
      <w:r>
        <w:rPr>
          <w:sz w:val="22"/>
          <w:szCs w:val="22"/>
        </w:rPr>
        <w:t xml:space="preserve">, investigate discriminatory practices, and provide enforcement assistance (including through voluntary resolution efforts and litigation) for households with a housing subsidy or voucher. </w:t>
      </w:r>
      <w:r w:rsidRPr="001041A0">
        <w:rPr>
          <w:sz w:val="22"/>
          <w:szCs w:val="22"/>
        </w:rPr>
        <w:t xml:space="preserve">Additionally, the funding will be used to develop best practices and education for low-income households and owners regarding fair housing including but not limited to </w:t>
      </w:r>
      <w:r>
        <w:rPr>
          <w:sz w:val="22"/>
          <w:szCs w:val="22"/>
        </w:rPr>
        <w:t xml:space="preserve">advertising and outreach, as well as </w:t>
      </w:r>
      <w:r w:rsidRPr="001041A0">
        <w:rPr>
          <w:sz w:val="22"/>
          <w:szCs w:val="22"/>
        </w:rPr>
        <w:t xml:space="preserve">seminars on </w:t>
      </w:r>
      <w:r>
        <w:rPr>
          <w:sz w:val="22"/>
          <w:szCs w:val="22"/>
        </w:rPr>
        <w:t xml:space="preserve">protected classes, </w:t>
      </w:r>
      <w:r w:rsidRPr="001041A0">
        <w:rPr>
          <w:sz w:val="22"/>
          <w:szCs w:val="22"/>
        </w:rPr>
        <w:t xml:space="preserve">fair housing </w:t>
      </w:r>
      <w:r>
        <w:rPr>
          <w:sz w:val="22"/>
          <w:szCs w:val="22"/>
        </w:rPr>
        <w:t>rights and responsibilities</w:t>
      </w:r>
      <w:r w:rsidRPr="001041A0">
        <w:rPr>
          <w:sz w:val="22"/>
          <w:szCs w:val="22"/>
        </w:rPr>
        <w:t xml:space="preserve">, reasonable accommodations, </w:t>
      </w:r>
      <w:r>
        <w:rPr>
          <w:sz w:val="22"/>
          <w:szCs w:val="22"/>
        </w:rPr>
        <w:t xml:space="preserve">and </w:t>
      </w:r>
      <w:r w:rsidRPr="001041A0">
        <w:rPr>
          <w:sz w:val="22"/>
          <w:szCs w:val="22"/>
        </w:rPr>
        <w:t xml:space="preserve">language assistance. </w:t>
      </w:r>
    </w:p>
    <w:p w14:paraId="4D6E7278" w14:textId="77777777" w:rsidR="00A54071" w:rsidRPr="001041A0" w:rsidRDefault="00A54071" w:rsidP="00A54071">
      <w:pPr>
        <w:jc w:val="both"/>
        <w:rPr>
          <w:sz w:val="22"/>
          <w:szCs w:val="22"/>
        </w:rPr>
      </w:pPr>
    </w:p>
    <w:p w14:paraId="212A3DA3" w14:textId="77777777" w:rsidR="00A54071" w:rsidRPr="00A54071" w:rsidRDefault="00A54071" w:rsidP="00A54071">
      <w:pPr>
        <w:jc w:val="both"/>
        <w:rPr>
          <w:sz w:val="22"/>
          <w:szCs w:val="22"/>
        </w:rPr>
      </w:pPr>
      <w:r w:rsidRPr="001041A0">
        <w:rPr>
          <w:sz w:val="22"/>
          <w:szCs w:val="22"/>
        </w:rPr>
        <w:t xml:space="preserve">The clients served under this activity may include families </w:t>
      </w:r>
      <w:r>
        <w:rPr>
          <w:sz w:val="22"/>
          <w:szCs w:val="22"/>
        </w:rPr>
        <w:t xml:space="preserve">with housing assistance vouchers </w:t>
      </w:r>
      <w:r w:rsidRPr="001041A0">
        <w:rPr>
          <w:sz w:val="22"/>
          <w:szCs w:val="22"/>
        </w:rPr>
        <w:t xml:space="preserve">outside of the participants in </w:t>
      </w:r>
      <w:r>
        <w:rPr>
          <w:sz w:val="22"/>
          <w:szCs w:val="22"/>
        </w:rPr>
        <w:t xml:space="preserve">DHCD’s </w:t>
      </w:r>
      <w:r w:rsidRPr="001041A0">
        <w:rPr>
          <w:sz w:val="22"/>
          <w:szCs w:val="22"/>
        </w:rPr>
        <w:t>Housing Choice Voucher Program.</w:t>
      </w:r>
      <w:r>
        <w:rPr>
          <w:sz w:val="22"/>
          <w:szCs w:val="22"/>
        </w:rPr>
        <w:t xml:space="preserve"> </w:t>
      </w:r>
      <w:r w:rsidRPr="001041A0">
        <w:rPr>
          <w:sz w:val="22"/>
          <w:szCs w:val="22"/>
        </w:rPr>
        <w:t xml:space="preserve">This local non-traditional activity falls under </w:t>
      </w:r>
      <w:r w:rsidRPr="00A54071">
        <w:rPr>
          <w:sz w:val="22"/>
          <w:szCs w:val="22"/>
        </w:rPr>
        <w:t xml:space="preserve">the category of Service Provision as defined in HUD PIH Notice 2011-45 (Notice), and will conform to the General Parameters detailed in parts 5.A. and 5.E. of the Notice. </w:t>
      </w:r>
    </w:p>
    <w:p w14:paraId="0B3BED94" w14:textId="56EC83F6" w:rsidR="00C11FBC" w:rsidRPr="00A54071" w:rsidRDefault="00C11FBC" w:rsidP="001F2A56"/>
    <w:p w14:paraId="5C4D212A" w14:textId="77777777" w:rsidR="00C11FBC" w:rsidRPr="00A54071" w:rsidRDefault="00C11FBC" w:rsidP="00C11FBC">
      <w:pPr>
        <w:jc w:val="both"/>
        <w:rPr>
          <w:b/>
          <w:color w:val="000000"/>
          <w:sz w:val="22"/>
          <w:szCs w:val="22"/>
        </w:rPr>
      </w:pPr>
      <w:r w:rsidRPr="00A54071">
        <w:rPr>
          <w:b/>
          <w:color w:val="000000"/>
          <w:sz w:val="22"/>
          <w:szCs w:val="22"/>
        </w:rPr>
        <w:t>Statutory Objective</w:t>
      </w:r>
    </w:p>
    <w:p w14:paraId="6FD283AA" w14:textId="3306A8E2" w:rsidR="00C11FBC" w:rsidRPr="00A54071" w:rsidRDefault="00C11FBC" w:rsidP="00C11FBC">
      <w:pPr>
        <w:jc w:val="both"/>
        <w:rPr>
          <w:color w:val="000000"/>
          <w:sz w:val="22"/>
          <w:szCs w:val="22"/>
        </w:rPr>
      </w:pPr>
      <w:r w:rsidRPr="00A54071">
        <w:rPr>
          <w:color w:val="000000"/>
          <w:sz w:val="22"/>
          <w:szCs w:val="22"/>
        </w:rPr>
        <w:t xml:space="preserve">This activity meets the statutory objective to </w:t>
      </w:r>
      <w:r w:rsidR="00AC1528">
        <w:rPr>
          <w:color w:val="000000"/>
          <w:sz w:val="22"/>
          <w:szCs w:val="22"/>
        </w:rPr>
        <w:t>increase housing choice for low-</w:t>
      </w:r>
      <w:r w:rsidRPr="00A54071">
        <w:rPr>
          <w:color w:val="000000"/>
          <w:sz w:val="22"/>
          <w:szCs w:val="22"/>
        </w:rPr>
        <w:t>income families. Using a proactive appro</w:t>
      </w:r>
      <w:r w:rsidR="005970DF" w:rsidRPr="00A54071">
        <w:rPr>
          <w:color w:val="000000"/>
          <w:sz w:val="22"/>
          <w:szCs w:val="22"/>
        </w:rPr>
        <w:t>ach to identify and address</w:t>
      </w:r>
      <w:r w:rsidRPr="00A54071">
        <w:rPr>
          <w:color w:val="000000"/>
          <w:sz w:val="22"/>
          <w:szCs w:val="22"/>
        </w:rPr>
        <w:t xml:space="preserve"> fair housing issues</w:t>
      </w:r>
      <w:r w:rsidR="005970DF" w:rsidRPr="00A54071">
        <w:rPr>
          <w:color w:val="000000"/>
          <w:sz w:val="22"/>
          <w:szCs w:val="22"/>
        </w:rPr>
        <w:t xml:space="preserve"> and educate families and landlords</w:t>
      </w:r>
      <w:r w:rsidRPr="00A54071">
        <w:rPr>
          <w:color w:val="000000"/>
          <w:sz w:val="22"/>
          <w:szCs w:val="22"/>
        </w:rPr>
        <w:t>, DHCD anticipates</w:t>
      </w:r>
      <w:r w:rsidR="00220FB2">
        <w:rPr>
          <w:color w:val="000000"/>
          <w:sz w:val="22"/>
          <w:szCs w:val="22"/>
        </w:rPr>
        <w:t xml:space="preserve"> that low-</w:t>
      </w:r>
      <w:r w:rsidR="005970DF" w:rsidRPr="00A54071">
        <w:rPr>
          <w:color w:val="000000"/>
          <w:sz w:val="22"/>
          <w:szCs w:val="22"/>
        </w:rPr>
        <w:t xml:space="preserve">income families will </w:t>
      </w:r>
      <w:r w:rsidR="00E94691">
        <w:rPr>
          <w:color w:val="000000"/>
          <w:sz w:val="22"/>
          <w:szCs w:val="22"/>
        </w:rPr>
        <w:t xml:space="preserve">have </w:t>
      </w:r>
      <w:r w:rsidR="005970DF" w:rsidRPr="00A54071">
        <w:rPr>
          <w:color w:val="000000"/>
          <w:sz w:val="22"/>
          <w:szCs w:val="22"/>
        </w:rPr>
        <w:t xml:space="preserve">fewer barriers to finding and maintaining affordable housing. </w:t>
      </w:r>
    </w:p>
    <w:p w14:paraId="50D3B1BD" w14:textId="50B4DD8B" w:rsidR="00C11FBC" w:rsidRPr="00A54071" w:rsidRDefault="00C11FBC" w:rsidP="00C11FBC">
      <w:pPr>
        <w:jc w:val="both"/>
        <w:rPr>
          <w:b/>
          <w:color w:val="000000"/>
          <w:sz w:val="22"/>
          <w:szCs w:val="22"/>
        </w:rPr>
      </w:pPr>
    </w:p>
    <w:p w14:paraId="64567168" w14:textId="77777777" w:rsidR="00C11FBC" w:rsidRPr="00A54071" w:rsidRDefault="00C11FBC" w:rsidP="00C11FBC">
      <w:pPr>
        <w:jc w:val="both"/>
        <w:rPr>
          <w:b/>
          <w:sz w:val="22"/>
          <w:szCs w:val="22"/>
        </w:rPr>
      </w:pPr>
      <w:r w:rsidRPr="00A54071">
        <w:rPr>
          <w:b/>
          <w:sz w:val="22"/>
          <w:szCs w:val="22"/>
        </w:rPr>
        <w:t>Implementation</w:t>
      </w:r>
    </w:p>
    <w:p w14:paraId="63498323" w14:textId="7B8B4016" w:rsidR="00C11FBC" w:rsidRPr="00A54071" w:rsidRDefault="00C11FBC" w:rsidP="00C11FBC">
      <w:pPr>
        <w:jc w:val="both"/>
        <w:rPr>
          <w:sz w:val="22"/>
          <w:szCs w:val="22"/>
        </w:rPr>
      </w:pPr>
      <w:r w:rsidRPr="00A54071">
        <w:rPr>
          <w:sz w:val="22"/>
          <w:szCs w:val="22"/>
        </w:rPr>
        <w:t>Upon HUD approval, DHCD will dev</w:t>
      </w:r>
      <w:r w:rsidR="00A54071" w:rsidRPr="00A54071">
        <w:rPr>
          <w:sz w:val="22"/>
          <w:szCs w:val="22"/>
        </w:rPr>
        <w:t>elop an RFR</w:t>
      </w:r>
      <w:r w:rsidR="00220FB2">
        <w:rPr>
          <w:sz w:val="22"/>
          <w:szCs w:val="22"/>
        </w:rPr>
        <w:t>,</w:t>
      </w:r>
      <w:r w:rsidR="005970DF" w:rsidRPr="00A54071">
        <w:rPr>
          <w:sz w:val="22"/>
          <w:szCs w:val="22"/>
        </w:rPr>
        <w:t xml:space="preserve"> which will describe the services and anticipated outcomes and deliverables for this fair housing initiative.  Once funding is awarded, DHCD will meet with the selected non-profit</w:t>
      </w:r>
      <w:r w:rsidR="00A54071" w:rsidRPr="00A54071">
        <w:rPr>
          <w:sz w:val="22"/>
          <w:szCs w:val="22"/>
        </w:rPr>
        <w:t>(s), each of</w:t>
      </w:r>
      <w:r w:rsidR="005970DF" w:rsidRPr="00A54071">
        <w:rPr>
          <w:sz w:val="22"/>
          <w:szCs w:val="22"/>
        </w:rPr>
        <w:t xml:space="preserve"> who</w:t>
      </w:r>
      <w:r w:rsidR="00A54071" w:rsidRPr="00A54071">
        <w:rPr>
          <w:sz w:val="22"/>
          <w:szCs w:val="22"/>
        </w:rPr>
        <w:t>m</w:t>
      </w:r>
      <w:r w:rsidR="005970DF" w:rsidRPr="00A54071">
        <w:rPr>
          <w:sz w:val="22"/>
          <w:szCs w:val="22"/>
        </w:rPr>
        <w:t xml:space="preserve"> will be required to prepare a project plan for DHCD review and approval. </w:t>
      </w:r>
      <w:r w:rsidR="00F403A3" w:rsidRPr="00A54071">
        <w:rPr>
          <w:sz w:val="22"/>
          <w:szCs w:val="22"/>
        </w:rPr>
        <w:t xml:space="preserve"> </w:t>
      </w:r>
    </w:p>
    <w:p w14:paraId="1638C62F" w14:textId="77777777" w:rsidR="00C11FBC" w:rsidRPr="00F403A3" w:rsidRDefault="00C11FBC" w:rsidP="00C11FBC">
      <w:pPr>
        <w:jc w:val="both"/>
        <w:rPr>
          <w:b/>
          <w:sz w:val="22"/>
          <w:szCs w:val="22"/>
          <w:highlight w:val="yellow"/>
        </w:rPr>
      </w:pPr>
    </w:p>
    <w:p w14:paraId="1B17C534" w14:textId="77777777" w:rsidR="00C11FBC" w:rsidRPr="00A54071" w:rsidRDefault="00C11FBC" w:rsidP="00C11FBC">
      <w:pPr>
        <w:jc w:val="both"/>
        <w:rPr>
          <w:b/>
          <w:color w:val="212121"/>
          <w:sz w:val="22"/>
          <w:szCs w:val="22"/>
        </w:rPr>
      </w:pPr>
      <w:r w:rsidRPr="00A54071">
        <w:rPr>
          <w:b/>
          <w:color w:val="212121"/>
          <w:sz w:val="22"/>
          <w:szCs w:val="22"/>
        </w:rPr>
        <w:t>Metrics</w:t>
      </w:r>
    </w:p>
    <w:p w14:paraId="210E9785" w14:textId="108AE4AF" w:rsidR="00C11FBC" w:rsidRPr="00A54071" w:rsidRDefault="00C11FBC" w:rsidP="00C22854">
      <w:pPr>
        <w:jc w:val="both"/>
        <w:rPr>
          <w:color w:val="212121"/>
          <w:sz w:val="22"/>
          <w:szCs w:val="22"/>
        </w:rPr>
      </w:pPr>
      <w:r w:rsidRPr="00A54071">
        <w:rPr>
          <w:color w:val="212121"/>
          <w:sz w:val="22"/>
          <w:szCs w:val="22"/>
        </w:rPr>
        <w:t xml:space="preserve">The metrics below will be compiled using DHCD’s data and reports from program partners. </w:t>
      </w:r>
    </w:p>
    <w:p w14:paraId="31C54596" w14:textId="65731B11" w:rsidR="007D7316" w:rsidRPr="00A54071" w:rsidRDefault="007D7316" w:rsidP="001F2A56"/>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14"/>
        <w:gridCol w:w="1627"/>
        <w:gridCol w:w="1354"/>
        <w:gridCol w:w="1440"/>
      </w:tblGrid>
      <w:tr w:rsidR="00C753FF" w:rsidRPr="00A54071" w14:paraId="10F4484F" w14:textId="77777777" w:rsidTr="00E161C2">
        <w:trPr>
          <w:trHeight w:hRule="exact" w:val="432"/>
        </w:trPr>
        <w:tc>
          <w:tcPr>
            <w:tcW w:w="9375" w:type="dxa"/>
            <w:gridSpan w:val="5"/>
            <w:shd w:val="clear" w:color="auto" w:fill="C6D9F1" w:themeFill="text2" w:themeFillTint="33"/>
          </w:tcPr>
          <w:p w14:paraId="1436AF6B" w14:textId="0B60A921" w:rsidR="00C753FF" w:rsidRPr="00A54071" w:rsidRDefault="00C753FF" w:rsidP="00C753FF">
            <w:pPr>
              <w:jc w:val="center"/>
              <w:rPr>
                <w:rFonts w:eastAsia="Calibri"/>
                <w:sz w:val="20"/>
                <w:szCs w:val="20"/>
              </w:rPr>
            </w:pPr>
            <w:r w:rsidRPr="00A54071">
              <w:rPr>
                <w:b/>
                <w:bCs/>
                <w:i/>
                <w:iCs/>
                <w:sz w:val="20"/>
                <w:szCs w:val="20"/>
              </w:rPr>
              <w:t>HC #7: Households Assisted by Services that Increase Housing Choice</w:t>
            </w:r>
          </w:p>
        </w:tc>
      </w:tr>
      <w:tr w:rsidR="00C753FF" w:rsidRPr="00A54071" w14:paraId="6839DC80" w14:textId="77777777" w:rsidTr="00E161C2">
        <w:trPr>
          <w:trHeight w:hRule="exact" w:val="576"/>
        </w:trPr>
        <w:tc>
          <w:tcPr>
            <w:tcW w:w="3240" w:type="dxa"/>
            <w:shd w:val="clear" w:color="auto" w:fill="D9D9D9" w:themeFill="background1" w:themeFillShade="D9"/>
          </w:tcPr>
          <w:p w14:paraId="0686B2AA" w14:textId="77777777" w:rsidR="00C753FF" w:rsidRPr="00A54071" w:rsidRDefault="00C753FF" w:rsidP="0083477A">
            <w:pPr>
              <w:jc w:val="center"/>
              <w:rPr>
                <w:rFonts w:eastAsia="Calibri"/>
                <w:b/>
                <w:bCs/>
                <w:sz w:val="20"/>
                <w:szCs w:val="20"/>
              </w:rPr>
            </w:pPr>
            <w:r w:rsidRPr="00A54071">
              <w:rPr>
                <w:rFonts w:eastAsia="Calibri"/>
                <w:b/>
                <w:bCs/>
                <w:sz w:val="20"/>
                <w:szCs w:val="20"/>
              </w:rPr>
              <w:t>Unit of Measurement</w:t>
            </w:r>
          </w:p>
        </w:tc>
        <w:tc>
          <w:tcPr>
            <w:tcW w:w="1714" w:type="dxa"/>
            <w:shd w:val="clear" w:color="auto" w:fill="D9D9D9" w:themeFill="background1" w:themeFillShade="D9"/>
          </w:tcPr>
          <w:p w14:paraId="7880E92D" w14:textId="77777777" w:rsidR="00C753FF" w:rsidRPr="00A54071" w:rsidRDefault="00C753FF" w:rsidP="0083477A">
            <w:pPr>
              <w:jc w:val="center"/>
              <w:rPr>
                <w:rFonts w:eastAsia="Calibri"/>
                <w:b/>
                <w:bCs/>
                <w:sz w:val="20"/>
                <w:szCs w:val="20"/>
              </w:rPr>
            </w:pPr>
            <w:r w:rsidRPr="00A54071">
              <w:rPr>
                <w:rFonts w:eastAsia="Calibri"/>
                <w:b/>
                <w:bCs/>
                <w:sz w:val="20"/>
                <w:szCs w:val="20"/>
              </w:rPr>
              <w:t>Baseline</w:t>
            </w:r>
          </w:p>
        </w:tc>
        <w:tc>
          <w:tcPr>
            <w:tcW w:w="1627" w:type="dxa"/>
            <w:shd w:val="clear" w:color="auto" w:fill="D9D9D9" w:themeFill="background1" w:themeFillShade="D9"/>
          </w:tcPr>
          <w:p w14:paraId="047E5B80" w14:textId="77777777" w:rsidR="00C753FF" w:rsidRPr="00A54071" w:rsidRDefault="00C753FF" w:rsidP="0083477A">
            <w:pPr>
              <w:jc w:val="center"/>
              <w:rPr>
                <w:rFonts w:eastAsia="Calibri"/>
                <w:b/>
                <w:bCs/>
                <w:sz w:val="20"/>
                <w:szCs w:val="20"/>
              </w:rPr>
            </w:pPr>
            <w:r w:rsidRPr="00A54071">
              <w:rPr>
                <w:rFonts w:eastAsia="Calibri"/>
                <w:b/>
                <w:bCs/>
                <w:sz w:val="20"/>
                <w:szCs w:val="20"/>
              </w:rPr>
              <w:t>Benchmark</w:t>
            </w:r>
          </w:p>
        </w:tc>
        <w:tc>
          <w:tcPr>
            <w:tcW w:w="1354" w:type="dxa"/>
            <w:shd w:val="clear" w:color="auto" w:fill="D9D9D9" w:themeFill="background1" w:themeFillShade="D9"/>
          </w:tcPr>
          <w:p w14:paraId="7E88E7D5" w14:textId="77777777" w:rsidR="00C753FF" w:rsidRPr="00A54071" w:rsidRDefault="00C753FF" w:rsidP="0083477A">
            <w:pPr>
              <w:jc w:val="center"/>
              <w:rPr>
                <w:rFonts w:eastAsia="Calibri"/>
                <w:b/>
                <w:bCs/>
                <w:sz w:val="20"/>
                <w:szCs w:val="20"/>
              </w:rPr>
            </w:pPr>
            <w:r w:rsidRPr="00A54071">
              <w:rPr>
                <w:rFonts w:eastAsia="Calibri"/>
                <w:b/>
                <w:bCs/>
                <w:sz w:val="20"/>
                <w:szCs w:val="20"/>
              </w:rPr>
              <w:t>Outcome</w:t>
            </w:r>
          </w:p>
        </w:tc>
        <w:tc>
          <w:tcPr>
            <w:tcW w:w="1440" w:type="dxa"/>
            <w:shd w:val="clear" w:color="auto" w:fill="D9D9D9" w:themeFill="background1" w:themeFillShade="D9"/>
          </w:tcPr>
          <w:p w14:paraId="6532C845" w14:textId="77777777" w:rsidR="00C753FF" w:rsidRPr="00A54071" w:rsidRDefault="00C753FF" w:rsidP="0083477A">
            <w:pPr>
              <w:jc w:val="center"/>
              <w:rPr>
                <w:rFonts w:eastAsia="Calibri"/>
                <w:b/>
                <w:bCs/>
                <w:sz w:val="20"/>
                <w:szCs w:val="20"/>
              </w:rPr>
            </w:pPr>
            <w:r w:rsidRPr="00A54071">
              <w:rPr>
                <w:rFonts w:eastAsia="Calibri"/>
                <w:b/>
                <w:bCs/>
                <w:sz w:val="20"/>
                <w:szCs w:val="20"/>
              </w:rPr>
              <w:t>Benchmark Achieved?</w:t>
            </w:r>
          </w:p>
        </w:tc>
      </w:tr>
      <w:tr w:rsidR="00C753FF" w:rsidRPr="00A54071" w14:paraId="7E21BE50" w14:textId="77777777" w:rsidTr="00E161C2">
        <w:trPr>
          <w:trHeight w:val="350"/>
        </w:trPr>
        <w:tc>
          <w:tcPr>
            <w:tcW w:w="3240" w:type="dxa"/>
            <w:shd w:val="clear" w:color="auto" w:fill="auto"/>
          </w:tcPr>
          <w:p w14:paraId="0ECD07C0" w14:textId="46C4F6DB" w:rsidR="00C753FF" w:rsidRPr="00A54071" w:rsidRDefault="00C753FF" w:rsidP="00E161C2">
            <w:pPr>
              <w:rPr>
                <w:rFonts w:eastAsia="Calibri"/>
                <w:sz w:val="20"/>
                <w:szCs w:val="20"/>
              </w:rPr>
            </w:pPr>
            <w:r w:rsidRPr="00A54071">
              <w:rPr>
                <w:sz w:val="20"/>
                <w:szCs w:val="20"/>
              </w:rPr>
              <w:t xml:space="preserve">Number of households </w:t>
            </w:r>
            <w:r w:rsidR="00E161C2" w:rsidRPr="00A54071">
              <w:rPr>
                <w:sz w:val="20"/>
                <w:szCs w:val="20"/>
              </w:rPr>
              <w:t>receiving services aimed to increase housing choice</w:t>
            </w:r>
            <w:r w:rsidR="00A54071" w:rsidRPr="00A54071">
              <w:rPr>
                <w:sz w:val="20"/>
                <w:szCs w:val="20"/>
              </w:rPr>
              <w:t xml:space="preserve"> through investigation and enforcement</w:t>
            </w:r>
          </w:p>
        </w:tc>
        <w:tc>
          <w:tcPr>
            <w:tcW w:w="1714" w:type="dxa"/>
            <w:shd w:val="clear" w:color="auto" w:fill="auto"/>
          </w:tcPr>
          <w:p w14:paraId="6AAEFDC8" w14:textId="77777777" w:rsidR="00C753FF" w:rsidRPr="00A54071" w:rsidRDefault="00C753FF" w:rsidP="0083477A">
            <w:pPr>
              <w:jc w:val="center"/>
              <w:rPr>
                <w:rFonts w:eastAsia="Calibri"/>
                <w:sz w:val="20"/>
                <w:szCs w:val="20"/>
              </w:rPr>
            </w:pPr>
            <w:r w:rsidRPr="00A54071">
              <w:rPr>
                <w:rFonts w:eastAsia="Calibri"/>
                <w:bCs/>
                <w:iCs/>
                <w:sz w:val="20"/>
                <w:szCs w:val="20"/>
              </w:rPr>
              <w:t>0 households</w:t>
            </w:r>
          </w:p>
        </w:tc>
        <w:tc>
          <w:tcPr>
            <w:tcW w:w="1627" w:type="dxa"/>
            <w:shd w:val="clear" w:color="auto" w:fill="auto"/>
          </w:tcPr>
          <w:p w14:paraId="564AC1DD" w14:textId="481FFCCE" w:rsidR="00C753FF" w:rsidRPr="00A54071" w:rsidRDefault="00A54071" w:rsidP="0083477A">
            <w:pPr>
              <w:jc w:val="center"/>
              <w:rPr>
                <w:rFonts w:eastAsia="Calibri"/>
                <w:sz w:val="20"/>
                <w:szCs w:val="20"/>
              </w:rPr>
            </w:pPr>
            <w:r w:rsidRPr="00A54071">
              <w:rPr>
                <w:rFonts w:eastAsia="Calibri"/>
                <w:bCs/>
                <w:iCs/>
                <w:sz w:val="20"/>
                <w:szCs w:val="20"/>
              </w:rPr>
              <w:t xml:space="preserve">120 </w:t>
            </w:r>
            <w:r w:rsidR="00C753FF" w:rsidRPr="00A54071">
              <w:rPr>
                <w:rFonts w:eastAsia="Calibri"/>
                <w:bCs/>
                <w:iCs/>
                <w:sz w:val="20"/>
                <w:szCs w:val="20"/>
              </w:rPr>
              <w:t xml:space="preserve"> households</w:t>
            </w:r>
          </w:p>
        </w:tc>
        <w:tc>
          <w:tcPr>
            <w:tcW w:w="1354" w:type="dxa"/>
            <w:shd w:val="clear" w:color="auto" w:fill="auto"/>
          </w:tcPr>
          <w:p w14:paraId="0CFC1DD2" w14:textId="77777777" w:rsidR="00C753FF" w:rsidRPr="00A54071" w:rsidRDefault="00C753FF" w:rsidP="0083477A">
            <w:pPr>
              <w:jc w:val="center"/>
              <w:rPr>
                <w:rFonts w:eastAsia="Calibri"/>
                <w:sz w:val="20"/>
                <w:szCs w:val="20"/>
              </w:rPr>
            </w:pPr>
          </w:p>
        </w:tc>
        <w:tc>
          <w:tcPr>
            <w:tcW w:w="1440" w:type="dxa"/>
            <w:shd w:val="clear" w:color="auto" w:fill="auto"/>
          </w:tcPr>
          <w:p w14:paraId="3F10AF4C" w14:textId="77777777" w:rsidR="00C753FF" w:rsidRPr="00A54071" w:rsidRDefault="00C753FF" w:rsidP="0083477A">
            <w:pPr>
              <w:jc w:val="center"/>
              <w:rPr>
                <w:rFonts w:eastAsia="Calibri"/>
                <w:sz w:val="20"/>
                <w:szCs w:val="20"/>
              </w:rPr>
            </w:pPr>
          </w:p>
        </w:tc>
      </w:tr>
      <w:tr w:rsidR="00A54071" w:rsidRPr="00A54071" w14:paraId="06C66FD5" w14:textId="77777777" w:rsidTr="00E161C2">
        <w:trPr>
          <w:trHeight w:val="350"/>
        </w:trPr>
        <w:tc>
          <w:tcPr>
            <w:tcW w:w="3240" w:type="dxa"/>
            <w:shd w:val="clear" w:color="auto" w:fill="auto"/>
          </w:tcPr>
          <w:p w14:paraId="15FE0058" w14:textId="07D53ECD" w:rsidR="00A54071" w:rsidRPr="00A54071" w:rsidRDefault="00A54071" w:rsidP="00E161C2">
            <w:pPr>
              <w:rPr>
                <w:sz w:val="20"/>
                <w:szCs w:val="20"/>
              </w:rPr>
            </w:pPr>
            <w:r w:rsidRPr="00A54071">
              <w:rPr>
                <w:sz w:val="20"/>
                <w:szCs w:val="20"/>
              </w:rPr>
              <w:t>Number of households receiving services aimed to increase housing choice through education and outreach</w:t>
            </w:r>
          </w:p>
        </w:tc>
        <w:tc>
          <w:tcPr>
            <w:tcW w:w="1714" w:type="dxa"/>
            <w:shd w:val="clear" w:color="auto" w:fill="auto"/>
          </w:tcPr>
          <w:p w14:paraId="4C5FF248" w14:textId="7860D315" w:rsidR="00A54071" w:rsidRPr="00A54071" w:rsidRDefault="00A54071" w:rsidP="0083477A">
            <w:pPr>
              <w:jc w:val="center"/>
              <w:rPr>
                <w:rFonts w:eastAsia="Calibri"/>
                <w:bCs/>
                <w:iCs/>
                <w:sz w:val="20"/>
                <w:szCs w:val="20"/>
              </w:rPr>
            </w:pPr>
            <w:r w:rsidRPr="00A54071">
              <w:rPr>
                <w:rFonts w:eastAsia="Calibri"/>
                <w:bCs/>
                <w:iCs/>
                <w:sz w:val="20"/>
                <w:szCs w:val="20"/>
              </w:rPr>
              <w:t>0 households</w:t>
            </w:r>
          </w:p>
        </w:tc>
        <w:tc>
          <w:tcPr>
            <w:tcW w:w="1627" w:type="dxa"/>
            <w:shd w:val="clear" w:color="auto" w:fill="auto"/>
          </w:tcPr>
          <w:p w14:paraId="17DE847B" w14:textId="10F25665" w:rsidR="00A54071" w:rsidRPr="00A54071" w:rsidRDefault="00A54071" w:rsidP="0083477A">
            <w:pPr>
              <w:jc w:val="center"/>
              <w:rPr>
                <w:rFonts w:eastAsia="Calibri"/>
                <w:bCs/>
                <w:iCs/>
                <w:sz w:val="20"/>
                <w:szCs w:val="20"/>
              </w:rPr>
            </w:pPr>
            <w:r w:rsidRPr="00A54071">
              <w:rPr>
                <w:rFonts w:eastAsia="Calibri"/>
                <w:bCs/>
                <w:iCs/>
                <w:sz w:val="20"/>
                <w:szCs w:val="20"/>
              </w:rPr>
              <w:t>8,000 per year</w:t>
            </w:r>
          </w:p>
        </w:tc>
        <w:tc>
          <w:tcPr>
            <w:tcW w:w="1354" w:type="dxa"/>
            <w:shd w:val="clear" w:color="auto" w:fill="auto"/>
          </w:tcPr>
          <w:p w14:paraId="4E8D31BB" w14:textId="77777777" w:rsidR="00A54071" w:rsidRPr="00A54071" w:rsidRDefault="00A54071" w:rsidP="0083477A">
            <w:pPr>
              <w:jc w:val="center"/>
              <w:rPr>
                <w:rFonts w:eastAsia="Calibri"/>
                <w:sz w:val="20"/>
                <w:szCs w:val="20"/>
              </w:rPr>
            </w:pPr>
          </w:p>
        </w:tc>
        <w:tc>
          <w:tcPr>
            <w:tcW w:w="1440" w:type="dxa"/>
            <w:shd w:val="clear" w:color="auto" w:fill="auto"/>
          </w:tcPr>
          <w:p w14:paraId="19B9C4FA" w14:textId="77777777" w:rsidR="00A54071" w:rsidRPr="00A54071" w:rsidRDefault="00A54071" w:rsidP="0083477A">
            <w:pPr>
              <w:jc w:val="center"/>
              <w:rPr>
                <w:rFonts w:eastAsia="Calibri"/>
                <w:sz w:val="20"/>
                <w:szCs w:val="20"/>
              </w:rPr>
            </w:pPr>
          </w:p>
        </w:tc>
      </w:tr>
      <w:bookmarkEnd w:id="43"/>
    </w:tbl>
    <w:p w14:paraId="2CDFA854" w14:textId="3D75C79A" w:rsidR="00E161C2" w:rsidRPr="00A54071" w:rsidRDefault="00E161C2" w:rsidP="005970DF">
      <w:pPr>
        <w:jc w:val="both"/>
        <w:rPr>
          <w:b/>
          <w:sz w:val="22"/>
          <w:szCs w:val="22"/>
        </w:rPr>
      </w:pPr>
    </w:p>
    <w:p w14:paraId="1AA21167" w14:textId="1BF8A506" w:rsidR="005970DF" w:rsidRPr="00A54071" w:rsidRDefault="005970DF" w:rsidP="005970DF">
      <w:pPr>
        <w:jc w:val="both"/>
        <w:rPr>
          <w:b/>
          <w:sz w:val="22"/>
          <w:szCs w:val="22"/>
        </w:rPr>
      </w:pPr>
      <w:r w:rsidRPr="00A54071">
        <w:rPr>
          <w:b/>
          <w:sz w:val="22"/>
          <w:szCs w:val="22"/>
        </w:rPr>
        <w:t>Cost Implications</w:t>
      </w:r>
    </w:p>
    <w:p w14:paraId="56824C4C" w14:textId="68AEDBA0" w:rsidR="005970DF" w:rsidRPr="00A54071" w:rsidRDefault="005970DF" w:rsidP="005970DF">
      <w:pPr>
        <w:jc w:val="both"/>
        <w:rPr>
          <w:sz w:val="22"/>
          <w:szCs w:val="22"/>
        </w:rPr>
      </w:pPr>
      <w:r w:rsidRPr="00A54071">
        <w:rPr>
          <w:sz w:val="22"/>
          <w:szCs w:val="22"/>
        </w:rPr>
        <w:t>DHCD an</w:t>
      </w:r>
      <w:r w:rsidR="00A54071" w:rsidRPr="00A54071">
        <w:rPr>
          <w:sz w:val="22"/>
          <w:szCs w:val="22"/>
        </w:rPr>
        <w:t>ticipates spending a total of $5</w:t>
      </w:r>
      <w:r w:rsidRPr="00A54071">
        <w:rPr>
          <w:sz w:val="22"/>
          <w:szCs w:val="22"/>
        </w:rPr>
        <w:t>00,000 to support this i</w:t>
      </w:r>
      <w:r w:rsidR="00A54071" w:rsidRPr="00A54071">
        <w:rPr>
          <w:sz w:val="22"/>
          <w:szCs w:val="22"/>
        </w:rPr>
        <w:t xml:space="preserve">nitiative over an initial three year pilot. Subsequent to the three </w:t>
      </w:r>
      <w:r w:rsidRPr="00A54071">
        <w:rPr>
          <w:sz w:val="22"/>
          <w:szCs w:val="22"/>
        </w:rPr>
        <w:t>year</w:t>
      </w:r>
      <w:r w:rsidR="00C22854" w:rsidRPr="00A54071">
        <w:rPr>
          <w:sz w:val="22"/>
          <w:szCs w:val="22"/>
        </w:rPr>
        <w:t xml:space="preserve"> outcomes, DHCD may continue funding this fair housing initiative</w:t>
      </w:r>
      <w:r w:rsidRPr="00A54071">
        <w:rPr>
          <w:sz w:val="22"/>
          <w:szCs w:val="22"/>
        </w:rPr>
        <w:t xml:space="preserve">; however, DHCD is currently unable to determine </w:t>
      </w:r>
      <w:r w:rsidR="00C22854" w:rsidRPr="00A54071">
        <w:rPr>
          <w:sz w:val="22"/>
          <w:szCs w:val="22"/>
        </w:rPr>
        <w:t>the amount of an</w:t>
      </w:r>
      <w:r w:rsidR="00A54071" w:rsidRPr="00A54071">
        <w:rPr>
          <w:sz w:val="22"/>
          <w:szCs w:val="22"/>
        </w:rPr>
        <w:t>y future funding beyond the pilot period</w:t>
      </w:r>
      <w:r w:rsidRPr="00A54071">
        <w:rPr>
          <w:sz w:val="22"/>
          <w:szCs w:val="22"/>
        </w:rPr>
        <w:t>.</w:t>
      </w:r>
    </w:p>
    <w:p w14:paraId="5FB5DC12" w14:textId="77777777" w:rsidR="005970DF" w:rsidRPr="00A54071" w:rsidRDefault="005970DF" w:rsidP="005970DF">
      <w:pPr>
        <w:jc w:val="both"/>
        <w:rPr>
          <w:color w:val="212121"/>
          <w:sz w:val="22"/>
          <w:szCs w:val="22"/>
        </w:rPr>
      </w:pPr>
    </w:p>
    <w:p w14:paraId="5EC87DEC" w14:textId="77777777" w:rsidR="005970DF" w:rsidRPr="00A54071" w:rsidRDefault="005970DF" w:rsidP="005970DF">
      <w:pPr>
        <w:jc w:val="both"/>
        <w:rPr>
          <w:b/>
          <w:sz w:val="22"/>
          <w:szCs w:val="22"/>
        </w:rPr>
      </w:pPr>
      <w:r w:rsidRPr="00A54071">
        <w:rPr>
          <w:b/>
          <w:sz w:val="22"/>
          <w:szCs w:val="22"/>
        </w:rPr>
        <w:t>Need/Justification for MTW Flexibility</w:t>
      </w:r>
    </w:p>
    <w:p w14:paraId="57D449F1" w14:textId="42091D3D" w:rsidR="005970DF" w:rsidRPr="00A54071" w:rsidRDefault="005970DF" w:rsidP="005970DF">
      <w:pPr>
        <w:jc w:val="both"/>
        <w:rPr>
          <w:sz w:val="22"/>
          <w:szCs w:val="22"/>
        </w:rPr>
      </w:pPr>
      <w:r w:rsidRPr="00A54071">
        <w:rPr>
          <w:sz w:val="22"/>
          <w:szCs w:val="22"/>
        </w:rPr>
        <w:t>Using the MTW Agreement Attachment D, Broader Uses of Funds, DHCD is seeking flexibility to provide funding for</w:t>
      </w:r>
      <w:r w:rsidR="00C22854" w:rsidRPr="00A54071">
        <w:rPr>
          <w:sz w:val="22"/>
          <w:szCs w:val="22"/>
        </w:rPr>
        <w:t xml:space="preserve"> services related to research, identification, intervention and education strategies related to fair housing across DHCD’s jurisdiction to eligible </w:t>
      </w:r>
      <w:r w:rsidR="00AC1528">
        <w:rPr>
          <w:sz w:val="22"/>
          <w:szCs w:val="22"/>
        </w:rPr>
        <w:t>low-</w:t>
      </w:r>
      <w:r w:rsidR="000026E2" w:rsidRPr="00A54071">
        <w:rPr>
          <w:sz w:val="22"/>
          <w:szCs w:val="22"/>
        </w:rPr>
        <w:t>income households, including HCV participants and other households</w:t>
      </w:r>
      <w:r w:rsidR="00C22854" w:rsidRPr="00A54071">
        <w:rPr>
          <w:sz w:val="22"/>
          <w:szCs w:val="22"/>
        </w:rPr>
        <w:t xml:space="preserve">.  </w:t>
      </w:r>
    </w:p>
    <w:p w14:paraId="06258C81" w14:textId="77777777" w:rsidR="005970DF" w:rsidRPr="00A54071" w:rsidRDefault="005970DF" w:rsidP="005970DF">
      <w:pPr>
        <w:jc w:val="both"/>
        <w:rPr>
          <w:sz w:val="22"/>
          <w:szCs w:val="22"/>
        </w:rPr>
      </w:pPr>
    </w:p>
    <w:p w14:paraId="698BDE31" w14:textId="77777777" w:rsidR="005970DF" w:rsidRPr="00A54071" w:rsidRDefault="005970DF" w:rsidP="005970DF">
      <w:pPr>
        <w:jc w:val="both"/>
        <w:rPr>
          <w:b/>
          <w:sz w:val="22"/>
          <w:szCs w:val="22"/>
        </w:rPr>
      </w:pPr>
      <w:r w:rsidRPr="00A54071">
        <w:rPr>
          <w:b/>
          <w:sz w:val="22"/>
          <w:szCs w:val="22"/>
        </w:rPr>
        <w:t>Rent Reform/Term Limit Information</w:t>
      </w:r>
    </w:p>
    <w:p w14:paraId="35D7F9E2" w14:textId="77777777" w:rsidR="005970DF" w:rsidRPr="0055269F" w:rsidRDefault="005970DF" w:rsidP="005970DF">
      <w:pPr>
        <w:jc w:val="both"/>
        <w:rPr>
          <w:sz w:val="22"/>
          <w:szCs w:val="22"/>
        </w:rPr>
      </w:pPr>
      <w:r w:rsidRPr="00A54071">
        <w:rPr>
          <w:sz w:val="22"/>
          <w:szCs w:val="22"/>
        </w:rPr>
        <w:t>Not applicable.</w:t>
      </w:r>
    </w:p>
    <w:p w14:paraId="1CC4C339" w14:textId="77777777" w:rsidR="005970DF" w:rsidRPr="005970DF" w:rsidRDefault="005970DF" w:rsidP="005970DF">
      <w:pPr>
        <w:sectPr w:rsidR="005970DF" w:rsidRPr="005970DF" w:rsidSect="00906429">
          <w:pgSz w:w="12240" w:h="15840" w:code="1"/>
          <w:pgMar w:top="1440" w:right="1440" w:bottom="1152" w:left="1440" w:header="720" w:footer="720" w:gutter="0"/>
          <w:cols w:space="720"/>
          <w:docGrid w:linePitch="360"/>
        </w:sectPr>
      </w:pPr>
    </w:p>
    <w:p w14:paraId="66CE7164" w14:textId="797E41CC" w:rsidR="001916BB" w:rsidRPr="00220F02" w:rsidRDefault="001916BB" w:rsidP="00AA5A80">
      <w:pPr>
        <w:pStyle w:val="Heading1"/>
        <w:numPr>
          <w:ilvl w:val="0"/>
          <w:numId w:val="28"/>
        </w:numPr>
        <w:pBdr>
          <w:bottom w:val="single" w:sz="4" w:space="1" w:color="auto"/>
        </w:pBdr>
        <w:ind w:left="360"/>
        <w:rPr>
          <w:rFonts w:ascii="Times New Roman" w:hAnsi="Times New Roman"/>
          <w:sz w:val="36"/>
          <w:szCs w:val="36"/>
        </w:rPr>
      </w:pPr>
      <w:bookmarkStart w:id="45" w:name="_Toc33016931"/>
      <w:r>
        <w:rPr>
          <w:rFonts w:ascii="Times New Roman" w:hAnsi="Times New Roman"/>
          <w:sz w:val="36"/>
          <w:szCs w:val="36"/>
        </w:rPr>
        <w:t>Approved MTW Activities</w:t>
      </w:r>
      <w:bookmarkEnd w:id="45"/>
    </w:p>
    <w:p w14:paraId="1355D245" w14:textId="77777777" w:rsidR="001916BB" w:rsidRDefault="001916BB" w:rsidP="00B73F74">
      <w:pPr>
        <w:jc w:val="both"/>
        <w:rPr>
          <w:sz w:val="22"/>
          <w:szCs w:val="22"/>
        </w:rPr>
      </w:pPr>
    </w:p>
    <w:p w14:paraId="0227A2E6" w14:textId="51160F1B" w:rsidR="001916BB" w:rsidRPr="00C26707" w:rsidRDefault="001916BB" w:rsidP="001916BB">
      <w:pPr>
        <w:jc w:val="both"/>
        <w:rPr>
          <w:sz w:val="22"/>
          <w:szCs w:val="22"/>
        </w:rPr>
      </w:pPr>
      <w:r w:rsidRPr="00C26707">
        <w:rPr>
          <w:sz w:val="22"/>
          <w:szCs w:val="22"/>
        </w:rPr>
        <w:t>This section of the Annual Plan summarizes and provides a status update on MTW activities that have been previously approved by HUD and implemented by DHCD. As required, this section also includes summary information on MTW activities that have not yet been implemented, closed out</w:t>
      </w:r>
      <w:r w:rsidR="000B337C">
        <w:rPr>
          <w:sz w:val="22"/>
          <w:szCs w:val="22"/>
        </w:rPr>
        <w:t xml:space="preserve"> activities</w:t>
      </w:r>
      <w:r w:rsidRPr="00C26707">
        <w:rPr>
          <w:sz w:val="22"/>
          <w:szCs w:val="22"/>
        </w:rPr>
        <w:t xml:space="preserve">, or </w:t>
      </w:r>
      <w:r w:rsidR="000B337C">
        <w:rPr>
          <w:sz w:val="22"/>
          <w:szCs w:val="22"/>
        </w:rPr>
        <w:t xml:space="preserve">activities </w:t>
      </w:r>
      <w:r w:rsidRPr="00C26707">
        <w:rPr>
          <w:sz w:val="22"/>
          <w:szCs w:val="22"/>
        </w:rPr>
        <w:t xml:space="preserve">placed on hold by DHCD.  </w:t>
      </w:r>
    </w:p>
    <w:p w14:paraId="09F387DE" w14:textId="77777777" w:rsidR="00AF712A" w:rsidRPr="00C26707" w:rsidRDefault="00AF712A" w:rsidP="004F3163">
      <w:pPr>
        <w:rPr>
          <w:sz w:val="22"/>
          <w:szCs w:val="22"/>
        </w:rPr>
      </w:pPr>
    </w:p>
    <w:p w14:paraId="5EAFF5DC" w14:textId="77777777" w:rsidR="005E3062" w:rsidRPr="0004176C" w:rsidRDefault="005E3062" w:rsidP="001F2A56">
      <w:pPr>
        <w:pStyle w:val="Heading3"/>
        <w:numPr>
          <w:ilvl w:val="0"/>
          <w:numId w:val="7"/>
        </w:numPr>
      </w:pPr>
      <w:bookmarkStart w:id="46" w:name="_Toc415115902"/>
      <w:bookmarkStart w:id="47" w:name="_Toc33016932"/>
      <w:r w:rsidRPr="0004176C">
        <w:t>Implemented Activities</w:t>
      </w:r>
      <w:bookmarkEnd w:id="46"/>
      <w:bookmarkEnd w:id="47"/>
    </w:p>
    <w:p w14:paraId="1F77EB31" w14:textId="77777777" w:rsidR="005E3062" w:rsidRPr="0004176C" w:rsidRDefault="005E3062" w:rsidP="005E3062">
      <w:pPr>
        <w:rPr>
          <w:color w:val="000000"/>
        </w:rPr>
      </w:pPr>
    </w:p>
    <w:p w14:paraId="56866A5A" w14:textId="22137F9F" w:rsidR="005E3062" w:rsidRPr="0004176C" w:rsidRDefault="004D5DFE" w:rsidP="001F2A56">
      <w:pPr>
        <w:pStyle w:val="Heading3"/>
      </w:pPr>
      <w:bookmarkStart w:id="48" w:name="_Toc33016933"/>
      <w:r w:rsidRPr="0004176C">
        <w:t xml:space="preserve">Activity 2000-1:  Family </w:t>
      </w:r>
      <w:r w:rsidR="002E4B38" w:rsidRPr="0004176C">
        <w:t>Economic Stability (FES) Program</w:t>
      </w:r>
      <w:bookmarkEnd w:id="48"/>
      <w:r w:rsidR="002E4B38" w:rsidRPr="0004176C">
        <w:t xml:space="preserve"> </w:t>
      </w:r>
    </w:p>
    <w:p w14:paraId="7DAAD755" w14:textId="77777777" w:rsidR="00C479F0" w:rsidRPr="0004176C" w:rsidRDefault="006A4CB0" w:rsidP="006A4CB0">
      <w:pPr>
        <w:tabs>
          <w:tab w:val="left" w:pos="3312"/>
        </w:tabs>
        <w:jc w:val="both"/>
        <w:rPr>
          <w:b/>
          <w:color w:val="000000"/>
          <w:sz w:val="22"/>
          <w:szCs w:val="22"/>
        </w:rPr>
      </w:pPr>
      <w:r w:rsidRPr="0004176C">
        <w:rPr>
          <w:b/>
          <w:color w:val="000000"/>
          <w:sz w:val="22"/>
          <w:szCs w:val="22"/>
        </w:rPr>
        <w:tab/>
      </w:r>
    </w:p>
    <w:p w14:paraId="16D32A16" w14:textId="77777777" w:rsidR="00ED44A7" w:rsidRPr="0004176C" w:rsidRDefault="00ED44A7" w:rsidP="00ED44A7">
      <w:pPr>
        <w:jc w:val="both"/>
        <w:rPr>
          <w:color w:val="000000"/>
          <w:sz w:val="22"/>
          <w:szCs w:val="22"/>
        </w:rPr>
      </w:pPr>
      <w:r w:rsidRPr="0004176C">
        <w:rPr>
          <w:b/>
          <w:color w:val="000000"/>
          <w:sz w:val="22"/>
          <w:szCs w:val="22"/>
        </w:rPr>
        <w:t>Plan Year Approved, Implemented, Amended</w:t>
      </w:r>
      <w:r w:rsidRPr="0004176C">
        <w:rPr>
          <w:color w:val="000000"/>
          <w:sz w:val="22"/>
          <w:szCs w:val="22"/>
        </w:rPr>
        <w:t xml:space="preserve"> </w:t>
      </w:r>
    </w:p>
    <w:p w14:paraId="3E023B79" w14:textId="77777777" w:rsidR="00ED44A7" w:rsidRPr="0004176C" w:rsidRDefault="00ED44A7" w:rsidP="00ED44A7">
      <w:pPr>
        <w:jc w:val="both"/>
        <w:rPr>
          <w:sz w:val="22"/>
          <w:szCs w:val="22"/>
        </w:rPr>
      </w:pPr>
      <w:r w:rsidRPr="0004176C">
        <w:rPr>
          <w:sz w:val="22"/>
          <w:szCs w:val="22"/>
        </w:rPr>
        <w:t>Approved FY 2000 and implemented FY 2001.</w:t>
      </w:r>
    </w:p>
    <w:p w14:paraId="76B0749C" w14:textId="77777777" w:rsidR="00ED44A7" w:rsidRPr="0004176C" w:rsidRDefault="00ED44A7" w:rsidP="00ED44A7">
      <w:pPr>
        <w:pStyle w:val="ListParagraph"/>
        <w:numPr>
          <w:ilvl w:val="0"/>
          <w:numId w:val="0"/>
        </w:numPr>
        <w:ind w:left="360"/>
        <w:jc w:val="both"/>
      </w:pPr>
    </w:p>
    <w:p w14:paraId="34D548BC" w14:textId="33670D3E" w:rsidR="00F403A3" w:rsidRPr="0004176C" w:rsidRDefault="00C479F0" w:rsidP="006A4CB0">
      <w:pPr>
        <w:jc w:val="both"/>
        <w:rPr>
          <w:b/>
          <w:color w:val="000000"/>
          <w:sz w:val="22"/>
          <w:szCs w:val="22"/>
        </w:rPr>
      </w:pPr>
      <w:r w:rsidRPr="0004176C">
        <w:rPr>
          <w:b/>
          <w:color w:val="000000"/>
          <w:sz w:val="22"/>
          <w:szCs w:val="22"/>
        </w:rPr>
        <w:t xml:space="preserve">Description/Update </w:t>
      </w:r>
    </w:p>
    <w:p w14:paraId="51533BC8" w14:textId="20CEA6B9" w:rsidR="00F403A3" w:rsidRPr="0004176C" w:rsidRDefault="00F403A3" w:rsidP="00F403A3">
      <w:pPr>
        <w:jc w:val="both"/>
        <w:rPr>
          <w:sz w:val="22"/>
          <w:szCs w:val="22"/>
        </w:rPr>
      </w:pPr>
      <w:r w:rsidRPr="0004176C">
        <w:rPr>
          <w:color w:val="000000"/>
          <w:sz w:val="22"/>
          <w:szCs w:val="22"/>
        </w:rPr>
        <w:t>FESP is</w:t>
      </w:r>
      <w:r w:rsidR="00C479F0" w:rsidRPr="0004176C">
        <w:rPr>
          <w:color w:val="000000"/>
          <w:sz w:val="22"/>
          <w:szCs w:val="22"/>
        </w:rPr>
        <w:t xml:space="preserve"> an assistance model</w:t>
      </w:r>
      <w:r w:rsidR="00266EF2" w:rsidRPr="0004176C">
        <w:rPr>
          <w:color w:val="000000"/>
          <w:sz w:val="22"/>
          <w:szCs w:val="22"/>
        </w:rPr>
        <w:t>,</w:t>
      </w:r>
      <w:r w:rsidR="00C479F0" w:rsidRPr="0004176C">
        <w:rPr>
          <w:color w:val="000000"/>
          <w:sz w:val="22"/>
          <w:szCs w:val="22"/>
        </w:rPr>
        <w:t xml:space="preserve"> which provides a fixed</w:t>
      </w:r>
      <w:r w:rsidR="00F772D5" w:rsidRPr="0004176C">
        <w:rPr>
          <w:color w:val="000000"/>
          <w:sz w:val="22"/>
          <w:szCs w:val="22"/>
        </w:rPr>
        <w:t xml:space="preserve"> </w:t>
      </w:r>
      <w:r w:rsidR="00C479F0" w:rsidRPr="0004176C">
        <w:rPr>
          <w:color w:val="000000"/>
          <w:sz w:val="22"/>
          <w:szCs w:val="22"/>
        </w:rPr>
        <w:t>annual stipend</w:t>
      </w:r>
      <w:r w:rsidR="00F772D5" w:rsidRPr="0004176C">
        <w:rPr>
          <w:color w:val="000000"/>
          <w:sz w:val="22"/>
          <w:szCs w:val="22"/>
        </w:rPr>
        <w:t xml:space="preserve"> for five years</w:t>
      </w:r>
      <w:r w:rsidR="00C479F0" w:rsidRPr="0004176C">
        <w:rPr>
          <w:color w:val="000000"/>
          <w:sz w:val="22"/>
          <w:szCs w:val="22"/>
        </w:rPr>
        <w:t xml:space="preserve"> to eligible families, regardless of future income or family composition changes.  Within certain guidelines, participants exercise considerable decision-making in the utilization of the funds. Case management and program coordination is provided by </w:t>
      </w:r>
      <w:r w:rsidR="005763F0" w:rsidRPr="0004176C">
        <w:rPr>
          <w:color w:val="000000"/>
          <w:sz w:val="22"/>
          <w:szCs w:val="22"/>
        </w:rPr>
        <w:t>Metro Housing|Boston</w:t>
      </w:r>
      <w:r w:rsidR="0004176C" w:rsidRPr="0004176C">
        <w:rPr>
          <w:color w:val="000000"/>
          <w:sz w:val="22"/>
          <w:szCs w:val="22"/>
        </w:rPr>
        <w:t xml:space="preserve"> staff</w:t>
      </w:r>
      <w:r w:rsidR="00C479F0" w:rsidRPr="0004176C">
        <w:rPr>
          <w:color w:val="000000"/>
          <w:sz w:val="22"/>
          <w:szCs w:val="22"/>
        </w:rPr>
        <w:t>. Participants may select any housing unit</w:t>
      </w:r>
      <w:r w:rsidR="00266EF2" w:rsidRPr="0004176C">
        <w:rPr>
          <w:color w:val="000000"/>
          <w:sz w:val="22"/>
          <w:szCs w:val="22"/>
        </w:rPr>
        <w:t>,</w:t>
      </w:r>
      <w:r w:rsidR="00C479F0" w:rsidRPr="0004176C">
        <w:rPr>
          <w:color w:val="000000"/>
          <w:sz w:val="22"/>
          <w:szCs w:val="22"/>
        </w:rPr>
        <w:t xml:space="preserve"> which they deem affordable and appropriate for their needs and which pass</w:t>
      </w:r>
      <w:r w:rsidR="005763F0" w:rsidRPr="0004176C">
        <w:rPr>
          <w:color w:val="000000"/>
          <w:sz w:val="22"/>
          <w:szCs w:val="22"/>
        </w:rPr>
        <w:t>es</w:t>
      </w:r>
      <w:r w:rsidR="00C479F0" w:rsidRPr="0004176C">
        <w:rPr>
          <w:color w:val="000000"/>
          <w:sz w:val="22"/>
          <w:szCs w:val="22"/>
        </w:rPr>
        <w:t xml:space="preserve"> a Housing Quality Standards inspection.</w:t>
      </w:r>
      <w:r w:rsidRPr="0004176C">
        <w:rPr>
          <w:color w:val="000000"/>
          <w:sz w:val="22"/>
          <w:szCs w:val="22"/>
        </w:rPr>
        <w:t xml:space="preserve">  </w:t>
      </w:r>
      <w:r w:rsidRPr="0004176C">
        <w:rPr>
          <w:sz w:val="22"/>
          <w:szCs w:val="22"/>
        </w:rPr>
        <w:t xml:space="preserve">The FES program also assists participants in reaching goals related to increasing earned income, career progress, improving credit and financial literacy skills, increasing asset base and developing a three-year housing stability plan. </w:t>
      </w:r>
    </w:p>
    <w:p w14:paraId="73DA3AC5" w14:textId="0A59AA52" w:rsidR="00C479F0" w:rsidRPr="0004176C" w:rsidRDefault="00C479F0" w:rsidP="00C479F0">
      <w:pPr>
        <w:jc w:val="both"/>
        <w:rPr>
          <w:color w:val="000000"/>
          <w:sz w:val="22"/>
          <w:szCs w:val="22"/>
        </w:rPr>
      </w:pPr>
    </w:p>
    <w:p w14:paraId="160D9393" w14:textId="77777777" w:rsidR="00C479F0" w:rsidRPr="0004176C" w:rsidRDefault="00C479F0" w:rsidP="00074854">
      <w:pPr>
        <w:jc w:val="both"/>
        <w:rPr>
          <w:sz w:val="22"/>
          <w:szCs w:val="22"/>
        </w:rPr>
      </w:pPr>
      <w:r w:rsidRPr="0004176C">
        <w:rPr>
          <w:sz w:val="22"/>
          <w:szCs w:val="22"/>
        </w:rPr>
        <w:t>Eligibility for the FES Program is targeted to low-income working families who meet the following criteria:</w:t>
      </w:r>
    </w:p>
    <w:p w14:paraId="21E3398F" w14:textId="77777777" w:rsidR="00C479F0" w:rsidRPr="0004176C" w:rsidRDefault="00C479F0" w:rsidP="00074854">
      <w:pPr>
        <w:jc w:val="both"/>
        <w:rPr>
          <w:sz w:val="22"/>
          <w:szCs w:val="22"/>
        </w:rPr>
      </w:pPr>
    </w:p>
    <w:p w14:paraId="2523DD8C" w14:textId="39048B01" w:rsidR="00C479F0" w:rsidRPr="0004176C" w:rsidRDefault="00C479F0" w:rsidP="00AA5A80">
      <w:pPr>
        <w:numPr>
          <w:ilvl w:val="0"/>
          <w:numId w:val="13"/>
        </w:numPr>
        <w:jc w:val="both"/>
        <w:rPr>
          <w:sz w:val="22"/>
          <w:szCs w:val="22"/>
        </w:rPr>
      </w:pPr>
      <w:r w:rsidRPr="0004176C">
        <w:rPr>
          <w:sz w:val="22"/>
          <w:szCs w:val="22"/>
        </w:rPr>
        <w:t xml:space="preserve">Receive, or have received in the past 12 months, public </w:t>
      </w:r>
      <w:r w:rsidR="000B337C" w:rsidRPr="0004176C">
        <w:rPr>
          <w:sz w:val="22"/>
          <w:szCs w:val="22"/>
        </w:rPr>
        <w:t>assistance: TAFDC, EA, SNAP;</w:t>
      </w:r>
    </w:p>
    <w:p w14:paraId="6BF6F8FB" w14:textId="77777777" w:rsidR="00C479F0" w:rsidRPr="0004176C" w:rsidRDefault="00C479F0" w:rsidP="00074854">
      <w:pPr>
        <w:ind w:left="360"/>
        <w:jc w:val="both"/>
        <w:rPr>
          <w:sz w:val="22"/>
          <w:szCs w:val="22"/>
        </w:rPr>
      </w:pPr>
    </w:p>
    <w:p w14:paraId="7CBAAD11" w14:textId="0EC030E0" w:rsidR="00C479F0" w:rsidRPr="0004176C" w:rsidRDefault="00C479F0" w:rsidP="00AA5A80">
      <w:pPr>
        <w:numPr>
          <w:ilvl w:val="0"/>
          <w:numId w:val="13"/>
        </w:numPr>
        <w:jc w:val="both"/>
        <w:rPr>
          <w:sz w:val="22"/>
          <w:szCs w:val="22"/>
        </w:rPr>
      </w:pPr>
      <w:r w:rsidRPr="0004176C">
        <w:rPr>
          <w:sz w:val="22"/>
          <w:szCs w:val="22"/>
        </w:rPr>
        <w:t>Are committed to maintaining employment and agree to provide information to assess the effectiveness of the program; and</w:t>
      </w:r>
      <w:r w:rsidR="000B337C" w:rsidRPr="0004176C">
        <w:rPr>
          <w:sz w:val="22"/>
          <w:szCs w:val="22"/>
        </w:rPr>
        <w:t>,</w:t>
      </w:r>
      <w:r w:rsidRPr="0004176C">
        <w:rPr>
          <w:sz w:val="22"/>
          <w:szCs w:val="22"/>
        </w:rPr>
        <w:t xml:space="preserve"> </w:t>
      </w:r>
    </w:p>
    <w:p w14:paraId="208E56FE" w14:textId="77777777" w:rsidR="00C479F0" w:rsidRPr="0004176C" w:rsidRDefault="00C479F0" w:rsidP="00074854">
      <w:pPr>
        <w:ind w:left="360"/>
        <w:jc w:val="both"/>
        <w:rPr>
          <w:sz w:val="22"/>
          <w:szCs w:val="22"/>
        </w:rPr>
      </w:pPr>
    </w:p>
    <w:p w14:paraId="0FAC24D2" w14:textId="2A8D334A" w:rsidR="00C479F0" w:rsidRPr="0004176C" w:rsidRDefault="00164F01" w:rsidP="00AA5A80">
      <w:pPr>
        <w:numPr>
          <w:ilvl w:val="0"/>
          <w:numId w:val="13"/>
        </w:numPr>
        <w:jc w:val="both"/>
        <w:rPr>
          <w:sz w:val="22"/>
          <w:szCs w:val="22"/>
        </w:rPr>
      </w:pPr>
      <w:r w:rsidRPr="0004176C">
        <w:rPr>
          <w:sz w:val="22"/>
          <w:szCs w:val="22"/>
        </w:rPr>
        <w:t>F</w:t>
      </w:r>
      <w:r w:rsidR="00C479F0" w:rsidRPr="0004176C">
        <w:rPr>
          <w:sz w:val="22"/>
          <w:szCs w:val="22"/>
        </w:rPr>
        <w:t xml:space="preserve">amilies who are working at least part-time, who are imminently employed, or who </w:t>
      </w:r>
      <w:r w:rsidR="000B337C" w:rsidRPr="0004176C">
        <w:rPr>
          <w:sz w:val="22"/>
          <w:szCs w:val="22"/>
        </w:rPr>
        <w:t>are enrolled in a full-time job-</w:t>
      </w:r>
      <w:r w:rsidR="00C479F0" w:rsidRPr="0004176C">
        <w:rPr>
          <w:sz w:val="22"/>
          <w:szCs w:val="22"/>
        </w:rPr>
        <w:t>training program</w:t>
      </w:r>
      <w:r w:rsidR="00C479F0" w:rsidRPr="0004176C">
        <w:rPr>
          <w:i/>
          <w:iCs/>
          <w:color w:val="1F497D"/>
          <w:sz w:val="22"/>
          <w:szCs w:val="22"/>
        </w:rPr>
        <w:t xml:space="preserve">. </w:t>
      </w:r>
    </w:p>
    <w:p w14:paraId="5A0D37E5" w14:textId="77777777" w:rsidR="00C479F0" w:rsidRPr="0004176C" w:rsidRDefault="00C479F0" w:rsidP="00074854">
      <w:pPr>
        <w:jc w:val="both"/>
        <w:rPr>
          <w:color w:val="FF0000"/>
          <w:sz w:val="22"/>
          <w:szCs w:val="22"/>
        </w:rPr>
      </w:pPr>
    </w:p>
    <w:p w14:paraId="12C4CE21" w14:textId="5E455E2E" w:rsidR="002F26F7" w:rsidRPr="0004176C" w:rsidRDefault="002F26F7" w:rsidP="00074854">
      <w:pPr>
        <w:spacing w:after="200"/>
        <w:jc w:val="both"/>
        <w:rPr>
          <w:rFonts w:eastAsiaTheme="minorEastAsia"/>
          <w:sz w:val="22"/>
          <w:szCs w:val="22"/>
        </w:rPr>
      </w:pPr>
      <w:r w:rsidRPr="0004176C">
        <w:rPr>
          <w:rFonts w:eastAsiaTheme="minorEastAsia"/>
          <w:sz w:val="22"/>
          <w:szCs w:val="22"/>
        </w:rPr>
        <w:t>FES provides participants with a “flat subsidy” that is not tied to household income.  When a participant increases their earned income, as required by the program, their rent subsidy will not decrease.  Conversely, if participants lose their jobs, their subsidy will not increase.  FES staff and participants work closely to manage employment stability to avoid sudden loss of income.  Participants are supported in their housing search and selection to determine the most affordable unit based on family size and counseled to consider the challenges of a flat subsidy when selecting potential housing.  Participants are also required to participate in financial coaching.</w:t>
      </w:r>
    </w:p>
    <w:p w14:paraId="7F809A51" w14:textId="2C9903BD" w:rsidR="00F72E7E" w:rsidRPr="0004176C" w:rsidRDefault="00F72E7E" w:rsidP="002D07CF">
      <w:pPr>
        <w:jc w:val="both"/>
        <w:rPr>
          <w:color w:val="000000" w:themeColor="text1"/>
          <w:sz w:val="22"/>
          <w:szCs w:val="22"/>
        </w:rPr>
      </w:pPr>
      <w:r w:rsidRPr="0004176C">
        <w:rPr>
          <w:color w:val="000000" w:themeColor="text1"/>
          <w:sz w:val="22"/>
          <w:szCs w:val="22"/>
        </w:rPr>
        <w:t xml:space="preserve">DHCD continues to review and adjust subsidies levels for consistency with housing costs.  </w:t>
      </w:r>
      <w:r w:rsidR="00F403A3" w:rsidRPr="0004176C">
        <w:rPr>
          <w:color w:val="000000" w:themeColor="text1"/>
          <w:sz w:val="22"/>
          <w:szCs w:val="22"/>
        </w:rPr>
        <w:t>In each program year, DHCD</w:t>
      </w:r>
      <w:r w:rsidR="006F4709" w:rsidRPr="0004176C">
        <w:rPr>
          <w:color w:val="000000" w:themeColor="text1"/>
          <w:sz w:val="22"/>
          <w:szCs w:val="22"/>
        </w:rPr>
        <w:t xml:space="preserve"> review</w:t>
      </w:r>
      <w:r w:rsidR="00F403A3" w:rsidRPr="0004176C">
        <w:rPr>
          <w:color w:val="000000" w:themeColor="text1"/>
          <w:sz w:val="22"/>
          <w:szCs w:val="22"/>
        </w:rPr>
        <w:t>s</w:t>
      </w:r>
      <w:r w:rsidR="006F4709" w:rsidRPr="0004176C">
        <w:rPr>
          <w:color w:val="000000" w:themeColor="text1"/>
          <w:sz w:val="22"/>
          <w:szCs w:val="22"/>
        </w:rPr>
        <w:t xml:space="preserve"> expansion of support funds</w:t>
      </w:r>
      <w:r w:rsidR="00F403A3" w:rsidRPr="0004176C">
        <w:rPr>
          <w:color w:val="000000" w:themeColor="text1"/>
          <w:sz w:val="22"/>
          <w:szCs w:val="22"/>
        </w:rPr>
        <w:t xml:space="preserve"> options</w:t>
      </w:r>
      <w:r w:rsidR="006F4709" w:rsidRPr="0004176C">
        <w:rPr>
          <w:color w:val="000000" w:themeColor="text1"/>
          <w:sz w:val="22"/>
          <w:szCs w:val="22"/>
        </w:rPr>
        <w:t xml:space="preserve"> to include incentive payments for completion of goals such as retaining employment, removal f</w:t>
      </w:r>
      <w:r w:rsidR="00AB32AA" w:rsidRPr="0004176C">
        <w:rPr>
          <w:color w:val="000000" w:themeColor="text1"/>
          <w:sz w:val="22"/>
          <w:szCs w:val="22"/>
        </w:rPr>
        <w:t>rom TANF or completion of a job-</w:t>
      </w:r>
      <w:r w:rsidR="006F4709" w:rsidRPr="0004176C">
        <w:rPr>
          <w:color w:val="000000" w:themeColor="text1"/>
          <w:sz w:val="22"/>
          <w:szCs w:val="22"/>
        </w:rPr>
        <w:t xml:space="preserve">training program.  </w:t>
      </w:r>
      <w:r w:rsidR="00F403A3" w:rsidRPr="0004176C">
        <w:rPr>
          <w:color w:val="000000" w:themeColor="text1"/>
          <w:sz w:val="22"/>
          <w:szCs w:val="22"/>
        </w:rPr>
        <w:t>Any approved i</w:t>
      </w:r>
      <w:r w:rsidR="006F4709" w:rsidRPr="0004176C">
        <w:rPr>
          <w:color w:val="000000" w:themeColor="text1"/>
          <w:sz w:val="22"/>
          <w:szCs w:val="22"/>
        </w:rPr>
        <w:t>ncentives payments will be part of the $1,800 year cap.</w:t>
      </w:r>
    </w:p>
    <w:p w14:paraId="6061F3DB" w14:textId="77777777" w:rsidR="00F72E7E" w:rsidRPr="0004176C" w:rsidRDefault="00F72E7E" w:rsidP="002D07CF">
      <w:pPr>
        <w:jc w:val="both"/>
        <w:rPr>
          <w:color w:val="000000" w:themeColor="text1"/>
          <w:sz w:val="22"/>
          <w:szCs w:val="22"/>
        </w:rPr>
      </w:pPr>
    </w:p>
    <w:p w14:paraId="232475C6" w14:textId="69A9270B" w:rsidR="002F26F7" w:rsidRPr="0004176C" w:rsidRDefault="00904EB0" w:rsidP="002F26F7">
      <w:pPr>
        <w:spacing w:after="200"/>
        <w:jc w:val="both"/>
        <w:rPr>
          <w:sz w:val="22"/>
          <w:szCs w:val="22"/>
        </w:rPr>
      </w:pPr>
      <w:r w:rsidRPr="0004176C">
        <w:rPr>
          <w:sz w:val="22"/>
          <w:szCs w:val="22"/>
        </w:rPr>
        <w:t>To date,</w:t>
      </w:r>
      <w:r w:rsidR="002F26F7" w:rsidRPr="0004176C">
        <w:rPr>
          <w:sz w:val="22"/>
          <w:szCs w:val="22"/>
        </w:rPr>
        <w:t xml:space="preserve"> Metro Housing|Boston in Boston, MA</w:t>
      </w:r>
      <w:r w:rsidRPr="0004176C">
        <w:rPr>
          <w:sz w:val="22"/>
          <w:szCs w:val="22"/>
        </w:rPr>
        <w:t xml:space="preserve"> is the </w:t>
      </w:r>
      <w:r w:rsidR="00186C2F" w:rsidRPr="0004176C">
        <w:rPr>
          <w:sz w:val="22"/>
          <w:szCs w:val="22"/>
        </w:rPr>
        <w:t>only RAA that operates the FES P</w:t>
      </w:r>
      <w:r w:rsidRPr="0004176C">
        <w:rPr>
          <w:sz w:val="22"/>
          <w:szCs w:val="22"/>
        </w:rPr>
        <w:t>rogram</w:t>
      </w:r>
      <w:r w:rsidR="00D8278E" w:rsidRPr="0004176C">
        <w:rPr>
          <w:sz w:val="22"/>
          <w:szCs w:val="22"/>
        </w:rPr>
        <w:t>. Metro Housi</w:t>
      </w:r>
      <w:r w:rsidR="007061E5" w:rsidRPr="0004176C">
        <w:rPr>
          <w:sz w:val="22"/>
          <w:szCs w:val="22"/>
        </w:rPr>
        <w:t>ng|Boston anticipates serving 50</w:t>
      </w:r>
      <w:r w:rsidR="00186C2F" w:rsidRPr="0004176C">
        <w:rPr>
          <w:sz w:val="22"/>
          <w:szCs w:val="22"/>
        </w:rPr>
        <w:t xml:space="preserve"> households in their FES P</w:t>
      </w:r>
      <w:r w:rsidR="002F26F7" w:rsidRPr="0004176C">
        <w:rPr>
          <w:sz w:val="22"/>
          <w:szCs w:val="22"/>
        </w:rPr>
        <w:t>rogram</w:t>
      </w:r>
      <w:r w:rsidR="00D8278E" w:rsidRPr="0004176C">
        <w:rPr>
          <w:sz w:val="22"/>
          <w:szCs w:val="22"/>
        </w:rPr>
        <w:t xml:space="preserve"> in </w:t>
      </w:r>
      <w:r w:rsidR="006D6331" w:rsidRPr="0004176C">
        <w:rPr>
          <w:sz w:val="22"/>
          <w:szCs w:val="22"/>
        </w:rPr>
        <w:t>FY 2021</w:t>
      </w:r>
      <w:r w:rsidR="00186C2F" w:rsidRPr="0004176C">
        <w:rPr>
          <w:sz w:val="22"/>
          <w:szCs w:val="22"/>
        </w:rPr>
        <w:t>. The FES P</w:t>
      </w:r>
      <w:r w:rsidR="002F26F7" w:rsidRPr="0004176C">
        <w:rPr>
          <w:sz w:val="22"/>
          <w:szCs w:val="22"/>
        </w:rPr>
        <w:t>rogra</w:t>
      </w:r>
      <w:r w:rsidRPr="0004176C">
        <w:rPr>
          <w:sz w:val="22"/>
          <w:szCs w:val="22"/>
        </w:rPr>
        <w:t xml:space="preserve">m currently has a waitlist of </w:t>
      </w:r>
      <w:r w:rsidR="007061E5" w:rsidRPr="0004176C">
        <w:rPr>
          <w:sz w:val="22"/>
          <w:szCs w:val="22"/>
        </w:rPr>
        <w:t>331</w:t>
      </w:r>
      <w:r w:rsidR="002F26F7" w:rsidRPr="0004176C">
        <w:rPr>
          <w:sz w:val="22"/>
          <w:szCs w:val="22"/>
        </w:rPr>
        <w:t xml:space="preserve"> households. </w:t>
      </w:r>
    </w:p>
    <w:p w14:paraId="6BEA94C5" w14:textId="77777777" w:rsidR="00085629" w:rsidRPr="0004176C" w:rsidRDefault="00085629" w:rsidP="00085629">
      <w:pPr>
        <w:jc w:val="both"/>
        <w:rPr>
          <w:b/>
          <w:color w:val="000000"/>
          <w:sz w:val="22"/>
          <w:szCs w:val="22"/>
        </w:rPr>
      </w:pPr>
      <w:r w:rsidRPr="0004176C">
        <w:rPr>
          <w:b/>
          <w:color w:val="000000"/>
          <w:sz w:val="22"/>
          <w:szCs w:val="22"/>
        </w:rPr>
        <w:t>Planned Non-Significant Changes</w:t>
      </w:r>
    </w:p>
    <w:p w14:paraId="1F00C56C" w14:textId="77777777" w:rsidR="00085629" w:rsidRPr="0004176C" w:rsidRDefault="00085629" w:rsidP="00466D4B">
      <w:pPr>
        <w:jc w:val="both"/>
        <w:rPr>
          <w:b/>
          <w:strike/>
          <w:color w:val="FF0000"/>
          <w:sz w:val="22"/>
          <w:szCs w:val="22"/>
        </w:rPr>
      </w:pPr>
      <w:r w:rsidRPr="0004176C">
        <w:rPr>
          <w:color w:val="000000" w:themeColor="text1"/>
          <w:sz w:val="22"/>
          <w:szCs w:val="22"/>
        </w:rPr>
        <w:t xml:space="preserve">No non-significant changes are planned. </w:t>
      </w:r>
    </w:p>
    <w:p w14:paraId="7BA28B4F" w14:textId="77777777" w:rsidR="00085629" w:rsidRPr="0004176C" w:rsidRDefault="00085629" w:rsidP="00085629">
      <w:pPr>
        <w:pStyle w:val="ListParagraph"/>
        <w:numPr>
          <w:ilvl w:val="0"/>
          <w:numId w:val="0"/>
        </w:numPr>
        <w:ind w:left="360"/>
        <w:jc w:val="both"/>
        <w:rPr>
          <w:color w:val="000000" w:themeColor="text1"/>
        </w:rPr>
      </w:pPr>
    </w:p>
    <w:p w14:paraId="25C7560E" w14:textId="77777777" w:rsidR="00085629" w:rsidRPr="0004176C" w:rsidRDefault="00085629" w:rsidP="00085629">
      <w:pPr>
        <w:jc w:val="both"/>
        <w:rPr>
          <w:b/>
          <w:sz w:val="22"/>
          <w:szCs w:val="22"/>
        </w:rPr>
      </w:pPr>
      <w:r w:rsidRPr="0004176C">
        <w:rPr>
          <w:b/>
          <w:sz w:val="22"/>
          <w:szCs w:val="22"/>
        </w:rPr>
        <w:t>Planned Changes to Metrics/Data Collection</w:t>
      </w:r>
    </w:p>
    <w:p w14:paraId="20AB3DE6" w14:textId="3D04F242" w:rsidR="00085629" w:rsidRPr="0004176C" w:rsidRDefault="00F403A3" w:rsidP="00466D4B">
      <w:pPr>
        <w:jc w:val="both"/>
        <w:rPr>
          <w:bCs/>
          <w:sz w:val="22"/>
          <w:szCs w:val="22"/>
        </w:rPr>
      </w:pPr>
      <w:r w:rsidRPr="0004176C">
        <w:rPr>
          <w:bCs/>
          <w:sz w:val="22"/>
          <w:szCs w:val="22"/>
        </w:rPr>
        <w:t>DHCD</w:t>
      </w:r>
      <w:r w:rsidR="00407D25" w:rsidRPr="0004176C">
        <w:rPr>
          <w:bCs/>
          <w:sz w:val="22"/>
          <w:szCs w:val="22"/>
        </w:rPr>
        <w:t xml:space="preserve"> revised the </w:t>
      </w:r>
      <w:r w:rsidR="00186C2F" w:rsidRPr="0004176C">
        <w:rPr>
          <w:bCs/>
          <w:sz w:val="22"/>
          <w:szCs w:val="22"/>
        </w:rPr>
        <w:t>benchmark for metric SS</w:t>
      </w:r>
      <w:r w:rsidRPr="0004176C">
        <w:rPr>
          <w:bCs/>
          <w:sz w:val="22"/>
          <w:szCs w:val="22"/>
        </w:rPr>
        <w:t xml:space="preserve"> </w:t>
      </w:r>
      <w:r w:rsidR="00F772D5" w:rsidRPr="0004176C">
        <w:rPr>
          <w:bCs/>
          <w:sz w:val="22"/>
          <w:szCs w:val="22"/>
        </w:rPr>
        <w:t>#2 to more accurately reflect average escrow taking into account graduation and the addition of new participants.</w:t>
      </w:r>
    </w:p>
    <w:p w14:paraId="64726B68" w14:textId="77777777" w:rsidR="00085629" w:rsidRPr="0004176C" w:rsidRDefault="00085629" w:rsidP="00085629">
      <w:pPr>
        <w:pStyle w:val="ListParagraph"/>
        <w:numPr>
          <w:ilvl w:val="0"/>
          <w:numId w:val="0"/>
        </w:numPr>
        <w:ind w:left="360"/>
        <w:jc w:val="both"/>
      </w:pPr>
    </w:p>
    <w:p w14:paraId="148F603B" w14:textId="6DC3C930" w:rsidR="00085629" w:rsidRPr="0004176C" w:rsidRDefault="00085629" w:rsidP="00085629">
      <w:pPr>
        <w:jc w:val="both"/>
        <w:rPr>
          <w:b/>
          <w:sz w:val="22"/>
          <w:szCs w:val="22"/>
        </w:rPr>
      </w:pPr>
      <w:r w:rsidRPr="0004176C">
        <w:rPr>
          <w:b/>
          <w:sz w:val="22"/>
          <w:szCs w:val="22"/>
        </w:rPr>
        <w:t>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14"/>
        <w:gridCol w:w="1627"/>
        <w:gridCol w:w="1354"/>
        <w:gridCol w:w="1440"/>
      </w:tblGrid>
      <w:tr w:rsidR="004C70E2" w:rsidRPr="0004176C" w14:paraId="474F77C6" w14:textId="77777777" w:rsidTr="005C7E85">
        <w:trPr>
          <w:trHeight w:hRule="exact" w:val="432"/>
        </w:trPr>
        <w:tc>
          <w:tcPr>
            <w:tcW w:w="1440" w:type="dxa"/>
            <w:gridSpan w:val="5"/>
            <w:shd w:val="clear" w:color="auto" w:fill="C6D9F1" w:themeFill="text2" w:themeFillTint="33"/>
          </w:tcPr>
          <w:p w14:paraId="1928A505" w14:textId="77777777" w:rsidR="004C70E2" w:rsidRPr="0004176C" w:rsidRDefault="004C70E2" w:rsidP="00D90E5C">
            <w:pPr>
              <w:jc w:val="center"/>
              <w:rPr>
                <w:rFonts w:eastAsia="Calibri"/>
                <w:b/>
                <w:bCs/>
                <w:i/>
                <w:iCs/>
                <w:sz w:val="20"/>
                <w:szCs w:val="20"/>
              </w:rPr>
            </w:pPr>
            <w:r w:rsidRPr="0004176C">
              <w:rPr>
                <w:b/>
                <w:bCs/>
                <w:i/>
                <w:iCs/>
                <w:sz w:val="20"/>
                <w:szCs w:val="20"/>
              </w:rPr>
              <w:t>CE #4: Increase in Resources Leveraged*</w:t>
            </w:r>
          </w:p>
        </w:tc>
      </w:tr>
      <w:tr w:rsidR="004C70E2" w:rsidRPr="0004176C" w14:paraId="041AEBBC" w14:textId="77777777" w:rsidTr="005C7E85">
        <w:trPr>
          <w:trHeight w:hRule="exact" w:val="576"/>
        </w:trPr>
        <w:tc>
          <w:tcPr>
            <w:tcW w:w="3240" w:type="dxa"/>
            <w:shd w:val="clear" w:color="auto" w:fill="D9D9D9" w:themeFill="background1" w:themeFillShade="D9"/>
          </w:tcPr>
          <w:p w14:paraId="4EB2C14B" w14:textId="77777777" w:rsidR="004C70E2" w:rsidRPr="0004176C" w:rsidRDefault="004C70E2" w:rsidP="00D90E5C">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tcPr>
          <w:p w14:paraId="3AAE3655" w14:textId="77777777" w:rsidR="004C70E2" w:rsidRPr="0004176C" w:rsidRDefault="004C70E2" w:rsidP="00D90E5C">
            <w:pPr>
              <w:jc w:val="center"/>
              <w:rPr>
                <w:rFonts w:eastAsia="Calibri"/>
                <w:b/>
                <w:bCs/>
                <w:sz w:val="20"/>
                <w:szCs w:val="20"/>
              </w:rPr>
            </w:pPr>
            <w:r w:rsidRPr="0004176C">
              <w:rPr>
                <w:rFonts w:eastAsia="Calibri"/>
                <w:b/>
                <w:bCs/>
                <w:sz w:val="20"/>
                <w:szCs w:val="20"/>
              </w:rPr>
              <w:t>Baseline</w:t>
            </w:r>
          </w:p>
        </w:tc>
        <w:tc>
          <w:tcPr>
            <w:tcW w:w="1627" w:type="dxa"/>
            <w:shd w:val="clear" w:color="auto" w:fill="D9D9D9" w:themeFill="background1" w:themeFillShade="D9"/>
          </w:tcPr>
          <w:p w14:paraId="48673DC9" w14:textId="77777777" w:rsidR="004C70E2" w:rsidRPr="0004176C" w:rsidRDefault="004C70E2" w:rsidP="00D90E5C">
            <w:pPr>
              <w:jc w:val="center"/>
              <w:rPr>
                <w:rFonts w:eastAsia="Calibri"/>
                <w:b/>
                <w:bCs/>
                <w:sz w:val="20"/>
                <w:szCs w:val="20"/>
              </w:rPr>
            </w:pPr>
            <w:r w:rsidRPr="0004176C">
              <w:rPr>
                <w:rFonts w:eastAsia="Calibri"/>
                <w:b/>
                <w:bCs/>
                <w:sz w:val="20"/>
                <w:szCs w:val="20"/>
              </w:rPr>
              <w:t>Benchmark</w:t>
            </w:r>
          </w:p>
        </w:tc>
        <w:tc>
          <w:tcPr>
            <w:tcW w:w="1354" w:type="dxa"/>
            <w:shd w:val="clear" w:color="auto" w:fill="D9D9D9" w:themeFill="background1" w:themeFillShade="D9"/>
          </w:tcPr>
          <w:p w14:paraId="3BBA18DE" w14:textId="77777777" w:rsidR="004C70E2" w:rsidRPr="0004176C" w:rsidRDefault="004C70E2" w:rsidP="00D90E5C">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tcPr>
          <w:p w14:paraId="6D58D61C" w14:textId="77777777" w:rsidR="004C70E2" w:rsidRPr="0004176C" w:rsidRDefault="004C70E2" w:rsidP="00D90E5C">
            <w:pPr>
              <w:jc w:val="center"/>
              <w:rPr>
                <w:rFonts w:eastAsia="Calibri"/>
                <w:b/>
                <w:bCs/>
                <w:sz w:val="20"/>
                <w:szCs w:val="20"/>
              </w:rPr>
            </w:pPr>
            <w:r w:rsidRPr="0004176C">
              <w:rPr>
                <w:rFonts w:eastAsia="Calibri"/>
                <w:b/>
                <w:bCs/>
                <w:sz w:val="20"/>
                <w:szCs w:val="20"/>
              </w:rPr>
              <w:t>Benchmark Achieved?</w:t>
            </w:r>
          </w:p>
        </w:tc>
      </w:tr>
      <w:tr w:rsidR="004C70E2" w:rsidRPr="0004176C" w14:paraId="3F48A4FE" w14:textId="77777777" w:rsidTr="005C7E85">
        <w:trPr>
          <w:trHeight w:val="314"/>
        </w:trPr>
        <w:tc>
          <w:tcPr>
            <w:tcW w:w="3240" w:type="dxa"/>
            <w:shd w:val="clear" w:color="auto" w:fill="auto"/>
          </w:tcPr>
          <w:p w14:paraId="17D22CA5" w14:textId="77777777" w:rsidR="004C70E2" w:rsidRPr="0004176C" w:rsidRDefault="004C70E2" w:rsidP="00D90E5C">
            <w:pPr>
              <w:rPr>
                <w:rFonts w:eastAsia="Calibri"/>
                <w:b/>
                <w:bCs/>
                <w:i/>
                <w:iCs/>
                <w:sz w:val="20"/>
                <w:szCs w:val="20"/>
              </w:rPr>
            </w:pPr>
            <w:r w:rsidRPr="0004176C">
              <w:rPr>
                <w:sz w:val="20"/>
                <w:szCs w:val="20"/>
              </w:rPr>
              <w:t>Amount of funds leveraged in dollars (increase).</w:t>
            </w:r>
          </w:p>
        </w:tc>
        <w:tc>
          <w:tcPr>
            <w:tcW w:w="1714" w:type="dxa"/>
            <w:shd w:val="clear" w:color="auto" w:fill="auto"/>
          </w:tcPr>
          <w:p w14:paraId="750762E5" w14:textId="77777777" w:rsidR="004C70E2" w:rsidRPr="0004176C" w:rsidRDefault="004C70E2" w:rsidP="00816599">
            <w:pPr>
              <w:jc w:val="center"/>
              <w:rPr>
                <w:rFonts w:eastAsia="Calibri"/>
                <w:bCs/>
                <w:iCs/>
                <w:sz w:val="20"/>
                <w:szCs w:val="20"/>
              </w:rPr>
            </w:pPr>
            <w:r w:rsidRPr="0004176C">
              <w:rPr>
                <w:rFonts w:eastAsia="Calibri"/>
                <w:bCs/>
                <w:iCs/>
                <w:sz w:val="20"/>
                <w:szCs w:val="20"/>
              </w:rPr>
              <w:t>$0.00</w:t>
            </w:r>
          </w:p>
        </w:tc>
        <w:tc>
          <w:tcPr>
            <w:tcW w:w="1627" w:type="dxa"/>
            <w:shd w:val="clear" w:color="auto" w:fill="auto"/>
          </w:tcPr>
          <w:p w14:paraId="3769EACC" w14:textId="77777777" w:rsidR="004C70E2" w:rsidRPr="0004176C" w:rsidRDefault="004C70E2" w:rsidP="00816599">
            <w:pPr>
              <w:jc w:val="center"/>
              <w:rPr>
                <w:rFonts w:eastAsia="Calibri"/>
                <w:bCs/>
                <w:iCs/>
                <w:sz w:val="20"/>
                <w:szCs w:val="20"/>
              </w:rPr>
            </w:pPr>
            <w:r w:rsidRPr="0004176C">
              <w:rPr>
                <w:rFonts w:eastAsia="Calibri"/>
                <w:bCs/>
                <w:iCs/>
                <w:sz w:val="20"/>
                <w:szCs w:val="20"/>
              </w:rPr>
              <w:t>$0.00</w:t>
            </w:r>
          </w:p>
        </w:tc>
        <w:tc>
          <w:tcPr>
            <w:tcW w:w="1354" w:type="dxa"/>
            <w:shd w:val="clear" w:color="auto" w:fill="auto"/>
          </w:tcPr>
          <w:p w14:paraId="75615478" w14:textId="088AF59F" w:rsidR="004C70E2" w:rsidRPr="0004176C" w:rsidRDefault="004C70E2" w:rsidP="00816599">
            <w:pPr>
              <w:jc w:val="center"/>
              <w:rPr>
                <w:rFonts w:eastAsia="Calibri"/>
                <w:b/>
                <w:bCs/>
                <w:i/>
                <w:iCs/>
                <w:sz w:val="20"/>
                <w:szCs w:val="20"/>
              </w:rPr>
            </w:pPr>
          </w:p>
        </w:tc>
        <w:tc>
          <w:tcPr>
            <w:tcW w:w="1440" w:type="dxa"/>
            <w:shd w:val="clear" w:color="auto" w:fill="auto"/>
          </w:tcPr>
          <w:p w14:paraId="31F280EC" w14:textId="0093F375" w:rsidR="004C70E2" w:rsidRPr="0004176C" w:rsidRDefault="004C70E2" w:rsidP="00816599">
            <w:pPr>
              <w:jc w:val="center"/>
              <w:rPr>
                <w:rFonts w:eastAsia="Calibri"/>
                <w:bCs/>
                <w:iCs/>
                <w:sz w:val="20"/>
                <w:szCs w:val="20"/>
              </w:rPr>
            </w:pPr>
          </w:p>
        </w:tc>
      </w:tr>
      <w:tr w:rsidR="004C70E2" w:rsidRPr="0004176C" w14:paraId="36EAA169" w14:textId="77777777" w:rsidTr="005C7E85">
        <w:trPr>
          <w:trHeight w:val="314"/>
        </w:trPr>
        <w:tc>
          <w:tcPr>
            <w:tcW w:w="1440" w:type="dxa"/>
            <w:gridSpan w:val="5"/>
            <w:shd w:val="clear" w:color="auto" w:fill="auto"/>
          </w:tcPr>
          <w:p w14:paraId="60EE7425" w14:textId="77777777" w:rsidR="004C70E2" w:rsidRPr="0004176C" w:rsidRDefault="004C70E2" w:rsidP="00D90E5C">
            <w:pPr>
              <w:rPr>
                <w:rFonts w:eastAsia="Calibri"/>
                <w:bCs/>
                <w:i/>
                <w:iCs/>
                <w:sz w:val="20"/>
                <w:szCs w:val="20"/>
              </w:rPr>
            </w:pPr>
            <w:r w:rsidRPr="0004176C">
              <w:rPr>
                <w:rFonts w:eastAsia="Calibri"/>
                <w:bCs/>
                <w:i/>
                <w:iCs/>
                <w:sz w:val="20"/>
                <w:szCs w:val="20"/>
              </w:rPr>
              <w:t>*</w:t>
            </w:r>
            <w:r w:rsidRPr="0004176C">
              <w:rPr>
                <w:i/>
                <w:sz w:val="20"/>
                <w:szCs w:val="20"/>
              </w:rPr>
              <w:t xml:space="preserve"> This metric has been required by HUD. DHCD does not leverage funds in connection with this activity and does not consider this metric applicable to this activity.</w:t>
            </w:r>
          </w:p>
        </w:tc>
      </w:tr>
      <w:tr w:rsidR="004C70E2" w:rsidRPr="0004176C" w14:paraId="249DAF33" w14:textId="77777777" w:rsidTr="005C7E85">
        <w:trPr>
          <w:trHeight w:hRule="exact" w:val="432"/>
        </w:trPr>
        <w:tc>
          <w:tcPr>
            <w:tcW w:w="1440" w:type="dxa"/>
            <w:gridSpan w:val="5"/>
            <w:shd w:val="clear" w:color="auto" w:fill="C6D9F1" w:themeFill="text2" w:themeFillTint="33"/>
            <w:hideMark/>
          </w:tcPr>
          <w:p w14:paraId="623EF72F" w14:textId="77777777" w:rsidR="004C70E2" w:rsidRPr="0004176C" w:rsidRDefault="004C70E2" w:rsidP="00D90E5C">
            <w:pPr>
              <w:jc w:val="center"/>
              <w:rPr>
                <w:rFonts w:eastAsia="Calibri"/>
                <w:b/>
                <w:bCs/>
                <w:i/>
                <w:iCs/>
                <w:sz w:val="20"/>
                <w:szCs w:val="20"/>
              </w:rPr>
            </w:pPr>
            <w:r w:rsidRPr="0004176C">
              <w:rPr>
                <w:rFonts w:eastAsia="Calibri"/>
                <w:b/>
                <w:bCs/>
                <w:i/>
                <w:iCs/>
                <w:sz w:val="20"/>
                <w:szCs w:val="20"/>
              </w:rPr>
              <w:t>SS #1: Increase in Household Income</w:t>
            </w:r>
          </w:p>
        </w:tc>
      </w:tr>
      <w:tr w:rsidR="004C70E2" w:rsidRPr="0004176C" w14:paraId="7240E59B" w14:textId="77777777" w:rsidTr="005C7E85">
        <w:trPr>
          <w:trHeight w:hRule="exact" w:val="576"/>
        </w:trPr>
        <w:tc>
          <w:tcPr>
            <w:tcW w:w="3240" w:type="dxa"/>
            <w:shd w:val="clear" w:color="auto" w:fill="D9D9D9" w:themeFill="background1" w:themeFillShade="D9"/>
            <w:hideMark/>
          </w:tcPr>
          <w:p w14:paraId="50570B4C" w14:textId="77777777" w:rsidR="004C70E2" w:rsidRPr="0004176C" w:rsidRDefault="004C70E2" w:rsidP="00D90E5C">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hideMark/>
          </w:tcPr>
          <w:p w14:paraId="36593F4C" w14:textId="77777777" w:rsidR="004C70E2" w:rsidRPr="0004176C" w:rsidRDefault="004C70E2" w:rsidP="00D90E5C">
            <w:pPr>
              <w:jc w:val="center"/>
              <w:rPr>
                <w:rFonts w:eastAsia="Calibri"/>
                <w:b/>
                <w:bCs/>
                <w:sz w:val="20"/>
                <w:szCs w:val="20"/>
              </w:rPr>
            </w:pPr>
            <w:r w:rsidRPr="0004176C">
              <w:rPr>
                <w:rFonts w:eastAsia="Calibri"/>
                <w:b/>
                <w:bCs/>
                <w:sz w:val="20"/>
                <w:szCs w:val="20"/>
              </w:rPr>
              <w:t>Baseline</w:t>
            </w:r>
          </w:p>
        </w:tc>
        <w:tc>
          <w:tcPr>
            <w:tcW w:w="1627" w:type="dxa"/>
            <w:shd w:val="clear" w:color="auto" w:fill="D9D9D9" w:themeFill="background1" w:themeFillShade="D9"/>
            <w:hideMark/>
          </w:tcPr>
          <w:p w14:paraId="18DE148A" w14:textId="77777777" w:rsidR="004C70E2" w:rsidRPr="0004176C" w:rsidRDefault="004C70E2" w:rsidP="00D90E5C">
            <w:pPr>
              <w:jc w:val="center"/>
              <w:rPr>
                <w:rFonts w:eastAsia="Calibri"/>
                <w:b/>
                <w:bCs/>
                <w:sz w:val="20"/>
                <w:szCs w:val="20"/>
              </w:rPr>
            </w:pPr>
            <w:r w:rsidRPr="0004176C">
              <w:rPr>
                <w:rFonts w:eastAsia="Calibri"/>
                <w:b/>
                <w:bCs/>
                <w:sz w:val="20"/>
                <w:szCs w:val="20"/>
              </w:rPr>
              <w:t>Benchmark</w:t>
            </w:r>
          </w:p>
        </w:tc>
        <w:tc>
          <w:tcPr>
            <w:tcW w:w="1354" w:type="dxa"/>
            <w:shd w:val="clear" w:color="auto" w:fill="D9D9D9" w:themeFill="background1" w:themeFillShade="D9"/>
            <w:hideMark/>
          </w:tcPr>
          <w:p w14:paraId="1AC6A204" w14:textId="77777777" w:rsidR="004C70E2" w:rsidRPr="0004176C" w:rsidRDefault="004C70E2" w:rsidP="00D90E5C">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hideMark/>
          </w:tcPr>
          <w:p w14:paraId="5142298D" w14:textId="77777777" w:rsidR="004C70E2" w:rsidRPr="0004176C" w:rsidRDefault="004C70E2" w:rsidP="00D90E5C">
            <w:pPr>
              <w:jc w:val="center"/>
              <w:rPr>
                <w:rFonts w:eastAsia="Calibri"/>
                <w:b/>
                <w:bCs/>
                <w:sz w:val="20"/>
                <w:szCs w:val="20"/>
              </w:rPr>
            </w:pPr>
            <w:r w:rsidRPr="0004176C">
              <w:rPr>
                <w:rFonts w:eastAsia="Calibri"/>
                <w:b/>
                <w:bCs/>
                <w:sz w:val="20"/>
                <w:szCs w:val="20"/>
              </w:rPr>
              <w:t>Benchmark Achieved?</w:t>
            </w:r>
          </w:p>
        </w:tc>
      </w:tr>
      <w:tr w:rsidR="004C70E2" w:rsidRPr="0004176C" w14:paraId="4685753D" w14:textId="77777777" w:rsidTr="005C7E85">
        <w:trPr>
          <w:trHeight w:val="836"/>
        </w:trPr>
        <w:tc>
          <w:tcPr>
            <w:tcW w:w="3240" w:type="dxa"/>
            <w:shd w:val="clear" w:color="auto" w:fill="auto"/>
            <w:hideMark/>
          </w:tcPr>
          <w:p w14:paraId="3EB54DEA" w14:textId="77777777" w:rsidR="004C70E2" w:rsidRPr="0004176C" w:rsidRDefault="004C70E2" w:rsidP="00D90E5C">
            <w:pPr>
              <w:rPr>
                <w:rFonts w:eastAsia="Calibri"/>
                <w:sz w:val="20"/>
                <w:szCs w:val="20"/>
              </w:rPr>
            </w:pPr>
            <w:r w:rsidRPr="0004176C">
              <w:rPr>
                <w:rFonts w:eastAsia="Calibri"/>
                <w:sz w:val="20"/>
                <w:szCs w:val="20"/>
              </w:rPr>
              <w:t>Average earned income of households affected by this policy in dollars (increase).</w:t>
            </w:r>
          </w:p>
        </w:tc>
        <w:tc>
          <w:tcPr>
            <w:tcW w:w="1714" w:type="dxa"/>
            <w:shd w:val="clear" w:color="auto" w:fill="auto"/>
            <w:hideMark/>
          </w:tcPr>
          <w:p w14:paraId="4C7AE558" w14:textId="77777777" w:rsidR="004C70E2" w:rsidRPr="0004176C" w:rsidRDefault="004C70E2" w:rsidP="00816599">
            <w:pPr>
              <w:jc w:val="center"/>
              <w:rPr>
                <w:rFonts w:eastAsia="Calibri"/>
                <w:sz w:val="20"/>
                <w:szCs w:val="20"/>
              </w:rPr>
            </w:pPr>
            <w:r w:rsidRPr="0004176C">
              <w:rPr>
                <w:rFonts w:eastAsia="Calibri"/>
                <w:sz w:val="20"/>
                <w:szCs w:val="20"/>
              </w:rPr>
              <w:t>$18,937</w:t>
            </w:r>
          </w:p>
        </w:tc>
        <w:tc>
          <w:tcPr>
            <w:tcW w:w="1627" w:type="dxa"/>
            <w:shd w:val="clear" w:color="auto" w:fill="auto"/>
            <w:hideMark/>
          </w:tcPr>
          <w:p w14:paraId="21BD4AEB" w14:textId="77777777" w:rsidR="004C70E2" w:rsidRPr="0004176C" w:rsidRDefault="004C70E2" w:rsidP="00816599">
            <w:pPr>
              <w:jc w:val="center"/>
              <w:rPr>
                <w:rFonts w:eastAsia="Calibri"/>
                <w:sz w:val="20"/>
                <w:szCs w:val="20"/>
              </w:rPr>
            </w:pPr>
            <w:r w:rsidRPr="0004176C">
              <w:rPr>
                <w:rFonts w:eastAsia="Calibri"/>
                <w:sz w:val="20"/>
                <w:szCs w:val="20"/>
              </w:rPr>
              <w:t>$27,957</w:t>
            </w:r>
          </w:p>
        </w:tc>
        <w:tc>
          <w:tcPr>
            <w:tcW w:w="1354" w:type="dxa"/>
            <w:shd w:val="clear" w:color="auto" w:fill="auto"/>
          </w:tcPr>
          <w:p w14:paraId="75EFED10" w14:textId="4F4E0B3B" w:rsidR="004C70E2" w:rsidRPr="0004176C" w:rsidRDefault="004C70E2" w:rsidP="00816599">
            <w:pPr>
              <w:jc w:val="center"/>
              <w:rPr>
                <w:rFonts w:eastAsia="Calibri"/>
                <w:sz w:val="20"/>
                <w:szCs w:val="20"/>
              </w:rPr>
            </w:pPr>
          </w:p>
        </w:tc>
        <w:tc>
          <w:tcPr>
            <w:tcW w:w="1440" w:type="dxa"/>
            <w:shd w:val="clear" w:color="auto" w:fill="auto"/>
          </w:tcPr>
          <w:p w14:paraId="10667AE6" w14:textId="768354EB" w:rsidR="004C70E2" w:rsidRPr="0004176C" w:rsidRDefault="004C70E2" w:rsidP="00816599">
            <w:pPr>
              <w:jc w:val="center"/>
              <w:rPr>
                <w:rFonts w:eastAsia="Calibri"/>
                <w:sz w:val="20"/>
                <w:szCs w:val="20"/>
              </w:rPr>
            </w:pPr>
          </w:p>
        </w:tc>
      </w:tr>
      <w:tr w:rsidR="004C70E2" w:rsidRPr="0004176C" w14:paraId="664F9B86" w14:textId="77777777" w:rsidTr="005C7E85">
        <w:trPr>
          <w:trHeight w:hRule="exact" w:val="432"/>
        </w:trPr>
        <w:tc>
          <w:tcPr>
            <w:tcW w:w="1440" w:type="dxa"/>
            <w:gridSpan w:val="5"/>
            <w:shd w:val="clear" w:color="auto" w:fill="C6D9F1" w:themeFill="text2" w:themeFillTint="33"/>
            <w:hideMark/>
          </w:tcPr>
          <w:p w14:paraId="08EF7B08" w14:textId="77777777" w:rsidR="004C70E2" w:rsidRPr="0004176C" w:rsidRDefault="004C70E2" w:rsidP="00D90E5C">
            <w:pPr>
              <w:jc w:val="center"/>
              <w:rPr>
                <w:rFonts w:eastAsia="Calibri"/>
                <w:b/>
                <w:bCs/>
                <w:i/>
                <w:iCs/>
                <w:sz w:val="20"/>
                <w:szCs w:val="20"/>
              </w:rPr>
            </w:pPr>
            <w:r w:rsidRPr="0004176C">
              <w:rPr>
                <w:rFonts w:eastAsia="Calibri"/>
                <w:b/>
                <w:bCs/>
                <w:i/>
                <w:iCs/>
                <w:sz w:val="20"/>
                <w:szCs w:val="20"/>
              </w:rPr>
              <w:t>SS #2: Increase in Household Savings</w:t>
            </w:r>
          </w:p>
        </w:tc>
      </w:tr>
      <w:tr w:rsidR="004C70E2" w:rsidRPr="0004176C" w14:paraId="7387CB7B" w14:textId="77777777" w:rsidTr="005C7E85">
        <w:trPr>
          <w:trHeight w:hRule="exact" w:val="576"/>
        </w:trPr>
        <w:tc>
          <w:tcPr>
            <w:tcW w:w="3240" w:type="dxa"/>
            <w:shd w:val="clear" w:color="auto" w:fill="D9D9D9" w:themeFill="background1" w:themeFillShade="D9"/>
            <w:hideMark/>
          </w:tcPr>
          <w:p w14:paraId="170E57AC" w14:textId="77777777" w:rsidR="004C70E2" w:rsidRPr="0004176C" w:rsidRDefault="004C70E2" w:rsidP="00D90E5C">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hideMark/>
          </w:tcPr>
          <w:p w14:paraId="1C461BDB" w14:textId="77777777" w:rsidR="004C70E2" w:rsidRPr="0004176C" w:rsidRDefault="004C70E2" w:rsidP="00D90E5C">
            <w:pPr>
              <w:jc w:val="center"/>
              <w:rPr>
                <w:rFonts w:eastAsia="Calibri"/>
                <w:b/>
                <w:bCs/>
                <w:sz w:val="20"/>
                <w:szCs w:val="20"/>
              </w:rPr>
            </w:pPr>
            <w:r w:rsidRPr="0004176C">
              <w:rPr>
                <w:rFonts w:eastAsia="Calibri"/>
                <w:b/>
                <w:bCs/>
                <w:sz w:val="20"/>
                <w:szCs w:val="20"/>
              </w:rPr>
              <w:t>Baseline</w:t>
            </w:r>
          </w:p>
        </w:tc>
        <w:tc>
          <w:tcPr>
            <w:tcW w:w="1627" w:type="dxa"/>
            <w:shd w:val="clear" w:color="auto" w:fill="D9D9D9" w:themeFill="background1" w:themeFillShade="D9"/>
            <w:hideMark/>
          </w:tcPr>
          <w:p w14:paraId="48A76724" w14:textId="77777777" w:rsidR="004C70E2" w:rsidRPr="0004176C" w:rsidRDefault="004C70E2" w:rsidP="00D90E5C">
            <w:pPr>
              <w:jc w:val="center"/>
              <w:rPr>
                <w:rFonts w:eastAsia="Calibri"/>
                <w:b/>
                <w:bCs/>
                <w:sz w:val="20"/>
                <w:szCs w:val="20"/>
              </w:rPr>
            </w:pPr>
            <w:r w:rsidRPr="0004176C">
              <w:rPr>
                <w:rFonts w:eastAsia="Calibri"/>
                <w:b/>
                <w:bCs/>
                <w:sz w:val="20"/>
                <w:szCs w:val="20"/>
              </w:rPr>
              <w:t>Benchmark</w:t>
            </w:r>
          </w:p>
        </w:tc>
        <w:tc>
          <w:tcPr>
            <w:tcW w:w="1354" w:type="dxa"/>
            <w:shd w:val="clear" w:color="auto" w:fill="D9D9D9" w:themeFill="background1" w:themeFillShade="D9"/>
            <w:hideMark/>
          </w:tcPr>
          <w:p w14:paraId="592CADF6" w14:textId="77777777" w:rsidR="004C70E2" w:rsidRPr="0004176C" w:rsidRDefault="004C70E2" w:rsidP="00D90E5C">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hideMark/>
          </w:tcPr>
          <w:p w14:paraId="221AA710" w14:textId="77777777" w:rsidR="004C70E2" w:rsidRPr="0004176C" w:rsidRDefault="004C70E2" w:rsidP="00D90E5C">
            <w:pPr>
              <w:jc w:val="center"/>
              <w:rPr>
                <w:rFonts w:eastAsia="Calibri"/>
                <w:b/>
                <w:bCs/>
                <w:sz w:val="20"/>
                <w:szCs w:val="20"/>
              </w:rPr>
            </w:pPr>
            <w:r w:rsidRPr="0004176C">
              <w:rPr>
                <w:rFonts w:eastAsia="Calibri"/>
                <w:b/>
                <w:bCs/>
                <w:sz w:val="20"/>
                <w:szCs w:val="20"/>
              </w:rPr>
              <w:t>Benchmark Achieved?</w:t>
            </w:r>
          </w:p>
        </w:tc>
      </w:tr>
      <w:tr w:rsidR="004C70E2" w:rsidRPr="0004176C" w14:paraId="6B0D1109" w14:textId="77777777" w:rsidTr="005C7E85">
        <w:tc>
          <w:tcPr>
            <w:tcW w:w="3240" w:type="dxa"/>
            <w:shd w:val="clear" w:color="auto" w:fill="auto"/>
            <w:hideMark/>
          </w:tcPr>
          <w:p w14:paraId="3B961024" w14:textId="77777777" w:rsidR="004C70E2" w:rsidRPr="0004176C" w:rsidRDefault="004C70E2" w:rsidP="00D90E5C">
            <w:pPr>
              <w:rPr>
                <w:rFonts w:eastAsia="Calibri"/>
                <w:sz w:val="20"/>
                <w:szCs w:val="20"/>
              </w:rPr>
            </w:pPr>
            <w:r w:rsidRPr="0004176C">
              <w:rPr>
                <w:rFonts w:eastAsia="Calibri"/>
                <w:sz w:val="20"/>
                <w:szCs w:val="20"/>
              </w:rPr>
              <w:t xml:space="preserve">Average amount of </w:t>
            </w:r>
            <w:r w:rsidRPr="0004176C">
              <w:rPr>
                <w:rFonts w:eastAsia="Calibri"/>
                <w:b/>
                <w:sz w:val="20"/>
                <w:szCs w:val="20"/>
              </w:rPr>
              <w:t>escrow</w:t>
            </w:r>
            <w:r w:rsidRPr="0004176C">
              <w:rPr>
                <w:rFonts w:eastAsia="Calibri"/>
                <w:sz w:val="20"/>
                <w:szCs w:val="20"/>
              </w:rPr>
              <w:t xml:space="preserve"> of households affected by this policy in dollars (increase).</w:t>
            </w:r>
          </w:p>
        </w:tc>
        <w:tc>
          <w:tcPr>
            <w:tcW w:w="1714" w:type="dxa"/>
            <w:shd w:val="clear" w:color="auto" w:fill="auto"/>
            <w:hideMark/>
          </w:tcPr>
          <w:p w14:paraId="06F602A2" w14:textId="77777777" w:rsidR="004C70E2" w:rsidRPr="0004176C" w:rsidRDefault="004C70E2" w:rsidP="00816599">
            <w:pPr>
              <w:jc w:val="center"/>
              <w:rPr>
                <w:rFonts w:eastAsia="Calibri"/>
                <w:sz w:val="20"/>
                <w:szCs w:val="20"/>
              </w:rPr>
            </w:pPr>
            <w:r w:rsidRPr="0004176C">
              <w:rPr>
                <w:rFonts w:eastAsia="Calibri"/>
                <w:sz w:val="20"/>
                <w:szCs w:val="20"/>
              </w:rPr>
              <w:t>$0.00</w:t>
            </w:r>
          </w:p>
        </w:tc>
        <w:tc>
          <w:tcPr>
            <w:tcW w:w="1627" w:type="dxa"/>
            <w:shd w:val="clear" w:color="auto" w:fill="auto"/>
            <w:hideMark/>
          </w:tcPr>
          <w:p w14:paraId="26CFB441" w14:textId="6D15F264" w:rsidR="004C70E2" w:rsidRPr="0004176C" w:rsidRDefault="00F403A3" w:rsidP="00816599">
            <w:pPr>
              <w:jc w:val="center"/>
              <w:rPr>
                <w:rFonts w:eastAsia="Calibri"/>
                <w:sz w:val="20"/>
                <w:szCs w:val="20"/>
              </w:rPr>
            </w:pPr>
            <w:r w:rsidRPr="0004176C">
              <w:rPr>
                <w:rFonts w:eastAsia="Calibri"/>
                <w:sz w:val="20"/>
                <w:szCs w:val="20"/>
              </w:rPr>
              <w:t>$1,</w:t>
            </w:r>
            <w:r w:rsidR="00F772D5" w:rsidRPr="0004176C">
              <w:rPr>
                <w:rFonts w:eastAsia="Calibri"/>
                <w:sz w:val="20"/>
                <w:szCs w:val="20"/>
              </w:rPr>
              <w:t>150</w:t>
            </w:r>
          </w:p>
        </w:tc>
        <w:tc>
          <w:tcPr>
            <w:tcW w:w="1354" w:type="dxa"/>
            <w:shd w:val="clear" w:color="auto" w:fill="auto"/>
          </w:tcPr>
          <w:p w14:paraId="0942EC52" w14:textId="1AA701B9" w:rsidR="004C70E2" w:rsidRPr="0004176C" w:rsidRDefault="004C70E2" w:rsidP="00816599">
            <w:pPr>
              <w:jc w:val="center"/>
              <w:rPr>
                <w:rFonts w:eastAsia="Calibri"/>
                <w:sz w:val="20"/>
                <w:szCs w:val="20"/>
              </w:rPr>
            </w:pPr>
          </w:p>
        </w:tc>
        <w:tc>
          <w:tcPr>
            <w:tcW w:w="1440" w:type="dxa"/>
            <w:shd w:val="clear" w:color="auto" w:fill="auto"/>
          </w:tcPr>
          <w:p w14:paraId="6770BCEF" w14:textId="0EA59628" w:rsidR="004C70E2" w:rsidRPr="0004176C" w:rsidRDefault="004C70E2" w:rsidP="00816599">
            <w:pPr>
              <w:jc w:val="center"/>
              <w:rPr>
                <w:rFonts w:eastAsia="Calibri"/>
                <w:sz w:val="20"/>
                <w:szCs w:val="20"/>
              </w:rPr>
            </w:pPr>
          </w:p>
        </w:tc>
      </w:tr>
      <w:tr w:rsidR="004C70E2" w:rsidRPr="0004176C" w14:paraId="022FDE0D" w14:textId="77777777" w:rsidTr="005C7E85">
        <w:trPr>
          <w:trHeight w:val="710"/>
        </w:trPr>
        <w:tc>
          <w:tcPr>
            <w:tcW w:w="3240" w:type="dxa"/>
            <w:shd w:val="clear" w:color="auto" w:fill="auto"/>
          </w:tcPr>
          <w:p w14:paraId="6F537BE8" w14:textId="77777777" w:rsidR="004C70E2" w:rsidRPr="0004176C" w:rsidRDefault="004C70E2" w:rsidP="00D90E5C">
            <w:pPr>
              <w:rPr>
                <w:rFonts w:eastAsia="Calibri"/>
                <w:sz w:val="20"/>
                <w:szCs w:val="20"/>
              </w:rPr>
            </w:pPr>
            <w:r w:rsidRPr="0004176C">
              <w:rPr>
                <w:rFonts w:eastAsia="Calibri"/>
                <w:sz w:val="20"/>
                <w:szCs w:val="20"/>
              </w:rPr>
              <w:t xml:space="preserve">Average amount of </w:t>
            </w:r>
            <w:r w:rsidRPr="0004176C">
              <w:rPr>
                <w:rFonts w:eastAsia="Calibri"/>
                <w:b/>
                <w:sz w:val="20"/>
                <w:szCs w:val="20"/>
              </w:rPr>
              <w:t>savings</w:t>
            </w:r>
            <w:r w:rsidRPr="0004176C">
              <w:rPr>
                <w:rFonts w:eastAsia="Calibri"/>
                <w:sz w:val="20"/>
                <w:szCs w:val="20"/>
              </w:rPr>
              <w:t xml:space="preserve"> of households affected by this policy in dollars (increase).</w:t>
            </w:r>
          </w:p>
        </w:tc>
        <w:tc>
          <w:tcPr>
            <w:tcW w:w="1714" w:type="dxa"/>
            <w:shd w:val="clear" w:color="auto" w:fill="auto"/>
          </w:tcPr>
          <w:p w14:paraId="70C55403" w14:textId="77777777" w:rsidR="004C70E2" w:rsidRPr="0004176C" w:rsidRDefault="004C70E2" w:rsidP="00816599">
            <w:pPr>
              <w:jc w:val="center"/>
              <w:rPr>
                <w:rFonts w:eastAsia="Calibri"/>
                <w:sz w:val="20"/>
                <w:szCs w:val="20"/>
              </w:rPr>
            </w:pPr>
            <w:r w:rsidRPr="0004176C">
              <w:rPr>
                <w:rFonts w:eastAsia="Calibri"/>
                <w:sz w:val="20"/>
                <w:szCs w:val="20"/>
              </w:rPr>
              <w:t>$0.00</w:t>
            </w:r>
          </w:p>
        </w:tc>
        <w:tc>
          <w:tcPr>
            <w:tcW w:w="1627" w:type="dxa"/>
            <w:shd w:val="clear" w:color="auto" w:fill="auto"/>
          </w:tcPr>
          <w:p w14:paraId="5D34E41C" w14:textId="77777777" w:rsidR="004C70E2" w:rsidRPr="0004176C" w:rsidRDefault="004C70E2" w:rsidP="00816599">
            <w:pPr>
              <w:jc w:val="center"/>
              <w:rPr>
                <w:rFonts w:eastAsia="Calibri"/>
                <w:sz w:val="20"/>
                <w:szCs w:val="20"/>
              </w:rPr>
            </w:pPr>
            <w:r w:rsidRPr="0004176C">
              <w:rPr>
                <w:rFonts w:eastAsia="Calibri"/>
                <w:sz w:val="20"/>
                <w:szCs w:val="20"/>
              </w:rPr>
              <w:t>$381</w:t>
            </w:r>
          </w:p>
        </w:tc>
        <w:tc>
          <w:tcPr>
            <w:tcW w:w="1354" w:type="dxa"/>
            <w:shd w:val="clear" w:color="auto" w:fill="auto"/>
          </w:tcPr>
          <w:p w14:paraId="511FEB19" w14:textId="250ABA22" w:rsidR="004C70E2" w:rsidRPr="0004176C" w:rsidRDefault="004C70E2" w:rsidP="00816599">
            <w:pPr>
              <w:jc w:val="center"/>
              <w:rPr>
                <w:rFonts w:eastAsia="Calibri"/>
                <w:sz w:val="20"/>
                <w:szCs w:val="20"/>
              </w:rPr>
            </w:pPr>
          </w:p>
        </w:tc>
        <w:tc>
          <w:tcPr>
            <w:tcW w:w="1440" w:type="dxa"/>
            <w:shd w:val="clear" w:color="auto" w:fill="auto"/>
          </w:tcPr>
          <w:p w14:paraId="508B119F" w14:textId="1123539B" w:rsidR="004C70E2" w:rsidRPr="0004176C" w:rsidRDefault="004C70E2" w:rsidP="00816599">
            <w:pPr>
              <w:jc w:val="center"/>
              <w:rPr>
                <w:rFonts w:eastAsia="Calibri"/>
                <w:sz w:val="20"/>
                <w:szCs w:val="20"/>
              </w:rPr>
            </w:pPr>
          </w:p>
        </w:tc>
      </w:tr>
      <w:tr w:rsidR="004C70E2" w:rsidRPr="0004176C" w14:paraId="4D57E8C3" w14:textId="77777777" w:rsidTr="005C7E85">
        <w:trPr>
          <w:trHeight w:hRule="exact" w:val="432"/>
        </w:trPr>
        <w:tc>
          <w:tcPr>
            <w:tcW w:w="1440" w:type="dxa"/>
            <w:gridSpan w:val="5"/>
            <w:shd w:val="clear" w:color="auto" w:fill="C6D9F1" w:themeFill="text2" w:themeFillTint="33"/>
            <w:hideMark/>
          </w:tcPr>
          <w:p w14:paraId="016651AC" w14:textId="77777777" w:rsidR="004C70E2" w:rsidRPr="0004176C" w:rsidRDefault="004C70E2" w:rsidP="00D90E5C">
            <w:pPr>
              <w:jc w:val="center"/>
              <w:rPr>
                <w:rFonts w:eastAsia="Calibri"/>
                <w:b/>
                <w:bCs/>
                <w:i/>
                <w:iCs/>
                <w:sz w:val="20"/>
                <w:szCs w:val="20"/>
              </w:rPr>
            </w:pPr>
            <w:r w:rsidRPr="0004176C">
              <w:rPr>
                <w:rFonts w:eastAsia="Calibri"/>
                <w:b/>
                <w:bCs/>
                <w:i/>
                <w:iCs/>
                <w:sz w:val="20"/>
                <w:szCs w:val="20"/>
              </w:rPr>
              <w:t>SS #3: Increase in Positive Outcomes in Employment Status</w:t>
            </w:r>
          </w:p>
        </w:tc>
      </w:tr>
      <w:tr w:rsidR="004C70E2" w:rsidRPr="0004176C" w14:paraId="2B90521B" w14:textId="77777777" w:rsidTr="005C7E85">
        <w:trPr>
          <w:trHeight w:hRule="exact" w:val="576"/>
        </w:trPr>
        <w:tc>
          <w:tcPr>
            <w:tcW w:w="3240" w:type="dxa"/>
            <w:shd w:val="clear" w:color="auto" w:fill="D9D9D9" w:themeFill="background1" w:themeFillShade="D9"/>
            <w:hideMark/>
          </w:tcPr>
          <w:p w14:paraId="408950EF" w14:textId="77777777" w:rsidR="004C70E2" w:rsidRPr="0004176C" w:rsidRDefault="004C70E2" w:rsidP="00D90E5C">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hideMark/>
          </w:tcPr>
          <w:p w14:paraId="6EF2AE39" w14:textId="72A335EB" w:rsidR="004C70E2" w:rsidRPr="0004176C" w:rsidRDefault="004C70E2" w:rsidP="00D90E5C">
            <w:pPr>
              <w:jc w:val="center"/>
              <w:rPr>
                <w:rFonts w:eastAsia="Calibri"/>
                <w:b/>
                <w:bCs/>
                <w:sz w:val="20"/>
                <w:szCs w:val="20"/>
              </w:rPr>
            </w:pPr>
            <w:r w:rsidRPr="0004176C">
              <w:rPr>
                <w:rFonts w:eastAsia="Calibri"/>
                <w:b/>
                <w:bCs/>
                <w:sz w:val="20"/>
                <w:szCs w:val="20"/>
              </w:rPr>
              <w:t>Baseline</w:t>
            </w:r>
            <w:r w:rsidR="005763F0" w:rsidRPr="0004176C">
              <w:rPr>
                <w:rFonts w:eastAsia="Calibri"/>
                <w:b/>
                <w:bCs/>
                <w:sz w:val="20"/>
                <w:szCs w:val="20"/>
              </w:rPr>
              <w:t>*</w:t>
            </w:r>
          </w:p>
        </w:tc>
        <w:tc>
          <w:tcPr>
            <w:tcW w:w="1627" w:type="dxa"/>
            <w:shd w:val="clear" w:color="auto" w:fill="D9D9D9" w:themeFill="background1" w:themeFillShade="D9"/>
            <w:hideMark/>
          </w:tcPr>
          <w:p w14:paraId="6F12B2E5" w14:textId="77777777" w:rsidR="004C70E2" w:rsidRPr="0004176C" w:rsidRDefault="004C70E2" w:rsidP="00D90E5C">
            <w:pPr>
              <w:jc w:val="center"/>
              <w:rPr>
                <w:rFonts w:eastAsia="Calibri"/>
                <w:b/>
                <w:bCs/>
                <w:sz w:val="20"/>
                <w:szCs w:val="20"/>
              </w:rPr>
            </w:pPr>
            <w:r w:rsidRPr="0004176C">
              <w:rPr>
                <w:rFonts w:eastAsia="Calibri"/>
                <w:b/>
                <w:bCs/>
                <w:sz w:val="20"/>
                <w:szCs w:val="20"/>
              </w:rPr>
              <w:t>Benchmark</w:t>
            </w:r>
          </w:p>
        </w:tc>
        <w:tc>
          <w:tcPr>
            <w:tcW w:w="1354" w:type="dxa"/>
            <w:shd w:val="clear" w:color="auto" w:fill="D9D9D9" w:themeFill="background1" w:themeFillShade="D9"/>
            <w:hideMark/>
          </w:tcPr>
          <w:p w14:paraId="3B65F480" w14:textId="77777777" w:rsidR="004C70E2" w:rsidRPr="0004176C" w:rsidRDefault="004C70E2" w:rsidP="00D90E5C">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hideMark/>
          </w:tcPr>
          <w:p w14:paraId="5161AF56" w14:textId="77777777" w:rsidR="004C70E2" w:rsidRPr="0004176C" w:rsidRDefault="004C70E2" w:rsidP="00D90E5C">
            <w:pPr>
              <w:jc w:val="center"/>
              <w:rPr>
                <w:rFonts w:eastAsia="Calibri"/>
                <w:b/>
                <w:bCs/>
                <w:sz w:val="20"/>
                <w:szCs w:val="20"/>
              </w:rPr>
            </w:pPr>
            <w:r w:rsidRPr="0004176C">
              <w:rPr>
                <w:rFonts w:eastAsia="Calibri"/>
                <w:b/>
                <w:bCs/>
                <w:sz w:val="20"/>
                <w:szCs w:val="20"/>
              </w:rPr>
              <w:t>Benchmark Achieved?</w:t>
            </w:r>
          </w:p>
        </w:tc>
      </w:tr>
      <w:tr w:rsidR="004C70E2" w:rsidRPr="0004176C" w14:paraId="00152E8C" w14:textId="77777777" w:rsidTr="005C7E85">
        <w:trPr>
          <w:trHeight w:val="315"/>
        </w:trPr>
        <w:tc>
          <w:tcPr>
            <w:tcW w:w="3240" w:type="dxa"/>
            <w:vMerge w:val="restart"/>
            <w:shd w:val="clear" w:color="auto" w:fill="auto"/>
          </w:tcPr>
          <w:p w14:paraId="5AAAA3CF" w14:textId="77777777" w:rsidR="004C70E2" w:rsidRPr="0004176C" w:rsidRDefault="004C70E2" w:rsidP="00D90E5C">
            <w:pPr>
              <w:rPr>
                <w:rFonts w:eastAsia="Calibri"/>
                <w:sz w:val="20"/>
                <w:szCs w:val="20"/>
              </w:rPr>
            </w:pPr>
            <w:r w:rsidRPr="0004176C">
              <w:rPr>
                <w:rFonts w:eastAsia="Calibri"/>
                <w:sz w:val="20"/>
                <w:szCs w:val="20"/>
              </w:rPr>
              <w:t>Unemployed</w:t>
            </w:r>
          </w:p>
        </w:tc>
        <w:tc>
          <w:tcPr>
            <w:tcW w:w="1714" w:type="dxa"/>
            <w:shd w:val="clear" w:color="auto" w:fill="auto"/>
          </w:tcPr>
          <w:p w14:paraId="5F5B1969" w14:textId="77777777" w:rsidR="004C70E2" w:rsidRPr="0004176C" w:rsidRDefault="004C70E2" w:rsidP="00816599">
            <w:pPr>
              <w:jc w:val="center"/>
              <w:rPr>
                <w:rFonts w:eastAsia="Calibri"/>
                <w:sz w:val="20"/>
                <w:szCs w:val="20"/>
              </w:rPr>
            </w:pPr>
            <w:r w:rsidRPr="0004176C">
              <w:rPr>
                <w:rFonts w:eastAsia="Calibri"/>
                <w:sz w:val="20"/>
                <w:szCs w:val="20"/>
              </w:rPr>
              <w:t>1 participant</w:t>
            </w:r>
          </w:p>
        </w:tc>
        <w:tc>
          <w:tcPr>
            <w:tcW w:w="1627" w:type="dxa"/>
            <w:shd w:val="clear" w:color="auto" w:fill="auto"/>
          </w:tcPr>
          <w:p w14:paraId="44EAA97C" w14:textId="77777777" w:rsidR="004C70E2" w:rsidRPr="0004176C" w:rsidRDefault="004C70E2" w:rsidP="00816599">
            <w:pPr>
              <w:jc w:val="center"/>
              <w:rPr>
                <w:rFonts w:eastAsia="Calibri"/>
                <w:sz w:val="20"/>
                <w:szCs w:val="20"/>
              </w:rPr>
            </w:pPr>
            <w:r w:rsidRPr="0004176C">
              <w:rPr>
                <w:rFonts w:eastAsia="Calibri"/>
                <w:sz w:val="20"/>
                <w:szCs w:val="20"/>
              </w:rPr>
              <w:t>10 participants</w:t>
            </w:r>
          </w:p>
        </w:tc>
        <w:tc>
          <w:tcPr>
            <w:tcW w:w="1354" w:type="dxa"/>
            <w:shd w:val="clear" w:color="auto" w:fill="auto"/>
          </w:tcPr>
          <w:p w14:paraId="7974D9CD" w14:textId="7CABFCC3" w:rsidR="004C70E2" w:rsidRPr="0004176C" w:rsidRDefault="004C70E2" w:rsidP="00816599">
            <w:pPr>
              <w:jc w:val="center"/>
              <w:rPr>
                <w:rFonts w:eastAsia="Calibri"/>
                <w:sz w:val="20"/>
                <w:szCs w:val="20"/>
              </w:rPr>
            </w:pPr>
          </w:p>
        </w:tc>
        <w:tc>
          <w:tcPr>
            <w:tcW w:w="1440" w:type="dxa"/>
            <w:shd w:val="clear" w:color="auto" w:fill="auto"/>
          </w:tcPr>
          <w:p w14:paraId="12D492EC" w14:textId="178A4F1A" w:rsidR="004C70E2" w:rsidRPr="0004176C" w:rsidRDefault="004C70E2" w:rsidP="00816599">
            <w:pPr>
              <w:jc w:val="center"/>
              <w:rPr>
                <w:rFonts w:eastAsia="Calibri"/>
                <w:sz w:val="20"/>
                <w:szCs w:val="20"/>
              </w:rPr>
            </w:pPr>
          </w:p>
        </w:tc>
      </w:tr>
      <w:tr w:rsidR="004C70E2" w:rsidRPr="0004176C" w14:paraId="62373D6C" w14:textId="77777777" w:rsidTr="005C7E85">
        <w:trPr>
          <w:trHeight w:val="315"/>
        </w:trPr>
        <w:tc>
          <w:tcPr>
            <w:tcW w:w="3240" w:type="dxa"/>
            <w:vMerge/>
            <w:shd w:val="clear" w:color="auto" w:fill="auto"/>
          </w:tcPr>
          <w:p w14:paraId="47A756EC" w14:textId="77777777" w:rsidR="004C70E2" w:rsidRPr="0004176C" w:rsidRDefault="004C70E2" w:rsidP="00D90E5C">
            <w:pPr>
              <w:rPr>
                <w:rFonts w:eastAsia="Calibri"/>
                <w:sz w:val="20"/>
                <w:szCs w:val="20"/>
              </w:rPr>
            </w:pPr>
          </w:p>
        </w:tc>
        <w:tc>
          <w:tcPr>
            <w:tcW w:w="1714" w:type="dxa"/>
            <w:shd w:val="clear" w:color="auto" w:fill="auto"/>
          </w:tcPr>
          <w:p w14:paraId="79BE8010" w14:textId="77777777" w:rsidR="004C70E2" w:rsidRPr="0004176C" w:rsidRDefault="004C70E2" w:rsidP="00816599">
            <w:pPr>
              <w:jc w:val="center"/>
              <w:rPr>
                <w:rFonts w:eastAsia="Calibri"/>
                <w:sz w:val="20"/>
                <w:szCs w:val="20"/>
              </w:rPr>
            </w:pPr>
            <w:r w:rsidRPr="0004176C">
              <w:rPr>
                <w:rFonts w:eastAsia="Calibri"/>
                <w:sz w:val="20"/>
                <w:szCs w:val="20"/>
              </w:rPr>
              <w:t>1% of participants</w:t>
            </w:r>
          </w:p>
        </w:tc>
        <w:tc>
          <w:tcPr>
            <w:tcW w:w="1627" w:type="dxa"/>
            <w:shd w:val="clear" w:color="auto" w:fill="auto"/>
          </w:tcPr>
          <w:p w14:paraId="1C43D59C" w14:textId="77777777" w:rsidR="004C70E2" w:rsidRPr="0004176C" w:rsidRDefault="004C70E2" w:rsidP="00816599">
            <w:pPr>
              <w:jc w:val="center"/>
              <w:rPr>
                <w:rFonts w:eastAsia="Calibri"/>
                <w:sz w:val="20"/>
                <w:szCs w:val="20"/>
              </w:rPr>
            </w:pPr>
            <w:r w:rsidRPr="0004176C">
              <w:rPr>
                <w:rFonts w:eastAsia="Calibri"/>
                <w:sz w:val="20"/>
                <w:szCs w:val="20"/>
              </w:rPr>
              <w:t>20% of participants</w:t>
            </w:r>
          </w:p>
        </w:tc>
        <w:tc>
          <w:tcPr>
            <w:tcW w:w="1354" w:type="dxa"/>
            <w:shd w:val="clear" w:color="auto" w:fill="auto"/>
          </w:tcPr>
          <w:p w14:paraId="71667572" w14:textId="48816C0E" w:rsidR="004C70E2" w:rsidRPr="0004176C" w:rsidRDefault="004C70E2" w:rsidP="00816599">
            <w:pPr>
              <w:jc w:val="center"/>
              <w:rPr>
                <w:rFonts w:eastAsia="Calibri"/>
                <w:sz w:val="20"/>
                <w:szCs w:val="20"/>
              </w:rPr>
            </w:pPr>
          </w:p>
        </w:tc>
        <w:tc>
          <w:tcPr>
            <w:tcW w:w="1440" w:type="dxa"/>
            <w:shd w:val="clear" w:color="auto" w:fill="auto"/>
          </w:tcPr>
          <w:p w14:paraId="02B483F7" w14:textId="77777777" w:rsidR="004C70E2" w:rsidRPr="0004176C" w:rsidRDefault="004C70E2" w:rsidP="00816599">
            <w:pPr>
              <w:jc w:val="center"/>
              <w:rPr>
                <w:rFonts w:eastAsia="Calibri"/>
                <w:sz w:val="20"/>
                <w:szCs w:val="20"/>
              </w:rPr>
            </w:pPr>
          </w:p>
        </w:tc>
      </w:tr>
      <w:tr w:rsidR="004C70E2" w:rsidRPr="0004176C" w14:paraId="5107DF1B" w14:textId="77777777" w:rsidTr="005C7E85">
        <w:trPr>
          <w:trHeight w:val="315"/>
        </w:trPr>
        <w:tc>
          <w:tcPr>
            <w:tcW w:w="3240" w:type="dxa"/>
            <w:vMerge w:val="restart"/>
            <w:shd w:val="clear" w:color="auto" w:fill="auto"/>
            <w:hideMark/>
          </w:tcPr>
          <w:p w14:paraId="7C3C35E5" w14:textId="76E756F1" w:rsidR="004C70E2" w:rsidRPr="0004176C" w:rsidRDefault="001E7A7F" w:rsidP="00D90E5C">
            <w:pPr>
              <w:rPr>
                <w:rFonts w:eastAsia="Calibri"/>
                <w:sz w:val="20"/>
                <w:szCs w:val="20"/>
              </w:rPr>
            </w:pPr>
            <w:r w:rsidRPr="0004176C">
              <w:rPr>
                <w:rFonts w:eastAsia="Calibri"/>
                <w:sz w:val="20"/>
                <w:szCs w:val="20"/>
              </w:rPr>
              <w:t>Employed Part-Time or Full-Time</w:t>
            </w:r>
          </w:p>
        </w:tc>
        <w:tc>
          <w:tcPr>
            <w:tcW w:w="1714" w:type="dxa"/>
            <w:shd w:val="clear" w:color="auto" w:fill="auto"/>
            <w:hideMark/>
          </w:tcPr>
          <w:p w14:paraId="2CEC84FC" w14:textId="77777777" w:rsidR="004C70E2" w:rsidRPr="0004176C" w:rsidRDefault="004C70E2" w:rsidP="00816599">
            <w:pPr>
              <w:jc w:val="center"/>
              <w:rPr>
                <w:rFonts w:eastAsia="Calibri"/>
                <w:sz w:val="20"/>
                <w:szCs w:val="20"/>
              </w:rPr>
            </w:pPr>
            <w:r w:rsidRPr="0004176C">
              <w:rPr>
                <w:rFonts w:eastAsia="Calibri"/>
                <w:sz w:val="20"/>
                <w:szCs w:val="20"/>
              </w:rPr>
              <w:t>85 participants</w:t>
            </w:r>
          </w:p>
        </w:tc>
        <w:tc>
          <w:tcPr>
            <w:tcW w:w="1627" w:type="dxa"/>
            <w:shd w:val="clear" w:color="auto" w:fill="auto"/>
            <w:hideMark/>
          </w:tcPr>
          <w:p w14:paraId="08B67584" w14:textId="77777777" w:rsidR="004C70E2" w:rsidRPr="0004176C" w:rsidRDefault="004C70E2" w:rsidP="00816599">
            <w:pPr>
              <w:jc w:val="center"/>
              <w:rPr>
                <w:rFonts w:eastAsia="Calibri"/>
                <w:sz w:val="20"/>
                <w:szCs w:val="20"/>
              </w:rPr>
            </w:pPr>
            <w:r w:rsidRPr="0004176C">
              <w:rPr>
                <w:rFonts w:eastAsia="Calibri"/>
                <w:sz w:val="20"/>
                <w:szCs w:val="20"/>
              </w:rPr>
              <w:t>40 participants</w:t>
            </w:r>
          </w:p>
        </w:tc>
        <w:tc>
          <w:tcPr>
            <w:tcW w:w="1354" w:type="dxa"/>
            <w:shd w:val="clear" w:color="auto" w:fill="auto"/>
          </w:tcPr>
          <w:p w14:paraId="5AC704BF" w14:textId="7AA2C2A8" w:rsidR="004C70E2" w:rsidRPr="0004176C" w:rsidRDefault="004C70E2" w:rsidP="00816599">
            <w:pPr>
              <w:jc w:val="center"/>
              <w:rPr>
                <w:rFonts w:eastAsia="Calibri"/>
                <w:sz w:val="20"/>
                <w:szCs w:val="20"/>
              </w:rPr>
            </w:pPr>
          </w:p>
        </w:tc>
        <w:tc>
          <w:tcPr>
            <w:tcW w:w="1440" w:type="dxa"/>
            <w:shd w:val="clear" w:color="auto" w:fill="auto"/>
          </w:tcPr>
          <w:p w14:paraId="200DEB48" w14:textId="3009591C" w:rsidR="004C70E2" w:rsidRPr="0004176C" w:rsidRDefault="004C70E2" w:rsidP="00816599">
            <w:pPr>
              <w:jc w:val="center"/>
              <w:rPr>
                <w:rFonts w:eastAsia="Calibri"/>
                <w:sz w:val="20"/>
                <w:szCs w:val="20"/>
              </w:rPr>
            </w:pPr>
          </w:p>
        </w:tc>
      </w:tr>
      <w:tr w:rsidR="004C70E2" w:rsidRPr="0004176C" w14:paraId="0EB1F92B" w14:textId="77777777" w:rsidTr="005C7E85">
        <w:trPr>
          <w:trHeight w:val="315"/>
        </w:trPr>
        <w:tc>
          <w:tcPr>
            <w:tcW w:w="3240" w:type="dxa"/>
            <w:vMerge/>
            <w:shd w:val="clear" w:color="auto" w:fill="auto"/>
            <w:hideMark/>
          </w:tcPr>
          <w:p w14:paraId="3606E042" w14:textId="77777777" w:rsidR="004C70E2" w:rsidRPr="0004176C" w:rsidRDefault="004C70E2" w:rsidP="00D90E5C">
            <w:pPr>
              <w:rPr>
                <w:rFonts w:eastAsia="Calibri"/>
                <w:sz w:val="20"/>
                <w:szCs w:val="20"/>
              </w:rPr>
            </w:pPr>
          </w:p>
        </w:tc>
        <w:tc>
          <w:tcPr>
            <w:tcW w:w="1714" w:type="dxa"/>
            <w:shd w:val="clear" w:color="auto" w:fill="auto"/>
            <w:hideMark/>
          </w:tcPr>
          <w:p w14:paraId="40D60876" w14:textId="77777777" w:rsidR="004C70E2" w:rsidRPr="0004176C" w:rsidRDefault="004C70E2" w:rsidP="00816599">
            <w:pPr>
              <w:jc w:val="center"/>
              <w:rPr>
                <w:rFonts w:eastAsia="Calibri"/>
                <w:sz w:val="20"/>
                <w:szCs w:val="20"/>
              </w:rPr>
            </w:pPr>
            <w:r w:rsidRPr="0004176C">
              <w:rPr>
                <w:rFonts w:eastAsia="Calibri"/>
                <w:sz w:val="20"/>
                <w:szCs w:val="20"/>
              </w:rPr>
              <w:t>99% of participants</w:t>
            </w:r>
          </w:p>
        </w:tc>
        <w:tc>
          <w:tcPr>
            <w:tcW w:w="1627" w:type="dxa"/>
            <w:shd w:val="clear" w:color="auto" w:fill="auto"/>
            <w:hideMark/>
          </w:tcPr>
          <w:p w14:paraId="6E0F7174" w14:textId="77777777" w:rsidR="004C70E2" w:rsidRPr="0004176C" w:rsidRDefault="004C70E2" w:rsidP="00816599">
            <w:pPr>
              <w:jc w:val="center"/>
              <w:rPr>
                <w:rFonts w:eastAsia="Calibri"/>
                <w:sz w:val="20"/>
                <w:szCs w:val="20"/>
              </w:rPr>
            </w:pPr>
            <w:r w:rsidRPr="0004176C">
              <w:rPr>
                <w:rFonts w:eastAsia="Calibri"/>
                <w:sz w:val="20"/>
                <w:szCs w:val="20"/>
              </w:rPr>
              <w:t>80% of participants</w:t>
            </w:r>
          </w:p>
        </w:tc>
        <w:tc>
          <w:tcPr>
            <w:tcW w:w="1354" w:type="dxa"/>
            <w:shd w:val="clear" w:color="auto" w:fill="auto"/>
          </w:tcPr>
          <w:p w14:paraId="61806021" w14:textId="4970A757" w:rsidR="004C70E2" w:rsidRPr="0004176C" w:rsidRDefault="004C70E2" w:rsidP="00816599">
            <w:pPr>
              <w:jc w:val="center"/>
              <w:rPr>
                <w:rFonts w:eastAsia="Calibri"/>
                <w:sz w:val="20"/>
                <w:szCs w:val="20"/>
              </w:rPr>
            </w:pPr>
          </w:p>
        </w:tc>
        <w:tc>
          <w:tcPr>
            <w:tcW w:w="1440" w:type="dxa"/>
            <w:shd w:val="clear" w:color="auto" w:fill="auto"/>
          </w:tcPr>
          <w:p w14:paraId="14F4CEE6" w14:textId="77777777" w:rsidR="004C70E2" w:rsidRPr="0004176C" w:rsidRDefault="004C70E2" w:rsidP="00816599">
            <w:pPr>
              <w:jc w:val="center"/>
              <w:rPr>
                <w:rFonts w:eastAsia="Calibri"/>
                <w:sz w:val="20"/>
                <w:szCs w:val="20"/>
              </w:rPr>
            </w:pPr>
          </w:p>
        </w:tc>
      </w:tr>
      <w:tr w:rsidR="00A6312B" w:rsidRPr="0004176C" w14:paraId="17F73BDA" w14:textId="77777777" w:rsidTr="005C7E85">
        <w:trPr>
          <w:trHeight w:val="315"/>
        </w:trPr>
        <w:tc>
          <w:tcPr>
            <w:tcW w:w="3240" w:type="dxa"/>
            <w:vMerge w:val="restart"/>
            <w:shd w:val="clear" w:color="auto" w:fill="auto"/>
          </w:tcPr>
          <w:p w14:paraId="5CB08F28" w14:textId="1274C17A" w:rsidR="00A6312B" w:rsidRPr="0004176C" w:rsidRDefault="00A6312B" w:rsidP="00A6312B">
            <w:pPr>
              <w:rPr>
                <w:rFonts w:eastAsia="Calibri"/>
                <w:sz w:val="20"/>
                <w:szCs w:val="20"/>
              </w:rPr>
            </w:pPr>
            <w:r w:rsidRPr="0004176C">
              <w:rPr>
                <w:rFonts w:eastAsia="Calibri"/>
                <w:sz w:val="20"/>
                <w:szCs w:val="20"/>
              </w:rPr>
              <w:t>Enrolled in an  Educational Program or Job Training</w:t>
            </w:r>
            <w:r w:rsidR="005763F0" w:rsidRPr="0004176C">
              <w:rPr>
                <w:rFonts w:eastAsia="Calibri"/>
                <w:sz w:val="20"/>
                <w:szCs w:val="20"/>
              </w:rPr>
              <w:t>**</w:t>
            </w:r>
          </w:p>
        </w:tc>
        <w:tc>
          <w:tcPr>
            <w:tcW w:w="1714" w:type="dxa"/>
            <w:shd w:val="clear" w:color="auto" w:fill="auto"/>
          </w:tcPr>
          <w:p w14:paraId="7C70D5A2" w14:textId="77777777" w:rsidR="00A6312B" w:rsidRPr="0004176C" w:rsidRDefault="00A6312B" w:rsidP="00A6312B">
            <w:pPr>
              <w:jc w:val="center"/>
              <w:rPr>
                <w:rFonts w:eastAsia="Calibri"/>
                <w:sz w:val="20"/>
                <w:szCs w:val="20"/>
              </w:rPr>
            </w:pPr>
            <w:r w:rsidRPr="0004176C">
              <w:rPr>
                <w:rFonts w:eastAsia="Calibri"/>
                <w:sz w:val="20"/>
                <w:szCs w:val="20"/>
              </w:rPr>
              <w:t>0 participants</w:t>
            </w:r>
          </w:p>
        </w:tc>
        <w:tc>
          <w:tcPr>
            <w:tcW w:w="1627" w:type="dxa"/>
            <w:shd w:val="clear" w:color="auto" w:fill="auto"/>
          </w:tcPr>
          <w:p w14:paraId="0FC09B78" w14:textId="702C0690" w:rsidR="00A6312B" w:rsidRPr="0004176C" w:rsidRDefault="005763F0" w:rsidP="00A6312B">
            <w:pPr>
              <w:jc w:val="center"/>
              <w:rPr>
                <w:rFonts w:eastAsia="Calibri"/>
                <w:sz w:val="20"/>
                <w:szCs w:val="20"/>
              </w:rPr>
            </w:pPr>
            <w:r w:rsidRPr="0004176C">
              <w:rPr>
                <w:rFonts w:eastAsia="Calibri"/>
                <w:sz w:val="20"/>
                <w:szCs w:val="20"/>
              </w:rPr>
              <w:t>4</w:t>
            </w:r>
            <w:r w:rsidR="00A6312B" w:rsidRPr="0004176C">
              <w:rPr>
                <w:rFonts w:eastAsia="Calibri"/>
                <w:sz w:val="20"/>
                <w:szCs w:val="20"/>
              </w:rPr>
              <w:t xml:space="preserve"> participants</w:t>
            </w:r>
          </w:p>
        </w:tc>
        <w:tc>
          <w:tcPr>
            <w:tcW w:w="1354" w:type="dxa"/>
            <w:shd w:val="clear" w:color="auto" w:fill="auto"/>
          </w:tcPr>
          <w:p w14:paraId="6B19088F" w14:textId="11545400" w:rsidR="00A6312B" w:rsidRPr="0004176C" w:rsidRDefault="00A6312B" w:rsidP="00A6312B">
            <w:pPr>
              <w:jc w:val="center"/>
              <w:rPr>
                <w:rFonts w:eastAsia="Calibri"/>
                <w:sz w:val="20"/>
                <w:szCs w:val="20"/>
              </w:rPr>
            </w:pPr>
          </w:p>
        </w:tc>
        <w:tc>
          <w:tcPr>
            <w:tcW w:w="1440" w:type="dxa"/>
            <w:shd w:val="clear" w:color="auto" w:fill="auto"/>
          </w:tcPr>
          <w:p w14:paraId="3A6A381B" w14:textId="71AC57A4" w:rsidR="00A6312B" w:rsidRPr="0004176C" w:rsidRDefault="00A6312B" w:rsidP="00A6312B">
            <w:pPr>
              <w:jc w:val="center"/>
              <w:rPr>
                <w:rFonts w:eastAsia="Calibri"/>
                <w:sz w:val="20"/>
                <w:szCs w:val="20"/>
              </w:rPr>
            </w:pPr>
          </w:p>
        </w:tc>
      </w:tr>
      <w:tr w:rsidR="00A6312B" w:rsidRPr="0004176C" w14:paraId="68CBE62E" w14:textId="77777777" w:rsidTr="005C7E85">
        <w:trPr>
          <w:trHeight w:val="315"/>
        </w:trPr>
        <w:tc>
          <w:tcPr>
            <w:tcW w:w="3240" w:type="dxa"/>
            <w:vMerge/>
            <w:shd w:val="clear" w:color="auto" w:fill="auto"/>
          </w:tcPr>
          <w:p w14:paraId="02BFDE16" w14:textId="77777777" w:rsidR="00A6312B" w:rsidRPr="0004176C" w:rsidRDefault="00A6312B" w:rsidP="00A6312B">
            <w:pPr>
              <w:rPr>
                <w:rFonts w:eastAsia="Calibri"/>
                <w:sz w:val="20"/>
                <w:szCs w:val="20"/>
              </w:rPr>
            </w:pPr>
          </w:p>
        </w:tc>
        <w:tc>
          <w:tcPr>
            <w:tcW w:w="1714" w:type="dxa"/>
            <w:shd w:val="clear" w:color="auto" w:fill="auto"/>
          </w:tcPr>
          <w:p w14:paraId="15B794D6" w14:textId="77777777" w:rsidR="00A6312B" w:rsidRPr="0004176C" w:rsidRDefault="00A6312B" w:rsidP="00A6312B">
            <w:pPr>
              <w:jc w:val="center"/>
              <w:rPr>
                <w:rFonts w:eastAsia="Calibri"/>
                <w:sz w:val="20"/>
                <w:szCs w:val="20"/>
              </w:rPr>
            </w:pPr>
            <w:r w:rsidRPr="0004176C">
              <w:rPr>
                <w:rFonts w:eastAsia="Calibri"/>
                <w:sz w:val="20"/>
                <w:szCs w:val="20"/>
              </w:rPr>
              <w:t>0% of participants</w:t>
            </w:r>
          </w:p>
        </w:tc>
        <w:tc>
          <w:tcPr>
            <w:tcW w:w="1627" w:type="dxa"/>
            <w:shd w:val="clear" w:color="auto" w:fill="auto"/>
          </w:tcPr>
          <w:p w14:paraId="3ED59AFB" w14:textId="04769AE4" w:rsidR="00A6312B" w:rsidRPr="0004176C" w:rsidRDefault="005763F0" w:rsidP="00A6312B">
            <w:pPr>
              <w:jc w:val="center"/>
              <w:rPr>
                <w:rFonts w:eastAsia="Calibri"/>
                <w:sz w:val="20"/>
                <w:szCs w:val="20"/>
              </w:rPr>
            </w:pPr>
            <w:r w:rsidRPr="0004176C">
              <w:rPr>
                <w:rFonts w:eastAsia="Calibri"/>
                <w:sz w:val="20"/>
                <w:szCs w:val="20"/>
              </w:rPr>
              <w:t>8</w:t>
            </w:r>
            <w:r w:rsidR="00A6312B" w:rsidRPr="0004176C">
              <w:rPr>
                <w:rFonts w:eastAsia="Calibri"/>
                <w:sz w:val="20"/>
                <w:szCs w:val="20"/>
              </w:rPr>
              <w:t>% of participants</w:t>
            </w:r>
          </w:p>
        </w:tc>
        <w:tc>
          <w:tcPr>
            <w:tcW w:w="1354" w:type="dxa"/>
            <w:shd w:val="clear" w:color="auto" w:fill="auto"/>
          </w:tcPr>
          <w:p w14:paraId="23A7535F" w14:textId="4F4C4631" w:rsidR="00A6312B" w:rsidRPr="0004176C" w:rsidRDefault="00A6312B" w:rsidP="00A6312B">
            <w:pPr>
              <w:jc w:val="center"/>
              <w:rPr>
                <w:rFonts w:eastAsia="Calibri"/>
                <w:sz w:val="20"/>
                <w:szCs w:val="20"/>
              </w:rPr>
            </w:pPr>
          </w:p>
        </w:tc>
        <w:tc>
          <w:tcPr>
            <w:tcW w:w="1440" w:type="dxa"/>
            <w:shd w:val="clear" w:color="auto" w:fill="auto"/>
          </w:tcPr>
          <w:p w14:paraId="6536223A" w14:textId="77777777" w:rsidR="00A6312B" w:rsidRPr="0004176C" w:rsidRDefault="00A6312B" w:rsidP="00A6312B">
            <w:pPr>
              <w:jc w:val="center"/>
              <w:rPr>
                <w:rFonts w:eastAsia="Calibri"/>
                <w:sz w:val="20"/>
                <w:szCs w:val="20"/>
              </w:rPr>
            </w:pPr>
          </w:p>
        </w:tc>
      </w:tr>
      <w:tr w:rsidR="00A6312B" w:rsidRPr="0004176C" w14:paraId="1237FCF0" w14:textId="77777777" w:rsidTr="005763F0">
        <w:trPr>
          <w:trHeight w:hRule="exact" w:val="1090"/>
        </w:trPr>
        <w:tc>
          <w:tcPr>
            <w:tcW w:w="1440" w:type="dxa"/>
            <w:gridSpan w:val="5"/>
            <w:shd w:val="clear" w:color="auto" w:fill="auto"/>
          </w:tcPr>
          <w:p w14:paraId="50D6D049" w14:textId="68DE76C4" w:rsidR="005763F0" w:rsidRPr="0004176C" w:rsidRDefault="005763F0" w:rsidP="00A6312B">
            <w:pPr>
              <w:rPr>
                <w:bCs/>
                <w:i/>
                <w:iCs/>
                <w:sz w:val="20"/>
                <w:szCs w:val="20"/>
              </w:rPr>
            </w:pPr>
            <w:r w:rsidRPr="0004176C">
              <w:rPr>
                <w:bCs/>
                <w:i/>
                <w:iCs/>
                <w:sz w:val="20"/>
                <w:szCs w:val="20"/>
              </w:rPr>
              <w:t xml:space="preserve">*Baseline numbers represents data from program implementation at which time two agencies administered the FES program. Currently only 1 agency administers the FES program and the target participation is 50 households </w:t>
            </w:r>
          </w:p>
          <w:p w14:paraId="7D1B0FBF" w14:textId="04D59613" w:rsidR="00A6312B" w:rsidRPr="0004176C" w:rsidRDefault="005763F0" w:rsidP="00A6312B">
            <w:pPr>
              <w:rPr>
                <w:bCs/>
                <w:i/>
                <w:iCs/>
                <w:sz w:val="20"/>
                <w:szCs w:val="20"/>
              </w:rPr>
            </w:pPr>
            <w:r w:rsidRPr="0004176C">
              <w:rPr>
                <w:bCs/>
                <w:i/>
                <w:iCs/>
                <w:sz w:val="20"/>
                <w:szCs w:val="20"/>
              </w:rPr>
              <w:t>*</w:t>
            </w:r>
            <w:r w:rsidR="00A6312B" w:rsidRPr="0004176C">
              <w:rPr>
                <w:bCs/>
                <w:i/>
                <w:iCs/>
                <w:sz w:val="20"/>
                <w:szCs w:val="20"/>
              </w:rPr>
              <w:t xml:space="preserve">*Participation </w:t>
            </w:r>
            <w:r w:rsidRPr="0004176C">
              <w:rPr>
                <w:bCs/>
                <w:i/>
                <w:iCs/>
                <w:sz w:val="20"/>
                <w:szCs w:val="20"/>
              </w:rPr>
              <w:t>i</w:t>
            </w:r>
            <w:r w:rsidR="00A6312B" w:rsidRPr="0004176C">
              <w:rPr>
                <w:bCs/>
                <w:i/>
                <w:iCs/>
                <w:sz w:val="20"/>
                <w:szCs w:val="20"/>
              </w:rPr>
              <w:t>n education is required only at some point in the program.  Totals will vary based on when current participants participate in their required education component.</w:t>
            </w:r>
          </w:p>
        </w:tc>
      </w:tr>
      <w:tr w:rsidR="00A6312B" w:rsidRPr="0004176C" w14:paraId="5DC5D5C5" w14:textId="77777777" w:rsidTr="005C7E85">
        <w:trPr>
          <w:trHeight w:hRule="exact" w:val="432"/>
        </w:trPr>
        <w:tc>
          <w:tcPr>
            <w:tcW w:w="1440" w:type="dxa"/>
            <w:gridSpan w:val="5"/>
            <w:shd w:val="clear" w:color="auto" w:fill="C6D9F1" w:themeFill="text2" w:themeFillTint="33"/>
          </w:tcPr>
          <w:p w14:paraId="08EF420E" w14:textId="77777777" w:rsidR="00A6312B" w:rsidRPr="0004176C" w:rsidRDefault="00A6312B" w:rsidP="00A6312B">
            <w:pPr>
              <w:jc w:val="center"/>
              <w:rPr>
                <w:rFonts w:eastAsia="Calibri"/>
                <w:b/>
                <w:bCs/>
                <w:i/>
                <w:iCs/>
                <w:sz w:val="20"/>
                <w:szCs w:val="20"/>
              </w:rPr>
            </w:pPr>
            <w:r w:rsidRPr="0004176C">
              <w:rPr>
                <w:b/>
                <w:bCs/>
                <w:i/>
                <w:iCs/>
                <w:sz w:val="20"/>
                <w:szCs w:val="20"/>
              </w:rPr>
              <w:t>SS #4: Households Removed from Temporary Assistance for Needy Families (TANF)</w:t>
            </w:r>
          </w:p>
        </w:tc>
      </w:tr>
      <w:tr w:rsidR="00A6312B" w:rsidRPr="0004176C" w14:paraId="07BCCBAB" w14:textId="77777777" w:rsidTr="005C7E85">
        <w:trPr>
          <w:trHeight w:hRule="exact" w:val="576"/>
        </w:trPr>
        <w:tc>
          <w:tcPr>
            <w:tcW w:w="3240" w:type="dxa"/>
            <w:shd w:val="clear" w:color="auto" w:fill="D9D9D9" w:themeFill="background1" w:themeFillShade="D9"/>
          </w:tcPr>
          <w:p w14:paraId="09A6D9BC" w14:textId="77777777" w:rsidR="00A6312B" w:rsidRPr="0004176C" w:rsidRDefault="00A6312B" w:rsidP="00A6312B">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tcPr>
          <w:p w14:paraId="60FBBBBD" w14:textId="77777777" w:rsidR="00A6312B" w:rsidRPr="0004176C" w:rsidRDefault="00A6312B" w:rsidP="00A6312B">
            <w:pPr>
              <w:jc w:val="center"/>
              <w:rPr>
                <w:rFonts w:eastAsia="Calibri"/>
                <w:b/>
                <w:bCs/>
                <w:sz w:val="20"/>
                <w:szCs w:val="20"/>
              </w:rPr>
            </w:pPr>
            <w:r w:rsidRPr="0004176C">
              <w:rPr>
                <w:rFonts w:eastAsia="Calibri"/>
                <w:b/>
                <w:bCs/>
                <w:sz w:val="20"/>
                <w:szCs w:val="20"/>
              </w:rPr>
              <w:t>Baseline</w:t>
            </w:r>
          </w:p>
        </w:tc>
        <w:tc>
          <w:tcPr>
            <w:tcW w:w="1627" w:type="dxa"/>
            <w:shd w:val="clear" w:color="auto" w:fill="D9D9D9" w:themeFill="background1" w:themeFillShade="D9"/>
          </w:tcPr>
          <w:p w14:paraId="345E3593" w14:textId="77777777" w:rsidR="00A6312B" w:rsidRPr="0004176C" w:rsidRDefault="00A6312B" w:rsidP="00A6312B">
            <w:pPr>
              <w:jc w:val="center"/>
              <w:rPr>
                <w:rFonts w:eastAsia="Calibri"/>
                <w:b/>
                <w:bCs/>
                <w:sz w:val="20"/>
                <w:szCs w:val="20"/>
              </w:rPr>
            </w:pPr>
            <w:r w:rsidRPr="0004176C">
              <w:rPr>
                <w:rFonts w:eastAsia="Calibri"/>
                <w:b/>
                <w:bCs/>
                <w:sz w:val="20"/>
                <w:szCs w:val="20"/>
              </w:rPr>
              <w:t>Benchmark</w:t>
            </w:r>
          </w:p>
        </w:tc>
        <w:tc>
          <w:tcPr>
            <w:tcW w:w="1354" w:type="dxa"/>
            <w:shd w:val="clear" w:color="auto" w:fill="D9D9D9" w:themeFill="background1" w:themeFillShade="D9"/>
          </w:tcPr>
          <w:p w14:paraId="1D3A222B" w14:textId="77777777" w:rsidR="00A6312B" w:rsidRPr="0004176C" w:rsidRDefault="00A6312B" w:rsidP="00A6312B">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tcPr>
          <w:p w14:paraId="5A3D9653" w14:textId="77777777" w:rsidR="00A6312B" w:rsidRPr="0004176C" w:rsidRDefault="00A6312B" w:rsidP="00A6312B">
            <w:pPr>
              <w:jc w:val="center"/>
              <w:rPr>
                <w:rFonts w:eastAsia="Calibri"/>
                <w:b/>
                <w:bCs/>
                <w:sz w:val="20"/>
                <w:szCs w:val="20"/>
              </w:rPr>
            </w:pPr>
            <w:r w:rsidRPr="0004176C">
              <w:rPr>
                <w:rFonts w:eastAsia="Calibri"/>
                <w:b/>
                <w:bCs/>
                <w:sz w:val="20"/>
                <w:szCs w:val="20"/>
              </w:rPr>
              <w:t>Benchmark Achieved?</w:t>
            </w:r>
          </w:p>
        </w:tc>
      </w:tr>
      <w:tr w:rsidR="00A6312B" w:rsidRPr="0004176C" w14:paraId="3448581A" w14:textId="77777777" w:rsidTr="005C7E85">
        <w:trPr>
          <w:trHeight w:val="305"/>
        </w:trPr>
        <w:tc>
          <w:tcPr>
            <w:tcW w:w="3240" w:type="dxa"/>
            <w:shd w:val="clear" w:color="auto" w:fill="auto"/>
          </w:tcPr>
          <w:p w14:paraId="70DE069B" w14:textId="77777777" w:rsidR="00A6312B" w:rsidRPr="0004176C" w:rsidRDefault="00A6312B" w:rsidP="00A6312B">
            <w:pPr>
              <w:rPr>
                <w:rFonts w:eastAsia="Calibri"/>
                <w:b/>
                <w:bCs/>
                <w:i/>
                <w:iCs/>
                <w:sz w:val="20"/>
                <w:szCs w:val="20"/>
              </w:rPr>
            </w:pPr>
            <w:r w:rsidRPr="0004176C">
              <w:rPr>
                <w:sz w:val="20"/>
                <w:szCs w:val="20"/>
              </w:rPr>
              <w:t>Number of households receiving TANF assistance (decrease).</w:t>
            </w:r>
          </w:p>
        </w:tc>
        <w:tc>
          <w:tcPr>
            <w:tcW w:w="1714" w:type="dxa"/>
            <w:shd w:val="clear" w:color="auto" w:fill="auto"/>
          </w:tcPr>
          <w:p w14:paraId="10B05DF3" w14:textId="77777777" w:rsidR="00A6312B" w:rsidRPr="0004176C" w:rsidRDefault="00A6312B" w:rsidP="00A6312B">
            <w:pPr>
              <w:jc w:val="center"/>
              <w:rPr>
                <w:rFonts w:eastAsia="Calibri"/>
                <w:bCs/>
                <w:iCs/>
                <w:sz w:val="20"/>
                <w:szCs w:val="20"/>
              </w:rPr>
            </w:pPr>
            <w:r w:rsidRPr="0004176C">
              <w:rPr>
                <w:rFonts w:eastAsia="Calibri"/>
                <w:bCs/>
                <w:iCs/>
                <w:sz w:val="20"/>
                <w:szCs w:val="20"/>
              </w:rPr>
              <w:t>4 households in FY 2015</w:t>
            </w:r>
          </w:p>
        </w:tc>
        <w:tc>
          <w:tcPr>
            <w:tcW w:w="1627" w:type="dxa"/>
            <w:shd w:val="clear" w:color="auto" w:fill="auto"/>
          </w:tcPr>
          <w:p w14:paraId="5910EDA5" w14:textId="77777777" w:rsidR="00A6312B" w:rsidRPr="0004176C" w:rsidRDefault="00A6312B" w:rsidP="00A6312B">
            <w:pPr>
              <w:jc w:val="center"/>
              <w:rPr>
                <w:rFonts w:eastAsia="Calibri"/>
                <w:bCs/>
                <w:iCs/>
                <w:sz w:val="20"/>
                <w:szCs w:val="20"/>
              </w:rPr>
            </w:pPr>
            <w:r w:rsidRPr="0004176C">
              <w:rPr>
                <w:rFonts w:eastAsia="Calibri"/>
                <w:bCs/>
                <w:iCs/>
                <w:sz w:val="20"/>
                <w:szCs w:val="20"/>
              </w:rPr>
              <w:t>7 households</w:t>
            </w:r>
          </w:p>
        </w:tc>
        <w:tc>
          <w:tcPr>
            <w:tcW w:w="1354" w:type="dxa"/>
            <w:shd w:val="clear" w:color="auto" w:fill="auto"/>
          </w:tcPr>
          <w:p w14:paraId="7979BFE2" w14:textId="737F0EC8" w:rsidR="00A6312B" w:rsidRPr="0004176C" w:rsidRDefault="00A6312B" w:rsidP="00A6312B">
            <w:pPr>
              <w:jc w:val="center"/>
              <w:rPr>
                <w:rFonts w:eastAsia="Calibri"/>
                <w:bCs/>
                <w:iCs/>
                <w:sz w:val="20"/>
                <w:szCs w:val="20"/>
              </w:rPr>
            </w:pPr>
          </w:p>
        </w:tc>
        <w:tc>
          <w:tcPr>
            <w:tcW w:w="1440" w:type="dxa"/>
            <w:shd w:val="clear" w:color="auto" w:fill="auto"/>
          </w:tcPr>
          <w:p w14:paraId="4EC34559" w14:textId="2A31332E" w:rsidR="00A6312B" w:rsidRPr="0004176C" w:rsidRDefault="00A6312B" w:rsidP="00A6312B">
            <w:pPr>
              <w:jc w:val="center"/>
              <w:rPr>
                <w:rFonts w:eastAsia="Calibri"/>
                <w:bCs/>
                <w:iCs/>
                <w:sz w:val="20"/>
                <w:szCs w:val="20"/>
              </w:rPr>
            </w:pPr>
          </w:p>
        </w:tc>
      </w:tr>
      <w:tr w:rsidR="00A6312B" w:rsidRPr="0004176C" w14:paraId="06ABC6F8" w14:textId="77777777" w:rsidTr="005C7E85">
        <w:trPr>
          <w:trHeight w:hRule="exact" w:val="432"/>
        </w:trPr>
        <w:tc>
          <w:tcPr>
            <w:tcW w:w="1440" w:type="dxa"/>
            <w:gridSpan w:val="5"/>
            <w:shd w:val="clear" w:color="auto" w:fill="C6D9F1" w:themeFill="text2" w:themeFillTint="33"/>
            <w:hideMark/>
          </w:tcPr>
          <w:p w14:paraId="56689F15" w14:textId="77777777" w:rsidR="00A6312B" w:rsidRPr="0004176C" w:rsidRDefault="00A6312B" w:rsidP="00A6312B">
            <w:pPr>
              <w:jc w:val="center"/>
              <w:rPr>
                <w:rFonts w:eastAsia="Calibri"/>
                <w:b/>
                <w:bCs/>
                <w:i/>
                <w:iCs/>
                <w:sz w:val="20"/>
                <w:szCs w:val="20"/>
              </w:rPr>
            </w:pPr>
            <w:r w:rsidRPr="0004176C">
              <w:rPr>
                <w:rFonts w:eastAsia="Calibri"/>
                <w:b/>
                <w:bCs/>
                <w:i/>
                <w:iCs/>
                <w:sz w:val="20"/>
                <w:szCs w:val="20"/>
              </w:rPr>
              <w:t>SS #5: Households Assisted by Services that Increase Self Sufficiency</w:t>
            </w:r>
          </w:p>
        </w:tc>
      </w:tr>
      <w:tr w:rsidR="00A6312B" w:rsidRPr="0004176C" w14:paraId="61CF8F3B" w14:textId="77777777" w:rsidTr="005C7E85">
        <w:trPr>
          <w:trHeight w:hRule="exact" w:val="576"/>
        </w:trPr>
        <w:tc>
          <w:tcPr>
            <w:tcW w:w="3240" w:type="dxa"/>
            <w:shd w:val="clear" w:color="auto" w:fill="D9D9D9" w:themeFill="background1" w:themeFillShade="D9"/>
            <w:hideMark/>
          </w:tcPr>
          <w:p w14:paraId="06FCBF83" w14:textId="77777777" w:rsidR="00A6312B" w:rsidRPr="0004176C" w:rsidRDefault="00A6312B" w:rsidP="00A6312B">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hideMark/>
          </w:tcPr>
          <w:p w14:paraId="294BA689" w14:textId="77777777" w:rsidR="00A6312B" w:rsidRPr="0004176C" w:rsidRDefault="00A6312B" w:rsidP="00A6312B">
            <w:pPr>
              <w:jc w:val="center"/>
              <w:rPr>
                <w:rFonts w:eastAsia="Calibri"/>
                <w:b/>
                <w:bCs/>
                <w:sz w:val="20"/>
                <w:szCs w:val="20"/>
              </w:rPr>
            </w:pPr>
            <w:r w:rsidRPr="0004176C">
              <w:rPr>
                <w:rFonts w:eastAsia="Calibri"/>
                <w:b/>
                <w:bCs/>
                <w:sz w:val="20"/>
                <w:szCs w:val="20"/>
              </w:rPr>
              <w:t>Baseline</w:t>
            </w:r>
          </w:p>
        </w:tc>
        <w:tc>
          <w:tcPr>
            <w:tcW w:w="1627" w:type="dxa"/>
            <w:shd w:val="clear" w:color="auto" w:fill="D9D9D9" w:themeFill="background1" w:themeFillShade="D9"/>
            <w:hideMark/>
          </w:tcPr>
          <w:p w14:paraId="5640941C" w14:textId="77777777" w:rsidR="00A6312B" w:rsidRPr="0004176C" w:rsidRDefault="00A6312B" w:rsidP="00A6312B">
            <w:pPr>
              <w:jc w:val="center"/>
              <w:rPr>
                <w:rFonts w:eastAsia="Calibri"/>
                <w:b/>
                <w:bCs/>
                <w:sz w:val="20"/>
                <w:szCs w:val="20"/>
              </w:rPr>
            </w:pPr>
            <w:r w:rsidRPr="0004176C">
              <w:rPr>
                <w:rFonts w:eastAsia="Calibri"/>
                <w:b/>
                <w:bCs/>
                <w:sz w:val="20"/>
                <w:szCs w:val="20"/>
              </w:rPr>
              <w:t>Benchmark</w:t>
            </w:r>
          </w:p>
        </w:tc>
        <w:tc>
          <w:tcPr>
            <w:tcW w:w="1354" w:type="dxa"/>
            <w:shd w:val="clear" w:color="auto" w:fill="D9D9D9" w:themeFill="background1" w:themeFillShade="D9"/>
            <w:hideMark/>
          </w:tcPr>
          <w:p w14:paraId="067ED4CF" w14:textId="77777777" w:rsidR="00A6312B" w:rsidRPr="0004176C" w:rsidRDefault="00A6312B" w:rsidP="00A6312B">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hideMark/>
          </w:tcPr>
          <w:p w14:paraId="4AB6CC7C" w14:textId="77777777" w:rsidR="00A6312B" w:rsidRPr="0004176C" w:rsidRDefault="00A6312B" w:rsidP="00A6312B">
            <w:pPr>
              <w:jc w:val="center"/>
              <w:rPr>
                <w:rFonts w:eastAsia="Calibri"/>
                <w:b/>
                <w:bCs/>
                <w:sz w:val="20"/>
                <w:szCs w:val="20"/>
              </w:rPr>
            </w:pPr>
            <w:r w:rsidRPr="0004176C">
              <w:rPr>
                <w:rFonts w:eastAsia="Calibri"/>
                <w:b/>
                <w:bCs/>
                <w:sz w:val="20"/>
                <w:szCs w:val="20"/>
              </w:rPr>
              <w:t>Benchmark Achieved?</w:t>
            </w:r>
          </w:p>
        </w:tc>
      </w:tr>
      <w:tr w:rsidR="00A6312B" w:rsidRPr="0004176C" w14:paraId="4BDEE193" w14:textId="77777777" w:rsidTr="005C7E85">
        <w:trPr>
          <w:trHeight w:val="800"/>
        </w:trPr>
        <w:tc>
          <w:tcPr>
            <w:tcW w:w="3240" w:type="dxa"/>
            <w:shd w:val="clear" w:color="auto" w:fill="auto"/>
            <w:hideMark/>
          </w:tcPr>
          <w:p w14:paraId="72B6B0A2" w14:textId="77777777" w:rsidR="00A6312B" w:rsidRPr="0004176C" w:rsidRDefault="00A6312B" w:rsidP="00A6312B">
            <w:pPr>
              <w:rPr>
                <w:rFonts w:eastAsia="Calibri"/>
                <w:sz w:val="20"/>
                <w:szCs w:val="20"/>
              </w:rPr>
            </w:pPr>
            <w:r w:rsidRPr="0004176C">
              <w:rPr>
                <w:rFonts w:eastAsia="Calibri"/>
                <w:sz w:val="20"/>
                <w:szCs w:val="20"/>
              </w:rPr>
              <w:t>Number of households receiving services aimed to increase self-sufficiency (increase).</w:t>
            </w:r>
          </w:p>
        </w:tc>
        <w:tc>
          <w:tcPr>
            <w:tcW w:w="1714" w:type="dxa"/>
            <w:shd w:val="clear" w:color="auto" w:fill="auto"/>
            <w:hideMark/>
          </w:tcPr>
          <w:p w14:paraId="65A32DC3" w14:textId="77777777" w:rsidR="00A6312B" w:rsidRPr="0004176C" w:rsidRDefault="00A6312B" w:rsidP="00A6312B">
            <w:pPr>
              <w:jc w:val="center"/>
              <w:rPr>
                <w:rFonts w:eastAsia="Calibri"/>
                <w:sz w:val="20"/>
                <w:szCs w:val="20"/>
              </w:rPr>
            </w:pPr>
            <w:r w:rsidRPr="0004176C">
              <w:rPr>
                <w:rFonts w:eastAsia="Calibri"/>
                <w:sz w:val="20"/>
                <w:szCs w:val="20"/>
              </w:rPr>
              <w:t>0 households</w:t>
            </w:r>
          </w:p>
        </w:tc>
        <w:tc>
          <w:tcPr>
            <w:tcW w:w="1627" w:type="dxa"/>
            <w:shd w:val="clear" w:color="auto" w:fill="auto"/>
            <w:hideMark/>
          </w:tcPr>
          <w:p w14:paraId="401F75DF" w14:textId="25C2678D" w:rsidR="00A6312B" w:rsidRPr="0004176C" w:rsidRDefault="00B65630" w:rsidP="00A6312B">
            <w:pPr>
              <w:jc w:val="center"/>
              <w:rPr>
                <w:rFonts w:eastAsia="Calibri"/>
                <w:sz w:val="20"/>
                <w:szCs w:val="20"/>
              </w:rPr>
            </w:pPr>
            <w:r w:rsidRPr="0004176C">
              <w:rPr>
                <w:rFonts w:eastAsia="Calibri"/>
                <w:sz w:val="20"/>
                <w:szCs w:val="20"/>
              </w:rPr>
              <w:t>50</w:t>
            </w:r>
            <w:r w:rsidR="00A6312B" w:rsidRPr="0004176C">
              <w:rPr>
                <w:rFonts w:eastAsia="Calibri"/>
                <w:sz w:val="20"/>
                <w:szCs w:val="20"/>
              </w:rPr>
              <w:t xml:space="preserve"> households</w:t>
            </w:r>
          </w:p>
        </w:tc>
        <w:tc>
          <w:tcPr>
            <w:tcW w:w="1354" w:type="dxa"/>
            <w:shd w:val="clear" w:color="auto" w:fill="auto"/>
          </w:tcPr>
          <w:p w14:paraId="11F9B24C" w14:textId="72D15EEE" w:rsidR="00A6312B" w:rsidRPr="0004176C" w:rsidRDefault="00A6312B" w:rsidP="00A6312B">
            <w:pPr>
              <w:jc w:val="center"/>
              <w:rPr>
                <w:rFonts w:eastAsia="Calibri"/>
                <w:sz w:val="20"/>
                <w:szCs w:val="20"/>
              </w:rPr>
            </w:pPr>
          </w:p>
        </w:tc>
        <w:tc>
          <w:tcPr>
            <w:tcW w:w="1440" w:type="dxa"/>
            <w:shd w:val="clear" w:color="auto" w:fill="auto"/>
          </w:tcPr>
          <w:p w14:paraId="3339CF9F" w14:textId="4AF95FB0" w:rsidR="00A6312B" w:rsidRPr="0004176C" w:rsidRDefault="00A6312B" w:rsidP="00A6312B">
            <w:pPr>
              <w:jc w:val="center"/>
              <w:rPr>
                <w:rFonts w:eastAsia="Calibri"/>
                <w:sz w:val="20"/>
                <w:szCs w:val="20"/>
              </w:rPr>
            </w:pPr>
          </w:p>
        </w:tc>
      </w:tr>
      <w:tr w:rsidR="00A6312B" w:rsidRPr="0004176C" w14:paraId="221DF85E" w14:textId="77777777" w:rsidTr="005C7E85">
        <w:trPr>
          <w:trHeight w:hRule="exact" w:val="432"/>
        </w:trPr>
        <w:tc>
          <w:tcPr>
            <w:tcW w:w="1440" w:type="dxa"/>
            <w:gridSpan w:val="5"/>
            <w:shd w:val="clear" w:color="auto" w:fill="C6D9F1" w:themeFill="text2" w:themeFillTint="33"/>
          </w:tcPr>
          <w:p w14:paraId="4080A3F0" w14:textId="77777777" w:rsidR="00A6312B" w:rsidRPr="0004176C" w:rsidRDefault="00A6312B" w:rsidP="00A6312B">
            <w:pPr>
              <w:jc w:val="center"/>
              <w:rPr>
                <w:rFonts w:eastAsia="Calibri"/>
                <w:b/>
                <w:bCs/>
                <w:i/>
                <w:iCs/>
                <w:sz w:val="20"/>
                <w:szCs w:val="20"/>
              </w:rPr>
            </w:pPr>
            <w:r w:rsidRPr="0004176C">
              <w:rPr>
                <w:b/>
                <w:bCs/>
                <w:i/>
                <w:iCs/>
                <w:sz w:val="20"/>
                <w:szCs w:val="20"/>
              </w:rPr>
              <w:t>SS #6: Reducing Per Unit Subsidy Costs for Participating Households</w:t>
            </w:r>
          </w:p>
        </w:tc>
      </w:tr>
      <w:tr w:rsidR="00A6312B" w:rsidRPr="0004176C" w14:paraId="2AF9A0A6" w14:textId="77777777" w:rsidTr="005C7E85">
        <w:trPr>
          <w:trHeight w:hRule="exact" w:val="576"/>
        </w:trPr>
        <w:tc>
          <w:tcPr>
            <w:tcW w:w="3240" w:type="dxa"/>
            <w:shd w:val="clear" w:color="auto" w:fill="D9D9D9" w:themeFill="background1" w:themeFillShade="D9"/>
          </w:tcPr>
          <w:p w14:paraId="72CE013E" w14:textId="77777777" w:rsidR="00A6312B" w:rsidRPr="0004176C" w:rsidRDefault="00A6312B" w:rsidP="00A6312B">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tcPr>
          <w:p w14:paraId="64129238" w14:textId="77777777" w:rsidR="00A6312B" w:rsidRPr="0004176C" w:rsidRDefault="00A6312B" w:rsidP="00A6312B">
            <w:pPr>
              <w:jc w:val="center"/>
              <w:rPr>
                <w:rFonts w:eastAsia="Calibri"/>
                <w:b/>
                <w:bCs/>
                <w:sz w:val="20"/>
                <w:szCs w:val="20"/>
              </w:rPr>
            </w:pPr>
            <w:r w:rsidRPr="0004176C">
              <w:rPr>
                <w:rFonts w:eastAsia="Calibri"/>
                <w:b/>
                <w:bCs/>
                <w:sz w:val="20"/>
                <w:szCs w:val="20"/>
              </w:rPr>
              <w:t>Baseline</w:t>
            </w:r>
          </w:p>
        </w:tc>
        <w:tc>
          <w:tcPr>
            <w:tcW w:w="1627" w:type="dxa"/>
            <w:shd w:val="clear" w:color="auto" w:fill="D9D9D9" w:themeFill="background1" w:themeFillShade="D9"/>
          </w:tcPr>
          <w:p w14:paraId="3780615C" w14:textId="77777777" w:rsidR="00A6312B" w:rsidRPr="0004176C" w:rsidRDefault="00A6312B" w:rsidP="00A6312B">
            <w:pPr>
              <w:jc w:val="center"/>
              <w:rPr>
                <w:rFonts w:eastAsia="Calibri"/>
                <w:b/>
                <w:bCs/>
                <w:sz w:val="20"/>
                <w:szCs w:val="20"/>
              </w:rPr>
            </w:pPr>
            <w:r w:rsidRPr="0004176C">
              <w:rPr>
                <w:rFonts w:eastAsia="Calibri"/>
                <w:b/>
                <w:bCs/>
                <w:sz w:val="20"/>
                <w:szCs w:val="20"/>
              </w:rPr>
              <w:t>Benchmark</w:t>
            </w:r>
          </w:p>
        </w:tc>
        <w:tc>
          <w:tcPr>
            <w:tcW w:w="1354" w:type="dxa"/>
            <w:shd w:val="clear" w:color="auto" w:fill="D9D9D9" w:themeFill="background1" w:themeFillShade="D9"/>
          </w:tcPr>
          <w:p w14:paraId="5323D94B" w14:textId="77777777" w:rsidR="00A6312B" w:rsidRPr="0004176C" w:rsidRDefault="00A6312B" w:rsidP="00A6312B">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tcPr>
          <w:p w14:paraId="2153E80B" w14:textId="77777777" w:rsidR="00A6312B" w:rsidRPr="0004176C" w:rsidRDefault="00A6312B" w:rsidP="00A6312B">
            <w:pPr>
              <w:jc w:val="center"/>
              <w:rPr>
                <w:rFonts w:eastAsia="Calibri"/>
                <w:b/>
                <w:bCs/>
                <w:sz w:val="20"/>
                <w:szCs w:val="20"/>
              </w:rPr>
            </w:pPr>
            <w:r w:rsidRPr="0004176C">
              <w:rPr>
                <w:rFonts w:eastAsia="Calibri"/>
                <w:b/>
                <w:bCs/>
                <w:sz w:val="20"/>
                <w:szCs w:val="20"/>
              </w:rPr>
              <w:t>Benchmark Achieved?</w:t>
            </w:r>
          </w:p>
        </w:tc>
      </w:tr>
      <w:tr w:rsidR="00A6312B" w:rsidRPr="0004176C" w14:paraId="25A54541" w14:textId="77777777" w:rsidTr="005C7E85">
        <w:trPr>
          <w:trHeight w:val="296"/>
        </w:trPr>
        <w:tc>
          <w:tcPr>
            <w:tcW w:w="3240" w:type="dxa"/>
            <w:shd w:val="clear" w:color="auto" w:fill="auto"/>
          </w:tcPr>
          <w:p w14:paraId="4594D20D" w14:textId="77777777" w:rsidR="00A6312B" w:rsidRPr="0004176C" w:rsidRDefault="00A6312B" w:rsidP="00A6312B">
            <w:pPr>
              <w:rPr>
                <w:rFonts w:eastAsia="Calibri"/>
                <w:b/>
                <w:bCs/>
                <w:i/>
                <w:iCs/>
                <w:sz w:val="20"/>
                <w:szCs w:val="20"/>
              </w:rPr>
            </w:pPr>
            <w:r w:rsidRPr="0004176C">
              <w:rPr>
                <w:sz w:val="20"/>
                <w:szCs w:val="20"/>
              </w:rPr>
              <w:t>Average amount of Section 8 subsidy per household affected by this policy in dollars (decrease).</w:t>
            </w:r>
          </w:p>
        </w:tc>
        <w:tc>
          <w:tcPr>
            <w:tcW w:w="1714" w:type="dxa"/>
            <w:shd w:val="clear" w:color="auto" w:fill="auto"/>
          </w:tcPr>
          <w:p w14:paraId="794B1D14" w14:textId="77777777" w:rsidR="00A6312B" w:rsidRPr="0004176C" w:rsidRDefault="00A6312B" w:rsidP="00A6312B">
            <w:pPr>
              <w:jc w:val="center"/>
              <w:rPr>
                <w:rFonts w:eastAsia="Calibri"/>
                <w:bCs/>
                <w:iCs/>
                <w:sz w:val="20"/>
                <w:szCs w:val="20"/>
              </w:rPr>
            </w:pPr>
            <w:r w:rsidRPr="0004176C">
              <w:rPr>
                <w:rFonts w:eastAsia="Calibri"/>
                <w:bCs/>
                <w:iCs/>
                <w:sz w:val="20"/>
                <w:szCs w:val="20"/>
              </w:rPr>
              <w:t>$450 in FY 2015</w:t>
            </w:r>
          </w:p>
        </w:tc>
        <w:tc>
          <w:tcPr>
            <w:tcW w:w="1627" w:type="dxa"/>
            <w:shd w:val="clear" w:color="auto" w:fill="auto"/>
          </w:tcPr>
          <w:p w14:paraId="51A778BB" w14:textId="77777777" w:rsidR="00A6312B" w:rsidRPr="0004176C" w:rsidRDefault="00A6312B" w:rsidP="00A6312B">
            <w:pPr>
              <w:jc w:val="center"/>
              <w:rPr>
                <w:rFonts w:eastAsia="Calibri"/>
                <w:bCs/>
                <w:iCs/>
                <w:sz w:val="20"/>
                <w:szCs w:val="20"/>
              </w:rPr>
            </w:pPr>
            <w:r w:rsidRPr="0004176C">
              <w:rPr>
                <w:rFonts w:eastAsia="Calibri"/>
                <w:bCs/>
                <w:iCs/>
                <w:sz w:val="20"/>
                <w:szCs w:val="20"/>
              </w:rPr>
              <w:t>$1,133</w:t>
            </w:r>
          </w:p>
        </w:tc>
        <w:tc>
          <w:tcPr>
            <w:tcW w:w="1354" w:type="dxa"/>
            <w:shd w:val="clear" w:color="auto" w:fill="auto"/>
          </w:tcPr>
          <w:p w14:paraId="20CF9080" w14:textId="1E80DE91" w:rsidR="00A6312B" w:rsidRPr="0004176C" w:rsidRDefault="00A6312B" w:rsidP="00A6312B">
            <w:pPr>
              <w:jc w:val="center"/>
              <w:rPr>
                <w:rFonts w:eastAsia="Calibri"/>
                <w:bCs/>
                <w:iCs/>
                <w:sz w:val="20"/>
                <w:szCs w:val="20"/>
              </w:rPr>
            </w:pPr>
          </w:p>
        </w:tc>
        <w:tc>
          <w:tcPr>
            <w:tcW w:w="1440" w:type="dxa"/>
            <w:shd w:val="clear" w:color="auto" w:fill="auto"/>
          </w:tcPr>
          <w:p w14:paraId="55E74DEC" w14:textId="28506843" w:rsidR="00A6312B" w:rsidRPr="0004176C" w:rsidRDefault="00A6312B" w:rsidP="00A6312B">
            <w:pPr>
              <w:jc w:val="center"/>
              <w:rPr>
                <w:rFonts w:eastAsia="Calibri"/>
                <w:bCs/>
                <w:iCs/>
                <w:sz w:val="20"/>
                <w:szCs w:val="20"/>
              </w:rPr>
            </w:pPr>
          </w:p>
        </w:tc>
      </w:tr>
      <w:tr w:rsidR="00A6312B" w:rsidRPr="0004176C" w14:paraId="59FB611D" w14:textId="77777777" w:rsidTr="005C7E85">
        <w:trPr>
          <w:trHeight w:hRule="exact" w:val="432"/>
        </w:trPr>
        <w:tc>
          <w:tcPr>
            <w:tcW w:w="1440" w:type="dxa"/>
            <w:gridSpan w:val="5"/>
            <w:shd w:val="clear" w:color="auto" w:fill="C6D9F1" w:themeFill="text2" w:themeFillTint="33"/>
          </w:tcPr>
          <w:p w14:paraId="505EA561" w14:textId="77777777" w:rsidR="00A6312B" w:rsidRPr="0004176C" w:rsidRDefault="00A6312B" w:rsidP="00A6312B">
            <w:pPr>
              <w:jc w:val="center"/>
              <w:rPr>
                <w:rFonts w:eastAsia="Calibri"/>
                <w:b/>
                <w:bCs/>
                <w:i/>
                <w:iCs/>
                <w:sz w:val="20"/>
                <w:szCs w:val="20"/>
              </w:rPr>
            </w:pPr>
            <w:r w:rsidRPr="0004176C">
              <w:rPr>
                <w:b/>
                <w:bCs/>
                <w:i/>
                <w:iCs/>
                <w:sz w:val="20"/>
                <w:szCs w:val="20"/>
              </w:rPr>
              <w:t>SS #7: Increase in Agency Rental Revenue*</w:t>
            </w:r>
          </w:p>
        </w:tc>
      </w:tr>
      <w:tr w:rsidR="00A6312B" w:rsidRPr="0004176C" w14:paraId="702FF8F1" w14:textId="77777777" w:rsidTr="005C7E85">
        <w:trPr>
          <w:trHeight w:hRule="exact" w:val="576"/>
        </w:trPr>
        <w:tc>
          <w:tcPr>
            <w:tcW w:w="3240" w:type="dxa"/>
            <w:shd w:val="clear" w:color="auto" w:fill="D9D9D9" w:themeFill="background1" w:themeFillShade="D9"/>
          </w:tcPr>
          <w:p w14:paraId="1BC97E70" w14:textId="77777777" w:rsidR="00A6312B" w:rsidRPr="0004176C" w:rsidRDefault="00A6312B" w:rsidP="00A6312B">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tcPr>
          <w:p w14:paraId="1C044D8E" w14:textId="77777777" w:rsidR="00A6312B" w:rsidRPr="0004176C" w:rsidRDefault="00A6312B" w:rsidP="00A6312B">
            <w:pPr>
              <w:jc w:val="center"/>
              <w:rPr>
                <w:rFonts w:eastAsia="Calibri"/>
                <w:b/>
                <w:bCs/>
                <w:sz w:val="20"/>
                <w:szCs w:val="20"/>
              </w:rPr>
            </w:pPr>
            <w:r w:rsidRPr="0004176C">
              <w:rPr>
                <w:rFonts w:eastAsia="Calibri"/>
                <w:b/>
                <w:bCs/>
                <w:sz w:val="20"/>
                <w:szCs w:val="20"/>
              </w:rPr>
              <w:t>Baseline</w:t>
            </w:r>
          </w:p>
        </w:tc>
        <w:tc>
          <w:tcPr>
            <w:tcW w:w="1627" w:type="dxa"/>
            <w:shd w:val="clear" w:color="auto" w:fill="D9D9D9" w:themeFill="background1" w:themeFillShade="D9"/>
          </w:tcPr>
          <w:p w14:paraId="6C200345" w14:textId="77777777" w:rsidR="00A6312B" w:rsidRPr="0004176C" w:rsidRDefault="00A6312B" w:rsidP="00A6312B">
            <w:pPr>
              <w:jc w:val="center"/>
              <w:rPr>
                <w:rFonts w:eastAsia="Calibri"/>
                <w:b/>
                <w:bCs/>
                <w:sz w:val="20"/>
                <w:szCs w:val="20"/>
              </w:rPr>
            </w:pPr>
            <w:r w:rsidRPr="0004176C">
              <w:rPr>
                <w:rFonts w:eastAsia="Calibri"/>
                <w:b/>
                <w:bCs/>
                <w:sz w:val="20"/>
                <w:szCs w:val="20"/>
              </w:rPr>
              <w:t>Benchmark</w:t>
            </w:r>
          </w:p>
        </w:tc>
        <w:tc>
          <w:tcPr>
            <w:tcW w:w="1354" w:type="dxa"/>
            <w:shd w:val="clear" w:color="auto" w:fill="D9D9D9" w:themeFill="background1" w:themeFillShade="D9"/>
          </w:tcPr>
          <w:p w14:paraId="232A613C" w14:textId="77777777" w:rsidR="00A6312B" w:rsidRPr="0004176C" w:rsidRDefault="00A6312B" w:rsidP="00A6312B">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tcPr>
          <w:p w14:paraId="2BE0F551" w14:textId="77777777" w:rsidR="00A6312B" w:rsidRPr="0004176C" w:rsidRDefault="00A6312B" w:rsidP="00A6312B">
            <w:pPr>
              <w:jc w:val="center"/>
              <w:rPr>
                <w:rFonts w:eastAsia="Calibri"/>
                <w:b/>
                <w:bCs/>
                <w:sz w:val="20"/>
                <w:szCs w:val="20"/>
              </w:rPr>
            </w:pPr>
            <w:r w:rsidRPr="0004176C">
              <w:rPr>
                <w:rFonts w:eastAsia="Calibri"/>
                <w:b/>
                <w:bCs/>
                <w:sz w:val="20"/>
                <w:szCs w:val="20"/>
              </w:rPr>
              <w:t>Benchmark Achieved?</w:t>
            </w:r>
          </w:p>
        </w:tc>
      </w:tr>
      <w:tr w:rsidR="00A6312B" w:rsidRPr="0004176C" w14:paraId="4F99F97E" w14:textId="77777777" w:rsidTr="005C7E85">
        <w:trPr>
          <w:trHeight w:val="296"/>
        </w:trPr>
        <w:tc>
          <w:tcPr>
            <w:tcW w:w="3240" w:type="dxa"/>
            <w:shd w:val="clear" w:color="auto" w:fill="auto"/>
          </w:tcPr>
          <w:p w14:paraId="7B6E318E" w14:textId="06291D99" w:rsidR="00A6312B" w:rsidRPr="0004176C" w:rsidRDefault="00256314" w:rsidP="00A6312B">
            <w:pPr>
              <w:rPr>
                <w:rFonts w:eastAsia="Calibri"/>
                <w:b/>
                <w:bCs/>
                <w:i/>
                <w:iCs/>
                <w:sz w:val="20"/>
                <w:szCs w:val="20"/>
              </w:rPr>
            </w:pPr>
            <w:r w:rsidRPr="0004176C">
              <w:rPr>
                <w:sz w:val="20"/>
                <w:szCs w:val="20"/>
              </w:rPr>
              <w:t>Total Household contributions towards housing assistance (increase).</w:t>
            </w:r>
          </w:p>
        </w:tc>
        <w:tc>
          <w:tcPr>
            <w:tcW w:w="1714" w:type="dxa"/>
            <w:shd w:val="clear" w:color="auto" w:fill="auto"/>
          </w:tcPr>
          <w:p w14:paraId="4D70061A" w14:textId="77777777" w:rsidR="00A6312B" w:rsidRPr="0004176C" w:rsidRDefault="00A6312B" w:rsidP="00A6312B">
            <w:pPr>
              <w:jc w:val="center"/>
              <w:rPr>
                <w:rFonts w:eastAsia="Calibri"/>
                <w:bCs/>
                <w:iCs/>
                <w:sz w:val="20"/>
                <w:szCs w:val="20"/>
              </w:rPr>
            </w:pPr>
            <w:r w:rsidRPr="0004176C">
              <w:rPr>
                <w:rFonts w:eastAsia="Calibri"/>
                <w:bCs/>
                <w:iCs/>
                <w:sz w:val="20"/>
                <w:szCs w:val="20"/>
              </w:rPr>
              <w:t>$473 in FY 2015</w:t>
            </w:r>
          </w:p>
        </w:tc>
        <w:tc>
          <w:tcPr>
            <w:tcW w:w="1627" w:type="dxa"/>
            <w:shd w:val="clear" w:color="auto" w:fill="auto"/>
          </w:tcPr>
          <w:p w14:paraId="5DA6F47A" w14:textId="69763E34" w:rsidR="00A6312B" w:rsidRPr="0004176C" w:rsidRDefault="00A6312B" w:rsidP="00A6312B">
            <w:pPr>
              <w:jc w:val="center"/>
              <w:rPr>
                <w:rFonts w:eastAsia="Calibri"/>
                <w:bCs/>
                <w:iCs/>
                <w:sz w:val="20"/>
                <w:szCs w:val="20"/>
              </w:rPr>
            </w:pPr>
            <w:r w:rsidRPr="0004176C">
              <w:rPr>
                <w:rFonts w:eastAsia="Calibri"/>
                <w:bCs/>
                <w:iCs/>
                <w:sz w:val="20"/>
                <w:szCs w:val="20"/>
              </w:rPr>
              <w:t>$674</w:t>
            </w:r>
          </w:p>
        </w:tc>
        <w:tc>
          <w:tcPr>
            <w:tcW w:w="1354" w:type="dxa"/>
            <w:shd w:val="clear" w:color="auto" w:fill="auto"/>
          </w:tcPr>
          <w:p w14:paraId="68FDCEC6" w14:textId="2BFB7DD0" w:rsidR="00A6312B" w:rsidRPr="0004176C" w:rsidRDefault="00A6312B" w:rsidP="00A6312B">
            <w:pPr>
              <w:jc w:val="center"/>
              <w:rPr>
                <w:rFonts w:eastAsia="Calibri"/>
                <w:bCs/>
                <w:iCs/>
                <w:sz w:val="20"/>
                <w:szCs w:val="20"/>
              </w:rPr>
            </w:pPr>
          </w:p>
        </w:tc>
        <w:tc>
          <w:tcPr>
            <w:tcW w:w="1440" w:type="dxa"/>
            <w:shd w:val="clear" w:color="auto" w:fill="auto"/>
          </w:tcPr>
          <w:p w14:paraId="6BF275B1" w14:textId="05D7B26A" w:rsidR="00A6312B" w:rsidRPr="0004176C" w:rsidRDefault="00A6312B" w:rsidP="00A6312B">
            <w:pPr>
              <w:jc w:val="center"/>
              <w:rPr>
                <w:rFonts w:eastAsia="Calibri"/>
                <w:bCs/>
                <w:iCs/>
                <w:sz w:val="20"/>
                <w:szCs w:val="20"/>
              </w:rPr>
            </w:pPr>
          </w:p>
        </w:tc>
      </w:tr>
      <w:tr w:rsidR="00A6312B" w:rsidRPr="0004176C" w14:paraId="1E1E549B" w14:textId="77777777" w:rsidTr="005C7E85">
        <w:trPr>
          <w:trHeight w:val="296"/>
        </w:trPr>
        <w:tc>
          <w:tcPr>
            <w:tcW w:w="1440" w:type="dxa"/>
            <w:gridSpan w:val="5"/>
            <w:shd w:val="clear" w:color="auto" w:fill="auto"/>
          </w:tcPr>
          <w:p w14:paraId="610529B8" w14:textId="46B2F8AB" w:rsidR="00A6312B" w:rsidRPr="0004176C" w:rsidRDefault="00256314" w:rsidP="00A6312B">
            <w:pPr>
              <w:rPr>
                <w:rFonts w:eastAsia="Calibri"/>
                <w:b/>
                <w:bCs/>
                <w:i/>
                <w:iCs/>
                <w:sz w:val="20"/>
                <w:szCs w:val="20"/>
              </w:rPr>
            </w:pPr>
            <w:r w:rsidRPr="0004176C">
              <w:rPr>
                <w:rFonts w:eastAsia="Calibri"/>
                <w:bCs/>
                <w:i/>
                <w:iCs/>
                <w:sz w:val="20"/>
                <w:szCs w:val="20"/>
              </w:rPr>
              <w:t xml:space="preserve">*Represents </w:t>
            </w:r>
            <w:r w:rsidR="00A6312B" w:rsidRPr="0004176C">
              <w:rPr>
                <w:rFonts w:eastAsia="Calibri"/>
                <w:bCs/>
                <w:i/>
                <w:iCs/>
                <w:sz w:val="20"/>
                <w:szCs w:val="20"/>
              </w:rPr>
              <w:t xml:space="preserve">Average Tenant Rent to Owner. </w:t>
            </w:r>
          </w:p>
        </w:tc>
      </w:tr>
      <w:tr w:rsidR="00A6312B" w:rsidRPr="0004176C" w14:paraId="073C0404" w14:textId="77777777" w:rsidTr="005C7E85">
        <w:trPr>
          <w:trHeight w:hRule="exact" w:val="432"/>
        </w:trPr>
        <w:tc>
          <w:tcPr>
            <w:tcW w:w="1440" w:type="dxa"/>
            <w:gridSpan w:val="5"/>
            <w:shd w:val="clear" w:color="auto" w:fill="C6D9F1" w:themeFill="text2" w:themeFillTint="33"/>
            <w:hideMark/>
          </w:tcPr>
          <w:p w14:paraId="0CA09335" w14:textId="77777777" w:rsidR="00A6312B" w:rsidRPr="0004176C" w:rsidRDefault="00A6312B" w:rsidP="00A6312B">
            <w:pPr>
              <w:jc w:val="center"/>
              <w:rPr>
                <w:rFonts w:eastAsia="Calibri"/>
                <w:b/>
                <w:bCs/>
                <w:i/>
                <w:iCs/>
                <w:sz w:val="20"/>
                <w:szCs w:val="20"/>
              </w:rPr>
            </w:pPr>
            <w:r w:rsidRPr="0004176C">
              <w:rPr>
                <w:rFonts w:eastAsia="Calibri"/>
                <w:b/>
                <w:bCs/>
                <w:i/>
                <w:iCs/>
                <w:sz w:val="20"/>
                <w:szCs w:val="20"/>
              </w:rPr>
              <w:t>SS #8: Households Transitioned to Self Sufficiency*</w:t>
            </w:r>
          </w:p>
        </w:tc>
      </w:tr>
      <w:tr w:rsidR="00A6312B" w:rsidRPr="0004176C" w14:paraId="4105CD99" w14:textId="77777777" w:rsidTr="005C7E85">
        <w:trPr>
          <w:trHeight w:hRule="exact" w:val="576"/>
        </w:trPr>
        <w:tc>
          <w:tcPr>
            <w:tcW w:w="3240" w:type="dxa"/>
            <w:shd w:val="clear" w:color="auto" w:fill="D9D9D9" w:themeFill="background1" w:themeFillShade="D9"/>
            <w:hideMark/>
          </w:tcPr>
          <w:p w14:paraId="2472C3EE" w14:textId="77777777" w:rsidR="00A6312B" w:rsidRPr="0004176C" w:rsidRDefault="00A6312B" w:rsidP="00A6312B">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hideMark/>
          </w:tcPr>
          <w:p w14:paraId="61D336F5" w14:textId="77777777" w:rsidR="00A6312B" w:rsidRPr="0004176C" w:rsidRDefault="00A6312B" w:rsidP="00A6312B">
            <w:pPr>
              <w:jc w:val="center"/>
              <w:rPr>
                <w:rFonts w:eastAsia="Calibri"/>
                <w:b/>
                <w:bCs/>
                <w:sz w:val="20"/>
                <w:szCs w:val="20"/>
              </w:rPr>
            </w:pPr>
            <w:r w:rsidRPr="0004176C">
              <w:rPr>
                <w:rFonts w:eastAsia="Calibri"/>
                <w:b/>
                <w:bCs/>
                <w:sz w:val="20"/>
                <w:szCs w:val="20"/>
              </w:rPr>
              <w:t>Baseline</w:t>
            </w:r>
          </w:p>
        </w:tc>
        <w:tc>
          <w:tcPr>
            <w:tcW w:w="1627" w:type="dxa"/>
            <w:shd w:val="clear" w:color="auto" w:fill="D9D9D9" w:themeFill="background1" w:themeFillShade="D9"/>
            <w:hideMark/>
          </w:tcPr>
          <w:p w14:paraId="7EF0495D" w14:textId="77777777" w:rsidR="00A6312B" w:rsidRPr="0004176C" w:rsidRDefault="00A6312B" w:rsidP="00A6312B">
            <w:pPr>
              <w:jc w:val="center"/>
              <w:rPr>
                <w:rFonts w:eastAsia="Calibri"/>
                <w:b/>
                <w:bCs/>
                <w:sz w:val="20"/>
                <w:szCs w:val="20"/>
              </w:rPr>
            </w:pPr>
            <w:r w:rsidRPr="0004176C">
              <w:rPr>
                <w:rFonts w:eastAsia="Calibri"/>
                <w:b/>
                <w:bCs/>
                <w:sz w:val="20"/>
                <w:szCs w:val="20"/>
              </w:rPr>
              <w:t>Benchmark</w:t>
            </w:r>
          </w:p>
        </w:tc>
        <w:tc>
          <w:tcPr>
            <w:tcW w:w="1354" w:type="dxa"/>
            <w:shd w:val="clear" w:color="auto" w:fill="D9D9D9" w:themeFill="background1" w:themeFillShade="D9"/>
            <w:hideMark/>
          </w:tcPr>
          <w:p w14:paraId="633B785B" w14:textId="77777777" w:rsidR="00A6312B" w:rsidRPr="0004176C" w:rsidRDefault="00A6312B" w:rsidP="00A6312B">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hideMark/>
          </w:tcPr>
          <w:p w14:paraId="7B8539C2" w14:textId="77777777" w:rsidR="00A6312B" w:rsidRPr="0004176C" w:rsidRDefault="00A6312B" w:rsidP="00A6312B">
            <w:pPr>
              <w:jc w:val="center"/>
              <w:rPr>
                <w:rFonts w:eastAsia="Calibri"/>
                <w:b/>
                <w:bCs/>
                <w:sz w:val="20"/>
                <w:szCs w:val="20"/>
              </w:rPr>
            </w:pPr>
            <w:r w:rsidRPr="0004176C">
              <w:rPr>
                <w:rFonts w:eastAsia="Calibri"/>
                <w:b/>
                <w:bCs/>
                <w:sz w:val="20"/>
                <w:szCs w:val="20"/>
              </w:rPr>
              <w:t>Benchmark Achieved?</w:t>
            </w:r>
          </w:p>
        </w:tc>
      </w:tr>
      <w:tr w:rsidR="00A6312B" w:rsidRPr="0004176C" w14:paraId="293ABA41" w14:textId="77777777" w:rsidTr="005C7E85">
        <w:trPr>
          <w:trHeight w:val="350"/>
        </w:trPr>
        <w:tc>
          <w:tcPr>
            <w:tcW w:w="3240" w:type="dxa"/>
            <w:shd w:val="clear" w:color="auto" w:fill="auto"/>
            <w:hideMark/>
          </w:tcPr>
          <w:p w14:paraId="16AD45D2" w14:textId="77777777" w:rsidR="00A6312B" w:rsidRPr="0004176C" w:rsidRDefault="00A6312B" w:rsidP="00A6312B">
            <w:pPr>
              <w:rPr>
                <w:rFonts w:eastAsia="Calibri"/>
                <w:sz w:val="20"/>
                <w:szCs w:val="20"/>
              </w:rPr>
            </w:pPr>
            <w:r w:rsidRPr="0004176C">
              <w:rPr>
                <w:rFonts w:eastAsia="Calibri"/>
                <w:sz w:val="20"/>
                <w:szCs w:val="20"/>
              </w:rPr>
              <w:t xml:space="preserve">Number of households transitioned to self-sufficiency (increase). </w:t>
            </w:r>
          </w:p>
        </w:tc>
        <w:tc>
          <w:tcPr>
            <w:tcW w:w="1714" w:type="dxa"/>
            <w:shd w:val="clear" w:color="auto" w:fill="auto"/>
          </w:tcPr>
          <w:p w14:paraId="105C3799" w14:textId="77777777" w:rsidR="00A6312B" w:rsidRPr="0004176C" w:rsidRDefault="00A6312B" w:rsidP="00A6312B">
            <w:pPr>
              <w:jc w:val="center"/>
              <w:rPr>
                <w:rFonts w:eastAsia="Calibri"/>
                <w:sz w:val="20"/>
                <w:szCs w:val="20"/>
              </w:rPr>
            </w:pPr>
            <w:r w:rsidRPr="0004176C">
              <w:rPr>
                <w:rFonts w:eastAsia="Calibri"/>
                <w:sz w:val="20"/>
                <w:szCs w:val="20"/>
              </w:rPr>
              <w:t>0 households</w:t>
            </w:r>
          </w:p>
        </w:tc>
        <w:tc>
          <w:tcPr>
            <w:tcW w:w="1627" w:type="dxa"/>
            <w:shd w:val="clear" w:color="auto" w:fill="auto"/>
          </w:tcPr>
          <w:p w14:paraId="3CCDA5CD" w14:textId="62EC0EE5" w:rsidR="00A6312B" w:rsidRPr="0004176C" w:rsidRDefault="005763F0" w:rsidP="00A6312B">
            <w:pPr>
              <w:jc w:val="center"/>
              <w:rPr>
                <w:rFonts w:eastAsia="Calibri"/>
                <w:sz w:val="20"/>
                <w:szCs w:val="20"/>
              </w:rPr>
            </w:pPr>
            <w:r w:rsidRPr="0004176C">
              <w:rPr>
                <w:rFonts w:eastAsia="Calibri"/>
                <w:sz w:val="20"/>
                <w:szCs w:val="20"/>
              </w:rPr>
              <w:t>10</w:t>
            </w:r>
            <w:r w:rsidR="00A6312B" w:rsidRPr="0004176C">
              <w:rPr>
                <w:rFonts w:eastAsia="Calibri"/>
                <w:sz w:val="20"/>
                <w:szCs w:val="20"/>
              </w:rPr>
              <w:t xml:space="preserve"> households*</w:t>
            </w:r>
          </w:p>
        </w:tc>
        <w:tc>
          <w:tcPr>
            <w:tcW w:w="1354" w:type="dxa"/>
            <w:shd w:val="clear" w:color="auto" w:fill="auto"/>
          </w:tcPr>
          <w:p w14:paraId="385E6C4F" w14:textId="7B4DA782" w:rsidR="00A6312B" w:rsidRPr="0004176C" w:rsidRDefault="00A6312B" w:rsidP="00A6312B">
            <w:pPr>
              <w:jc w:val="center"/>
              <w:rPr>
                <w:rFonts w:eastAsia="Calibri"/>
                <w:sz w:val="20"/>
                <w:szCs w:val="20"/>
              </w:rPr>
            </w:pPr>
          </w:p>
        </w:tc>
        <w:tc>
          <w:tcPr>
            <w:tcW w:w="1440" w:type="dxa"/>
            <w:shd w:val="clear" w:color="auto" w:fill="auto"/>
          </w:tcPr>
          <w:p w14:paraId="196DED71" w14:textId="48D248AC" w:rsidR="00A6312B" w:rsidRPr="0004176C" w:rsidRDefault="00A6312B" w:rsidP="00A6312B">
            <w:pPr>
              <w:jc w:val="center"/>
              <w:rPr>
                <w:rFonts w:eastAsia="Calibri"/>
                <w:sz w:val="20"/>
                <w:szCs w:val="20"/>
              </w:rPr>
            </w:pPr>
          </w:p>
        </w:tc>
      </w:tr>
      <w:tr w:rsidR="00A6312B" w:rsidRPr="0004176C" w14:paraId="4B706CBA" w14:textId="77777777" w:rsidTr="005C7E85">
        <w:trPr>
          <w:trHeight w:val="287"/>
        </w:trPr>
        <w:tc>
          <w:tcPr>
            <w:tcW w:w="1440" w:type="dxa"/>
            <w:gridSpan w:val="5"/>
            <w:shd w:val="clear" w:color="auto" w:fill="auto"/>
          </w:tcPr>
          <w:p w14:paraId="4D081DEA" w14:textId="634DB65C" w:rsidR="00A6312B" w:rsidRPr="0004176C" w:rsidRDefault="00A6312B" w:rsidP="00A6312B">
            <w:pPr>
              <w:rPr>
                <w:bCs/>
                <w:i/>
                <w:iCs/>
                <w:sz w:val="20"/>
                <w:szCs w:val="20"/>
              </w:rPr>
            </w:pPr>
            <w:r w:rsidRPr="0004176C">
              <w:rPr>
                <w:bCs/>
                <w:i/>
                <w:iCs/>
                <w:sz w:val="20"/>
                <w:szCs w:val="20"/>
              </w:rPr>
              <w:t xml:space="preserve">*Self-sufficiency is defined as graduation from the </w:t>
            </w:r>
            <w:r w:rsidR="0064666B" w:rsidRPr="0004176C">
              <w:rPr>
                <w:bCs/>
                <w:i/>
                <w:iCs/>
                <w:sz w:val="20"/>
                <w:szCs w:val="20"/>
              </w:rPr>
              <w:t>FES P</w:t>
            </w:r>
            <w:r w:rsidRPr="0004176C">
              <w:rPr>
                <w:bCs/>
                <w:i/>
                <w:iCs/>
                <w:sz w:val="20"/>
                <w:szCs w:val="20"/>
              </w:rPr>
              <w:t>rogram.</w:t>
            </w:r>
          </w:p>
        </w:tc>
      </w:tr>
      <w:tr w:rsidR="00A6312B" w:rsidRPr="0004176C" w14:paraId="566C6BA4" w14:textId="77777777" w:rsidTr="005C7E85">
        <w:trPr>
          <w:trHeight w:hRule="exact" w:val="432"/>
        </w:trPr>
        <w:tc>
          <w:tcPr>
            <w:tcW w:w="1440" w:type="dxa"/>
            <w:gridSpan w:val="5"/>
            <w:shd w:val="clear" w:color="auto" w:fill="C6D9F1" w:themeFill="text2" w:themeFillTint="33"/>
          </w:tcPr>
          <w:p w14:paraId="330809CA" w14:textId="77777777" w:rsidR="00A6312B" w:rsidRPr="0004176C" w:rsidRDefault="00A6312B" w:rsidP="00A6312B">
            <w:pPr>
              <w:jc w:val="center"/>
              <w:rPr>
                <w:rFonts w:eastAsia="Calibri"/>
                <w:sz w:val="20"/>
                <w:szCs w:val="20"/>
              </w:rPr>
            </w:pPr>
            <w:r w:rsidRPr="0004176C">
              <w:rPr>
                <w:b/>
                <w:bCs/>
                <w:i/>
                <w:iCs/>
                <w:sz w:val="20"/>
                <w:szCs w:val="20"/>
              </w:rPr>
              <w:t>HC #5: Increase in Resident Mobility</w:t>
            </w:r>
          </w:p>
        </w:tc>
      </w:tr>
      <w:tr w:rsidR="00A6312B" w:rsidRPr="0004176C" w14:paraId="447A711A" w14:textId="77777777" w:rsidTr="005C7E85">
        <w:trPr>
          <w:trHeight w:hRule="exact" w:val="576"/>
        </w:trPr>
        <w:tc>
          <w:tcPr>
            <w:tcW w:w="3240" w:type="dxa"/>
            <w:shd w:val="clear" w:color="auto" w:fill="D9D9D9" w:themeFill="background1" w:themeFillShade="D9"/>
          </w:tcPr>
          <w:p w14:paraId="186A4394" w14:textId="77777777" w:rsidR="00A6312B" w:rsidRPr="0004176C" w:rsidRDefault="00A6312B" w:rsidP="00A6312B">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tcPr>
          <w:p w14:paraId="3FAF45CE" w14:textId="77777777" w:rsidR="00A6312B" w:rsidRPr="0004176C" w:rsidRDefault="00A6312B" w:rsidP="00A6312B">
            <w:pPr>
              <w:jc w:val="center"/>
              <w:rPr>
                <w:rFonts w:eastAsia="Calibri"/>
                <w:b/>
                <w:bCs/>
                <w:sz w:val="20"/>
                <w:szCs w:val="20"/>
              </w:rPr>
            </w:pPr>
            <w:r w:rsidRPr="0004176C">
              <w:rPr>
                <w:rFonts w:eastAsia="Calibri"/>
                <w:b/>
                <w:bCs/>
                <w:sz w:val="20"/>
                <w:szCs w:val="20"/>
              </w:rPr>
              <w:t>Baseline</w:t>
            </w:r>
          </w:p>
        </w:tc>
        <w:tc>
          <w:tcPr>
            <w:tcW w:w="1627" w:type="dxa"/>
            <w:shd w:val="clear" w:color="auto" w:fill="D9D9D9" w:themeFill="background1" w:themeFillShade="D9"/>
          </w:tcPr>
          <w:p w14:paraId="4215BCCA" w14:textId="77777777" w:rsidR="00A6312B" w:rsidRPr="0004176C" w:rsidRDefault="00A6312B" w:rsidP="00A6312B">
            <w:pPr>
              <w:jc w:val="center"/>
              <w:rPr>
                <w:rFonts w:eastAsia="Calibri"/>
                <w:b/>
                <w:bCs/>
                <w:sz w:val="20"/>
                <w:szCs w:val="20"/>
              </w:rPr>
            </w:pPr>
            <w:r w:rsidRPr="0004176C">
              <w:rPr>
                <w:rFonts w:eastAsia="Calibri"/>
                <w:b/>
                <w:bCs/>
                <w:sz w:val="20"/>
                <w:szCs w:val="20"/>
              </w:rPr>
              <w:t>Benchmark</w:t>
            </w:r>
          </w:p>
        </w:tc>
        <w:tc>
          <w:tcPr>
            <w:tcW w:w="1354" w:type="dxa"/>
            <w:shd w:val="clear" w:color="auto" w:fill="D9D9D9" w:themeFill="background1" w:themeFillShade="D9"/>
          </w:tcPr>
          <w:p w14:paraId="56F859C3" w14:textId="77777777" w:rsidR="00A6312B" w:rsidRPr="0004176C" w:rsidRDefault="00A6312B" w:rsidP="00A6312B">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tcPr>
          <w:p w14:paraId="10987984" w14:textId="77777777" w:rsidR="00A6312B" w:rsidRPr="0004176C" w:rsidRDefault="00A6312B" w:rsidP="00A6312B">
            <w:pPr>
              <w:jc w:val="center"/>
              <w:rPr>
                <w:rFonts w:eastAsia="Calibri"/>
                <w:b/>
                <w:bCs/>
                <w:sz w:val="20"/>
                <w:szCs w:val="20"/>
              </w:rPr>
            </w:pPr>
            <w:r w:rsidRPr="0004176C">
              <w:rPr>
                <w:rFonts w:eastAsia="Calibri"/>
                <w:b/>
                <w:bCs/>
                <w:sz w:val="20"/>
                <w:szCs w:val="20"/>
              </w:rPr>
              <w:t>Benchmark Achieved?</w:t>
            </w:r>
          </w:p>
        </w:tc>
      </w:tr>
      <w:tr w:rsidR="00A6312B" w:rsidRPr="0004176C" w14:paraId="3C022461" w14:textId="77777777" w:rsidTr="005C7E85">
        <w:trPr>
          <w:trHeight w:val="350"/>
        </w:trPr>
        <w:tc>
          <w:tcPr>
            <w:tcW w:w="3240" w:type="dxa"/>
            <w:shd w:val="clear" w:color="auto" w:fill="auto"/>
          </w:tcPr>
          <w:p w14:paraId="2851DC78" w14:textId="77777777" w:rsidR="00A6312B" w:rsidRPr="0004176C" w:rsidRDefault="00A6312B" w:rsidP="00A6312B">
            <w:pPr>
              <w:rPr>
                <w:rFonts w:eastAsia="Calibri"/>
                <w:sz w:val="20"/>
                <w:szCs w:val="20"/>
              </w:rPr>
            </w:pPr>
            <w:r w:rsidRPr="0004176C">
              <w:rPr>
                <w:sz w:val="20"/>
                <w:szCs w:val="20"/>
              </w:rPr>
              <w:t>Number of households able to move to a better unit and/or neighborhood of opportunity as a result of the activity (increase).</w:t>
            </w:r>
          </w:p>
        </w:tc>
        <w:tc>
          <w:tcPr>
            <w:tcW w:w="1714" w:type="dxa"/>
            <w:shd w:val="clear" w:color="auto" w:fill="auto"/>
          </w:tcPr>
          <w:p w14:paraId="6783C241" w14:textId="77777777" w:rsidR="00A6312B" w:rsidRPr="0004176C" w:rsidRDefault="00A6312B" w:rsidP="00A6312B">
            <w:pPr>
              <w:jc w:val="center"/>
              <w:rPr>
                <w:rFonts w:eastAsia="Calibri"/>
                <w:sz w:val="20"/>
                <w:szCs w:val="20"/>
              </w:rPr>
            </w:pPr>
            <w:r w:rsidRPr="0004176C">
              <w:rPr>
                <w:rFonts w:eastAsia="Calibri"/>
                <w:bCs/>
                <w:iCs/>
                <w:sz w:val="20"/>
                <w:szCs w:val="20"/>
              </w:rPr>
              <w:t>0 households</w:t>
            </w:r>
          </w:p>
        </w:tc>
        <w:tc>
          <w:tcPr>
            <w:tcW w:w="1627" w:type="dxa"/>
            <w:shd w:val="clear" w:color="auto" w:fill="auto"/>
          </w:tcPr>
          <w:p w14:paraId="44C02F93" w14:textId="00EA6238" w:rsidR="00A6312B" w:rsidRPr="0004176C" w:rsidRDefault="00A6312B" w:rsidP="00A6312B">
            <w:pPr>
              <w:jc w:val="center"/>
              <w:rPr>
                <w:rFonts w:eastAsia="Calibri"/>
                <w:sz w:val="20"/>
                <w:szCs w:val="20"/>
              </w:rPr>
            </w:pPr>
            <w:r w:rsidRPr="0004176C">
              <w:rPr>
                <w:rFonts w:eastAsia="Calibri"/>
                <w:bCs/>
                <w:iCs/>
                <w:sz w:val="20"/>
                <w:szCs w:val="20"/>
              </w:rPr>
              <w:t>5 households</w:t>
            </w:r>
          </w:p>
        </w:tc>
        <w:tc>
          <w:tcPr>
            <w:tcW w:w="1354" w:type="dxa"/>
            <w:shd w:val="clear" w:color="auto" w:fill="auto"/>
          </w:tcPr>
          <w:p w14:paraId="1BEDECD3" w14:textId="3A91182A" w:rsidR="00A6312B" w:rsidRPr="0004176C" w:rsidRDefault="00A6312B" w:rsidP="00A6312B">
            <w:pPr>
              <w:jc w:val="center"/>
              <w:rPr>
                <w:rFonts w:eastAsia="Calibri"/>
                <w:sz w:val="20"/>
                <w:szCs w:val="20"/>
              </w:rPr>
            </w:pPr>
          </w:p>
        </w:tc>
        <w:tc>
          <w:tcPr>
            <w:tcW w:w="1440" w:type="dxa"/>
            <w:shd w:val="clear" w:color="auto" w:fill="auto"/>
          </w:tcPr>
          <w:p w14:paraId="11A32D00" w14:textId="2F77090C" w:rsidR="00A6312B" w:rsidRPr="0004176C" w:rsidRDefault="00A6312B" w:rsidP="00A6312B">
            <w:pPr>
              <w:jc w:val="center"/>
              <w:rPr>
                <w:rFonts w:eastAsia="Calibri"/>
                <w:sz w:val="20"/>
                <w:szCs w:val="20"/>
              </w:rPr>
            </w:pPr>
          </w:p>
        </w:tc>
      </w:tr>
      <w:tr w:rsidR="00A6312B" w:rsidRPr="0004176C" w14:paraId="116A5DCA" w14:textId="77777777" w:rsidTr="005C7E85">
        <w:trPr>
          <w:trHeight w:hRule="exact" w:val="432"/>
        </w:trPr>
        <w:tc>
          <w:tcPr>
            <w:tcW w:w="1440" w:type="dxa"/>
            <w:gridSpan w:val="5"/>
            <w:shd w:val="clear" w:color="auto" w:fill="C6D9F1" w:themeFill="text2" w:themeFillTint="33"/>
          </w:tcPr>
          <w:p w14:paraId="393A6CBD" w14:textId="77777777" w:rsidR="00A6312B" w:rsidRPr="0004176C" w:rsidRDefault="00A6312B" w:rsidP="00A6312B">
            <w:pPr>
              <w:jc w:val="center"/>
              <w:rPr>
                <w:rFonts w:eastAsia="Calibri"/>
                <w:sz w:val="20"/>
                <w:szCs w:val="20"/>
              </w:rPr>
            </w:pPr>
            <w:r w:rsidRPr="0004176C">
              <w:rPr>
                <w:sz w:val="20"/>
                <w:szCs w:val="20"/>
              </w:rPr>
              <w:br w:type="page"/>
            </w:r>
            <w:r w:rsidRPr="0004176C">
              <w:rPr>
                <w:b/>
                <w:bCs/>
                <w:i/>
                <w:iCs/>
                <w:sz w:val="20"/>
                <w:szCs w:val="20"/>
              </w:rPr>
              <w:t>HC #6: Increase in Homeownership Opportunities</w:t>
            </w:r>
          </w:p>
        </w:tc>
      </w:tr>
      <w:tr w:rsidR="00A6312B" w:rsidRPr="0004176C" w14:paraId="4C4E508C" w14:textId="77777777" w:rsidTr="005C7E85">
        <w:trPr>
          <w:trHeight w:hRule="exact" w:val="576"/>
        </w:trPr>
        <w:tc>
          <w:tcPr>
            <w:tcW w:w="3240" w:type="dxa"/>
            <w:shd w:val="clear" w:color="auto" w:fill="D9D9D9" w:themeFill="background1" w:themeFillShade="D9"/>
          </w:tcPr>
          <w:p w14:paraId="389CBAAB" w14:textId="77777777" w:rsidR="00A6312B" w:rsidRPr="0004176C" w:rsidRDefault="00A6312B" w:rsidP="00A6312B">
            <w:pPr>
              <w:rPr>
                <w:sz w:val="20"/>
                <w:szCs w:val="20"/>
              </w:rPr>
            </w:pPr>
            <w:r w:rsidRPr="0004176C">
              <w:rPr>
                <w:rFonts w:eastAsia="Calibri"/>
                <w:b/>
                <w:bCs/>
                <w:sz w:val="20"/>
                <w:szCs w:val="20"/>
              </w:rPr>
              <w:t>Unit of Measurement</w:t>
            </w:r>
          </w:p>
        </w:tc>
        <w:tc>
          <w:tcPr>
            <w:tcW w:w="1714" w:type="dxa"/>
            <w:shd w:val="clear" w:color="auto" w:fill="D9D9D9" w:themeFill="background1" w:themeFillShade="D9"/>
          </w:tcPr>
          <w:p w14:paraId="6FB1F302" w14:textId="77777777" w:rsidR="00A6312B" w:rsidRPr="0004176C" w:rsidRDefault="00A6312B" w:rsidP="00A6312B">
            <w:pPr>
              <w:jc w:val="center"/>
              <w:rPr>
                <w:rFonts w:eastAsia="Calibri"/>
                <w:b/>
                <w:bCs/>
                <w:i/>
                <w:iCs/>
                <w:sz w:val="20"/>
                <w:szCs w:val="20"/>
              </w:rPr>
            </w:pPr>
            <w:r w:rsidRPr="0004176C">
              <w:rPr>
                <w:rFonts w:eastAsia="Calibri"/>
                <w:b/>
                <w:bCs/>
                <w:sz w:val="20"/>
                <w:szCs w:val="20"/>
              </w:rPr>
              <w:t>Baseline</w:t>
            </w:r>
          </w:p>
        </w:tc>
        <w:tc>
          <w:tcPr>
            <w:tcW w:w="1627" w:type="dxa"/>
            <w:shd w:val="clear" w:color="auto" w:fill="D9D9D9" w:themeFill="background1" w:themeFillShade="D9"/>
          </w:tcPr>
          <w:p w14:paraId="18C4791B" w14:textId="77777777" w:rsidR="00A6312B" w:rsidRPr="0004176C" w:rsidRDefault="00A6312B" w:rsidP="00A6312B">
            <w:pPr>
              <w:jc w:val="center"/>
              <w:rPr>
                <w:rFonts w:eastAsia="Calibri"/>
                <w:bCs/>
                <w:iCs/>
                <w:sz w:val="20"/>
                <w:szCs w:val="20"/>
              </w:rPr>
            </w:pPr>
            <w:r w:rsidRPr="0004176C">
              <w:rPr>
                <w:rFonts w:eastAsia="Calibri"/>
                <w:b/>
                <w:bCs/>
                <w:sz w:val="20"/>
                <w:szCs w:val="20"/>
              </w:rPr>
              <w:t>Benchmark</w:t>
            </w:r>
          </w:p>
        </w:tc>
        <w:tc>
          <w:tcPr>
            <w:tcW w:w="1354" w:type="dxa"/>
            <w:shd w:val="clear" w:color="auto" w:fill="D9D9D9" w:themeFill="background1" w:themeFillShade="D9"/>
          </w:tcPr>
          <w:p w14:paraId="4466D182" w14:textId="77777777" w:rsidR="00A6312B" w:rsidRPr="0004176C" w:rsidRDefault="00A6312B" w:rsidP="00A6312B">
            <w:pPr>
              <w:jc w:val="center"/>
              <w:rPr>
                <w:rFonts w:eastAsia="Calibri"/>
                <w:sz w:val="20"/>
                <w:szCs w:val="20"/>
              </w:rPr>
            </w:pPr>
            <w:r w:rsidRPr="0004176C">
              <w:rPr>
                <w:rFonts w:eastAsia="Calibri"/>
                <w:b/>
                <w:bCs/>
                <w:sz w:val="20"/>
                <w:szCs w:val="20"/>
              </w:rPr>
              <w:t>Outcome</w:t>
            </w:r>
          </w:p>
        </w:tc>
        <w:tc>
          <w:tcPr>
            <w:tcW w:w="1440" w:type="dxa"/>
            <w:shd w:val="clear" w:color="auto" w:fill="D9D9D9" w:themeFill="background1" w:themeFillShade="D9"/>
          </w:tcPr>
          <w:p w14:paraId="378033C1" w14:textId="77777777" w:rsidR="00A6312B" w:rsidRPr="0004176C" w:rsidRDefault="00A6312B" w:rsidP="00A6312B">
            <w:pPr>
              <w:jc w:val="center"/>
              <w:rPr>
                <w:rFonts w:eastAsia="Calibri"/>
                <w:sz w:val="20"/>
                <w:szCs w:val="20"/>
              </w:rPr>
            </w:pPr>
            <w:r w:rsidRPr="0004176C">
              <w:rPr>
                <w:rFonts w:eastAsia="Calibri"/>
                <w:b/>
                <w:bCs/>
                <w:sz w:val="20"/>
                <w:szCs w:val="20"/>
              </w:rPr>
              <w:t>Benchmark Achieved?</w:t>
            </w:r>
          </w:p>
        </w:tc>
      </w:tr>
      <w:tr w:rsidR="00A6312B" w:rsidRPr="0004176C" w14:paraId="3FF323B1" w14:textId="77777777" w:rsidTr="005C7E85">
        <w:trPr>
          <w:trHeight w:val="350"/>
        </w:trPr>
        <w:tc>
          <w:tcPr>
            <w:tcW w:w="3240" w:type="dxa"/>
            <w:shd w:val="clear" w:color="auto" w:fill="auto"/>
          </w:tcPr>
          <w:p w14:paraId="7374F81A" w14:textId="77777777" w:rsidR="00A6312B" w:rsidRPr="0004176C" w:rsidRDefault="00A6312B" w:rsidP="00A6312B">
            <w:pPr>
              <w:rPr>
                <w:sz w:val="20"/>
                <w:szCs w:val="20"/>
              </w:rPr>
            </w:pPr>
            <w:r w:rsidRPr="0004176C">
              <w:rPr>
                <w:sz w:val="20"/>
                <w:szCs w:val="20"/>
              </w:rPr>
              <w:t>Number of households that purchased a home as a result of the activity (increase).</w:t>
            </w:r>
          </w:p>
        </w:tc>
        <w:tc>
          <w:tcPr>
            <w:tcW w:w="1714" w:type="dxa"/>
            <w:shd w:val="clear" w:color="auto" w:fill="auto"/>
          </w:tcPr>
          <w:p w14:paraId="695EF734" w14:textId="77777777" w:rsidR="00A6312B" w:rsidRPr="0004176C" w:rsidRDefault="00A6312B" w:rsidP="00A6312B">
            <w:pPr>
              <w:jc w:val="center"/>
              <w:rPr>
                <w:rFonts w:eastAsia="Calibri"/>
                <w:b/>
                <w:bCs/>
                <w:i/>
                <w:iCs/>
                <w:sz w:val="20"/>
                <w:szCs w:val="20"/>
              </w:rPr>
            </w:pPr>
            <w:r w:rsidRPr="0004176C">
              <w:rPr>
                <w:rFonts w:eastAsia="Calibri"/>
                <w:bCs/>
                <w:iCs/>
                <w:sz w:val="20"/>
                <w:szCs w:val="20"/>
              </w:rPr>
              <w:t>0 households</w:t>
            </w:r>
          </w:p>
        </w:tc>
        <w:tc>
          <w:tcPr>
            <w:tcW w:w="1627" w:type="dxa"/>
            <w:shd w:val="clear" w:color="auto" w:fill="auto"/>
          </w:tcPr>
          <w:p w14:paraId="7B3E662C" w14:textId="77777777" w:rsidR="00A6312B" w:rsidRPr="0004176C" w:rsidRDefault="00A6312B" w:rsidP="00A6312B">
            <w:pPr>
              <w:jc w:val="center"/>
              <w:rPr>
                <w:rFonts w:eastAsia="Calibri"/>
                <w:bCs/>
                <w:iCs/>
                <w:sz w:val="20"/>
                <w:szCs w:val="20"/>
              </w:rPr>
            </w:pPr>
            <w:r w:rsidRPr="0004176C">
              <w:rPr>
                <w:rFonts w:eastAsia="Calibri"/>
                <w:bCs/>
                <w:iCs/>
                <w:sz w:val="20"/>
                <w:szCs w:val="20"/>
              </w:rPr>
              <w:t>0 households</w:t>
            </w:r>
          </w:p>
        </w:tc>
        <w:tc>
          <w:tcPr>
            <w:tcW w:w="1354" w:type="dxa"/>
            <w:shd w:val="clear" w:color="auto" w:fill="auto"/>
          </w:tcPr>
          <w:p w14:paraId="23E28F7C" w14:textId="7226CB37" w:rsidR="00A6312B" w:rsidRPr="0004176C" w:rsidRDefault="00A6312B" w:rsidP="00A6312B">
            <w:pPr>
              <w:jc w:val="center"/>
              <w:rPr>
                <w:rFonts w:eastAsia="Calibri"/>
                <w:sz w:val="20"/>
                <w:szCs w:val="20"/>
              </w:rPr>
            </w:pPr>
          </w:p>
        </w:tc>
        <w:tc>
          <w:tcPr>
            <w:tcW w:w="1440" w:type="dxa"/>
            <w:shd w:val="clear" w:color="auto" w:fill="auto"/>
          </w:tcPr>
          <w:p w14:paraId="45A7584C" w14:textId="2D322C3A" w:rsidR="00A6312B" w:rsidRPr="0004176C" w:rsidRDefault="00A6312B" w:rsidP="00A6312B">
            <w:pPr>
              <w:jc w:val="center"/>
              <w:rPr>
                <w:rFonts w:eastAsia="Calibri"/>
                <w:sz w:val="20"/>
                <w:szCs w:val="20"/>
              </w:rPr>
            </w:pPr>
          </w:p>
        </w:tc>
      </w:tr>
    </w:tbl>
    <w:p w14:paraId="56E8BEEE" w14:textId="77777777" w:rsidR="004C70E2" w:rsidRPr="0004176C" w:rsidRDefault="004C70E2" w:rsidP="00085629">
      <w:pPr>
        <w:jc w:val="both"/>
        <w:rPr>
          <w:b/>
        </w:rPr>
      </w:pPr>
    </w:p>
    <w:p w14:paraId="3A429A4F" w14:textId="77777777" w:rsidR="00085629" w:rsidRPr="0004176C" w:rsidRDefault="00085629" w:rsidP="00085629">
      <w:pPr>
        <w:jc w:val="both"/>
        <w:rPr>
          <w:b/>
          <w:color w:val="000000"/>
          <w:sz w:val="22"/>
          <w:szCs w:val="22"/>
        </w:rPr>
      </w:pPr>
      <w:r w:rsidRPr="0004176C">
        <w:rPr>
          <w:b/>
          <w:color w:val="000000"/>
          <w:sz w:val="22"/>
          <w:szCs w:val="22"/>
        </w:rPr>
        <w:t>Planned Significant Changes</w:t>
      </w:r>
    </w:p>
    <w:p w14:paraId="6D9255AA" w14:textId="77777777" w:rsidR="00085629" w:rsidRPr="0004176C" w:rsidRDefault="00085629" w:rsidP="00085629">
      <w:pPr>
        <w:jc w:val="both"/>
        <w:rPr>
          <w:color w:val="000000" w:themeColor="text1"/>
          <w:sz w:val="22"/>
          <w:szCs w:val="22"/>
        </w:rPr>
      </w:pPr>
      <w:r w:rsidRPr="0004176C">
        <w:rPr>
          <w:color w:val="000000" w:themeColor="text1"/>
          <w:sz w:val="22"/>
          <w:szCs w:val="22"/>
        </w:rPr>
        <w:t>No significant changes are planned.</w:t>
      </w:r>
    </w:p>
    <w:p w14:paraId="3289E54E" w14:textId="77777777" w:rsidR="00085629" w:rsidRPr="0004176C" w:rsidRDefault="00085629" w:rsidP="00085629">
      <w:pPr>
        <w:jc w:val="both"/>
        <w:rPr>
          <w:bCs/>
        </w:rPr>
      </w:pPr>
    </w:p>
    <w:p w14:paraId="15CBD535" w14:textId="77777777" w:rsidR="00851EDB" w:rsidRPr="0004176C" w:rsidRDefault="00851EDB" w:rsidP="001F2A56">
      <w:pPr>
        <w:pStyle w:val="Heading3"/>
        <w:sectPr w:rsidR="00851EDB" w:rsidRPr="0004176C" w:rsidSect="00906429">
          <w:pgSz w:w="12240" w:h="15840" w:code="1"/>
          <w:pgMar w:top="1440" w:right="1440" w:bottom="1152" w:left="1440" w:header="720" w:footer="720" w:gutter="0"/>
          <w:cols w:space="720"/>
          <w:docGrid w:linePitch="360"/>
        </w:sectPr>
      </w:pPr>
    </w:p>
    <w:p w14:paraId="379F8692" w14:textId="39F8B887" w:rsidR="005E3062" w:rsidRPr="0004176C" w:rsidRDefault="00881DD5" w:rsidP="001F2A56">
      <w:pPr>
        <w:pStyle w:val="Heading3"/>
      </w:pPr>
      <w:bookmarkStart w:id="49" w:name="_Toc33016934"/>
      <w:r w:rsidRPr="0004176C">
        <w:t xml:space="preserve">Activity 2010-2: </w:t>
      </w:r>
      <w:r w:rsidR="005E3062" w:rsidRPr="0004176C">
        <w:t>Payment Standard Exceptions</w:t>
      </w:r>
      <w:bookmarkEnd w:id="49"/>
    </w:p>
    <w:p w14:paraId="7DFA7157" w14:textId="77777777" w:rsidR="005E3062" w:rsidRPr="0004176C" w:rsidRDefault="005E3062" w:rsidP="005E3062">
      <w:pPr>
        <w:rPr>
          <w:color w:val="000000"/>
        </w:rPr>
      </w:pPr>
    </w:p>
    <w:p w14:paraId="63CCD418" w14:textId="77777777" w:rsidR="00ED44A7" w:rsidRPr="0004176C" w:rsidRDefault="00ED44A7" w:rsidP="00ED44A7">
      <w:pPr>
        <w:jc w:val="both"/>
        <w:rPr>
          <w:color w:val="000000"/>
          <w:sz w:val="22"/>
          <w:szCs w:val="22"/>
        </w:rPr>
      </w:pPr>
      <w:r w:rsidRPr="0004176C">
        <w:rPr>
          <w:b/>
          <w:color w:val="000000"/>
          <w:sz w:val="22"/>
          <w:szCs w:val="22"/>
        </w:rPr>
        <w:t>Plan Year Approved, Implemented, Amended</w:t>
      </w:r>
      <w:r w:rsidRPr="0004176C">
        <w:rPr>
          <w:color w:val="000000"/>
          <w:sz w:val="22"/>
          <w:szCs w:val="22"/>
        </w:rPr>
        <w:t xml:space="preserve"> </w:t>
      </w:r>
    </w:p>
    <w:p w14:paraId="43F195BA" w14:textId="77777777" w:rsidR="00ED44A7" w:rsidRPr="0004176C" w:rsidRDefault="00ED44A7" w:rsidP="00ED44A7">
      <w:pPr>
        <w:jc w:val="both"/>
        <w:rPr>
          <w:sz w:val="22"/>
          <w:szCs w:val="22"/>
        </w:rPr>
      </w:pPr>
      <w:r w:rsidRPr="0004176C">
        <w:rPr>
          <w:sz w:val="22"/>
          <w:szCs w:val="22"/>
        </w:rPr>
        <w:t>Approved and implemented FY 2010.</w:t>
      </w:r>
    </w:p>
    <w:p w14:paraId="32684FFD" w14:textId="77777777" w:rsidR="00ED44A7" w:rsidRPr="0004176C" w:rsidRDefault="00ED44A7" w:rsidP="00D073CA">
      <w:pPr>
        <w:jc w:val="both"/>
        <w:rPr>
          <w:b/>
          <w:color w:val="000000"/>
          <w:sz w:val="22"/>
          <w:szCs w:val="22"/>
        </w:rPr>
      </w:pPr>
    </w:p>
    <w:p w14:paraId="0BDB22CD" w14:textId="7A8DF120" w:rsidR="009E7642" w:rsidRPr="0004176C" w:rsidRDefault="005E3062" w:rsidP="00D073CA">
      <w:pPr>
        <w:jc w:val="both"/>
        <w:rPr>
          <w:b/>
          <w:color w:val="000000"/>
          <w:sz w:val="22"/>
          <w:szCs w:val="22"/>
        </w:rPr>
      </w:pPr>
      <w:r w:rsidRPr="0004176C">
        <w:rPr>
          <w:b/>
          <w:color w:val="000000"/>
          <w:sz w:val="22"/>
          <w:szCs w:val="22"/>
        </w:rPr>
        <w:t>Description</w:t>
      </w:r>
      <w:r w:rsidR="00D64016" w:rsidRPr="0004176C">
        <w:rPr>
          <w:b/>
          <w:color w:val="000000"/>
          <w:sz w:val="22"/>
          <w:szCs w:val="22"/>
        </w:rPr>
        <w:t>/Update</w:t>
      </w:r>
    </w:p>
    <w:p w14:paraId="526C8566" w14:textId="77777777" w:rsidR="00D91A87" w:rsidRPr="0004176C" w:rsidRDefault="00D91A87" w:rsidP="00074854">
      <w:pPr>
        <w:jc w:val="both"/>
        <w:rPr>
          <w:sz w:val="22"/>
          <w:szCs w:val="22"/>
        </w:rPr>
      </w:pPr>
      <w:r w:rsidRPr="0004176C">
        <w:rPr>
          <w:sz w:val="22"/>
          <w:szCs w:val="22"/>
        </w:rPr>
        <w:t xml:space="preserve">Under this MTW initiative, DHCD is authorized to approve any documented and reasonable exception to payment standards as a reasonable accommodation for HCV households with disabled household members without HUD approval.  </w:t>
      </w:r>
    </w:p>
    <w:p w14:paraId="28466968" w14:textId="77777777" w:rsidR="00D91A87" w:rsidRPr="0004176C" w:rsidRDefault="00D91A87" w:rsidP="00074854">
      <w:pPr>
        <w:jc w:val="both"/>
        <w:rPr>
          <w:sz w:val="22"/>
          <w:szCs w:val="22"/>
        </w:rPr>
      </w:pPr>
    </w:p>
    <w:p w14:paraId="30467BF8" w14:textId="012C321A" w:rsidR="00D91A87" w:rsidRPr="0004176C" w:rsidRDefault="00D91A87" w:rsidP="00074854">
      <w:pPr>
        <w:jc w:val="both"/>
        <w:rPr>
          <w:sz w:val="22"/>
          <w:szCs w:val="22"/>
        </w:rPr>
      </w:pPr>
      <w:r w:rsidRPr="0004176C">
        <w:rPr>
          <w:color w:val="000000"/>
          <w:sz w:val="22"/>
          <w:szCs w:val="22"/>
        </w:rPr>
        <w:t>This policy is utilized without regard to the percentage increase reque</w:t>
      </w:r>
      <w:r w:rsidR="000B337C" w:rsidRPr="0004176C">
        <w:rPr>
          <w:color w:val="000000"/>
          <w:sz w:val="22"/>
          <w:szCs w:val="22"/>
        </w:rPr>
        <w:t>sted over the payment standard.</w:t>
      </w:r>
      <w:r w:rsidRPr="0004176C">
        <w:rPr>
          <w:color w:val="000000"/>
          <w:sz w:val="22"/>
          <w:szCs w:val="22"/>
        </w:rPr>
        <w:t xml:space="preserve"> Generally, DHCD will not impose a limit on the number of exception payment standards; however, DHCD reserves the right to limit the number of payment standard exceptions when and if budgetary issues arise.</w:t>
      </w:r>
    </w:p>
    <w:p w14:paraId="1B0EB3FC" w14:textId="3C8BCC93" w:rsidR="00D91A87" w:rsidRPr="0004176C" w:rsidRDefault="00D91A87" w:rsidP="00074854">
      <w:pPr>
        <w:jc w:val="both"/>
        <w:rPr>
          <w:b/>
          <w:color w:val="000000"/>
          <w:sz w:val="22"/>
          <w:szCs w:val="22"/>
        </w:rPr>
      </w:pPr>
    </w:p>
    <w:p w14:paraId="07A6536D" w14:textId="1944E0B5" w:rsidR="00851EDB" w:rsidRPr="0004176C" w:rsidRDefault="00851EDB" w:rsidP="00074854">
      <w:pPr>
        <w:jc w:val="both"/>
        <w:rPr>
          <w:color w:val="000000"/>
          <w:sz w:val="22"/>
          <w:szCs w:val="22"/>
        </w:rPr>
      </w:pPr>
      <w:r w:rsidRPr="0004176C">
        <w:rPr>
          <w:color w:val="000000"/>
          <w:sz w:val="22"/>
          <w:szCs w:val="22"/>
        </w:rPr>
        <w:t xml:space="preserve">DHCD will continue to utilize its MTW authority to approve payment standard exceptions without prior HUD approval. </w:t>
      </w:r>
      <w:r w:rsidR="00295290" w:rsidRPr="0004176C">
        <w:rPr>
          <w:color w:val="000000"/>
          <w:sz w:val="22"/>
          <w:szCs w:val="22"/>
        </w:rPr>
        <w:t xml:space="preserve">In </w:t>
      </w:r>
      <w:r w:rsidR="006D6331" w:rsidRPr="0004176C">
        <w:rPr>
          <w:color w:val="000000"/>
          <w:sz w:val="22"/>
          <w:szCs w:val="22"/>
        </w:rPr>
        <w:t>FY 2021</w:t>
      </w:r>
      <w:r w:rsidR="00AB32AA" w:rsidRPr="0004176C">
        <w:rPr>
          <w:color w:val="000000"/>
          <w:sz w:val="22"/>
          <w:szCs w:val="22"/>
        </w:rPr>
        <w:t>,</w:t>
      </w:r>
      <w:r w:rsidR="00295290" w:rsidRPr="0004176C">
        <w:rPr>
          <w:color w:val="000000"/>
          <w:sz w:val="22"/>
          <w:szCs w:val="22"/>
        </w:rPr>
        <w:t xml:space="preserve"> </w:t>
      </w:r>
      <w:r w:rsidRPr="0004176C">
        <w:rPr>
          <w:color w:val="000000"/>
          <w:sz w:val="22"/>
          <w:szCs w:val="22"/>
        </w:rPr>
        <w:t>DHCD antici</w:t>
      </w:r>
      <w:r w:rsidR="00A8416B" w:rsidRPr="0004176C">
        <w:rPr>
          <w:color w:val="000000"/>
          <w:sz w:val="22"/>
          <w:szCs w:val="22"/>
        </w:rPr>
        <w:t>pa</w:t>
      </w:r>
      <w:r w:rsidR="00F772D5" w:rsidRPr="0004176C">
        <w:rPr>
          <w:color w:val="000000"/>
          <w:sz w:val="22"/>
          <w:szCs w:val="22"/>
        </w:rPr>
        <w:t xml:space="preserve">tes requests and outcomes </w:t>
      </w:r>
      <w:r w:rsidRPr="0004176C">
        <w:rPr>
          <w:color w:val="000000"/>
          <w:sz w:val="22"/>
          <w:szCs w:val="22"/>
        </w:rPr>
        <w:t>for reasonable accommodation payment standard exceptions</w:t>
      </w:r>
      <w:r w:rsidR="00F772D5" w:rsidRPr="0004176C">
        <w:rPr>
          <w:color w:val="000000"/>
          <w:sz w:val="22"/>
          <w:szCs w:val="22"/>
        </w:rPr>
        <w:t xml:space="preserve"> to be consistent with the volume in previous years</w:t>
      </w:r>
      <w:r w:rsidRPr="0004176C">
        <w:rPr>
          <w:color w:val="000000"/>
          <w:sz w:val="22"/>
          <w:szCs w:val="22"/>
        </w:rPr>
        <w:t xml:space="preserve">. </w:t>
      </w:r>
    </w:p>
    <w:p w14:paraId="78305C4B" w14:textId="6371ACA6" w:rsidR="00866679" w:rsidRPr="0004176C" w:rsidRDefault="00866679" w:rsidP="00ED44A7">
      <w:pPr>
        <w:jc w:val="both"/>
      </w:pPr>
    </w:p>
    <w:p w14:paraId="7251A4CD" w14:textId="77777777" w:rsidR="00866679" w:rsidRPr="0004176C" w:rsidRDefault="00866679" w:rsidP="00866679">
      <w:pPr>
        <w:jc w:val="both"/>
        <w:rPr>
          <w:b/>
          <w:color w:val="000000"/>
          <w:sz w:val="22"/>
          <w:szCs w:val="22"/>
        </w:rPr>
      </w:pPr>
      <w:r w:rsidRPr="0004176C">
        <w:rPr>
          <w:b/>
          <w:color w:val="000000"/>
          <w:sz w:val="22"/>
          <w:szCs w:val="22"/>
        </w:rPr>
        <w:t>Planned Non-Significant Changes</w:t>
      </w:r>
    </w:p>
    <w:p w14:paraId="412C3A8B" w14:textId="77777777" w:rsidR="00866679" w:rsidRPr="0004176C" w:rsidRDefault="00866679" w:rsidP="00866679">
      <w:pPr>
        <w:jc w:val="both"/>
        <w:rPr>
          <w:b/>
          <w:strike/>
          <w:color w:val="FF0000"/>
          <w:sz w:val="22"/>
          <w:szCs w:val="22"/>
        </w:rPr>
      </w:pPr>
      <w:r w:rsidRPr="0004176C">
        <w:rPr>
          <w:color w:val="000000" w:themeColor="text1"/>
          <w:sz w:val="22"/>
          <w:szCs w:val="22"/>
        </w:rPr>
        <w:t xml:space="preserve">No non-significant changes are planned. </w:t>
      </w:r>
    </w:p>
    <w:p w14:paraId="58CEB9E4" w14:textId="77777777" w:rsidR="00866679" w:rsidRPr="0004176C" w:rsidRDefault="00866679" w:rsidP="00866679">
      <w:pPr>
        <w:pStyle w:val="ListParagraph"/>
        <w:numPr>
          <w:ilvl w:val="0"/>
          <w:numId w:val="0"/>
        </w:numPr>
        <w:ind w:left="360"/>
        <w:jc w:val="both"/>
        <w:rPr>
          <w:color w:val="000000" w:themeColor="text1"/>
        </w:rPr>
      </w:pPr>
    </w:p>
    <w:p w14:paraId="0DBE400A" w14:textId="77777777" w:rsidR="00866679" w:rsidRPr="0004176C" w:rsidRDefault="00866679" w:rsidP="00866679">
      <w:pPr>
        <w:jc w:val="both"/>
        <w:rPr>
          <w:b/>
          <w:sz w:val="22"/>
          <w:szCs w:val="22"/>
        </w:rPr>
      </w:pPr>
      <w:r w:rsidRPr="0004176C">
        <w:rPr>
          <w:b/>
          <w:sz w:val="22"/>
          <w:szCs w:val="22"/>
        </w:rPr>
        <w:t>Planned Changes to Metrics/Data Collection</w:t>
      </w:r>
    </w:p>
    <w:p w14:paraId="56AB7BCD" w14:textId="77777777" w:rsidR="00866679" w:rsidRPr="0004176C" w:rsidRDefault="00866679" w:rsidP="00866679">
      <w:pPr>
        <w:jc w:val="both"/>
        <w:rPr>
          <w:bCs/>
          <w:sz w:val="22"/>
          <w:szCs w:val="22"/>
        </w:rPr>
      </w:pPr>
      <w:r w:rsidRPr="0004176C">
        <w:rPr>
          <w:bCs/>
          <w:sz w:val="22"/>
          <w:szCs w:val="22"/>
        </w:rPr>
        <w:t xml:space="preserve">No changes to metrics or data collection methods are planned. </w:t>
      </w:r>
    </w:p>
    <w:p w14:paraId="0BB93BD8" w14:textId="77777777" w:rsidR="00866679" w:rsidRPr="0004176C" w:rsidRDefault="00866679" w:rsidP="00866679">
      <w:pPr>
        <w:pStyle w:val="ListParagraph"/>
        <w:numPr>
          <w:ilvl w:val="0"/>
          <w:numId w:val="0"/>
        </w:numPr>
        <w:ind w:left="360"/>
        <w:jc w:val="both"/>
      </w:pPr>
    </w:p>
    <w:p w14:paraId="0207E892" w14:textId="5F2E6B92" w:rsidR="00D64016" w:rsidRPr="0004176C" w:rsidRDefault="00866679" w:rsidP="002C6412">
      <w:pPr>
        <w:jc w:val="both"/>
        <w:rPr>
          <w:b/>
          <w:sz w:val="22"/>
          <w:szCs w:val="22"/>
        </w:rPr>
      </w:pPr>
      <w:r w:rsidRPr="0004176C">
        <w:rPr>
          <w:b/>
          <w:sz w:val="22"/>
          <w:szCs w:val="22"/>
        </w:rPr>
        <w:t>Metric</w:t>
      </w:r>
      <w:r w:rsidR="0002743E" w:rsidRPr="0004176C">
        <w:rPr>
          <w:b/>
          <w:sz w:val="22"/>
          <w:szCs w:val="22"/>
        </w:rPr>
        <w: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9"/>
        <w:gridCol w:w="1751"/>
        <w:gridCol w:w="1662"/>
        <w:gridCol w:w="1383"/>
        <w:gridCol w:w="1471"/>
      </w:tblGrid>
      <w:tr w:rsidR="005E3062" w:rsidRPr="0004176C" w14:paraId="1F5F030B" w14:textId="77777777" w:rsidTr="005C7E85">
        <w:trPr>
          <w:trHeight w:hRule="exact" w:val="432"/>
        </w:trPr>
        <w:tc>
          <w:tcPr>
            <w:tcW w:w="1440" w:type="dxa"/>
            <w:gridSpan w:val="5"/>
            <w:shd w:val="clear" w:color="auto" w:fill="C6D9F1" w:themeFill="text2" w:themeFillTint="33"/>
            <w:hideMark/>
          </w:tcPr>
          <w:p w14:paraId="0471DE04" w14:textId="7CB91D9B" w:rsidR="005E3062" w:rsidRPr="0004176C" w:rsidRDefault="005E3062" w:rsidP="0002743E">
            <w:pPr>
              <w:jc w:val="center"/>
              <w:rPr>
                <w:rFonts w:eastAsia="Calibri"/>
                <w:b/>
                <w:bCs/>
                <w:i/>
                <w:iCs/>
                <w:sz w:val="20"/>
                <w:szCs w:val="20"/>
              </w:rPr>
            </w:pPr>
            <w:r w:rsidRPr="0004176C">
              <w:rPr>
                <w:rFonts w:eastAsia="Calibri"/>
                <w:b/>
                <w:bCs/>
                <w:i/>
                <w:iCs/>
                <w:sz w:val="20"/>
                <w:szCs w:val="20"/>
              </w:rPr>
              <w:t>HC #5: Increase in Resident Mobility</w:t>
            </w:r>
            <w:r w:rsidR="00E40BE9" w:rsidRPr="0004176C">
              <w:rPr>
                <w:rFonts w:eastAsia="Calibri"/>
                <w:b/>
                <w:bCs/>
                <w:i/>
                <w:iCs/>
                <w:sz w:val="20"/>
                <w:szCs w:val="20"/>
              </w:rPr>
              <w:t>*</w:t>
            </w:r>
          </w:p>
        </w:tc>
      </w:tr>
      <w:tr w:rsidR="005E3062" w:rsidRPr="0004176C" w14:paraId="27F88178" w14:textId="77777777" w:rsidTr="005C7E85">
        <w:trPr>
          <w:trHeight w:hRule="exact" w:val="576"/>
        </w:trPr>
        <w:tc>
          <w:tcPr>
            <w:tcW w:w="3240" w:type="dxa"/>
            <w:shd w:val="clear" w:color="auto" w:fill="D9D9D9" w:themeFill="background1" w:themeFillShade="D9"/>
            <w:hideMark/>
          </w:tcPr>
          <w:p w14:paraId="1B048153" w14:textId="77777777" w:rsidR="005E3062" w:rsidRPr="0004176C" w:rsidRDefault="005E3062" w:rsidP="0002743E">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hideMark/>
          </w:tcPr>
          <w:p w14:paraId="16E20A8F" w14:textId="77777777" w:rsidR="005E3062" w:rsidRPr="0004176C" w:rsidRDefault="005E3062" w:rsidP="0002743E">
            <w:pPr>
              <w:jc w:val="center"/>
              <w:rPr>
                <w:rFonts w:eastAsia="Calibri"/>
                <w:b/>
                <w:bCs/>
                <w:sz w:val="20"/>
                <w:szCs w:val="20"/>
              </w:rPr>
            </w:pPr>
            <w:r w:rsidRPr="0004176C">
              <w:rPr>
                <w:rFonts w:eastAsia="Calibri"/>
                <w:b/>
                <w:bCs/>
                <w:sz w:val="20"/>
                <w:szCs w:val="20"/>
              </w:rPr>
              <w:t>Baseline</w:t>
            </w:r>
          </w:p>
        </w:tc>
        <w:tc>
          <w:tcPr>
            <w:tcW w:w="1627" w:type="dxa"/>
            <w:shd w:val="clear" w:color="auto" w:fill="D9D9D9" w:themeFill="background1" w:themeFillShade="D9"/>
            <w:hideMark/>
          </w:tcPr>
          <w:p w14:paraId="78BBD105" w14:textId="77777777" w:rsidR="005E3062" w:rsidRPr="0004176C" w:rsidRDefault="005E3062" w:rsidP="0002743E">
            <w:pPr>
              <w:jc w:val="center"/>
              <w:rPr>
                <w:rFonts w:eastAsia="Calibri"/>
                <w:b/>
                <w:bCs/>
                <w:sz w:val="20"/>
                <w:szCs w:val="20"/>
              </w:rPr>
            </w:pPr>
            <w:r w:rsidRPr="0004176C">
              <w:rPr>
                <w:rFonts w:eastAsia="Calibri"/>
                <w:b/>
                <w:bCs/>
                <w:sz w:val="20"/>
                <w:szCs w:val="20"/>
              </w:rPr>
              <w:t>Benchmark</w:t>
            </w:r>
          </w:p>
        </w:tc>
        <w:tc>
          <w:tcPr>
            <w:tcW w:w="1354" w:type="dxa"/>
            <w:shd w:val="clear" w:color="auto" w:fill="D9D9D9" w:themeFill="background1" w:themeFillShade="D9"/>
            <w:hideMark/>
          </w:tcPr>
          <w:p w14:paraId="584EB6CC" w14:textId="77777777" w:rsidR="005E3062" w:rsidRPr="0004176C" w:rsidRDefault="005E3062" w:rsidP="0002743E">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hideMark/>
          </w:tcPr>
          <w:p w14:paraId="5EC789A6" w14:textId="77777777" w:rsidR="005E3062" w:rsidRPr="0004176C" w:rsidRDefault="005E3062" w:rsidP="0002743E">
            <w:pPr>
              <w:jc w:val="center"/>
              <w:rPr>
                <w:rFonts w:eastAsia="Calibri"/>
                <w:b/>
                <w:bCs/>
                <w:sz w:val="20"/>
                <w:szCs w:val="20"/>
              </w:rPr>
            </w:pPr>
            <w:r w:rsidRPr="0004176C">
              <w:rPr>
                <w:rFonts w:eastAsia="Calibri"/>
                <w:b/>
                <w:bCs/>
                <w:sz w:val="20"/>
                <w:szCs w:val="20"/>
              </w:rPr>
              <w:t>Benchmark Achieved?</w:t>
            </w:r>
          </w:p>
        </w:tc>
      </w:tr>
      <w:tr w:rsidR="00E40BE9" w:rsidRPr="0004176C" w14:paraId="6C21C7B8" w14:textId="77777777" w:rsidTr="005C7E85">
        <w:trPr>
          <w:trHeight w:val="530"/>
        </w:trPr>
        <w:tc>
          <w:tcPr>
            <w:tcW w:w="3240" w:type="dxa"/>
            <w:shd w:val="clear" w:color="auto" w:fill="auto"/>
            <w:hideMark/>
          </w:tcPr>
          <w:p w14:paraId="038B9C1C" w14:textId="77777777" w:rsidR="00E40BE9" w:rsidRPr="0004176C" w:rsidRDefault="00E40BE9" w:rsidP="0002743E">
            <w:pPr>
              <w:rPr>
                <w:rFonts w:eastAsia="Calibri"/>
                <w:sz w:val="20"/>
                <w:szCs w:val="20"/>
              </w:rPr>
            </w:pPr>
            <w:r w:rsidRPr="0004176C">
              <w:rPr>
                <w:rFonts w:eastAsia="Calibri"/>
                <w:sz w:val="20"/>
                <w:szCs w:val="20"/>
              </w:rPr>
              <w:t>Number of households able to move to a better unit and/or neighborhood of opportunity as a result of the activity (increase).</w:t>
            </w:r>
          </w:p>
        </w:tc>
        <w:tc>
          <w:tcPr>
            <w:tcW w:w="1714" w:type="dxa"/>
            <w:shd w:val="clear" w:color="auto" w:fill="auto"/>
          </w:tcPr>
          <w:p w14:paraId="1DF0848A" w14:textId="77777777" w:rsidR="00E40BE9" w:rsidRPr="0004176C" w:rsidRDefault="00E40BE9" w:rsidP="00D748F5">
            <w:pPr>
              <w:jc w:val="center"/>
              <w:rPr>
                <w:rFonts w:eastAsia="Calibri"/>
                <w:sz w:val="20"/>
                <w:szCs w:val="20"/>
              </w:rPr>
            </w:pPr>
            <w:r w:rsidRPr="0004176C">
              <w:rPr>
                <w:rFonts w:eastAsia="Calibri"/>
                <w:sz w:val="20"/>
                <w:szCs w:val="20"/>
              </w:rPr>
              <w:t>0 households</w:t>
            </w:r>
          </w:p>
        </w:tc>
        <w:tc>
          <w:tcPr>
            <w:tcW w:w="1627" w:type="dxa"/>
            <w:shd w:val="clear" w:color="auto" w:fill="auto"/>
          </w:tcPr>
          <w:p w14:paraId="2F19559C" w14:textId="77777777" w:rsidR="00E40BE9" w:rsidRPr="0004176C" w:rsidRDefault="00E40BE9" w:rsidP="00D748F5">
            <w:pPr>
              <w:jc w:val="center"/>
              <w:rPr>
                <w:rFonts w:eastAsia="Calibri"/>
                <w:sz w:val="20"/>
                <w:szCs w:val="20"/>
              </w:rPr>
            </w:pPr>
            <w:r w:rsidRPr="0004176C">
              <w:rPr>
                <w:rFonts w:eastAsia="Calibri"/>
                <w:sz w:val="20"/>
                <w:szCs w:val="20"/>
              </w:rPr>
              <w:t>5 households</w:t>
            </w:r>
          </w:p>
        </w:tc>
        <w:tc>
          <w:tcPr>
            <w:tcW w:w="1354" w:type="dxa"/>
            <w:shd w:val="clear" w:color="auto" w:fill="auto"/>
          </w:tcPr>
          <w:p w14:paraId="79F61357" w14:textId="2E973972" w:rsidR="00E40BE9" w:rsidRPr="0004176C" w:rsidRDefault="00E40BE9" w:rsidP="00D748F5">
            <w:pPr>
              <w:jc w:val="center"/>
              <w:rPr>
                <w:rFonts w:eastAsia="Calibri"/>
                <w:sz w:val="20"/>
                <w:szCs w:val="20"/>
              </w:rPr>
            </w:pPr>
          </w:p>
        </w:tc>
        <w:tc>
          <w:tcPr>
            <w:tcW w:w="1440" w:type="dxa"/>
            <w:shd w:val="clear" w:color="auto" w:fill="auto"/>
          </w:tcPr>
          <w:p w14:paraId="7050F05B" w14:textId="40719777" w:rsidR="00E40BE9" w:rsidRPr="0004176C" w:rsidRDefault="00E40BE9" w:rsidP="00D748F5">
            <w:pPr>
              <w:jc w:val="center"/>
              <w:rPr>
                <w:rFonts w:eastAsia="Calibri"/>
                <w:sz w:val="20"/>
                <w:szCs w:val="20"/>
              </w:rPr>
            </w:pPr>
          </w:p>
        </w:tc>
      </w:tr>
      <w:tr w:rsidR="009645E3" w:rsidRPr="0004176C" w14:paraId="4D001043" w14:textId="77777777" w:rsidTr="005C7E85">
        <w:trPr>
          <w:trHeight w:hRule="exact" w:val="432"/>
        </w:trPr>
        <w:tc>
          <w:tcPr>
            <w:tcW w:w="1440" w:type="dxa"/>
            <w:gridSpan w:val="5"/>
            <w:shd w:val="clear" w:color="auto" w:fill="C6D9F1" w:themeFill="text2" w:themeFillTint="33"/>
          </w:tcPr>
          <w:p w14:paraId="66F7D700" w14:textId="77777777" w:rsidR="009645E3" w:rsidRPr="0004176C" w:rsidRDefault="009645E3" w:rsidP="0002743E">
            <w:pPr>
              <w:jc w:val="center"/>
              <w:rPr>
                <w:rFonts w:eastAsia="Calibri"/>
                <w:b/>
                <w:bCs/>
                <w:i/>
                <w:iCs/>
                <w:sz w:val="20"/>
                <w:szCs w:val="20"/>
              </w:rPr>
            </w:pPr>
            <w:r w:rsidRPr="0004176C">
              <w:rPr>
                <w:rFonts w:eastAsia="Calibri"/>
                <w:b/>
                <w:bCs/>
                <w:i/>
                <w:iCs/>
                <w:sz w:val="20"/>
                <w:szCs w:val="20"/>
              </w:rPr>
              <w:t>CE #1: Agency Cost Savings</w:t>
            </w:r>
            <w:r w:rsidR="00E40BE9" w:rsidRPr="0004176C">
              <w:rPr>
                <w:rFonts w:eastAsia="Calibri"/>
                <w:b/>
                <w:bCs/>
                <w:i/>
                <w:iCs/>
                <w:sz w:val="20"/>
                <w:szCs w:val="20"/>
              </w:rPr>
              <w:t>*</w:t>
            </w:r>
            <w:r w:rsidRPr="0004176C">
              <w:rPr>
                <w:rFonts w:eastAsia="Calibri"/>
                <w:b/>
                <w:bCs/>
                <w:i/>
                <w:iCs/>
                <w:sz w:val="20"/>
                <w:szCs w:val="20"/>
              </w:rPr>
              <w:t xml:space="preserve"> </w:t>
            </w:r>
          </w:p>
        </w:tc>
      </w:tr>
      <w:tr w:rsidR="009645E3" w:rsidRPr="0004176C" w14:paraId="271E59C6" w14:textId="77777777" w:rsidTr="005C7E85">
        <w:trPr>
          <w:trHeight w:hRule="exact" w:val="576"/>
        </w:trPr>
        <w:tc>
          <w:tcPr>
            <w:tcW w:w="3240" w:type="dxa"/>
            <w:shd w:val="clear" w:color="auto" w:fill="D9D9D9" w:themeFill="background1" w:themeFillShade="D9"/>
          </w:tcPr>
          <w:p w14:paraId="167CBE72" w14:textId="77777777" w:rsidR="009645E3" w:rsidRPr="0004176C" w:rsidRDefault="009645E3" w:rsidP="0002743E">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tcPr>
          <w:p w14:paraId="4AA2E8AA" w14:textId="77777777" w:rsidR="009645E3" w:rsidRPr="0004176C" w:rsidRDefault="009645E3" w:rsidP="0002743E">
            <w:pPr>
              <w:jc w:val="center"/>
              <w:rPr>
                <w:rFonts w:eastAsia="Calibri"/>
                <w:b/>
                <w:bCs/>
                <w:sz w:val="20"/>
                <w:szCs w:val="20"/>
              </w:rPr>
            </w:pPr>
            <w:r w:rsidRPr="0004176C">
              <w:rPr>
                <w:rFonts w:eastAsia="Calibri"/>
                <w:b/>
                <w:bCs/>
                <w:sz w:val="20"/>
                <w:szCs w:val="20"/>
              </w:rPr>
              <w:t>Baseline</w:t>
            </w:r>
          </w:p>
        </w:tc>
        <w:tc>
          <w:tcPr>
            <w:tcW w:w="1627" w:type="dxa"/>
            <w:shd w:val="clear" w:color="auto" w:fill="D9D9D9" w:themeFill="background1" w:themeFillShade="D9"/>
          </w:tcPr>
          <w:p w14:paraId="66C4A603" w14:textId="77777777" w:rsidR="009645E3" w:rsidRPr="0004176C" w:rsidRDefault="009645E3" w:rsidP="0002743E">
            <w:pPr>
              <w:jc w:val="center"/>
              <w:rPr>
                <w:rFonts w:eastAsia="Calibri"/>
                <w:b/>
                <w:bCs/>
                <w:sz w:val="20"/>
                <w:szCs w:val="20"/>
              </w:rPr>
            </w:pPr>
            <w:r w:rsidRPr="0004176C">
              <w:rPr>
                <w:rFonts w:eastAsia="Calibri"/>
                <w:b/>
                <w:bCs/>
                <w:sz w:val="20"/>
                <w:szCs w:val="20"/>
              </w:rPr>
              <w:t>Benchmark</w:t>
            </w:r>
          </w:p>
        </w:tc>
        <w:tc>
          <w:tcPr>
            <w:tcW w:w="1354" w:type="dxa"/>
            <w:shd w:val="clear" w:color="auto" w:fill="D9D9D9" w:themeFill="background1" w:themeFillShade="D9"/>
          </w:tcPr>
          <w:p w14:paraId="21219C48" w14:textId="77777777" w:rsidR="009645E3" w:rsidRPr="0004176C" w:rsidRDefault="009645E3" w:rsidP="0002743E">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tcPr>
          <w:p w14:paraId="21752BCF" w14:textId="77777777" w:rsidR="009645E3" w:rsidRPr="0004176C" w:rsidRDefault="009645E3" w:rsidP="0002743E">
            <w:pPr>
              <w:jc w:val="center"/>
              <w:rPr>
                <w:rFonts w:eastAsia="Calibri"/>
                <w:b/>
                <w:bCs/>
                <w:sz w:val="20"/>
                <w:szCs w:val="20"/>
              </w:rPr>
            </w:pPr>
            <w:r w:rsidRPr="0004176C">
              <w:rPr>
                <w:rFonts w:eastAsia="Calibri"/>
                <w:b/>
                <w:bCs/>
                <w:sz w:val="20"/>
                <w:szCs w:val="20"/>
              </w:rPr>
              <w:t>Benchmark Achieved?</w:t>
            </w:r>
          </w:p>
        </w:tc>
      </w:tr>
      <w:tr w:rsidR="00E40BE9" w:rsidRPr="0004176C" w14:paraId="013D0B56" w14:textId="77777777" w:rsidTr="00666672">
        <w:trPr>
          <w:trHeight w:val="3086"/>
        </w:trPr>
        <w:tc>
          <w:tcPr>
            <w:tcW w:w="3240" w:type="dxa"/>
            <w:shd w:val="clear" w:color="auto" w:fill="auto"/>
          </w:tcPr>
          <w:p w14:paraId="5266D5E6" w14:textId="77777777" w:rsidR="00E40BE9" w:rsidRPr="0004176C" w:rsidRDefault="00E40BE9" w:rsidP="0002743E">
            <w:pPr>
              <w:rPr>
                <w:sz w:val="20"/>
                <w:szCs w:val="20"/>
              </w:rPr>
            </w:pPr>
            <w:r w:rsidRPr="0004176C">
              <w:rPr>
                <w:sz w:val="20"/>
                <w:szCs w:val="20"/>
              </w:rPr>
              <w:t>Total cost of task in dollars (decrease).</w:t>
            </w:r>
          </w:p>
        </w:tc>
        <w:tc>
          <w:tcPr>
            <w:tcW w:w="1714" w:type="dxa"/>
            <w:shd w:val="clear" w:color="auto" w:fill="auto"/>
          </w:tcPr>
          <w:p w14:paraId="3360FF91" w14:textId="3C197492" w:rsidR="00C05AF7" w:rsidRPr="0004176C" w:rsidRDefault="00C05AF7" w:rsidP="00C05AF7">
            <w:pPr>
              <w:jc w:val="center"/>
              <w:rPr>
                <w:sz w:val="20"/>
                <w:szCs w:val="20"/>
              </w:rPr>
            </w:pPr>
            <w:r w:rsidRPr="0004176C">
              <w:rPr>
                <w:b/>
                <w:sz w:val="20"/>
                <w:szCs w:val="20"/>
              </w:rPr>
              <w:t xml:space="preserve">Total cost prior to implementation: </w:t>
            </w:r>
            <w:r w:rsidR="000B337C" w:rsidRPr="0004176C">
              <w:rPr>
                <w:sz w:val="20"/>
                <w:szCs w:val="20"/>
              </w:rPr>
              <w:t>$82</w:t>
            </w:r>
          </w:p>
          <w:p w14:paraId="6DF04FAA" w14:textId="77777777" w:rsidR="00C05AF7" w:rsidRPr="0004176C" w:rsidRDefault="00C05AF7" w:rsidP="00C05AF7">
            <w:pPr>
              <w:jc w:val="center"/>
              <w:rPr>
                <w:b/>
                <w:sz w:val="20"/>
                <w:szCs w:val="20"/>
              </w:rPr>
            </w:pPr>
          </w:p>
          <w:p w14:paraId="4E28B1A5" w14:textId="55798E9D" w:rsidR="00E40BE9" w:rsidRPr="0004176C" w:rsidRDefault="00E40BE9" w:rsidP="0002743E">
            <w:pPr>
              <w:jc w:val="center"/>
              <w:rPr>
                <w:sz w:val="20"/>
                <w:szCs w:val="20"/>
              </w:rPr>
            </w:pPr>
            <w:r w:rsidRPr="0004176C">
              <w:rPr>
                <w:b/>
                <w:sz w:val="20"/>
                <w:szCs w:val="20"/>
              </w:rPr>
              <w:t>Time to process request</w:t>
            </w:r>
            <w:r w:rsidRPr="0004176C">
              <w:rPr>
                <w:sz w:val="20"/>
                <w:szCs w:val="20"/>
              </w:rPr>
              <w:t>: 1.5 hours</w:t>
            </w:r>
          </w:p>
          <w:p w14:paraId="0A33DFA9" w14:textId="77777777" w:rsidR="00E40BE9" w:rsidRPr="0004176C" w:rsidRDefault="00E40BE9" w:rsidP="0002743E">
            <w:pPr>
              <w:jc w:val="center"/>
              <w:rPr>
                <w:sz w:val="20"/>
                <w:szCs w:val="20"/>
              </w:rPr>
            </w:pPr>
          </w:p>
          <w:p w14:paraId="03180C46" w14:textId="77777777" w:rsidR="00E40BE9" w:rsidRPr="0004176C" w:rsidRDefault="00E40BE9" w:rsidP="0002743E">
            <w:pPr>
              <w:jc w:val="center"/>
              <w:rPr>
                <w:sz w:val="20"/>
                <w:szCs w:val="20"/>
              </w:rPr>
            </w:pPr>
            <w:r w:rsidRPr="0004176C">
              <w:rPr>
                <w:b/>
                <w:sz w:val="20"/>
                <w:szCs w:val="20"/>
              </w:rPr>
              <w:t xml:space="preserve">FY 2011 Requests: </w:t>
            </w:r>
            <w:r w:rsidRPr="0004176C">
              <w:rPr>
                <w:sz w:val="20"/>
                <w:szCs w:val="20"/>
              </w:rPr>
              <w:t>3</w:t>
            </w:r>
          </w:p>
          <w:p w14:paraId="4C9B7D8B" w14:textId="77777777" w:rsidR="00E40BE9" w:rsidRPr="0004176C" w:rsidRDefault="00E40BE9" w:rsidP="0002743E">
            <w:pPr>
              <w:jc w:val="center"/>
              <w:rPr>
                <w:sz w:val="20"/>
                <w:szCs w:val="20"/>
              </w:rPr>
            </w:pPr>
          </w:p>
          <w:p w14:paraId="3DDA7ADD" w14:textId="392D421F" w:rsidR="00E40BE9" w:rsidRPr="0004176C" w:rsidRDefault="00E40BE9" w:rsidP="00666672">
            <w:pPr>
              <w:jc w:val="center"/>
              <w:rPr>
                <w:b/>
                <w:sz w:val="20"/>
                <w:szCs w:val="20"/>
              </w:rPr>
            </w:pPr>
            <w:r w:rsidRPr="0004176C">
              <w:rPr>
                <w:b/>
                <w:sz w:val="20"/>
                <w:szCs w:val="20"/>
              </w:rPr>
              <w:t xml:space="preserve">Staff hourly rate: </w:t>
            </w:r>
            <w:r w:rsidRPr="0004176C">
              <w:rPr>
                <w:sz w:val="20"/>
                <w:szCs w:val="20"/>
              </w:rPr>
              <w:t>$18.17</w:t>
            </w:r>
          </w:p>
        </w:tc>
        <w:tc>
          <w:tcPr>
            <w:tcW w:w="1627" w:type="dxa"/>
            <w:shd w:val="clear" w:color="auto" w:fill="auto"/>
          </w:tcPr>
          <w:p w14:paraId="79B75C89" w14:textId="0A19F1C4" w:rsidR="00C05AF7" w:rsidRPr="0004176C" w:rsidRDefault="00C05AF7" w:rsidP="00C05AF7">
            <w:pPr>
              <w:jc w:val="center"/>
              <w:rPr>
                <w:b/>
                <w:sz w:val="20"/>
                <w:szCs w:val="20"/>
              </w:rPr>
            </w:pPr>
            <w:r w:rsidRPr="0004176C">
              <w:rPr>
                <w:b/>
                <w:sz w:val="20"/>
                <w:szCs w:val="20"/>
              </w:rPr>
              <w:t>Total cost after implementation:</w:t>
            </w:r>
          </w:p>
          <w:p w14:paraId="035A404D" w14:textId="1A9D3F12" w:rsidR="00C05AF7" w:rsidRPr="0004176C" w:rsidRDefault="00C05AF7" w:rsidP="00C05AF7">
            <w:pPr>
              <w:jc w:val="center"/>
              <w:rPr>
                <w:b/>
                <w:sz w:val="20"/>
                <w:szCs w:val="20"/>
              </w:rPr>
            </w:pPr>
            <w:r w:rsidRPr="0004176C">
              <w:rPr>
                <w:sz w:val="20"/>
                <w:szCs w:val="20"/>
              </w:rPr>
              <w:t>$7</w:t>
            </w:r>
            <w:r w:rsidR="000B337C" w:rsidRPr="0004176C">
              <w:rPr>
                <w:sz w:val="20"/>
                <w:szCs w:val="20"/>
              </w:rPr>
              <w:t>9</w:t>
            </w:r>
          </w:p>
          <w:p w14:paraId="662D5707" w14:textId="77777777" w:rsidR="00C05AF7" w:rsidRPr="0004176C" w:rsidRDefault="00C05AF7" w:rsidP="0002743E">
            <w:pPr>
              <w:jc w:val="center"/>
              <w:rPr>
                <w:b/>
                <w:sz w:val="20"/>
                <w:szCs w:val="20"/>
              </w:rPr>
            </w:pPr>
          </w:p>
          <w:p w14:paraId="01A835E6" w14:textId="0BB2D1F5" w:rsidR="00E40BE9" w:rsidRPr="0004176C" w:rsidRDefault="00E40BE9" w:rsidP="0002743E">
            <w:pPr>
              <w:jc w:val="center"/>
              <w:rPr>
                <w:sz w:val="20"/>
                <w:szCs w:val="20"/>
              </w:rPr>
            </w:pPr>
            <w:r w:rsidRPr="0004176C">
              <w:rPr>
                <w:b/>
                <w:sz w:val="20"/>
                <w:szCs w:val="20"/>
              </w:rPr>
              <w:t>Time to process request</w:t>
            </w:r>
            <w:r w:rsidRPr="0004176C">
              <w:rPr>
                <w:sz w:val="20"/>
                <w:szCs w:val="20"/>
              </w:rPr>
              <w:t>:  .75 hours</w:t>
            </w:r>
          </w:p>
          <w:p w14:paraId="2D286237" w14:textId="77777777" w:rsidR="00E40BE9" w:rsidRPr="0004176C" w:rsidRDefault="00E40BE9" w:rsidP="0002743E">
            <w:pPr>
              <w:jc w:val="center"/>
              <w:rPr>
                <w:sz w:val="20"/>
                <w:szCs w:val="20"/>
              </w:rPr>
            </w:pPr>
          </w:p>
          <w:p w14:paraId="014CB186" w14:textId="57687118" w:rsidR="00E40BE9" w:rsidRPr="0004176C" w:rsidRDefault="00E40BE9" w:rsidP="0002743E">
            <w:pPr>
              <w:jc w:val="center"/>
              <w:rPr>
                <w:sz w:val="20"/>
                <w:szCs w:val="20"/>
              </w:rPr>
            </w:pPr>
            <w:r w:rsidRPr="0004176C">
              <w:rPr>
                <w:b/>
                <w:sz w:val="20"/>
                <w:szCs w:val="20"/>
              </w:rPr>
              <w:t xml:space="preserve">Requests: </w:t>
            </w:r>
            <w:r w:rsidRPr="0004176C">
              <w:rPr>
                <w:sz w:val="20"/>
                <w:szCs w:val="20"/>
              </w:rPr>
              <w:t>5</w:t>
            </w:r>
          </w:p>
          <w:p w14:paraId="764322FA" w14:textId="77777777" w:rsidR="00E40BE9" w:rsidRPr="0004176C" w:rsidRDefault="00E40BE9" w:rsidP="0002743E">
            <w:pPr>
              <w:jc w:val="center"/>
              <w:rPr>
                <w:sz w:val="20"/>
                <w:szCs w:val="20"/>
              </w:rPr>
            </w:pPr>
          </w:p>
          <w:p w14:paraId="09BF6227" w14:textId="06DA471E" w:rsidR="00E40BE9" w:rsidRPr="0004176C" w:rsidRDefault="00E40BE9" w:rsidP="00666672">
            <w:pPr>
              <w:jc w:val="center"/>
              <w:rPr>
                <w:sz w:val="20"/>
                <w:szCs w:val="20"/>
              </w:rPr>
            </w:pPr>
            <w:r w:rsidRPr="0004176C">
              <w:rPr>
                <w:b/>
                <w:sz w:val="20"/>
                <w:szCs w:val="20"/>
              </w:rPr>
              <w:t xml:space="preserve">Staff hourly rate:  </w:t>
            </w:r>
            <w:r w:rsidR="00C05AF7" w:rsidRPr="0004176C">
              <w:rPr>
                <w:sz w:val="20"/>
                <w:szCs w:val="20"/>
              </w:rPr>
              <w:t>$21.00</w:t>
            </w:r>
          </w:p>
        </w:tc>
        <w:tc>
          <w:tcPr>
            <w:tcW w:w="1354" w:type="dxa"/>
            <w:shd w:val="clear" w:color="auto" w:fill="auto"/>
          </w:tcPr>
          <w:p w14:paraId="0E253A67" w14:textId="52EA4A0B" w:rsidR="00E40BE9" w:rsidRPr="0004176C" w:rsidRDefault="00E40BE9" w:rsidP="0002743E">
            <w:pPr>
              <w:jc w:val="center"/>
              <w:rPr>
                <w:sz w:val="20"/>
                <w:szCs w:val="20"/>
              </w:rPr>
            </w:pPr>
          </w:p>
        </w:tc>
        <w:tc>
          <w:tcPr>
            <w:tcW w:w="1440" w:type="dxa"/>
            <w:shd w:val="clear" w:color="auto" w:fill="auto"/>
          </w:tcPr>
          <w:p w14:paraId="453E472B" w14:textId="00F78E84" w:rsidR="00E40BE9" w:rsidRPr="0004176C" w:rsidRDefault="00E40BE9" w:rsidP="0002743E">
            <w:pPr>
              <w:jc w:val="center"/>
              <w:rPr>
                <w:sz w:val="20"/>
                <w:szCs w:val="20"/>
              </w:rPr>
            </w:pPr>
          </w:p>
        </w:tc>
      </w:tr>
      <w:tr w:rsidR="009645E3" w:rsidRPr="0004176C" w14:paraId="009350B3" w14:textId="77777777" w:rsidTr="005C7E85">
        <w:trPr>
          <w:trHeight w:val="368"/>
        </w:trPr>
        <w:tc>
          <w:tcPr>
            <w:tcW w:w="1440" w:type="dxa"/>
            <w:gridSpan w:val="5"/>
            <w:shd w:val="clear" w:color="auto" w:fill="C6D9F1" w:themeFill="text2" w:themeFillTint="33"/>
          </w:tcPr>
          <w:p w14:paraId="1DE8A1C9" w14:textId="77777777" w:rsidR="009645E3" w:rsidRPr="0004176C" w:rsidRDefault="009645E3" w:rsidP="0002743E">
            <w:pPr>
              <w:jc w:val="center"/>
              <w:rPr>
                <w:rFonts w:eastAsia="Calibri"/>
                <w:b/>
                <w:bCs/>
                <w:i/>
                <w:iCs/>
                <w:sz w:val="20"/>
                <w:szCs w:val="20"/>
              </w:rPr>
            </w:pPr>
            <w:r w:rsidRPr="0004176C">
              <w:rPr>
                <w:rFonts w:eastAsia="Calibri"/>
                <w:b/>
                <w:bCs/>
                <w:i/>
                <w:iCs/>
                <w:sz w:val="20"/>
                <w:szCs w:val="20"/>
              </w:rPr>
              <w:t>CE #2: Staff Time Savings</w:t>
            </w:r>
            <w:r w:rsidR="00E40BE9" w:rsidRPr="0004176C">
              <w:rPr>
                <w:rFonts w:eastAsia="Calibri"/>
                <w:b/>
                <w:bCs/>
                <w:i/>
                <w:iCs/>
                <w:sz w:val="20"/>
                <w:szCs w:val="20"/>
              </w:rPr>
              <w:t>*</w:t>
            </w:r>
            <w:r w:rsidRPr="0004176C">
              <w:rPr>
                <w:rFonts w:eastAsia="Calibri"/>
                <w:b/>
                <w:bCs/>
                <w:i/>
                <w:iCs/>
                <w:sz w:val="20"/>
                <w:szCs w:val="20"/>
              </w:rPr>
              <w:t xml:space="preserve"> </w:t>
            </w:r>
          </w:p>
        </w:tc>
      </w:tr>
      <w:tr w:rsidR="009645E3" w:rsidRPr="0004176C" w14:paraId="40A73362" w14:textId="77777777" w:rsidTr="005C7E85">
        <w:trPr>
          <w:trHeight w:val="368"/>
        </w:trPr>
        <w:tc>
          <w:tcPr>
            <w:tcW w:w="3240" w:type="dxa"/>
            <w:shd w:val="clear" w:color="auto" w:fill="D9D9D9" w:themeFill="background1" w:themeFillShade="D9"/>
          </w:tcPr>
          <w:p w14:paraId="2E8B963E" w14:textId="77777777" w:rsidR="009645E3" w:rsidRPr="0004176C" w:rsidRDefault="009645E3" w:rsidP="0002743E">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tcPr>
          <w:p w14:paraId="3C0F94FD" w14:textId="77777777" w:rsidR="009645E3" w:rsidRPr="0004176C" w:rsidRDefault="009645E3" w:rsidP="0002743E">
            <w:pPr>
              <w:jc w:val="center"/>
              <w:rPr>
                <w:rFonts w:eastAsia="Calibri"/>
                <w:b/>
                <w:bCs/>
                <w:sz w:val="20"/>
                <w:szCs w:val="20"/>
              </w:rPr>
            </w:pPr>
            <w:r w:rsidRPr="0004176C">
              <w:rPr>
                <w:rFonts w:eastAsia="Calibri"/>
                <w:b/>
                <w:bCs/>
                <w:sz w:val="20"/>
                <w:szCs w:val="20"/>
              </w:rPr>
              <w:t>Baseline</w:t>
            </w:r>
          </w:p>
        </w:tc>
        <w:tc>
          <w:tcPr>
            <w:tcW w:w="1627" w:type="dxa"/>
            <w:shd w:val="clear" w:color="auto" w:fill="D9D9D9" w:themeFill="background1" w:themeFillShade="D9"/>
          </w:tcPr>
          <w:p w14:paraId="3CD38E0B" w14:textId="77777777" w:rsidR="009645E3" w:rsidRPr="0004176C" w:rsidRDefault="009645E3" w:rsidP="0002743E">
            <w:pPr>
              <w:jc w:val="center"/>
              <w:rPr>
                <w:rFonts w:eastAsia="Calibri"/>
                <w:b/>
                <w:bCs/>
                <w:sz w:val="20"/>
                <w:szCs w:val="20"/>
              </w:rPr>
            </w:pPr>
            <w:r w:rsidRPr="0004176C">
              <w:rPr>
                <w:rFonts w:eastAsia="Calibri"/>
                <w:b/>
                <w:bCs/>
                <w:sz w:val="20"/>
                <w:szCs w:val="20"/>
              </w:rPr>
              <w:t>Benchmark</w:t>
            </w:r>
          </w:p>
        </w:tc>
        <w:tc>
          <w:tcPr>
            <w:tcW w:w="1354" w:type="dxa"/>
            <w:shd w:val="clear" w:color="auto" w:fill="D9D9D9" w:themeFill="background1" w:themeFillShade="D9"/>
          </w:tcPr>
          <w:p w14:paraId="1AFD1790" w14:textId="77777777" w:rsidR="009645E3" w:rsidRPr="0004176C" w:rsidRDefault="009645E3" w:rsidP="0002743E">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tcPr>
          <w:p w14:paraId="7A7DA170" w14:textId="77777777" w:rsidR="009645E3" w:rsidRPr="0004176C" w:rsidRDefault="009645E3" w:rsidP="0002743E">
            <w:pPr>
              <w:jc w:val="center"/>
              <w:rPr>
                <w:rFonts w:eastAsia="Calibri"/>
                <w:b/>
                <w:bCs/>
                <w:sz w:val="20"/>
                <w:szCs w:val="20"/>
              </w:rPr>
            </w:pPr>
            <w:r w:rsidRPr="0004176C">
              <w:rPr>
                <w:rFonts w:eastAsia="Calibri"/>
                <w:b/>
                <w:bCs/>
                <w:sz w:val="20"/>
                <w:szCs w:val="20"/>
              </w:rPr>
              <w:t>Benchmark Achieved?</w:t>
            </w:r>
          </w:p>
        </w:tc>
      </w:tr>
      <w:tr w:rsidR="00E40BE9" w:rsidRPr="0004176C" w14:paraId="5840BB61" w14:textId="77777777" w:rsidTr="005C7E85">
        <w:trPr>
          <w:trHeight w:val="368"/>
        </w:trPr>
        <w:tc>
          <w:tcPr>
            <w:tcW w:w="3240" w:type="dxa"/>
            <w:shd w:val="clear" w:color="auto" w:fill="auto"/>
          </w:tcPr>
          <w:p w14:paraId="696B0D71" w14:textId="77777777" w:rsidR="00E40BE9" w:rsidRPr="0004176C" w:rsidRDefault="00E40BE9" w:rsidP="0002743E">
            <w:pPr>
              <w:rPr>
                <w:sz w:val="20"/>
                <w:szCs w:val="20"/>
              </w:rPr>
            </w:pPr>
            <w:r w:rsidRPr="0004176C">
              <w:rPr>
                <w:sz w:val="20"/>
                <w:szCs w:val="20"/>
              </w:rPr>
              <w:t>Total time to complete the task in staff hours (decrease).</w:t>
            </w:r>
          </w:p>
        </w:tc>
        <w:tc>
          <w:tcPr>
            <w:tcW w:w="1714" w:type="dxa"/>
            <w:shd w:val="clear" w:color="auto" w:fill="auto"/>
          </w:tcPr>
          <w:p w14:paraId="4AEF95E5" w14:textId="77777777" w:rsidR="00E40BE9" w:rsidRPr="0004176C" w:rsidRDefault="00E40BE9" w:rsidP="0002743E">
            <w:pPr>
              <w:jc w:val="center"/>
              <w:rPr>
                <w:sz w:val="20"/>
                <w:szCs w:val="20"/>
              </w:rPr>
            </w:pPr>
            <w:r w:rsidRPr="0004176C">
              <w:rPr>
                <w:b/>
                <w:sz w:val="20"/>
                <w:szCs w:val="20"/>
              </w:rPr>
              <w:t>Time to process request</w:t>
            </w:r>
            <w:r w:rsidRPr="0004176C">
              <w:rPr>
                <w:sz w:val="20"/>
                <w:szCs w:val="20"/>
              </w:rPr>
              <w:t>: 1.5 hours</w:t>
            </w:r>
          </w:p>
          <w:p w14:paraId="645656F8" w14:textId="77777777" w:rsidR="00E40BE9" w:rsidRPr="0004176C" w:rsidRDefault="00E40BE9" w:rsidP="0002743E">
            <w:pPr>
              <w:jc w:val="center"/>
              <w:rPr>
                <w:sz w:val="20"/>
                <w:szCs w:val="20"/>
              </w:rPr>
            </w:pPr>
          </w:p>
          <w:p w14:paraId="5F534DB2" w14:textId="77777777" w:rsidR="00E40BE9" w:rsidRPr="0004176C" w:rsidRDefault="00E40BE9" w:rsidP="0002743E">
            <w:pPr>
              <w:jc w:val="center"/>
              <w:rPr>
                <w:sz w:val="20"/>
                <w:szCs w:val="20"/>
              </w:rPr>
            </w:pPr>
            <w:r w:rsidRPr="0004176C">
              <w:rPr>
                <w:b/>
                <w:sz w:val="20"/>
                <w:szCs w:val="20"/>
              </w:rPr>
              <w:t xml:space="preserve">FY 2011 Requests: </w:t>
            </w:r>
            <w:r w:rsidRPr="0004176C">
              <w:rPr>
                <w:sz w:val="20"/>
                <w:szCs w:val="20"/>
              </w:rPr>
              <w:t>3</w:t>
            </w:r>
          </w:p>
          <w:p w14:paraId="19D88B32" w14:textId="77777777" w:rsidR="00E40BE9" w:rsidRPr="0004176C" w:rsidRDefault="00E40BE9" w:rsidP="0002743E">
            <w:pPr>
              <w:jc w:val="center"/>
              <w:rPr>
                <w:sz w:val="20"/>
                <w:szCs w:val="20"/>
              </w:rPr>
            </w:pPr>
          </w:p>
          <w:p w14:paraId="2360B55D" w14:textId="77777777" w:rsidR="00E40BE9" w:rsidRPr="0004176C" w:rsidRDefault="00E40BE9" w:rsidP="0002743E">
            <w:pPr>
              <w:jc w:val="center"/>
              <w:rPr>
                <w:b/>
                <w:sz w:val="20"/>
                <w:szCs w:val="20"/>
              </w:rPr>
            </w:pPr>
            <w:r w:rsidRPr="0004176C">
              <w:rPr>
                <w:b/>
                <w:sz w:val="20"/>
                <w:szCs w:val="20"/>
              </w:rPr>
              <w:t>Total time prior to implementation:</w:t>
            </w:r>
          </w:p>
          <w:p w14:paraId="501A6D1A" w14:textId="77777777" w:rsidR="00E40BE9" w:rsidRPr="0004176C" w:rsidRDefault="00E40BE9" w:rsidP="0002743E">
            <w:pPr>
              <w:jc w:val="center"/>
              <w:rPr>
                <w:sz w:val="20"/>
                <w:szCs w:val="20"/>
              </w:rPr>
            </w:pPr>
            <w:r w:rsidRPr="0004176C">
              <w:rPr>
                <w:sz w:val="20"/>
                <w:szCs w:val="20"/>
              </w:rPr>
              <w:t>4.5 hours</w:t>
            </w:r>
          </w:p>
        </w:tc>
        <w:tc>
          <w:tcPr>
            <w:tcW w:w="1627" w:type="dxa"/>
            <w:shd w:val="clear" w:color="auto" w:fill="auto"/>
          </w:tcPr>
          <w:p w14:paraId="44269536" w14:textId="77777777" w:rsidR="00C05AF7" w:rsidRPr="0004176C" w:rsidRDefault="00C05AF7" w:rsidP="00C05AF7">
            <w:pPr>
              <w:jc w:val="center"/>
              <w:rPr>
                <w:b/>
                <w:sz w:val="20"/>
                <w:szCs w:val="20"/>
              </w:rPr>
            </w:pPr>
            <w:r w:rsidRPr="0004176C">
              <w:rPr>
                <w:b/>
                <w:sz w:val="20"/>
                <w:szCs w:val="20"/>
              </w:rPr>
              <w:t>Total time after implementation:</w:t>
            </w:r>
          </w:p>
          <w:p w14:paraId="17E21452" w14:textId="10F84B34" w:rsidR="00C05AF7" w:rsidRPr="0004176C" w:rsidRDefault="00C05AF7" w:rsidP="00C05AF7">
            <w:pPr>
              <w:jc w:val="center"/>
              <w:rPr>
                <w:sz w:val="20"/>
                <w:szCs w:val="20"/>
              </w:rPr>
            </w:pPr>
            <w:r w:rsidRPr="0004176C">
              <w:rPr>
                <w:sz w:val="20"/>
                <w:szCs w:val="20"/>
              </w:rPr>
              <w:t>3.75 hours</w:t>
            </w:r>
          </w:p>
          <w:p w14:paraId="2069C9A8" w14:textId="77777777" w:rsidR="00C05AF7" w:rsidRPr="0004176C" w:rsidRDefault="00C05AF7" w:rsidP="00C05AF7">
            <w:pPr>
              <w:jc w:val="center"/>
              <w:rPr>
                <w:b/>
                <w:sz w:val="20"/>
                <w:szCs w:val="20"/>
              </w:rPr>
            </w:pPr>
          </w:p>
          <w:p w14:paraId="20D860C1" w14:textId="1C3E2A1B" w:rsidR="00E40BE9" w:rsidRPr="0004176C" w:rsidRDefault="00E40BE9" w:rsidP="0002743E">
            <w:pPr>
              <w:jc w:val="center"/>
              <w:rPr>
                <w:sz w:val="20"/>
                <w:szCs w:val="20"/>
              </w:rPr>
            </w:pPr>
            <w:r w:rsidRPr="0004176C">
              <w:rPr>
                <w:b/>
                <w:sz w:val="20"/>
                <w:szCs w:val="20"/>
              </w:rPr>
              <w:t>Time to process request</w:t>
            </w:r>
            <w:r w:rsidRPr="0004176C">
              <w:rPr>
                <w:sz w:val="20"/>
                <w:szCs w:val="20"/>
              </w:rPr>
              <w:t>: .75 hours</w:t>
            </w:r>
          </w:p>
          <w:p w14:paraId="28048B94" w14:textId="77777777" w:rsidR="00E40BE9" w:rsidRPr="0004176C" w:rsidRDefault="00E40BE9" w:rsidP="0002743E">
            <w:pPr>
              <w:jc w:val="center"/>
              <w:rPr>
                <w:sz w:val="20"/>
                <w:szCs w:val="20"/>
              </w:rPr>
            </w:pPr>
          </w:p>
          <w:p w14:paraId="516B80D6" w14:textId="57EA154B" w:rsidR="00E40BE9" w:rsidRPr="0004176C" w:rsidRDefault="00E40BE9" w:rsidP="00295290">
            <w:pPr>
              <w:jc w:val="center"/>
              <w:rPr>
                <w:sz w:val="20"/>
                <w:szCs w:val="20"/>
              </w:rPr>
            </w:pPr>
            <w:r w:rsidRPr="0004176C">
              <w:rPr>
                <w:b/>
                <w:sz w:val="20"/>
                <w:szCs w:val="20"/>
              </w:rPr>
              <w:t xml:space="preserve">Requests: </w:t>
            </w:r>
            <w:r w:rsidRPr="0004176C">
              <w:rPr>
                <w:sz w:val="20"/>
                <w:szCs w:val="20"/>
              </w:rPr>
              <w:t>5</w:t>
            </w:r>
          </w:p>
          <w:p w14:paraId="263CD504" w14:textId="56165466" w:rsidR="00E40BE9" w:rsidRPr="0004176C" w:rsidRDefault="00E40BE9" w:rsidP="00666672">
            <w:pPr>
              <w:tabs>
                <w:tab w:val="center" w:pos="849"/>
              </w:tabs>
              <w:rPr>
                <w:sz w:val="20"/>
                <w:szCs w:val="20"/>
              </w:rPr>
            </w:pPr>
          </w:p>
        </w:tc>
        <w:tc>
          <w:tcPr>
            <w:tcW w:w="1354" w:type="dxa"/>
            <w:shd w:val="clear" w:color="auto" w:fill="auto"/>
          </w:tcPr>
          <w:p w14:paraId="06C4C8E8" w14:textId="3DD83393" w:rsidR="00E40BE9" w:rsidRPr="0004176C" w:rsidRDefault="00E40BE9" w:rsidP="0002743E">
            <w:pPr>
              <w:jc w:val="center"/>
              <w:rPr>
                <w:sz w:val="20"/>
                <w:szCs w:val="20"/>
              </w:rPr>
            </w:pPr>
          </w:p>
        </w:tc>
        <w:tc>
          <w:tcPr>
            <w:tcW w:w="1440" w:type="dxa"/>
            <w:shd w:val="clear" w:color="auto" w:fill="auto"/>
          </w:tcPr>
          <w:p w14:paraId="465C2693" w14:textId="7B1FD1B2" w:rsidR="00E40BE9" w:rsidRPr="0004176C" w:rsidRDefault="00E40BE9" w:rsidP="0002743E">
            <w:pPr>
              <w:jc w:val="center"/>
              <w:rPr>
                <w:sz w:val="20"/>
                <w:szCs w:val="20"/>
              </w:rPr>
            </w:pPr>
          </w:p>
        </w:tc>
      </w:tr>
      <w:tr w:rsidR="00E40BE9" w:rsidRPr="0004176C" w14:paraId="1FCFECD8" w14:textId="77777777" w:rsidTr="005C7E85">
        <w:trPr>
          <w:trHeight w:val="368"/>
        </w:trPr>
        <w:tc>
          <w:tcPr>
            <w:tcW w:w="1440" w:type="dxa"/>
            <w:gridSpan w:val="5"/>
            <w:shd w:val="clear" w:color="auto" w:fill="auto"/>
          </w:tcPr>
          <w:p w14:paraId="46615A3F" w14:textId="77777777" w:rsidR="00E40BE9" w:rsidRPr="0004176C" w:rsidRDefault="00E40BE9" w:rsidP="0002743E">
            <w:pPr>
              <w:rPr>
                <w:sz w:val="20"/>
                <w:szCs w:val="20"/>
              </w:rPr>
            </w:pPr>
            <w:r w:rsidRPr="0004176C">
              <w:rPr>
                <w:i/>
                <w:sz w:val="20"/>
                <w:szCs w:val="20"/>
              </w:rPr>
              <w:t xml:space="preserve">*These metrics include </w:t>
            </w:r>
            <w:r w:rsidR="00A2166F" w:rsidRPr="0004176C">
              <w:rPr>
                <w:i/>
                <w:sz w:val="20"/>
                <w:szCs w:val="20"/>
              </w:rPr>
              <w:t>payment standard except</w:t>
            </w:r>
            <w:r w:rsidR="00863B15" w:rsidRPr="0004176C">
              <w:rPr>
                <w:i/>
                <w:sz w:val="20"/>
                <w:szCs w:val="20"/>
              </w:rPr>
              <w:t xml:space="preserve">ion </w:t>
            </w:r>
            <w:r w:rsidRPr="0004176C">
              <w:rPr>
                <w:i/>
                <w:sz w:val="20"/>
                <w:szCs w:val="20"/>
              </w:rPr>
              <w:t>requests that were granted as a reasonable accommodation.</w:t>
            </w:r>
          </w:p>
        </w:tc>
      </w:tr>
    </w:tbl>
    <w:p w14:paraId="06BDD8AA" w14:textId="77777777" w:rsidR="005E3062" w:rsidRPr="0004176C" w:rsidRDefault="005E3062" w:rsidP="005E3062"/>
    <w:p w14:paraId="20BA1EB0" w14:textId="77777777" w:rsidR="006E4C64" w:rsidRPr="0004176C" w:rsidRDefault="006E4C64" w:rsidP="006E4C64">
      <w:pPr>
        <w:jc w:val="both"/>
        <w:rPr>
          <w:b/>
          <w:color w:val="000000"/>
        </w:rPr>
      </w:pPr>
      <w:r w:rsidRPr="0004176C">
        <w:rPr>
          <w:b/>
          <w:color w:val="000000"/>
        </w:rPr>
        <w:t>Planned Significant Changes</w:t>
      </w:r>
    </w:p>
    <w:p w14:paraId="1F3807A7" w14:textId="77777777" w:rsidR="006E4C64" w:rsidRPr="0004176C" w:rsidRDefault="006E4C64" w:rsidP="006E4C64">
      <w:pPr>
        <w:jc w:val="both"/>
        <w:rPr>
          <w:color w:val="000000" w:themeColor="text1"/>
          <w:sz w:val="22"/>
        </w:rPr>
      </w:pPr>
      <w:r w:rsidRPr="0004176C">
        <w:rPr>
          <w:color w:val="000000" w:themeColor="text1"/>
          <w:sz w:val="22"/>
        </w:rPr>
        <w:t>No significant changes are planned.</w:t>
      </w:r>
    </w:p>
    <w:p w14:paraId="724D0D1D" w14:textId="0F382F8C" w:rsidR="00E003BD" w:rsidRPr="0004176C" w:rsidRDefault="00E003BD" w:rsidP="001F2A56">
      <w:pPr>
        <w:pStyle w:val="Heading3"/>
        <w:sectPr w:rsidR="00E003BD" w:rsidRPr="0004176C" w:rsidSect="00F61294">
          <w:pgSz w:w="12240" w:h="15840"/>
          <w:pgMar w:top="1440" w:right="1440" w:bottom="1152" w:left="1440" w:header="720" w:footer="720" w:gutter="0"/>
          <w:cols w:space="720"/>
          <w:docGrid w:linePitch="360"/>
        </w:sectPr>
      </w:pPr>
    </w:p>
    <w:p w14:paraId="664F0CDC" w14:textId="6164C7AC" w:rsidR="005E3062" w:rsidRPr="0004176C" w:rsidRDefault="005E3062" w:rsidP="001F2A56">
      <w:pPr>
        <w:pStyle w:val="Heading3"/>
      </w:pPr>
      <w:bookmarkStart w:id="50" w:name="_Toc33016935"/>
      <w:r w:rsidRPr="0004176C">
        <w:t>Ac</w:t>
      </w:r>
      <w:r w:rsidR="00881DD5" w:rsidRPr="0004176C">
        <w:t xml:space="preserve">tivity 2010-3: </w:t>
      </w:r>
      <w:r w:rsidRPr="0004176C">
        <w:t>Owner Incentive Fund</w:t>
      </w:r>
      <w:bookmarkEnd w:id="50"/>
    </w:p>
    <w:p w14:paraId="3CCA103F" w14:textId="77777777" w:rsidR="005E3062" w:rsidRPr="0004176C" w:rsidRDefault="005E3062" w:rsidP="005E3062">
      <w:pPr>
        <w:rPr>
          <w:color w:val="000000"/>
          <w:sz w:val="22"/>
          <w:szCs w:val="22"/>
        </w:rPr>
      </w:pPr>
    </w:p>
    <w:p w14:paraId="79DB47A8" w14:textId="77777777" w:rsidR="00ED44A7" w:rsidRPr="0004176C" w:rsidRDefault="00ED44A7" w:rsidP="00ED44A7">
      <w:pPr>
        <w:jc w:val="both"/>
        <w:rPr>
          <w:color w:val="000000"/>
          <w:sz w:val="22"/>
          <w:szCs w:val="22"/>
        </w:rPr>
      </w:pPr>
      <w:r w:rsidRPr="0004176C">
        <w:rPr>
          <w:b/>
          <w:color w:val="000000"/>
          <w:sz w:val="22"/>
          <w:szCs w:val="22"/>
        </w:rPr>
        <w:t>Plan Year Approved, Implemented, Amended</w:t>
      </w:r>
      <w:r w:rsidRPr="0004176C">
        <w:rPr>
          <w:color w:val="000000"/>
          <w:sz w:val="22"/>
          <w:szCs w:val="22"/>
        </w:rPr>
        <w:t xml:space="preserve"> </w:t>
      </w:r>
    </w:p>
    <w:p w14:paraId="6C58E905" w14:textId="77777777" w:rsidR="00ED44A7" w:rsidRPr="0004176C" w:rsidRDefault="00ED44A7" w:rsidP="00ED44A7">
      <w:pPr>
        <w:jc w:val="both"/>
        <w:rPr>
          <w:sz w:val="22"/>
          <w:szCs w:val="22"/>
        </w:rPr>
      </w:pPr>
      <w:r w:rsidRPr="0004176C">
        <w:rPr>
          <w:sz w:val="22"/>
          <w:szCs w:val="22"/>
        </w:rPr>
        <w:t>Approved and implemented FY 2010.</w:t>
      </w:r>
    </w:p>
    <w:p w14:paraId="4D03BAFD" w14:textId="77777777" w:rsidR="00ED44A7" w:rsidRPr="0004176C" w:rsidRDefault="00ED44A7" w:rsidP="009C2E6D">
      <w:pPr>
        <w:jc w:val="both"/>
        <w:rPr>
          <w:b/>
          <w:color w:val="000000"/>
          <w:sz w:val="22"/>
          <w:szCs w:val="22"/>
        </w:rPr>
      </w:pPr>
    </w:p>
    <w:p w14:paraId="2EDE1E53" w14:textId="3520F92B" w:rsidR="009645E3" w:rsidRPr="0004176C" w:rsidRDefault="005E3062" w:rsidP="009C2E6D">
      <w:pPr>
        <w:jc w:val="both"/>
        <w:rPr>
          <w:b/>
          <w:color w:val="000000"/>
          <w:sz w:val="22"/>
          <w:szCs w:val="22"/>
        </w:rPr>
      </w:pPr>
      <w:r w:rsidRPr="0004176C">
        <w:rPr>
          <w:b/>
          <w:color w:val="000000"/>
          <w:sz w:val="22"/>
          <w:szCs w:val="22"/>
        </w:rPr>
        <w:t>Description</w:t>
      </w:r>
      <w:r w:rsidR="00BA45DB" w:rsidRPr="0004176C">
        <w:rPr>
          <w:b/>
          <w:color w:val="000000"/>
          <w:sz w:val="22"/>
          <w:szCs w:val="22"/>
        </w:rPr>
        <w:t>/Update</w:t>
      </w:r>
    </w:p>
    <w:p w14:paraId="1A3E1D0A" w14:textId="77777777" w:rsidR="00EB02C0" w:rsidRPr="0004176C" w:rsidRDefault="00EB02C0" w:rsidP="002A7BE5">
      <w:pPr>
        <w:jc w:val="both"/>
        <w:rPr>
          <w:sz w:val="22"/>
          <w:szCs w:val="22"/>
        </w:rPr>
      </w:pPr>
      <w:r w:rsidRPr="0004176C">
        <w:rPr>
          <w:sz w:val="22"/>
          <w:szCs w:val="22"/>
        </w:rPr>
        <w:t>An</w:t>
      </w:r>
      <w:r w:rsidR="005E3062" w:rsidRPr="0004176C">
        <w:rPr>
          <w:sz w:val="22"/>
          <w:szCs w:val="22"/>
        </w:rPr>
        <w:t xml:space="preserve"> Owner Incentive Fund pilot initiative was established</w:t>
      </w:r>
      <w:r w:rsidRPr="0004176C">
        <w:rPr>
          <w:sz w:val="22"/>
          <w:szCs w:val="22"/>
        </w:rPr>
        <w:t xml:space="preserve"> in January 2010</w:t>
      </w:r>
      <w:r w:rsidR="005E3062" w:rsidRPr="0004176C">
        <w:rPr>
          <w:sz w:val="22"/>
          <w:szCs w:val="22"/>
        </w:rPr>
        <w:t xml:space="preserve"> to promote upgrades to the housing stock in areas of the state with a large percentage of olde</w:t>
      </w:r>
      <w:r w:rsidRPr="0004176C">
        <w:rPr>
          <w:sz w:val="22"/>
          <w:szCs w:val="22"/>
        </w:rPr>
        <w:t xml:space="preserve">r, deteriorated housing stock. </w:t>
      </w:r>
      <w:r w:rsidR="005E3062" w:rsidRPr="0004176C">
        <w:rPr>
          <w:sz w:val="22"/>
          <w:szCs w:val="22"/>
        </w:rPr>
        <w:t>DHCD</w:t>
      </w:r>
      <w:r w:rsidRPr="0004176C">
        <w:rPr>
          <w:sz w:val="22"/>
          <w:szCs w:val="22"/>
        </w:rPr>
        <w:t>’s goals for this activity are:</w:t>
      </w:r>
      <w:r w:rsidR="005E3062" w:rsidRPr="0004176C">
        <w:rPr>
          <w:sz w:val="22"/>
          <w:szCs w:val="22"/>
        </w:rPr>
        <w:t xml:space="preserve"> </w:t>
      </w:r>
    </w:p>
    <w:p w14:paraId="5BECB5AA" w14:textId="77777777" w:rsidR="00EB02C0" w:rsidRPr="0004176C" w:rsidRDefault="00EB02C0" w:rsidP="002A7BE5">
      <w:pPr>
        <w:jc w:val="both"/>
        <w:rPr>
          <w:sz w:val="22"/>
          <w:szCs w:val="22"/>
        </w:rPr>
      </w:pPr>
    </w:p>
    <w:p w14:paraId="23021AF8" w14:textId="77777777" w:rsidR="00EB02C0" w:rsidRPr="0004176C" w:rsidRDefault="00EB02C0" w:rsidP="00AA5A80">
      <w:pPr>
        <w:pStyle w:val="ListParagraph"/>
        <w:numPr>
          <w:ilvl w:val="0"/>
          <w:numId w:val="15"/>
        </w:numPr>
        <w:jc w:val="both"/>
      </w:pPr>
      <w:r w:rsidRPr="0004176C">
        <w:t>L</w:t>
      </w:r>
      <w:r w:rsidR="005E3062" w:rsidRPr="0004176C">
        <w:t xml:space="preserve">easing higher quality units including incentivizing owners to upgrade existing housing at least one grade level, i.e. from a “C” to a “B” grade, or from a “B” to an “A” grade; </w:t>
      </w:r>
    </w:p>
    <w:p w14:paraId="22D15843" w14:textId="77777777" w:rsidR="00EB02C0" w:rsidRPr="0004176C" w:rsidRDefault="00EB02C0" w:rsidP="00232CA8">
      <w:pPr>
        <w:jc w:val="both"/>
        <w:rPr>
          <w:sz w:val="22"/>
          <w:szCs w:val="22"/>
        </w:rPr>
      </w:pPr>
    </w:p>
    <w:p w14:paraId="5433D6B5" w14:textId="2C1C9A74" w:rsidR="00EB02C0" w:rsidRPr="0004176C" w:rsidRDefault="00EB02C0" w:rsidP="00AA5A80">
      <w:pPr>
        <w:pStyle w:val="ListParagraph"/>
        <w:numPr>
          <w:ilvl w:val="0"/>
          <w:numId w:val="15"/>
        </w:numPr>
        <w:jc w:val="both"/>
      </w:pPr>
      <w:r w:rsidRPr="0004176C">
        <w:t>I</w:t>
      </w:r>
      <w:r w:rsidR="005E3062" w:rsidRPr="0004176C">
        <w:t>ncreasing the number of units that are accessible</w:t>
      </w:r>
      <w:r w:rsidRPr="0004176C">
        <w:t xml:space="preserve"> to persons with disabilities</w:t>
      </w:r>
      <w:r w:rsidR="000B337C" w:rsidRPr="0004176C">
        <w:t>;</w:t>
      </w:r>
    </w:p>
    <w:p w14:paraId="63C0CBD2" w14:textId="77777777" w:rsidR="00EB02C0" w:rsidRPr="0004176C" w:rsidRDefault="00EB02C0" w:rsidP="00232CA8">
      <w:pPr>
        <w:jc w:val="both"/>
        <w:rPr>
          <w:sz w:val="22"/>
          <w:szCs w:val="22"/>
        </w:rPr>
      </w:pPr>
    </w:p>
    <w:p w14:paraId="765830F8" w14:textId="2ED2D1C1" w:rsidR="00EB02C0" w:rsidRPr="0004176C" w:rsidRDefault="00EB02C0" w:rsidP="00AA5A80">
      <w:pPr>
        <w:pStyle w:val="ListParagraph"/>
        <w:numPr>
          <w:ilvl w:val="0"/>
          <w:numId w:val="15"/>
        </w:numPr>
        <w:jc w:val="both"/>
      </w:pPr>
      <w:r w:rsidRPr="0004176C">
        <w:t>E</w:t>
      </w:r>
      <w:r w:rsidR="005E3062" w:rsidRPr="0004176C">
        <w:t>xpanding the number of units leased in currently underser</w:t>
      </w:r>
      <w:r w:rsidRPr="0004176C">
        <w:t>ved neighborhoods; and</w:t>
      </w:r>
      <w:r w:rsidR="000B337C" w:rsidRPr="0004176C">
        <w:t>,</w:t>
      </w:r>
      <w:r w:rsidRPr="0004176C">
        <w:t xml:space="preserve"> </w:t>
      </w:r>
    </w:p>
    <w:p w14:paraId="305B99B3" w14:textId="77777777" w:rsidR="00EB02C0" w:rsidRPr="0004176C" w:rsidRDefault="00EB02C0" w:rsidP="00232CA8">
      <w:pPr>
        <w:jc w:val="both"/>
        <w:rPr>
          <w:sz w:val="22"/>
          <w:szCs w:val="22"/>
        </w:rPr>
      </w:pPr>
    </w:p>
    <w:p w14:paraId="45242864" w14:textId="77777777" w:rsidR="00EB02C0" w:rsidRPr="0004176C" w:rsidRDefault="00EB02C0" w:rsidP="00AA5A80">
      <w:pPr>
        <w:pStyle w:val="ListParagraph"/>
        <w:numPr>
          <w:ilvl w:val="0"/>
          <w:numId w:val="15"/>
        </w:numPr>
        <w:jc w:val="both"/>
      </w:pPr>
      <w:r w:rsidRPr="0004176C">
        <w:t>E</w:t>
      </w:r>
      <w:r w:rsidR="005E3062" w:rsidRPr="0004176C">
        <w:t>ncouraging new owner participation.</w:t>
      </w:r>
      <w:r w:rsidR="009645E3" w:rsidRPr="0004176C">
        <w:t xml:space="preserve"> </w:t>
      </w:r>
    </w:p>
    <w:p w14:paraId="172E5F4B" w14:textId="77777777" w:rsidR="00EB02C0" w:rsidRPr="0004176C" w:rsidRDefault="00EB02C0" w:rsidP="002A7BE5">
      <w:pPr>
        <w:jc w:val="both"/>
        <w:rPr>
          <w:sz w:val="22"/>
          <w:szCs w:val="22"/>
        </w:rPr>
      </w:pPr>
    </w:p>
    <w:p w14:paraId="690A875A" w14:textId="77777777" w:rsidR="004C1681" w:rsidRPr="0004176C" w:rsidRDefault="004C1681" w:rsidP="002A7BE5">
      <w:pPr>
        <w:jc w:val="both"/>
        <w:rPr>
          <w:sz w:val="22"/>
          <w:szCs w:val="22"/>
        </w:rPr>
      </w:pPr>
      <w:r w:rsidRPr="0004176C">
        <w:rPr>
          <w:sz w:val="22"/>
          <w:szCs w:val="22"/>
        </w:rPr>
        <w:t xml:space="preserve">The program has been piloted by the Berkshire Housing Development Corporation (BHDC) since inception. </w:t>
      </w:r>
      <w:r w:rsidR="00EB02C0" w:rsidRPr="0004176C">
        <w:rPr>
          <w:sz w:val="22"/>
          <w:szCs w:val="22"/>
        </w:rPr>
        <w:t>Participating owners are eligible for a flat fee financial incentive payable over the first year of the HAP contract, provided that their unit is compliant with HQS at all times during this initial term</w:t>
      </w:r>
      <w:r w:rsidR="005E3062" w:rsidRPr="0004176C">
        <w:rPr>
          <w:sz w:val="22"/>
          <w:szCs w:val="22"/>
        </w:rPr>
        <w:t xml:space="preserve">. </w:t>
      </w:r>
      <w:r w:rsidRPr="0004176C">
        <w:rPr>
          <w:sz w:val="22"/>
          <w:szCs w:val="22"/>
        </w:rPr>
        <w:t>At the end of the first year under HAP contract, owners are eligible for an additional one-time paym</w:t>
      </w:r>
      <w:r w:rsidR="004534E0" w:rsidRPr="0004176C">
        <w:rPr>
          <w:sz w:val="22"/>
          <w:szCs w:val="22"/>
        </w:rPr>
        <w:t xml:space="preserve">ent under certain conditions. </w:t>
      </w:r>
    </w:p>
    <w:p w14:paraId="53F76FFF" w14:textId="202FB5F8" w:rsidR="009645E3" w:rsidRPr="0004176C" w:rsidRDefault="009645E3" w:rsidP="009C2E6D">
      <w:pPr>
        <w:jc w:val="both"/>
        <w:rPr>
          <w:sz w:val="22"/>
          <w:szCs w:val="22"/>
        </w:rPr>
      </w:pPr>
    </w:p>
    <w:p w14:paraId="556E7BAC" w14:textId="77777777" w:rsidR="00851EDB" w:rsidRPr="0004176C" w:rsidRDefault="00851EDB" w:rsidP="00851EDB">
      <w:pPr>
        <w:jc w:val="both"/>
        <w:rPr>
          <w:sz w:val="22"/>
          <w:szCs w:val="22"/>
        </w:rPr>
      </w:pPr>
      <w:r w:rsidRPr="0004176C">
        <w:rPr>
          <w:sz w:val="22"/>
          <w:szCs w:val="22"/>
        </w:rPr>
        <w:t>DHCD has the flexibility to adjust the program criteria and payment amounts as needed to respond to local market conditions, particularly when planning an expansion of this program to additional RAAs. DHCD will continue to assess the feasibility of expanding the program to other regions using the same program parameters, with a focus on increasing the number of new landlords participating in the program, and increasing the number of units available in high opportunity communities.</w:t>
      </w:r>
    </w:p>
    <w:p w14:paraId="460E48F7" w14:textId="390E8666" w:rsidR="00D91A87" w:rsidRPr="0004176C" w:rsidRDefault="00D91A87" w:rsidP="00ED44A7">
      <w:pPr>
        <w:jc w:val="both"/>
      </w:pPr>
    </w:p>
    <w:p w14:paraId="2D1204AC" w14:textId="77777777" w:rsidR="00D91A87" w:rsidRPr="0004176C" w:rsidRDefault="00D91A87" w:rsidP="00D91A87">
      <w:pPr>
        <w:jc w:val="both"/>
        <w:rPr>
          <w:b/>
          <w:color w:val="000000"/>
          <w:sz w:val="22"/>
          <w:szCs w:val="22"/>
        </w:rPr>
      </w:pPr>
      <w:r w:rsidRPr="0004176C">
        <w:rPr>
          <w:b/>
          <w:color w:val="000000"/>
          <w:sz w:val="22"/>
          <w:szCs w:val="22"/>
        </w:rPr>
        <w:t>Planned Non-Significant Changes</w:t>
      </w:r>
    </w:p>
    <w:p w14:paraId="274A0544" w14:textId="77777777" w:rsidR="00D91A87" w:rsidRPr="0004176C" w:rsidRDefault="00D91A87" w:rsidP="00D91A87">
      <w:pPr>
        <w:jc w:val="both"/>
        <w:rPr>
          <w:b/>
          <w:strike/>
          <w:color w:val="FF0000"/>
          <w:sz w:val="22"/>
          <w:szCs w:val="22"/>
        </w:rPr>
      </w:pPr>
      <w:r w:rsidRPr="0004176C">
        <w:rPr>
          <w:color w:val="000000" w:themeColor="text1"/>
          <w:sz w:val="22"/>
          <w:szCs w:val="22"/>
        </w:rPr>
        <w:t xml:space="preserve">No non-significant changes are planned. </w:t>
      </w:r>
    </w:p>
    <w:p w14:paraId="5DB8BFD1" w14:textId="77777777" w:rsidR="00D91A87" w:rsidRPr="0004176C" w:rsidRDefault="00D91A87" w:rsidP="00D91A87">
      <w:pPr>
        <w:pStyle w:val="ListParagraph"/>
        <w:numPr>
          <w:ilvl w:val="0"/>
          <w:numId w:val="0"/>
        </w:numPr>
        <w:ind w:left="360"/>
        <w:jc w:val="both"/>
        <w:rPr>
          <w:color w:val="000000" w:themeColor="text1"/>
        </w:rPr>
      </w:pPr>
    </w:p>
    <w:p w14:paraId="13A3A506" w14:textId="77777777" w:rsidR="00D91A87" w:rsidRPr="0004176C" w:rsidRDefault="00D91A87" w:rsidP="00D91A87">
      <w:pPr>
        <w:jc w:val="both"/>
        <w:rPr>
          <w:b/>
          <w:sz w:val="22"/>
          <w:szCs w:val="22"/>
        </w:rPr>
      </w:pPr>
      <w:r w:rsidRPr="0004176C">
        <w:rPr>
          <w:b/>
          <w:sz w:val="22"/>
          <w:szCs w:val="22"/>
        </w:rPr>
        <w:t>Planned Changes to Metrics/Data Collection</w:t>
      </w:r>
    </w:p>
    <w:p w14:paraId="07FE8078" w14:textId="77777777" w:rsidR="00D91A87" w:rsidRPr="0004176C" w:rsidRDefault="00D91A87" w:rsidP="00D91A87">
      <w:pPr>
        <w:jc w:val="both"/>
        <w:rPr>
          <w:bCs/>
          <w:sz w:val="22"/>
          <w:szCs w:val="22"/>
        </w:rPr>
      </w:pPr>
      <w:r w:rsidRPr="0004176C">
        <w:rPr>
          <w:bCs/>
          <w:sz w:val="22"/>
          <w:szCs w:val="22"/>
        </w:rPr>
        <w:t xml:space="preserve">No changes to metrics or data collection methods are planned. </w:t>
      </w:r>
    </w:p>
    <w:p w14:paraId="4993324B" w14:textId="77777777" w:rsidR="00D91A87" w:rsidRPr="0004176C" w:rsidRDefault="00D91A87" w:rsidP="00D91A87">
      <w:pPr>
        <w:pStyle w:val="ListParagraph"/>
        <w:numPr>
          <w:ilvl w:val="0"/>
          <w:numId w:val="0"/>
        </w:numPr>
        <w:ind w:left="360"/>
        <w:jc w:val="both"/>
      </w:pPr>
    </w:p>
    <w:p w14:paraId="7DC76EE3" w14:textId="77777777" w:rsidR="00BA1074" w:rsidRPr="0004176C" w:rsidRDefault="00DC65B8" w:rsidP="002C6412">
      <w:pPr>
        <w:jc w:val="both"/>
        <w:rPr>
          <w:color w:val="000000"/>
          <w:sz w:val="22"/>
          <w:szCs w:val="22"/>
        </w:rPr>
      </w:pPr>
      <w:r w:rsidRPr="0004176C">
        <w:rPr>
          <w:b/>
          <w:color w:val="000000"/>
          <w:sz w:val="22"/>
          <w:szCs w:val="22"/>
        </w:rPr>
        <w:t>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14"/>
        <w:gridCol w:w="1627"/>
        <w:gridCol w:w="1354"/>
        <w:gridCol w:w="1440"/>
      </w:tblGrid>
      <w:tr w:rsidR="005E3062" w:rsidRPr="0004176C" w14:paraId="07AC4C48" w14:textId="77777777" w:rsidTr="005C7E85">
        <w:trPr>
          <w:trHeight w:hRule="exact" w:val="432"/>
        </w:trPr>
        <w:tc>
          <w:tcPr>
            <w:tcW w:w="1440" w:type="dxa"/>
            <w:gridSpan w:val="5"/>
            <w:shd w:val="clear" w:color="auto" w:fill="C6D9F1" w:themeFill="text2" w:themeFillTint="33"/>
            <w:hideMark/>
          </w:tcPr>
          <w:p w14:paraId="66F60861" w14:textId="77777777" w:rsidR="005E3062" w:rsidRPr="0004176C" w:rsidRDefault="005E3062" w:rsidP="00ED0966">
            <w:pPr>
              <w:jc w:val="center"/>
              <w:rPr>
                <w:rFonts w:eastAsia="Calibri"/>
                <w:b/>
                <w:bCs/>
                <w:i/>
                <w:iCs/>
                <w:sz w:val="20"/>
                <w:szCs w:val="20"/>
              </w:rPr>
            </w:pPr>
            <w:r w:rsidRPr="0004176C">
              <w:rPr>
                <w:rFonts w:eastAsia="Calibri"/>
                <w:b/>
                <w:bCs/>
                <w:i/>
                <w:iCs/>
                <w:sz w:val="20"/>
                <w:szCs w:val="20"/>
              </w:rPr>
              <w:t>HC #5: Increase in Resident Mobility</w:t>
            </w:r>
          </w:p>
        </w:tc>
      </w:tr>
      <w:tr w:rsidR="005E3062" w:rsidRPr="0004176C" w14:paraId="0EA2EFF3" w14:textId="77777777" w:rsidTr="005C7E85">
        <w:trPr>
          <w:trHeight w:hRule="exact" w:val="576"/>
        </w:trPr>
        <w:tc>
          <w:tcPr>
            <w:tcW w:w="1879" w:type="dxa"/>
            <w:shd w:val="clear" w:color="auto" w:fill="D9D9D9" w:themeFill="background1" w:themeFillShade="D9"/>
            <w:hideMark/>
          </w:tcPr>
          <w:p w14:paraId="77F70DDD" w14:textId="77777777" w:rsidR="005E3062" w:rsidRPr="0004176C" w:rsidRDefault="005E3062" w:rsidP="00B82342">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hideMark/>
          </w:tcPr>
          <w:p w14:paraId="5BDBE1D4" w14:textId="77777777" w:rsidR="005E3062" w:rsidRPr="0004176C" w:rsidRDefault="005E3062" w:rsidP="00B82342">
            <w:pPr>
              <w:jc w:val="center"/>
              <w:rPr>
                <w:rFonts w:eastAsia="Calibri"/>
                <w:b/>
                <w:bCs/>
                <w:sz w:val="20"/>
                <w:szCs w:val="20"/>
              </w:rPr>
            </w:pPr>
            <w:r w:rsidRPr="0004176C">
              <w:rPr>
                <w:rFonts w:eastAsia="Calibri"/>
                <w:b/>
                <w:bCs/>
                <w:sz w:val="20"/>
                <w:szCs w:val="20"/>
              </w:rPr>
              <w:t>Baseline</w:t>
            </w:r>
          </w:p>
        </w:tc>
        <w:tc>
          <w:tcPr>
            <w:tcW w:w="1627" w:type="dxa"/>
            <w:shd w:val="clear" w:color="auto" w:fill="D9D9D9" w:themeFill="background1" w:themeFillShade="D9"/>
            <w:hideMark/>
          </w:tcPr>
          <w:p w14:paraId="1D735650" w14:textId="77777777" w:rsidR="005E3062" w:rsidRPr="0004176C" w:rsidRDefault="005E3062" w:rsidP="00B82342">
            <w:pPr>
              <w:jc w:val="center"/>
              <w:rPr>
                <w:rFonts w:eastAsia="Calibri"/>
                <w:b/>
                <w:bCs/>
                <w:sz w:val="20"/>
                <w:szCs w:val="20"/>
              </w:rPr>
            </w:pPr>
            <w:r w:rsidRPr="0004176C">
              <w:rPr>
                <w:rFonts w:eastAsia="Calibri"/>
                <w:b/>
                <w:bCs/>
                <w:sz w:val="20"/>
                <w:szCs w:val="20"/>
              </w:rPr>
              <w:t>Benchmark</w:t>
            </w:r>
          </w:p>
        </w:tc>
        <w:tc>
          <w:tcPr>
            <w:tcW w:w="1354" w:type="dxa"/>
            <w:shd w:val="clear" w:color="auto" w:fill="D9D9D9" w:themeFill="background1" w:themeFillShade="D9"/>
            <w:hideMark/>
          </w:tcPr>
          <w:p w14:paraId="6CC2FBCC" w14:textId="77777777" w:rsidR="005E3062" w:rsidRPr="0004176C" w:rsidRDefault="005E3062" w:rsidP="00B82342">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hideMark/>
          </w:tcPr>
          <w:p w14:paraId="0F42BEEB" w14:textId="77777777" w:rsidR="005E3062" w:rsidRPr="0004176C" w:rsidRDefault="005E3062" w:rsidP="00B82342">
            <w:pPr>
              <w:jc w:val="center"/>
              <w:rPr>
                <w:rFonts w:eastAsia="Calibri"/>
                <w:b/>
                <w:bCs/>
                <w:sz w:val="20"/>
                <w:szCs w:val="20"/>
              </w:rPr>
            </w:pPr>
            <w:r w:rsidRPr="0004176C">
              <w:rPr>
                <w:rFonts w:eastAsia="Calibri"/>
                <w:b/>
                <w:bCs/>
                <w:sz w:val="20"/>
                <w:szCs w:val="20"/>
              </w:rPr>
              <w:t>Benchmark Achieved?</w:t>
            </w:r>
          </w:p>
        </w:tc>
      </w:tr>
      <w:tr w:rsidR="00846CD7" w:rsidRPr="0004176C" w14:paraId="14A1DC3B" w14:textId="77777777" w:rsidTr="00666672">
        <w:trPr>
          <w:trHeight w:val="1115"/>
        </w:trPr>
        <w:tc>
          <w:tcPr>
            <w:tcW w:w="3240" w:type="dxa"/>
            <w:shd w:val="clear" w:color="auto" w:fill="auto"/>
            <w:hideMark/>
          </w:tcPr>
          <w:p w14:paraId="1BDC080F" w14:textId="77777777" w:rsidR="00846CD7" w:rsidRPr="0004176C" w:rsidRDefault="00846CD7" w:rsidP="00846CD7">
            <w:pPr>
              <w:rPr>
                <w:rFonts w:eastAsia="Calibri"/>
                <w:sz w:val="20"/>
                <w:szCs w:val="20"/>
              </w:rPr>
            </w:pPr>
            <w:r w:rsidRPr="0004176C">
              <w:rPr>
                <w:rFonts w:eastAsia="Calibri"/>
                <w:sz w:val="20"/>
                <w:szCs w:val="20"/>
              </w:rPr>
              <w:t>Number of households able to move to a better unit and/or neighborhood of opportunity as a result of the activity (increase).</w:t>
            </w:r>
          </w:p>
        </w:tc>
        <w:tc>
          <w:tcPr>
            <w:tcW w:w="1714" w:type="dxa"/>
            <w:shd w:val="clear" w:color="auto" w:fill="auto"/>
          </w:tcPr>
          <w:p w14:paraId="632DE590" w14:textId="77777777" w:rsidR="00846CD7" w:rsidRPr="0004176C" w:rsidRDefault="00846CD7" w:rsidP="00D748F5">
            <w:pPr>
              <w:jc w:val="center"/>
              <w:rPr>
                <w:rFonts w:eastAsia="Calibri"/>
                <w:sz w:val="20"/>
                <w:szCs w:val="20"/>
              </w:rPr>
            </w:pPr>
            <w:r w:rsidRPr="0004176C">
              <w:rPr>
                <w:rFonts w:eastAsia="Calibri"/>
                <w:sz w:val="20"/>
                <w:szCs w:val="20"/>
              </w:rPr>
              <w:t>0 households</w:t>
            </w:r>
          </w:p>
        </w:tc>
        <w:tc>
          <w:tcPr>
            <w:tcW w:w="1627" w:type="dxa"/>
            <w:shd w:val="clear" w:color="auto" w:fill="auto"/>
          </w:tcPr>
          <w:p w14:paraId="72CCB567" w14:textId="77777777" w:rsidR="00846CD7" w:rsidRPr="0004176C" w:rsidRDefault="00846CD7" w:rsidP="00D748F5">
            <w:pPr>
              <w:jc w:val="center"/>
              <w:rPr>
                <w:rFonts w:eastAsia="Calibri"/>
                <w:sz w:val="20"/>
                <w:szCs w:val="20"/>
              </w:rPr>
            </w:pPr>
            <w:r w:rsidRPr="0004176C">
              <w:rPr>
                <w:rFonts w:eastAsia="Calibri"/>
                <w:sz w:val="20"/>
                <w:szCs w:val="20"/>
              </w:rPr>
              <w:t>5 households</w:t>
            </w:r>
          </w:p>
        </w:tc>
        <w:tc>
          <w:tcPr>
            <w:tcW w:w="1354" w:type="dxa"/>
            <w:shd w:val="clear" w:color="auto" w:fill="auto"/>
          </w:tcPr>
          <w:p w14:paraId="6CAB352B" w14:textId="217610D2" w:rsidR="00846CD7" w:rsidRPr="0004176C" w:rsidRDefault="00846CD7" w:rsidP="00D748F5">
            <w:pPr>
              <w:jc w:val="center"/>
              <w:rPr>
                <w:rFonts w:eastAsia="Calibri"/>
                <w:sz w:val="20"/>
                <w:szCs w:val="20"/>
              </w:rPr>
            </w:pPr>
          </w:p>
        </w:tc>
        <w:tc>
          <w:tcPr>
            <w:tcW w:w="1440" w:type="dxa"/>
            <w:shd w:val="clear" w:color="auto" w:fill="auto"/>
          </w:tcPr>
          <w:p w14:paraId="7F239F43" w14:textId="36400BC5" w:rsidR="00846CD7" w:rsidRPr="0004176C" w:rsidRDefault="00846CD7" w:rsidP="00D748F5">
            <w:pPr>
              <w:jc w:val="center"/>
              <w:rPr>
                <w:rFonts w:eastAsia="Calibri"/>
                <w:sz w:val="20"/>
                <w:szCs w:val="20"/>
              </w:rPr>
            </w:pPr>
          </w:p>
        </w:tc>
      </w:tr>
    </w:tbl>
    <w:p w14:paraId="020B47DA" w14:textId="77777777" w:rsidR="00C26707" w:rsidRPr="0004176C" w:rsidRDefault="00C26707" w:rsidP="006E4C64">
      <w:pPr>
        <w:jc w:val="both"/>
        <w:rPr>
          <w:b/>
          <w:color w:val="000000"/>
        </w:rPr>
      </w:pPr>
    </w:p>
    <w:p w14:paraId="46EF7530" w14:textId="12026C8E" w:rsidR="006E4C64" w:rsidRPr="0004176C" w:rsidRDefault="006E4C64" w:rsidP="006E4C64">
      <w:pPr>
        <w:jc w:val="both"/>
        <w:rPr>
          <w:b/>
          <w:color w:val="000000"/>
          <w:sz w:val="22"/>
          <w:szCs w:val="22"/>
        </w:rPr>
      </w:pPr>
      <w:r w:rsidRPr="0004176C">
        <w:rPr>
          <w:b/>
          <w:color w:val="000000"/>
          <w:sz w:val="22"/>
          <w:szCs w:val="22"/>
        </w:rPr>
        <w:t>Planned Significant Changes</w:t>
      </w:r>
    </w:p>
    <w:p w14:paraId="6B6F8442" w14:textId="77777777" w:rsidR="006E4C64" w:rsidRPr="0004176C" w:rsidRDefault="006E4C64" w:rsidP="006E4C64">
      <w:pPr>
        <w:jc w:val="both"/>
        <w:rPr>
          <w:color w:val="000000" w:themeColor="text1"/>
          <w:sz w:val="22"/>
          <w:szCs w:val="22"/>
        </w:rPr>
      </w:pPr>
      <w:r w:rsidRPr="0004176C">
        <w:rPr>
          <w:color w:val="000000" w:themeColor="text1"/>
          <w:sz w:val="22"/>
          <w:szCs w:val="22"/>
        </w:rPr>
        <w:t>No significant changes are planned.</w:t>
      </w:r>
    </w:p>
    <w:p w14:paraId="19A0D4CC" w14:textId="09DC19CA" w:rsidR="00E003BD" w:rsidRPr="0004176C" w:rsidRDefault="00E003BD" w:rsidP="001F2A56">
      <w:pPr>
        <w:pStyle w:val="Heading3"/>
        <w:sectPr w:rsidR="00E003BD" w:rsidRPr="0004176C" w:rsidSect="00F61294">
          <w:pgSz w:w="12240" w:h="15840"/>
          <w:pgMar w:top="1440" w:right="1440" w:bottom="1152" w:left="1440" w:header="720" w:footer="720" w:gutter="0"/>
          <w:cols w:space="720"/>
          <w:docGrid w:linePitch="360"/>
        </w:sectPr>
      </w:pPr>
    </w:p>
    <w:p w14:paraId="61A54A06" w14:textId="3CA4CEDD" w:rsidR="003F660F" w:rsidRPr="002E4B38" w:rsidRDefault="003F660F" w:rsidP="001F2A56">
      <w:pPr>
        <w:pStyle w:val="Heading3"/>
        <w:rPr>
          <w:i/>
        </w:rPr>
      </w:pPr>
      <w:bookmarkStart w:id="51" w:name="_Toc33016936"/>
      <w:r w:rsidRPr="0004176C">
        <w:t>Activity 2010-4</w:t>
      </w:r>
      <w:r w:rsidR="00ED0966" w:rsidRPr="0004176C">
        <w:t xml:space="preserve">: </w:t>
      </w:r>
      <w:r w:rsidR="00006120" w:rsidRPr="0004176C">
        <w:t>Development of Local Forms</w:t>
      </w:r>
      <w:bookmarkEnd w:id="51"/>
    </w:p>
    <w:p w14:paraId="7D3F8073" w14:textId="77777777" w:rsidR="003F660F" w:rsidRPr="00295290" w:rsidRDefault="003F660F" w:rsidP="003F660F">
      <w:pPr>
        <w:rPr>
          <w:color w:val="000000"/>
          <w:highlight w:val="green"/>
        </w:rPr>
      </w:pPr>
    </w:p>
    <w:p w14:paraId="2687CD53" w14:textId="77777777" w:rsidR="00ED44A7" w:rsidRPr="00C26707" w:rsidRDefault="00ED44A7" w:rsidP="00ED44A7">
      <w:pPr>
        <w:jc w:val="both"/>
        <w:rPr>
          <w:color w:val="000000"/>
          <w:sz w:val="22"/>
          <w:szCs w:val="22"/>
        </w:rPr>
      </w:pPr>
      <w:r w:rsidRPr="00C26707">
        <w:rPr>
          <w:b/>
          <w:color w:val="000000"/>
          <w:sz w:val="22"/>
          <w:szCs w:val="22"/>
        </w:rPr>
        <w:t>Plan Year Approved, Implemented, Amended</w:t>
      </w:r>
      <w:r w:rsidRPr="00C26707">
        <w:rPr>
          <w:color w:val="000000"/>
          <w:sz w:val="22"/>
          <w:szCs w:val="22"/>
        </w:rPr>
        <w:t xml:space="preserve"> </w:t>
      </w:r>
    </w:p>
    <w:p w14:paraId="42DCAF83" w14:textId="77777777" w:rsidR="00ED44A7" w:rsidRPr="00C26707" w:rsidRDefault="00ED44A7" w:rsidP="00ED44A7">
      <w:pPr>
        <w:jc w:val="both"/>
        <w:rPr>
          <w:sz w:val="22"/>
          <w:szCs w:val="22"/>
        </w:rPr>
      </w:pPr>
      <w:r w:rsidRPr="00C26707">
        <w:rPr>
          <w:sz w:val="22"/>
          <w:szCs w:val="22"/>
        </w:rPr>
        <w:t>Approved FY 2010 and implemented FY 2013.</w:t>
      </w:r>
    </w:p>
    <w:p w14:paraId="32AEFB53" w14:textId="77777777" w:rsidR="00ED44A7" w:rsidRDefault="00ED44A7" w:rsidP="00006120">
      <w:pPr>
        <w:jc w:val="both"/>
        <w:rPr>
          <w:b/>
          <w:color w:val="000000"/>
          <w:sz w:val="22"/>
          <w:szCs w:val="22"/>
        </w:rPr>
      </w:pPr>
    </w:p>
    <w:p w14:paraId="082FA8F4" w14:textId="480CEB62" w:rsidR="00ED0966" w:rsidRPr="00C26707" w:rsidRDefault="00006120" w:rsidP="00006120">
      <w:pPr>
        <w:jc w:val="both"/>
        <w:rPr>
          <w:b/>
          <w:color w:val="000000"/>
          <w:sz w:val="22"/>
          <w:szCs w:val="22"/>
        </w:rPr>
      </w:pPr>
      <w:r w:rsidRPr="00C26707">
        <w:rPr>
          <w:b/>
          <w:color w:val="000000"/>
          <w:sz w:val="22"/>
          <w:szCs w:val="22"/>
        </w:rPr>
        <w:t>Description</w:t>
      </w:r>
      <w:r w:rsidR="00DC1F0D" w:rsidRPr="00C26707">
        <w:rPr>
          <w:b/>
          <w:color w:val="000000"/>
          <w:sz w:val="22"/>
          <w:szCs w:val="22"/>
        </w:rPr>
        <w:t>/Update</w:t>
      </w:r>
    </w:p>
    <w:p w14:paraId="27713EC8" w14:textId="5C2496E8" w:rsidR="00006120" w:rsidRPr="00C26707" w:rsidRDefault="00ED0966" w:rsidP="00006120">
      <w:pPr>
        <w:jc w:val="both"/>
        <w:rPr>
          <w:color w:val="000000"/>
          <w:sz w:val="22"/>
          <w:szCs w:val="22"/>
        </w:rPr>
      </w:pPr>
      <w:r w:rsidRPr="00C26707">
        <w:rPr>
          <w:color w:val="000000"/>
          <w:sz w:val="22"/>
          <w:szCs w:val="22"/>
        </w:rPr>
        <w:t>Under</w:t>
      </w:r>
      <w:r w:rsidR="00266EF2" w:rsidRPr="00C26707">
        <w:rPr>
          <w:color w:val="000000"/>
          <w:sz w:val="22"/>
          <w:szCs w:val="22"/>
        </w:rPr>
        <w:t xml:space="preserve"> this initiative, DHCD </w:t>
      </w:r>
      <w:r w:rsidR="00006120" w:rsidRPr="00C26707">
        <w:rPr>
          <w:color w:val="000000"/>
          <w:sz w:val="22"/>
          <w:szCs w:val="22"/>
        </w:rPr>
        <w:t>develop</w:t>
      </w:r>
      <w:r w:rsidR="00266EF2" w:rsidRPr="00C26707">
        <w:rPr>
          <w:color w:val="000000"/>
          <w:sz w:val="22"/>
          <w:szCs w:val="22"/>
        </w:rPr>
        <w:t>s</w:t>
      </w:r>
      <w:r w:rsidR="00006120" w:rsidRPr="00C26707">
        <w:rPr>
          <w:color w:val="000000"/>
          <w:sz w:val="22"/>
          <w:szCs w:val="22"/>
        </w:rPr>
        <w:t xml:space="preserve"> local versions of forms, as needed, to streamline processing, utilize “plain language”, address MTW policies</w:t>
      </w:r>
      <w:r w:rsidR="00EE07A9">
        <w:rPr>
          <w:color w:val="000000"/>
          <w:sz w:val="22"/>
          <w:szCs w:val="22"/>
        </w:rPr>
        <w:t>,</w:t>
      </w:r>
      <w:r w:rsidR="00006120" w:rsidRPr="00C26707">
        <w:rPr>
          <w:color w:val="000000"/>
          <w:sz w:val="22"/>
          <w:szCs w:val="22"/>
        </w:rPr>
        <w:t xml:space="preserve"> and address local housing market features.  New forms are rolled out to RAA contractors as they are completed.  </w:t>
      </w:r>
    </w:p>
    <w:p w14:paraId="3E824397" w14:textId="47B97AD3" w:rsidR="00006120" w:rsidRPr="00C26707" w:rsidRDefault="00006120" w:rsidP="00006120">
      <w:pPr>
        <w:jc w:val="both"/>
        <w:rPr>
          <w:color w:val="000000"/>
          <w:sz w:val="22"/>
          <w:szCs w:val="22"/>
        </w:rPr>
      </w:pPr>
    </w:p>
    <w:p w14:paraId="15265FA5" w14:textId="12CE0B27" w:rsidR="007B1D77" w:rsidRPr="00C26707" w:rsidRDefault="007B1D77" w:rsidP="007B1D77">
      <w:pPr>
        <w:jc w:val="both"/>
        <w:rPr>
          <w:sz w:val="22"/>
          <w:szCs w:val="22"/>
        </w:rPr>
      </w:pPr>
      <w:r w:rsidRPr="00C26707">
        <w:rPr>
          <w:sz w:val="22"/>
          <w:szCs w:val="22"/>
        </w:rPr>
        <w:t>To date, DHCD has develope</w:t>
      </w:r>
      <w:r w:rsidR="00F961F6">
        <w:rPr>
          <w:sz w:val="22"/>
          <w:szCs w:val="22"/>
        </w:rPr>
        <w:t>d an addendum to the PBV HAP contract to reflect DHCD’s MTW policies,</w:t>
      </w:r>
      <w:r w:rsidRPr="00C26707">
        <w:rPr>
          <w:sz w:val="22"/>
          <w:szCs w:val="22"/>
        </w:rPr>
        <w:t xml:space="preserve"> </w:t>
      </w:r>
      <w:r w:rsidR="00F961F6">
        <w:rPr>
          <w:sz w:val="22"/>
          <w:szCs w:val="22"/>
        </w:rPr>
        <w:t>a local version</w:t>
      </w:r>
      <w:r w:rsidRPr="00C26707">
        <w:rPr>
          <w:sz w:val="22"/>
          <w:szCs w:val="22"/>
        </w:rPr>
        <w:t xml:space="preserve"> of the FSS Contract of Participation and Individual Training and Service</w:t>
      </w:r>
      <w:r w:rsidR="00F961F6">
        <w:rPr>
          <w:sz w:val="22"/>
          <w:szCs w:val="22"/>
        </w:rPr>
        <w:t xml:space="preserve"> Plan and a local version of the Privacy Act and Release Form.</w:t>
      </w:r>
      <w:r w:rsidRPr="00C26707">
        <w:rPr>
          <w:sz w:val="22"/>
          <w:szCs w:val="22"/>
        </w:rPr>
        <w:t xml:space="preserve">  While the new forms do not result in agency savings, the new forms more a</w:t>
      </w:r>
      <w:r w:rsidR="00F961F6">
        <w:rPr>
          <w:sz w:val="22"/>
          <w:szCs w:val="22"/>
        </w:rPr>
        <w:t>ccurately reflect DHCD’s MTW</w:t>
      </w:r>
      <w:r w:rsidRPr="00C26707">
        <w:rPr>
          <w:sz w:val="22"/>
          <w:szCs w:val="22"/>
        </w:rPr>
        <w:t xml:space="preserve"> program</w:t>
      </w:r>
      <w:r w:rsidR="00F961F6">
        <w:rPr>
          <w:sz w:val="22"/>
          <w:szCs w:val="22"/>
        </w:rPr>
        <w:t xml:space="preserve"> and policies</w:t>
      </w:r>
      <w:r w:rsidRPr="00C26707">
        <w:rPr>
          <w:sz w:val="22"/>
          <w:szCs w:val="22"/>
        </w:rPr>
        <w:t xml:space="preserve">. </w:t>
      </w:r>
    </w:p>
    <w:p w14:paraId="7C30046B" w14:textId="77777777" w:rsidR="007B1D77" w:rsidRPr="00C26707" w:rsidRDefault="007B1D77" w:rsidP="007B1D77">
      <w:pPr>
        <w:jc w:val="both"/>
        <w:rPr>
          <w:sz w:val="22"/>
          <w:szCs w:val="22"/>
        </w:rPr>
      </w:pPr>
    </w:p>
    <w:p w14:paraId="59268803" w14:textId="2DF07CBD" w:rsidR="007B1D77" w:rsidRPr="00C26707" w:rsidRDefault="00295290" w:rsidP="007B1D77">
      <w:pPr>
        <w:jc w:val="both"/>
        <w:rPr>
          <w:color w:val="000000"/>
          <w:sz w:val="22"/>
          <w:szCs w:val="22"/>
        </w:rPr>
      </w:pPr>
      <w:r w:rsidRPr="00C26707">
        <w:rPr>
          <w:color w:val="000000"/>
          <w:sz w:val="22"/>
          <w:szCs w:val="22"/>
        </w:rPr>
        <w:t xml:space="preserve">In </w:t>
      </w:r>
      <w:r w:rsidR="006D6331">
        <w:rPr>
          <w:color w:val="000000"/>
          <w:sz w:val="22"/>
          <w:szCs w:val="22"/>
        </w:rPr>
        <w:t>FY 2021</w:t>
      </w:r>
      <w:r w:rsidR="00851EDB" w:rsidRPr="00C26707">
        <w:rPr>
          <w:color w:val="000000"/>
          <w:sz w:val="22"/>
          <w:szCs w:val="22"/>
        </w:rPr>
        <w:t>, DHCD will prepare local versions of the HCV Tenancy Addendum</w:t>
      </w:r>
      <w:r w:rsidR="008C4860">
        <w:rPr>
          <w:color w:val="000000"/>
          <w:sz w:val="22"/>
          <w:szCs w:val="22"/>
        </w:rPr>
        <w:t>,</w:t>
      </w:r>
      <w:r w:rsidR="00851EDB" w:rsidRPr="00C26707">
        <w:rPr>
          <w:color w:val="000000"/>
          <w:sz w:val="22"/>
          <w:szCs w:val="22"/>
        </w:rPr>
        <w:t xml:space="preserve"> the Project Based Tenancy Addendum</w:t>
      </w:r>
      <w:r w:rsidR="008C4860">
        <w:rPr>
          <w:color w:val="000000"/>
          <w:sz w:val="22"/>
          <w:szCs w:val="22"/>
        </w:rPr>
        <w:t xml:space="preserve"> and PBV Statement of Family Responsibility</w:t>
      </w:r>
      <w:r w:rsidR="00851EDB" w:rsidRPr="00C26707">
        <w:rPr>
          <w:color w:val="000000"/>
          <w:sz w:val="22"/>
          <w:szCs w:val="22"/>
        </w:rPr>
        <w:t xml:space="preserve"> </w:t>
      </w:r>
      <w:r w:rsidR="00F961F6">
        <w:rPr>
          <w:color w:val="000000"/>
          <w:sz w:val="22"/>
          <w:szCs w:val="22"/>
        </w:rPr>
        <w:t>to reflect differences between the provisions in the documents and DHCD’s MTW pol</w:t>
      </w:r>
      <w:r w:rsidR="008C4860">
        <w:rPr>
          <w:color w:val="000000"/>
          <w:sz w:val="22"/>
          <w:szCs w:val="22"/>
        </w:rPr>
        <w:t>i</w:t>
      </w:r>
      <w:r w:rsidR="00F961F6">
        <w:rPr>
          <w:color w:val="000000"/>
          <w:sz w:val="22"/>
          <w:szCs w:val="22"/>
        </w:rPr>
        <w:t xml:space="preserve">cies. </w:t>
      </w:r>
      <w:r w:rsidR="007B1D77" w:rsidRPr="00C26707">
        <w:rPr>
          <w:sz w:val="22"/>
          <w:szCs w:val="22"/>
        </w:rPr>
        <w:t xml:space="preserve">DHCD will continue to look for new ways to streamline processing and enable greater staff efficiency while maintaining required data elements and transparency. </w:t>
      </w:r>
    </w:p>
    <w:p w14:paraId="35FF3BB9" w14:textId="0DFB81A0" w:rsidR="007B1D77" w:rsidRPr="00C26707" w:rsidRDefault="007B1D77" w:rsidP="00ED44A7">
      <w:pPr>
        <w:jc w:val="both"/>
      </w:pPr>
    </w:p>
    <w:p w14:paraId="1BA2F9A8" w14:textId="77777777" w:rsidR="007B1D77" w:rsidRPr="00C26707" w:rsidRDefault="007B1D77" w:rsidP="007B1D77">
      <w:pPr>
        <w:jc w:val="both"/>
        <w:rPr>
          <w:b/>
          <w:color w:val="000000"/>
          <w:sz w:val="22"/>
          <w:szCs w:val="22"/>
        </w:rPr>
      </w:pPr>
      <w:r w:rsidRPr="00C26707">
        <w:rPr>
          <w:b/>
          <w:color w:val="000000"/>
          <w:sz w:val="22"/>
          <w:szCs w:val="22"/>
        </w:rPr>
        <w:t>Planned Non-Significant Changes</w:t>
      </w:r>
    </w:p>
    <w:p w14:paraId="56506684" w14:textId="77777777" w:rsidR="007B1D77" w:rsidRPr="00C26707" w:rsidRDefault="007B1D77" w:rsidP="007B1D77">
      <w:pPr>
        <w:jc w:val="both"/>
        <w:rPr>
          <w:b/>
          <w:strike/>
          <w:color w:val="FF0000"/>
          <w:sz w:val="22"/>
          <w:szCs w:val="22"/>
        </w:rPr>
      </w:pPr>
      <w:r w:rsidRPr="00C26707">
        <w:rPr>
          <w:color w:val="000000" w:themeColor="text1"/>
          <w:sz w:val="22"/>
          <w:szCs w:val="22"/>
        </w:rPr>
        <w:t xml:space="preserve">No non-significant changes are planned. </w:t>
      </w:r>
    </w:p>
    <w:p w14:paraId="6579B08A" w14:textId="77777777" w:rsidR="007B1D77" w:rsidRPr="00C26707" w:rsidRDefault="007B1D77" w:rsidP="007B1D77">
      <w:pPr>
        <w:pStyle w:val="ListParagraph"/>
        <w:numPr>
          <w:ilvl w:val="0"/>
          <w:numId w:val="0"/>
        </w:numPr>
        <w:ind w:left="360"/>
        <w:jc w:val="both"/>
        <w:rPr>
          <w:color w:val="000000" w:themeColor="text1"/>
        </w:rPr>
      </w:pPr>
    </w:p>
    <w:p w14:paraId="08768F21" w14:textId="77777777" w:rsidR="007B1D77" w:rsidRPr="00C26707" w:rsidRDefault="007B1D77" w:rsidP="007B1D77">
      <w:pPr>
        <w:jc w:val="both"/>
        <w:rPr>
          <w:b/>
          <w:sz w:val="22"/>
          <w:szCs w:val="22"/>
        </w:rPr>
      </w:pPr>
      <w:r w:rsidRPr="00C26707">
        <w:rPr>
          <w:b/>
          <w:sz w:val="22"/>
          <w:szCs w:val="22"/>
        </w:rPr>
        <w:t>Planned Changes to Metrics/Data Collection</w:t>
      </w:r>
    </w:p>
    <w:p w14:paraId="475D952B" w14:textId="3E5E0590" w:rsidR="007B1D77" w:rsidRPr="00C26707" w:rsidRDefault="00061CE7" w:rsidP="007B1D77">
      <w:pPr>
        <w:jc w:val="both"/>
        <w:rPr>
          <w:bCs/>
          <w:sz w:val="22"/>
          <w:szCs w:val="22"/>
        </w:rPr>
      </w:pPr>
      <w:r w:rsidRPr="00C26707">
        <w:rPr>
          <w:bCs/>
          <w:sz w:val="22"/>
          <w:szCs w:val="22"/>
        </w:rPr>
        <w:t xml:space="preserve">Benchmarks for CE #1 and CE #2 are based on the annual average number of new PBV contracts.  </w:t>
      </w:r>
      <w:r w:rsidR="007B1D77" w:rsidRPr="00C26707">
        <w:rPr>
          <w:bCs/>
          <w:sz w:val="22"/>
          <w:szCs w:val="22"/>
        </w:rPr>
        <w:t xml:space="preserve">No </w:t>
      </w:r>
      <w:r w:rsidRPr="00C26707">
        <w:rPr>
          <w:bCs/>
          <w:sz w:val="22"/>
          <w:szCs w:val="22"/>
        </w:rPr>
        <w:t xml:space="preserve">other </w:t>
      </w:r>
      <w:r w:rsidR="007B1D77" w:rsidRPr="00C26707">
        <w:rPr>
          <w:bCs/>
          <w:sz w:val="22"/>
          <w:szCs w:val="22"/>
        </w:rPr>
        <w:t xml:space="preserve">changes to metrics or data collection methods are planned. </w:t>
      </w:r>
    </w:p>
    <w:p w14:paraId="6C306497" w14:textId="77777777" w:rsidR="007B1D77" w:rsidRPr="00C26707" w:rsidRDefault="007B1D77" w:rsidP="007B1D77">
      <w:pPr>
        <w:pStyle w:val="ListParagraph"/>
        <w:numPr>
          <w:ilvl w:val="0"/>
          <w:numId w:val="0"/>
        </w:numPr>
        <w:ind w:left="360"/>
        <w:jc w:val="both"/>
      </w:pPr>
    </w:p>
    <w:p w14:paraId="2B5ED5EC" w14:textId="77777777" w:rsidR="00002DE2" w:rsidRPr="00C26707" w:rsidRDefault="00DC1F0D" w:rsidP="00DC1F0D">
      <w:pPr>
        <w:jc w:val="both"/>
        <w:rPr>
          <w:b/>
          <w:color w:val="000000"/>
          <w:sz w:val="22"/>
          <w:szCs w:val="22"/>
        </w:rPr>
      </w:pPr>
      <w:r w:rsidRPr="00C26707">
        <w:rPr>
          <w:b/>
          <w:color w:val="000000"/>
          <w:sz w:val="22"/>
          <w:szCs w:val="22"/>
        </w:rPr>
        <w:t>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14"/>
        <w:gridCol w:w="1627"/>
        <w:gridCol w:w="1354"/>
        <w:gridCol w:w="1440"/>
      </w:tblGrid>
      <w:tr w:rsidR="00002DE2" w:rsidRPr="00061CE7" w14:paraId="1E4ADF4D" w14:textId="77777777" w:rsidTr="005F31D5">
        <w:trPr>
          <w:trHeight w:hRule="exact" w:val="317"/>
        </w:trPr>
        <w:tc>
          <w:tcPr>
            <w:tcW w:w="1440" w:type="dxa"/>
            <w:gridSpan w:val="5"/>
            <w:shd w:val="clear" w:color="auto" w:fill="C6D9F1" w:themeFill="text2" w:themeFillTint="33"/>
            <w:hideMark/>
          </w:tcPr>
          <w:p w14:paraId="70419054" w14:textId="77777777" w:rsidR="00002DE2" w:rsidRPr="00061CE7" w:rsidRDefault="00002DE2" w:rsidP="00655474">
            <w:pPr>
              <w:jc w:val="center"/>
              <w:rPr>
                <w:rFonts w:eastAsia="Calibri"/>
                <w:b/>
                <w:bCs/>
                <w:i/>
                <w:iCs/>
                <w:sz w:val="20"/>
                <w:szCs w:val="20"/>
              </w:rPr>
            </w:pPr>
            <w:r w:rsidRPr="00061CE7">
              <w:rPr>
                <w:rFonts w:eastAsia="Calibri"/>
                <w:b/>
                <w:bCs/>
                <w:i/>
                <w:iCs/>
                <w:sz w:val="20"/>
                <w:szCs w:val="20"/>
              </w:rPr>
              <w:t>CE #1: Agency Cost Savings</w:t>
            </w:r>
          </w:p>
        </w:tc>
      </w:tr>
      <w:tr w:rsidR="00002DE2" w:rsidRPr="00061CE7" w14:paraId="62E56D01" w14:textId="77777777" w:rsidTr="005F31D5">
        <w:trPr>
          <w:trHeight w:hRule="exact" w:val="576"/>
        </w:trPr>
        <w:tc>
          <w:tcPr>
            <w:tcW w:w="3240" w:type="dxa"/>
            <w:shd w:val="clear" w:color="auto" w:fill="D9D9D9" w:themeFill="background1" w:themeFillShade="D9"/>
            <w:hideMark/>
          </w:tcPr>
          <w:p w14:paraId="39655F52" w14:textId="77777777" w:rsidR="00002DE2" w:rsidRPr="00061CE7" w:rsidRDefault="00002DE2" w:rsidP="00655474">
            <w:pPr>
              <w:jc w:val="center"/>
              <w:rPr>
                <w:rFonts w:eastAsia="Calibri"/>
                <w:b/>
                <w:bCs/>
                <w:sz w:val="20"/>
                <w:szCs w:val="20"/>
              </w:rPr>
            </w:pPr>
            <w:r w:rsidRPr="00061CE7">
              <w:rPr>
                <w:rFonts w:eastAsia="Calibri"/>
                <w:b/>
                <w:bCs/>
                <w:sz w:val="20"/>
                <w:szCs w:val="20"/>
              </w:rPr>
              <w:t>Unit of Measurement</w:t>
            </w:r>
          </w:p>
        </w:tc>
        <w:tc>
          <w:tcPr>
            <w:tcW w:w="1714" w:type="dxa"/>
            <w:shd w:val="clear" w:color="auto" w:fill="D9D9D9" w:themeFill="background1" w:themeFillShade="D9"/>
            <w:hideMark/>
          </w:tcPr>
          <w:p w14:paraId="0106982C" w14:textId="77777777" w:rsidR="00002DE2" w:rsidRPr="00061CE7" w:rsidRDefault="00002DE2" w:rsidP="00655474">
            <w:pPr>
              <w:jc w:val="center"/>
              <w:rPr>
                <w:rFonts w:eastAsia="Calibri"/>
                <w:b/>
                <w:bCs/>
                <w:sz w:val="20"/>
                <w:szCs w:val="20"/>
              </w:rPr>
            </w:pPr>
            <w:r w:rsidRPr="00061CE7">
              <w:rPr>
                <w:rFonts w:eastAsia="Calibri"/>
                <w:b/>
                <w:bCs/>
                <w:sz w:val="20"/>
                <w:szCs w:val="20"/>
              </w:rPr>
              <w:t>Baseline</w:t>
            </w:r>
          </w:p>
        </w:tc>
        <w:tc>
          <w:tcPr>
            <w:tcW w:w="1627" w:type="dxa"/>
            <w:shd w:val="clear" w:color="auto" w:fill="D9D9D9" w:themeFill="background1" w:themeFillShade="D9"/>
            <w:hideMark/>
          </w:tcPr>
          <w:p w14:paraId="7508791E" w14:textId="77777777" w:rsidR="00002DE2" w:rsidRPr="00061CE7" w:rsidRDefault="00002DE2" w:rsidP="00655474">
            <w:pPr>
              <w:jc w:val="center"/>
              <w:rPr>
                <w:rFonts w:eastAsia="Calibri"/>
                <w:b/>
                <w:bCs/>
                <w:sz w:val="20"/>
                <w:szCs w:val="20"/>
              </w:rPr>
            </w:pPr>
            <w:r w:rsidRPr="00061CE7">
              <w:rPr>
                <w:rFonts w:eastAsia="Calibri"/>
                <w:b/>
                <w:bCs/>
                <w:sz w:val="20"/>
                <w:szCs w:val="20"/>
              </w:rPr>
              <w:t>Benchmark</w:t>
            </w:r>
          </w:p>
        </w:tc>
        <w:tc>
          <w:tcPr>
            <w:tcW w:w="1354" w:type="dxa"/>
            <w:shd w:val="clear" w:color="auto" w:fill="D9D9D9" w:themeFill="background1" w:themeFillShade="D9"/>
            <w:hideMark/>
          </w:tcPr>
          <w:p w14:paraId="611B6963" w14:textId="77777777" w:rsidR="00002DE2" w:rsidRPr="00061CE7" w:rsidRDefault="00002DE2" w:rsidP="00655474">
            <w:pPr>
              <w:jc w:val="center"/>
              <w:rPr>
                <w:rFonts w:eastAsia="Calibri"/>
                <w:b/>
                <w:bCs/>
                <w:sz w:val="20"/>
                <w:szCs w:val="20"/>
              </w:rPr>
            </w:pPr>
            <w:r w:rsidRPr="00061CE7">
              <w:rPr>
                <w:rFonts w:eastAsia="Calibri"/>
                <w:b/>
                <w:bCs/>
                <w:sz w:val="20"/>
                <w:szCs w:val="20"/>
              </w:rPr>
              <w:t>Outcome</w:t>
            </w:r>
          </w:p>
        </w:tc>
        <w:tc>
          <w:tcPr>
            <w:tcW w:w="1440" w:type="dxa"/>
            <w:shd w:val="clear" w:color="auto" w:fill="D9D9D9" w:themeFill="background1" w:themeFillShade="D9"/>
            <w:hideMark/>
          </w:tcPr>
          <w:p w14:paraId="73A6D926" w14:textId="77777777" w:rsidR="00002DE2" w:rsidRPr="00061CE7" w:rsidRDefault="00002DE2" w:rsidP="00655474">
            <w:pPr>
              <w:jc w:val="center"/>
              <w:rPr>
                <w:rFonts w:eastAsia="Calibri"/>
                <w:b/>
                <w:bCs/>
                <w:sz w:val="20"/>
                <w:szCs w:val="20"/>
              </w:rPr>
            </w:pPr>
            <w:r w:rsidRPr="00061CE7">
              <w:rPr>
                <w:rFonts w:eastAsia="Calibri"/>
                <w:b/>
                <w:bCs/>
                <w:sz w:val="20"/>
                <w:szCs w:val="20"/>
              </w:rPr>
              <w:t>Benchmark Achieved?</w:t>
            </w:r>
          </w:p>
        </w:tc>
      </w:tr>
      <w:tr w:rsidR="00DD60AA" w:rsidRPr="00061CE7" w14:paraId="7DF77471" w14:textId="77777777" w:rsidTr="005F31D5">
        <w:trPr>
          <w:trHeight w:val="548"/>
        </w:trPr>
        <w:tc>
          <w:tcPr>
            <w:tcW w:w="3240" w:type="dxa"/>
            <w:shd w:val="clear" w:color="auto" w:fill="auto"/>
            <w:hideMark/>
          </w:tcPr>
          <w:p w14:paraId="1693B647" w14:textId="77777777" w:rsidR="00DD60AA" w:rsidRPr="00061CE7" w:rsidRDefault="00DD60AA" w:rsidP="00DD60AA">
            <w:pPr>
              <w:rPr>
                <w:rFonts w:eastAsia="Calibri"/>
                <w:sz w:val="20"/>
                <w:szCs w:val="20"/>
              </w:rPr>
            </w:pPr>
            <w:r w:rsidRPr="00061CE7">
              <w:rPr>
                <w:rFonts w:eastAsia="Calibri"/>
                <w:sz w:val="20"/>
                <w:szCs w:val="20"/>
              </w:rPr>
              <w:t>Total cost of task in dollars (decrease).</w:t>
            </w:r>
          </w:p>
        </w:tc>
        <w:tc>
          <w:tcPr>
            <w:tcW w:w="1714" w:type="dxa"/>
            <w:shd w:val="clear" w:color="auto" w:fill="auto"/>
          </w:tcPr>
          <w:p w14:paraId="6BA51E77" w14:textId="6AE00A09" w:rsidR="00C05AF7" w:rsidRPr="00061CE7" w:rsidRDefault="00C05AF7" w:rsidP="00A2166F">
            <w:pPr>
              <w:jc w:val="center"/>
              <w:rPr>
                <w:rFonts w:eastAsia="Calibri"/>
                <w:b/>
                <w:sz w:val="20"/>
                <w:szCs w:val="20"/>
              </w:rPr>
            </w:pPr>
            <w:r w:rsidRPr="00061CE7">
              <w:rPr>
                <w:rFonts w:eastAsia="Calibri"/>
                <w:b/>
                <w:sz w:val="20"/>
                <w:szCs w:val="20"/>
              </w:rPr>
              <w:t>Total cost prior to implementation:</w:t>
            </w:r>
          </w:p>
          <w:p w14:paraId="49E08700" w14:textId="5B2E8B9F" w:rsidR="00C05AF7" w:rsidRPr="00061CE7" w:rsidRDefault="00C05AF7" w:rsidP="00A2166F">
            <w:pPr>
              <w:jc w:val="center"/>
              <w:rPr>
                <w:rFonts w:eastAsia="Calibri"/>
                <w:sz w:val="20"/>
                <w:szCs w:val="20"/>
              </w:rPr>
            </w:pPr>
            <w:r w:rsidRPr="00061CE7">
              <w:rPr>
                <w:rFonts w:eastAsia="Calibri"/>
                <w:sz w:val="20"/>
                <w:szCs w:val="20"/>
              </w:rPr>
              <w:t>$400</w:t>
            </w:r>
          </w:p>
          <w:p w14:paraId="64C09F80" w14:textId="77777777" w:rsidR="00C05AF7" w:rsidRPr="00061CE7" w:rsidRDefault="00C05AF7" w:rsidP="00A2166F">
            <w:pPr>
              <w:jc w:val="center"/>
              <w:rPr>
                <w:rFonts w:eastAsia="Calibri"/>
                <w:b/>
                <w:sz w:val="20"/>
                <w:szCs w:val="20"/>
              </w:rPr>
            </w:pPr>
          </w:p>
          <w:p w14:paraId="3BC47F62" w14:textId="388E65B4" w:rsidR="00DD60AA" w:rsidRPr="00061CE7" w:rsidRDefault="00DD60AA" w:rsidP="00A2166F">
            <w:pPr>
              <w:jc w:val="center"/>
              <w:rPr>
                <w:rFonts w:eastAsia="Calibri"/>
                <w:sz w:val="20"/>
                <w:szCs w:val="20"/>
              </w:rPr>
            </w:pPr>
            <w:r w:rsidRPr="00061CE7">
              <w:rPr>
                <w:rFonts w:eastAsia="Calibri"/>
                <w:b/>
                <w:sz w:val="20"/>
                <w:szCs w:val="20"/>
              </w:rPr>
              <w:t>HAP Contracts executed in FY 13</w:t>
            </w:r>
            <w:r w:rsidRPr="00061CE7">
              <w:rPr>
                <w:rFonts w:eastAsia="Calibri"/>
                <w:sz w:val="20"/>
                <w:szCs w:val="20"/>
              </w:rPr>
              <w:t>:  11</w:t>
            </w:r>
          </w:p>
          <w:p w14:paraId="7C57B847" w14:textId="77777777" w:rsidR="00DD60AA" w:rsidRPr="00061CE7" w:rsidRDefault="00DD60AA" w:rsidP="00A2166F">
            <w:pPr>
              <w:jc w:val="center"/>
              <w:rPr>
                <w:rFonts w:eastAsia="Calibri"/>
                <w:sz w:val="20"/>
                <w:szCs w:val="20"/>
              </w:rPr>
            </w:pPr>
          </w:p>
          <w:p w14:paraId="4C45684A" w14:textId="77777777" w:rsidR="00DD60AA" w:rsidRPr="00061CE7" w:rsidRDefault="00DD60AA" w:rsidP="00A2166F">
            <w:pPr>
              <w:jc w:val="center"/>
              <w:rPr>
                <w:rFonts w:eastAsia="Calibri"/>
                <w:sz w:val="20"/>
                <w:szCs w:val="20"/>
              </w:rPr>
            </w:pPr>
            <w:r w:rsidRPr="00061CE7">
              <w:rPr>
                <w:rFonts w:eastAsia="Calibri"/>
                <w:b/>
                <w:sz w:val="20"/>
                <w:szCs w:val="20"/>
              </w:rPr>
              <w:t>Time to Prepare HAP contract prior to implementation</w:t>
            </w:r>
            <w:r w:rsidRPr="00061CE7">
              <w:rPr>
                <w:rFonts w:eastAsia="Calibri"/>
                <w:sz w:val="20"/>
                <w:szCs w:val="20"/>
              </w:rPr>
              <w:t>: 2 hours</w:t>
            </w:r>
          </w:p>
          <w:p w14:paraId="1DBEB953" w14:textId="77777777" w:rsidR="00DD60AA" w:rsidRPr="00061CE7" w:rsidRDefault="00DD60AA" w:rsidP="00A2166F">
            <w:pPr>
              <w:jc w:val="center"/>
              <w:rPr>
                <w:rFonts w:eastAsia="Calibri"/>
                <w:sz w:val="20"/>
                <w:szCs w:val="20"/>
              </w:rPr>
            </w:pPr>
          </w:p>
          <w:p w14:paraId="7214E0D5" w14:textId="3238AD90" w:rsidR="00DD60AA" w:rsidRPr="00061CE7" w:rsidRDefault="00DD60AA" w:rsidP="00666672">
            <w:pPr>
              <w:jc w:val="center"/>
              <w:rPr>
                <w:rFonts w:eastAsia="Calibri"/>
                <w:sz w:val="20"/>
                <w:szCs w:val="20"/>
              </w:rPr>
            </w:pPr>
            <w:r w:rsidRPr="00061CE7">
              <w:rPr>
                <w:rFonts w:eastAsia="Calibri"/>
                <w:b/>
                <w:sz w:val="20"/>
                <w:szCs w:val="20"/>
              </w:rPr>
              <w:t>Average hourly wage</w:t>
            </w:r>
            <w:r w:rsidRPr="00061CE7">
              <w:rPr>
                <w:rFonts w:eastAsia="Calibri"/>
                <w:sz w:val="20"/>
                <w:szCs w:val="20"/>
              </w:rPr>
              <w:t>: $18.17</w:t>
            </w:r>
          </w:p>
        </w:tc>
        <w:tc>
          <w:tcPr>
            <w:tcW w:w="1627" w:type="dxa"/>
            <w:shd w:val="clear" w:color="auto" w:fill="auto"/>
          </w:tcPr>
          <w:p w14:paraId="6ADE4FAE" w14:textId="77777777" w:rsidR="00C05AF7" w:rsidRPr="00061CE7" w:rsidRDefault="00C05AF7" w:rsidP="00C05AF7">
            <w:pPr>
              <w:jc w:val="center"/>
              <w:rPr>
                <w:rFonts w:eastAsia="Calibri"/>
                <w:sz w:val="20"/>
                <w:szCs w:val="20"/>
              </w:rPr>
            </w:pPr>
            <w:r w:rsidRPr="00061CE7">
              <w:rPr>
                <w:rFonts w:eastAsia="Calibri"/>
                <w:b/>
                <w:sz w:val="20"/>
                <w:szCs w:val="20"/>
              </w:rPr>
              <w:t>Total cost after implementation</w:t>
            </w:r>
            <w:r w:rsidRPr="00061CE7">
              <w:rPr>
                <w:rFonts w:eastAsia="Calibri"/>
                <w:sz w:val="20"/>
                <w:szCs w:val="20"/>
              </w:rPr>
              <w:t>:</w:t>
            </w:r>
          </w:p>
          <w:p w14:paraId="3C8C8B68" w14:textId="69287217" w:rsidR="00C05AF7" w:rsidRPr="00061CE7" w:rsidRDefault="00061CE7" w:rsidP="00C05AF7">
            <w:pPr>
              <w:spacing w:after="240"/>
              <w:jc w:val="center"/>
              <w:rPr>
                <w:rFonts w:eastAsia="Calibri"/>
                <w:b/>
                <w:sz w:val="20"/>
                <w:szCs w:val="20"/>
              </w:rPr>
            </w:pPr>
            <w:r w:rsidRPr="00061CE7">
              <w:rPr>
                <w:rFonts w:eastAsia="Calibri"/>
                <w:sz w:val="20"/>
                <w:szCs w:val="20"/>
              </w:rPr>
              <w:t>$53</w:t>
            </w:r>
          </w:p>
          <w:p w14:paraId="260247B0" w14:textId="780CA4F4" w:rsidR="00DD60AA" w:rsidRPr="00061CE7" w:rsidRDefault="00DD60AA" w:rsidP="00DD60AA">
            <w:pPr>
              <w:spacing w:after="240"/>
              <w:jc w:val="center"/>
              <w:rPr>
                <w:rFonts w:eastAsia="Calibri"/>
                <w:sz w:val="20"/>
                <w:szCs w:val="20"/>
              </w:rPr>
            </w:pPr>
            <w:r w:rsidRPr="00061CE7">
              <w:rPr>
                <w:rFonts w:eastAsia="Calibri"/>
                <w:b/>
                <w:sz w:val="20"/>
                <w:szCs w:val="20"/>
              </w:rPr>
              <w:t xml:space="preserve">Expected HAP Contracts executed in </w:t>
            </w:r>
            <w:r w:rsidR="006D6331">
              <w:rPr>
                <w:rFonts w:eastAsia="Calibri"/>
                <w:b/>
                <w:sz w:val="20"/>
                <w:szCs w:val="20"/>
              </w:rPr>
              <w:t>FY 2021</w:t>
            </w:r>
            <w:r w:rsidR="00295290" w:rsidRPr="00061CE7">
              <w:rPr>
                <w:rFonts w:eastAsia="Calibri"/>
                <w:sz w:val="20"/>
                <w:szCs w:val="20"/>
              </w:rPr>
              <w:t>:</w:t>
            </w:r>
            <w:r w:rsidR="00061CE7" w:rsidRPr="00061CE7">
              <w:rPr>
                <w:rFonts w:eastAsia="Calibri"/>
                <w:sz w:val="20"/>
                <w:szCs w:val="20"/>
              </w:rPr>
              <w:t xml:space="preserve"> 10</w:t>
            </w:r>
          </w:p>
          <w:p w14:paraId="4084EB9A" w14:textId="77777777" w:rsidR="00DD60AA" w:rsidRPr="00061CE7" w:rsidRDefault="00DD60AA" w:rsidP="00DD60AA">
            <w:pPr>
              <w:jc w:val="center"/>
              <w:rPr>
                <w:rFonts w:eastAsia="Calibri"/>
                <w:sz w:val="20"/>
                <w:szCs w:val="20"/>
              </w:rPr>
            </w:pPr>
            <w:r w:rsidRPr="00061CE7">
              <w:rPr>
                <w:rFonts w:eastAsia="Calibri"/>
                <w:b/>
                <w:sz w:val="20"/>
                <w:szCs w:val="20"/>
              </w:rPr>
              <w:t>Time to Prepare HAP contract after implementation</w:t>
            </w:r>
            <w:r w:rsidRPr="00061CE7">
              <w:rPr>
                <w:rFonts w:eastAsia="Calibri"/>
                <w:sz w:val="20"/>
                <w:szCs w:val="20"/>
              </w:rPr>
              <w:t>: .25 hours</w:t>
            </w:r>
          </w:p>
          <w:p w14:paraId="464F436B" w14:textId="77777777" w:rsidR="00DD60AA" w:rsidRPr="00061CE7" w:rsidRDefault="00DD60AA" w:rsidP="00DD60AA">
            <w:pPr>
              <w:jc w:val="center"/>
              <w:rPr>
                <w:rFonts w:eastAsia="Calibri"/>
                <w:sz w:val="20"/>
                <w:szCs w:val="20"/>
              </w:rPr>
            </w:pPr>
          </w:p>
          <w:p w14:paraId="080DB4C0" w14:textId="533364C7" w:rsidR="00DD60AA" w:rsidRPr="00061CE7" w:rsidRDefault="00DD60AA" w:rsidP="00666672">
            <w:pPr>
              <w:jc w:val="center"/>
              <w:rPr>
                <w:rFonts w:eastAsia="Calibri"/>
                <w:sz w:val="20"/>
                <w:szCs w:val="20"/>
              </w:rPr>
            </w:pPr>
            <w:r w:rsidRPr="00061CE7">
              <w:rPr>
                <w:rFonts w:eastAsia="Calibri"/>
                <w:b/>
                <w:sz w:val="20"/>
                <w:szCs w:val="20"/>
              </w:rPr>
              <w:t>Average hourly wage</w:t>
            </w:r>
            <w:r w:rsidR="00C05AF7" w:rsidRPr="00061CE7">
              <w:rPr>
                <w:rFonts w:eastAsia="Calibri"/>
                <w:sz w:val="20"/>
                <w:szCs w:val="20"/>
              </w:rPr>
              <w:t>: $21</w:t>
            </w:r>
          </w:p>
        </w:tc>
        <w:tc>
          <w:tcPr>
            <w:tcW w:w="1354" w:type="dxa"/>
            <w:shd w:val="clear" w:color="auto" w:fill="auto"/>
          </w:tcPr>
          <w:p w14:paraId="0378FFAC" w14:textId="43DF571F" w:rsidR="00FE4582" w:rsidRPr="00061CE7" w:rsidRDefault="00FE4582" w:rsidP="00FE4582">
            <w:pPr>
              <w:jc w:val="center"/>
              <w:rPr>
                <w:rFonts w:eastAsia="Calibri"/>
                <w:sz w:val="20"/>
                <w:szCs w:val="20"/>
              </w:rPr>
            </w:pPr>
          </w:p>
        </w:tc>
        <w:tc>
          <w:tcPr>
            <w:tcW w:w="1440" w:type="dxa"/>
            <w:shd w:val="clear" w:color="auto" w:fill="auto"/>
          </w:tcPr>
          <w:p w14:paraId="53F520C8" w14:textId="119EBEAB" w:rsidR="00DD60AA" w:rsidRPr="00061CE7" w:rsidRDefault="00DD60AA" w:rsidP="00DD60AA">
            <w:pPr>
              <w:jc w:val="center"/>
              <w:rPr>
                <w:rFonts w:eastAsia="Calibri"/>
                <w:sz w:val="20"/>
                <w:szCs w:val="20"/>
              </w:rPr>
            </w:pPr>
          </w:p>
        </w:tc>
      </w:tr>
      <w:tr w:rsidR="00DD60AA" w:rsidRPr="00061CE7" w14:paraId="078CF6C0" w14:textId="77777777" w:rsidTr="005F31D5">
        <w:trPr>
          <w:trHeight w:hRule="exact" w:val="317"/>
        </w:trPr>
        <w:tc>
          <w:tcPr>
            <w:tcW w:w="1440" w:type="dxa"/>
            <w:gridSpan w:val="5"/>
            <w:shd w:val="clear" w:color="auto" w:fill="C6D9F1" w:themeFill="text2" w:themeFillTint="33"/>
          </w:tcPr>
          <w:p w14:paraId="193B0073" w14:textId="77777777" w:rsidR="00DD60AA" w:rsidRPr="00061CE7" w:rsidRDefault="00DD60AA" w:rsidP="00DD60AA">
            <w:pPr>
              <w:jc w:val="center"/>
              <w:rPr>
                <w:rFonts w:eastAsia="Calibri"/>
                <w:sz w:val="20"/>
                <w:szCs w:val="20"/>
              </w:rPr>
            </w:pPr>
            <w:r w:rsidRPr="00061CE7">
              <w:rPr>
                <w:rFonts w:eastAsia="Calibri"/>
                <w:b/>
                <w:bCs/>
                <w:i/>
                <w:iCs/>
                <w:sz w:val="20"/>
                <w:szCs w:val="20"/>
              </w:rPr>
              <w:t>CE #2: Staff Time Savings</w:t>
            </w:r>
          </w:p>
        </w:tc>
      </w:tr>
      <w:tr w:rsidR="00DD60AA" w:rsidRPr="00061CE7" w14:paraId="17DB450B" w14:textId="77777777" w:rsidTr="005F31D5">
        <w:trPr>
          <w:trHeight w:hRule="exact" w:val="576"/>
        </w:trPr>
        <w:tc>
          <w:tcPr>
            <w:tcW w:w="3240" w:type="dxa"/>
            <w:shd w:val="clear" w:color="auto" w:fill="D9D9D9" w:themeFill="background1" w:themeFillShade="D9"/>
          </w:tcPr>
          <w:p w14:paraId="45E2D55A" w14:textId="77777777" w:rsidR="00DD60AA" w:rsidRPr="00061CE7" w:rsidRDefault="00DD60AA" w:rsidP="00DD60AA">
            <w:pPr>
              <w:jc w:val="center"/>
              <w:rPr>
                <w:rFonts w:eastAsia="Calibri"/>
                <w:b/>
                <w:bCs/>
                <w:sz w:val="20"/>
                <w:szCs w:val="20"/>
              </w:rPr>
            </w:pPr>
            <w:r w:rsidRPr="00061CE7">
              <w:rPr>
                <w:rFonts w:eastAsia="Calibri"/>
                <w:b/>
                <w:bCs/>
                <w:sz w:val="20"/>
                <w:szCs w:val="20"/>
              </w:rPr>
              <w:t>Unit of Measurement</w:t>
            </w:r>
          </w:p>
        </w:tc>
        <w:tc>
          <w:tcPr>
            <w:tcW w:w="1714" w:type="dxa"/>
            <w:shd w:val="clear" w:color="auto" w:fill="D9D9D9" w:themeFill="background1" w:themeFillShade="D9"/>
          </w:tcPr>
          <w:p w14:paraId="2A1FC0FA" w14:textId="77777777" w:rsidR="00DD60AA" w:rsidRPr="00061CE7" w:rsidRDefault="00DD60AA" w:rsidP="00DD60AA">
            <w:pPr>
              <w:jc w:val="center"/>
              <w:rPr>
                <w:rFonts w:eastAsia="Calibri"/>
                <w:b/>
                <w:bCs/>
                <w:sz w:val="20"/>
                <w:szCs w:val="20"/>
              </w:rPr>
            </w:pPr>
            <w:r w:rsidRPr="00061CE7">
              <w:rPr>
                <w:rFonts w:eastAsia="Calibri"/>
                <w:b/>
                <w:bCs/>
                <w:sz w:val="20"/>
                <w:szCs w:val="20"/>
              </w:rPr>
              <w:t>Baseline</w:t>
            </w:r>
          </w:p>
        </w:tc>
        <w:tc>
          <w:tcPr>
            <w:tcW w:w="1627" w:type="dxa"/>
            <w:shd w:val="clear" w:color="auto" w:fill="D9D9D9" w:themeFill="background1" w:themeFillShade="D9"/>
          </w:tcPr>
          <w:p w14:paraId="1F3B0426" w14:textId="77777777" w:rsidR="00DD60AA" w:rsidRPr="00061CE7" w:rsidRDefault="00DD60AA" w:rsidP="00DD60AA">
            <w:pPr>
              <w:jc w:val="center"/>
              <w:rPr>
                <w:rFonts w:eastAsia="Calibri"/>
                <w:b/>
                <w:bCs/>
                <w:sz w:val="20"/>
                <w:szCs w:val="20"/>
              </w:rPr>
            </w:pPr>
            <w:r w:rsidRPr="00061CE7">
              <w:rPr>
                <w:rFonts w:eastAsia="Calibri"/>
                <w:b/>
                <w:bCs/>
                <w:sz w:val="20"/>
                <w:szCs w:val="20"/>
              </w:rPr>
              <w:t>Benchmark</w:t>
            </w:r>
          </w:p>
        </w:tc>
        <w:tc>
          <w:tcPr>
            <w:tcW w:w="1354" w:type="dxa"/>
            <w:shd w:val="clear" w:color="auto" w:fill="D9D9D9" w:themeFill="background1" w:themeFillShade="D9"/>
          </w:tcPr>
          <w:p w14:paraId="361AEAAA" w14:textId="77777777" w:rsidR="00DD60AA" w:rsidRPr="00061CE7" w:rsidRDefault="00DD60AA" w:rsidP="00DD60AA">
            <w:pPr>
              <w:jc w:val="center"/>
              <w:rPr>
                <w:rFonts w:eastAsia="Calibri"/>
                <w:b/>
                <w:bCs/>
                <w:sz w:val="20"/>
                <w:szCs w:val="20"/>
              </w:rPr>
            </w:pPr>
            <w:r w:rsidRPr="00061CE7">
              <w:rPr>
                <w:rFonts w:eastAsia="Calibri"/>
                <w:b/>
                <w:bCs/>
                <w:sz w:val="20"/>
                <w:szCs w:val="20"/>
              </w:rPr>
              <w:t>Outcome</w:t>
            </w:r>
          </w:p>
        </w:tc>
        <w:tc>
          <w:tcPr>
            <w:tcW w:w="1440" w:type="dxa"/>
            <w:shd w:val="clear" w:color="auto" w:fill="D9D9D9" w:themeFill="background1" w:themeFillShade="D9"/>
          </w:tcPr>
          <w:p w14:paraId="41A952D3" w14:textId="77777777" w:rsidR="00DD60AA" w:rsidRPr="00061CE7" w:rsidRDefault="00DD60AA" w:rsidP="00DD60AA">
            <w:pPr>
              <w:jc w:val="center"/>
              <w:rPr>
                <w:rFonts w:eastAsia="Calibri"/>
                <w:b/>
                <w:bCs/>
                <w:sz w:val="20"/>
                <w:szCs w:val="20"/>
              </w:rPr>
            </w:pPr>
            <w:r w:rsidRPr="00061CE7">
              <w:rPr>
                <w:rFonts w:eastAsia="Calibri"/>
                <w:b/>
                <w:bCs/>
                <w:sz w:val="20"/>
                <w:szCs w:val="20"/>
              </w:rPr>
              <w:t>Benchmark Achieved?</w:t>
            </w:r>
          </w:p>
        </w:tc>
      </w:tr>
      <w:tr w:rsidR="00DD60AA" w:rsidRPr="00061CE7" w14:paraId="78B54664" w14:textId="77777777" w:rsidTr="005F31D5">
        <w:trPr>
          <w:trHeight w:val="2780"/>
        </w:trPr>
        <w:tc>
          <w:tcPr>
            <w:tcW w:w="3240" w:type="dxa"/>
            <w:shd w:val="clear" w:color="auto" w:fill="auto"/>
          </w:tcPr>
          <w:p w14:paraId="51F4690C" w14:textId="77777777" w:rsidR="00DD60AA" w:rsidRPr="00061CE7" w:rsidRDefault="00DD60AA" w:rsidP="00DD60AA">
            <w:pPr>
              <w:rPr>
                <w:rFonts w:eastAsia="Calibri"/>
                <w:sz w:val="20"/>
                <w:szCs w:val="20"/>
              </w:rPr>
            </w:pPr>
            <w:r w:rsidRPr="00061CE7">
              <w:rPr>
                <w:rFonts w:eastAsia="Calibri"/>
                <w:sz w:val="20"/>
                <w:szCs w:val="20"/>
              </w:rPr>
              <w:t>Total time to complete the task in staff hours (decrease).</w:t>
            </w:r>
          </w:p>
        </w:tc>
        <w:tc>
          <w:tcPr>
            <w:tcW w:w="1714" w:type="dxa"/>
            <w:shd w:val="clear" w:color="auto" w:fill="auto"/>
          </w:tcPr>
          <w:p w14:paraId="784B891B" w14:textId="77777777" w:rsidR="00C05AF7" w:rsidRPr="00061CE7" w:rsidRDefault="00C05AF7" w:rsidP="00C05AF7">
            <w:pPr>
              <w:jc w:val="center"/>
              <w:rPr>
                <w:rFonts w:eastAsia="Calibri"/>
                <w:sz w:val="20"/>
                <w:szCs w:val="20"/>
              </w:rPr>
            </w:pPr>
            <w:r w:rsidRPr="00061CE7">
              <w:rPr>
                <w:rFonts w:eastAsia="Calibri"/>
                <w:b/>
                <w:sz w:val="20"/>
                <w:szCs w:val="20"/>
              </w:rPr>
              <w:t>Total staff time required prior to implementation</w:t>
            </w:r>
            <w:r w:rsidRPr="00061CE7">
              <w:rPr>
                <w:rFonts w:eastAsia="Calibri"/>
                <w:sz w:val="20"/>
                <w:szCs w:val="20"/>
              </w:rPr>
              <w:t>:</w:t>
            </w:r>
          </w:p>
          <w:p w14:paraId="6017A1A8" w14:textId="1EA80F25" w:rsidR="00C05AF7" w:rsidRPr="00061CE7" w:rsidRDefault="00C05AF7" w:rsidP="00C05AF7">
            <w:pPr>
              <w:jc w:val="center"/>
              <w:rPr>
                <w:rFonts w:eastAsia="Calibri"/>
                <w:sz w:val="20"/>
                <w:szCs w:val="20"/>
              </w:rPr>
            </w:pPr>
            <w:r w:rsidRPr="00061CE7">
              <w:rPr>
                <w:rFonts w:eastAsia="Calibri"/>
                <w:sz w:val="20"/>
                <w:szCs w:val="20"/>
              </w:rPr>
              <w:t>22 hours</w:t>
            </w:r>
          </w:p>
          <w:p w14:paraId="3059BE5B" w14:textId="77777777" w:rsidR="00C05AF7" w:rsidRPr="00061CE7" w:rsidRDefault="00C05AF7" w:rsidP="00C05AF7">
            <w:pPr>
              <w:jc w:val="center"/>
              <w:rPr>
                <w:rFonts w:eastAsia="Calibri"/>
                <w:b/>
                <w:sz w:val="20"/>
                <w:szCs w:val="20"/>
              </w:rPr>
            </w:pPr>
          </w:p>
          <w:p w14:paraId="286ED816" w14:textId="30F91E99" w:rsidR="00DD60AA" w:rsidRPr="00061CE7" w:rsidRDefault="00DD60AA" w:rsidP="00C05AF7">
            <w:pPr>
              <w:jc w:val="center"/>
              <w:rPr>
                <w:rFonts w:eastAsia="Calibri"/>
                <w:sz w:val="20"/>
                <w:szCs w:val="20"/>
              </w:rPr>
            </w:pPr>
            <w:r w:rsidRPr="00061CE7">
              <w:rPr>
                <w:rFonts w:eastAsia="Calibri"/>
                <w:b/>
                <w:sz w:val="20"/>
                <w:szCs w:val="20"/>
              </w:rPr>
              <w:t>HAP Contracts executed in FY 13</w:t>
            </w:r>
            <w:r w:rsidRPr="00061CE7">
              <w:rPr>
                <w:rFonts w:eastAsia="Calibri"/>
                <w:sz w:val="20"/>
                <w:szCs w:val="20"/>
              </w:rPr>
              <w:t>:  11</w:t>
            </w:r>
          </w:p>
          <w:p w14:paraId="3F649EF5" w14:textId="77777777" w:rsidR="00DD60AA" w:rsidRPr="00061CE7" w:rsidRDefault="00DD60AA" w:rsidP="00C05AF7">
            <w:pPr>
              <w:jc w:val="center"/>
              <w:rPr>
                <w:rFonts w:eastAsia="Calibri"/>
                <w:sz w:val="20"/>
                <w:szCs w:val="20"/>
              </w:rPr>
            </w:pPr>
          </w:p>
          <w:p w14:paraId="1232E41D" w14:textId="77777777" w:rsidR="00DD60AA" w:rsidRPr="00061CE7" w:rsidRDefault="00DD60AA" w:rsidP="00C05AF7">
            <w:pPr>
              <w:jc w:val="center"/>
              <w:rPr>
                <w:rFonts w:eastAsia="Calibri"/>
                <w:sz w:val="20"/>
                <w:szCs w:val="20"/>
              </w:rPr>
            </w:pPr>
            <w:r w:rsidRPr="00061CE7">
              <w:rPr>
                <w:rFonts w:eastAsia="Calibri"/>
                <w:b/>
                <w:sz w:val="20"/>
                <w:szCs w:val="20"/>
              </w:rPr>
              <w:t>Time to Prepare HAP contract prior to implementation</w:t>
            </w:r>
            <w:r w:rsidRPr="00061CE7">
              <w:rPr>
                <w:rFonts w:eastAsia="Calibri"/>
                <w:sz w:val="20"/>
                <w:szCs w:val="20"/>
              </w:rPr>
              <w:t>: 2 hours</w:t>
            </w:r>
          </w:p>
          <w:p w14:paraId="5D867B20" w14:textId="593E2CD0" w:rsidR="00DD60AA" w:rsidRPr="00061CE7" w:rsidRDefault="00DD60AA" w:rsidP="00666672">
            <w:pPr>
              <w:rPr>
                <w:rFonts w:eastAsia="Calibri"/>
                <w:b/>
                <w:sz w:val="20"/>
                <w:szCs w:val="20"/>
              </w:rPr>
            </w:pPr>
          </w:p>
        </w:tc>
        <w:tc>
          <w:tcPr>
            <w:tcW w:w="1627" w:type="dxa"/>
            <w:shd w:val="clear" w:color="auto" w:fill="auto"/>
          </w:tcPr>
          <w:p w14:paraId="46F2DAA2" w14:textId="77777777" w:rsidR="00C05AF7" w:rsidRPr="00061CE7" w:rsidRDefault="00C05AF7" w:rsidP="00C05AF7">
            <w:pPr>
              <w:jc w:val="center"/>
              <w:rPr>
                <w:rFonts w:eastAsia="Calibri"/>
                <w:sz w:val="20"/>
                <w:szCs w:val="20"/>
              </w:rPr>
            </w:pPr>
            <w:r w:rsidRPr="00061CE7">
              <w:rPr>
                <w:rFonts w:eastAsia="Calibri"/>
                <w:b/>
                <w:sz w:val="20"/>
                <w:szCs w:val="20"/>
              </w:rPr>
              <w:t>Total staff time required after implementation</w:t>
            </w:r>
            <w:r w:rsidRPr="00061CE7">
              <w:rPr>
                <w:rFonts w:eastAsia="Calibri"/>
                <w:sz w:val="20"/>
                <w:szCs w:val="20"/>
              </w:rPr>
              <w:t>:</w:t>
            </w:r>
          </w:p>
          <w:p w14:paraId="6A37D134" w14:textId="77474B79" w:rsidR="00C05AF7" w:rsidRPr="00061CE7" w:rsidRDefault="00061CE7" w:rsidP="00C05AF7">
            <w:pPr>
              <w:jc w:val="center"/>
              <w:rPr>
                <w:rFonts w:eastAsia="Calibri"/>
                <w:b/>
                <w:sz w:val="20"/>
                <w:szCs w:val="20"/>
              </w:rPr>
            </w:pPr>
            <w:r w:rsidRPr="00061CE7">
              <w:rPr>
                <w:rFonts w:eastAsia="Calibri"/>
                <w:sz w:val="20"/>
                <w:szCs w:val="20"/>
              </w:rPr>
              <w:t>2.</w:t>
            </w:r>
            <w:r w:rsidR="00C05AF7" w:rsidRPr="00061CE7">
              <w:rPr>
                <w:rFonts w:eastAsia="Calibri"/>
                <w:sz w:val="20"/>
                <w:szCs w:val="20"/>
              </w:rPr>
              <w:t>5 hours</w:t>
            </w:r>
          </w:p>
          <w:p w14:paraId="5CB81BC8" w14:textId="77777777" w:rsidR="00C05AF7" w:rsidRPr="00061CE7" w:rsidRDefault="00C05AF7" w:rsidP="00DD60AA">
            <w:pPr>
              <w:jc w:val="center"/>
              <w:rPr>
                <w:rFonts w:eastAsia="Calibri"/>
                <w:b/>
                <w:sz w:val="20"/>
                <w:szCs w:val="20"/>
              </w:rPr>
            </w:pPr>
          </w:p>
          <w:p w14:paraId="0B2E6AF2" w14:textId="47D7A383" w:rsidR="00DD60AA" w:rsidRPr="00061CE7" w:rsidRDefault="00DD60AA" w:rsidP="00DD60AA">
            <w:pPr>
              <w:jc w:val="center"/>
              <w:rPr>
                <w:rFonts w:eastAsia="Calibri"/>
                <w:sz w:val="20"/>
                <w:szCs w:val="20"/>
              </w:rPr>
            </w:pPr>
            <w:r w:rsidRPr="00061CE7">
              <w:rPr>
                <w:rFonts w:eastAsia="Calibri"/>
                <w:b/>
                <w:sz w:val="20"/>
                <w:szCs w:val="20"/>
              </w:rPr>
              <w:t xml:space="preserve">Expected HAP Contracts executed in </w:t>
            </w:r>
            <w:r w:rsidR="006D6331">
              <w:rPr>
                <w:rFonts w:eastAsia="Calibri"/>
                <w:b/>
                <w:sz w:val="20"/>
                <w:szCs w:val="20"/>
              </w:rPr>
              <w:t>FY 2021</w:t>
            </w:r>
            <w:r w:rsidR="00295290" w:rsidRPr="00061CE7">
              <w:rPr>
                <w:rFonts w:eastAsia="Calibri"/>
                <w:sz w:val="20"/>
                <w:szCs w:val="20"/>
              </w:rPr>
              <w:t xml:space="preserve">: </w:t>
            </w:r>
            <w:r w:rsidR="00061CE7" w:rsidRPr="00061CE7">
              <w:rPr>
                <w:rFonts w:eastAsia="Calibri"/>
                <w:sz w:val="20"/>
                <w:szCs w:val="20"/>
              </w:rPr>
              <w:t>10</w:t>
            </w:r>
          </w:p>
          <w:p w14:paraId="0EC9841C" w14:textId="77777777" w:rsidR="00DD60AA" w:rsidRPr="00061CE7" w:rsidRDefault="00DD60AA" w:rsidP="00DD60AA">
            <w:pPr>
              <w:jc w:val="center"/>
              <w:rPr>
                <w:rFonts w:eastAsia="Calibri"/>
                <w:sz w:val="20"/>
                <w:szCs w:val="20"/>
              </w:rPr>
            </w:pPr>
          </w:p>
          <w:p w14:paraId="34FFF31B" w14:textId="27298AD4" w:rsidR="00DD60AA" w:rsidRPr="00061CE7" w:rsidRDefault="00DD60AA" w:rsidP="00D748F5">
            <w:pPr>
              <w:jc w:val="center"/>
              <w:rPr>
                <w:rFonts w:eastAsia="Calibri"/>
                <w:sz w:val="20"/>
                <w:szCs w:val="20"/>
              </w:rPr>
            </w:pPr>
            <w:r w:rsidRPr="00061CE7">
              <w:rPr>
                <w:rFonts w:eastAsia="Calibri"/>
                <w:b/>
                <w:sz w:val="20"/>
                <w:szCs w:val="20"/>
              </w:rPr>
              <w:t>Time to Prepare HAP contract after implementation</w:t>
            </w:r>
            <w:r w:rsidRPr="00061CE7">
              <w:rPr>
                <w:rFonts w:eastAsia="Calibri"/>
                <w:sz w:val="20"/>
                <w:szCs w:val="20"/>
              </w:rPr>
              <w:t>: .25 hours</w:t>
            </w:r>
          </w:p>
        </w:tc>
        <w:tc>
          <w:tcPr>
            <w:tcW w:w="1354" w:type="dxa"/>
            <w:shd w:val="clear" w:color="auto" w:fill="auto"/>
          </w:tcPr>
          <w:p w14:paraId="5A1E2634" w14:textId="77777777" w:rsidR="00FE4582" w:rsidRPr="00061CE7" w:rsidRDefault="00FE4582" w:rsidP="00FE4582">
            <w:pPr>
              <w:jc w:val="center"/>
              <w:rPr>
                <w:rFonts w:eastAsia="Calibri"/>
                <w:b/>
                <w:sz w:val="20"/>
                <w:szCs w:val="20"/>
              </w:rPr>
            </w:pPr>
          </w:p>
          <w:p w14:paraId="3FECF9A3" w14:textId="77777777" w:rsidR="00FE4582" w:rsidRPr="00061CE7" w:rsidRDefault="00FE4582" w:rsidP="00DD60AA">
            <w:pPr>
              <w:jc w:val="center"/>
              <w:rPr>
                <w:rFonts w:eastAsia="Calibri"/>
                <w:sz w:val="20"/>
                <w:szCs w:val="20"/>
              </w:rPr>
            </w:pPr>
          </w:p>
          <w:p w14:paraId="0131B637" w14:textId="77777777" w:rsidR="00FE4582" w:rsidRPr="00061CE7" w:rsidRDefault="00FE4582" w:rsidP="00DD60AA">
            <w:pPr>
              <w:jc w:val="center"/>
              <w:rPr>
                <w:rFonts w:eastAsia="Calibri"/>
                <w:sz w:val="20"/>
                <w:szCs w:val="20"/>
              </w:rPr>
            </w:pPr>
          </w:p>
        </w:tc>
        <w:tc>
          <w:tcPr>
            <w:tcW w:w="1440" w:type="dxa"/>
            <w:shd w:val="clear" w:color="auto" w:fill="auto"/>
          </w:tcPr>
          <w:p w14:paraId="6B2800D8" w14:textId="05682F94" w:rsidR="00DD60AA" w:rsidRPr="00061CE7" w:rsidRDefault="00DD60AA" w:rsidP="00DD60AA">
            <w:pPr>
              <w:jc w:val="center"/>
              <w:rPr>
                <w:rFonts w:eastAsia="Calibri"/>
                <w:sz w:val="20"/>
                <w:szCs w:val="20"/>
              </w:rPr>
            </w:pPr>
          </w:p>
        </w:tc>
      </w:tr>
    </w:tbl>
    <w:p w14:paraId="7214655F" w14:textId="77777777" w:rsidR="0035010F" w:rsidRPr="00061CE7" w:rsidRDefault="0035010F" w:rsidP="005E3062">
      <w:pPr>
        <w:rPr>
          <w:color w:val="000000"/>
          <w:sz w:val="22"/>
          <w:szCs w:val="22"/>
        </w:rPr>
      </w:pPr>
    </w:p>
    <w:p w14:paraId="5AA3EE33" w14:textId="77777777" w:rsidR="006E4C64" w:rsidRPr="00C26707" w:rsidRDefault="006E4C64" w:rsidP="006E4C64">
      <w:pPr>
        <w:jc w:val="both"/>
        <w:rPr>
          <w:b/>
          <w:color w:val="000000"/>
          <w:sz w:val="22"/>
          <w:szCs w:val="22"/>
        </w:rPr>
      </w:pPr>
      <w:r w:rsidRPr="00C26707">
        <w:rPr>
          <w:b/>
          <w:color w:val="000000"/>
          <w:sz w:val="22"/>
          <w:szCs w:val="22"/>
        </w:rPr>
        <w:t>Planned Significant Changes</w:t>
      </w:r>
    </w:p>
    <w:p w14:paraId="5DF5F51D" w14:textId="77777777" w:rsidR="006E4C64" w:rsidRPr="00C26707" w:rsidRDefault="006E4C64" w:rsidP="006E4C64">
      <w:pPr>
        <w:jc w:val="both"/>
        <w:rPr>
          <w:color w:val="000000" w:themeColor="text1"/>
          <w:sz w:val="22"/>
          <w:szCs w:val="22"/>
        </w:rPr>
      </w:pPr>
      <w:r w:rsidRPr="00C26707">
        <w:rPr>
          <w:color w:val="000000" w:themeColor="text1"/>
          <w:sz w:val="22"/>
          <w:szCs w:val="22"/>
        </w:rPr>
        <w:t>No significant changes are planned.</w:t>
      </w:r>
    </w:p>
    <w:p w14:paraId="1381F031" w14:textId="77777777" w:rsidR="00D20672" w:rsidRPr="00E94B9C" w:rsidRDefault="00D20672"/>
    <w:p w14:paraId="7AE832E2" w14:textId="77777777" w:rsidR="0027440A" w:rsidRPr="00E94B9C" w:rsidRDefault="0027440A"/>
    <w:p w14:paraId="2F0198AB" w14:textId="77777777" w:rsidR="00291216" w:rsidRDefault="00291216" w:rsidP="0013595A">
      <w:pPr>
        <w:rPr>
          <w:b/>
          <w:color w:val="000000"/>
          <w:u w:val="single"/>
        </w:rPr>
        <w:sectPr w:rsidR="00291216" w:rsidSect="00F61294">
          <w:pgSz w:w="12240" w:h="15840"/>
          <w:pgMar w:top="1440" w:right="1440" w:bottom="1152" w:left="1440" w:header="720" w:footer="720" w:gutter="0"/>
          <w:cols w:space="720"/>
          <w:docGrid w:linePitch="360"/>
        </w:sectPr>
      </w:pPr>
    </w:p>
    <w:p w14:paraId="5992D0D5" w14:textId="265D9D6B" w:rsidR="00143871" w:rsidRPr="0004176C" w:rsidRDefault="00291216" w:rsidP="001F2A56">
      <w:pPr>
        <w:pStyle w:val="Heading3"/>
      </w:pPr>
      <w:bookmarkStart w:id="52" w:name="_Toc33016937"/>
      <w:r w:rsidRPr="0004176C">
        <w:t>Activity 2</w:t>
      </w:r>
      <w:r w:rsidR="0004176C" w:rsidRPr="0004176C">
        <w:t>011-2:  Supporting Neighborhood</w:t>
      </w:r>
      <w:r w:rsidRPr="0004176C">
        <w:t xml:space="preserve"> </w:t>
      </w:r>
      <w:r w:rsidR="0004176C" w:rsidRPr="0004176C">
        <w:t>Opportunity in Massachusetts</w:t>
      </w:r>
      <w:r w:rsidR="00143871" w:rsidRPr="0004176C">
        <w:t xml:space="preserve"> </w:t>
      </w:r>
      <w:r w:rsidRPr="0004176C">
        <w:t>(</w:t>
      </w:r>
      <w:r w:rsidR="006549B6" w:rsidRPr="0004176C">
        <w:t>SNO Mass</w:t>
      </w:r>
      <w:r w:rsidRPr="0004176C">
        <w:t>)</w:t>
      </w:r>
      <w:bookmarkEnd w:id="52"/>
      <w:r w:rsidRPr="0004176C">
        <w:t xml:space="preserve"> </w:t>
      </w:r>
    </w:p>
    <w:p w14:paraId="1B1753E5" w14:textId="42733A5D" w:rsidR="00291216" w:rsidRPr="0004176C" w:rsidRDefault="00291216" w:rsidP="00143871">
      <w:pPr>
        <w:rPr>
          <w:b/>
        </w:rPr>
      </w:pPr>
      <w:r w:rsidRPr="0004176C">
        <w:rPr>
          <w:b/>
        </w:rPr>
        <w:t>(Formerly Your Choice Program &amp; Opportunity Neighborhoods)</w:t>
      </w:r>
    </w:p>
    <w:p w14:paraId="68FA2778" w14:textId="77777777" w:rsidR="00291216" w:rsidRPr="0004176C" w:rsidRDefault="00291216" w:rsidP="00291216">
      <w:pPr>
        <w:jc w:val="both"/>
        <w:rPr>
          <w:color w:val="000000"/>
          <w:sz w:val="28"/>
          <w:szCs w:val="28"/>
        </w:rPr>
      </w:pPr>
    </w:p>
    <w:p w14:paraId="5BA907BF" w14:textId="77777777" w:rsidR="00ED44A7" w:rsidRPr="0004176C" w:rsidRDefault="00ED44A7" w:rsidP="00ED44A7">
      <w:pPr>
        <w:jc w:val="both"/>
        <w:rPr>
          <w:color w:val="000000"/>
          <w:sz w:val="22"/>
          <w:szCs w:val="22"/>
        </w:rPr>
      </w:pPr>
      <w:r w:rsidRPr="0004176C">
        <w:rPr>
          <w:b/>
          <w:color w:val="000000"/>
          <w:sz w:val="22"/>
          <w:szCs w:val="22"/>
        </w:rPr>
        <w:t>Plan Year Approved, Implemented, Amended</w:t>
      </w:r>
      <w:r w:rsidRPr="0004176C">
        <w:rPr>
          <w:color w:val="000000"/>
          <w:sz w:val="22"/>
          <w:szCs w:val="22"/>
        </w:rPr>
        <w:t xml:space="preserve"> </w:t>
      </w:r>
    </w:p>
    <w:p w14:paraId="7E9B2258" w14:textId="77777777" w:rsidR="00ED44A7" w:rsidRPr="0004176C" w:rsidRDefault="00ED44A7" w:rsidP="00ED44A7">
      <w:pPr>
        <w:jc w:val="both"/>
        <w:rPr>
          <w:sz w:val="22"/>
          <w:szCs w:val="22"/>
        </w:rPr>
      </w:pPr>
      <w:r w:rsidRPr="0004176C">
        <w:rPr>
          <w:sz w:val="22"/>
          <w:szCs w:val="22"/>
        </w:rPr>
        <w:t>Approved FY 2011 and implementation activities began in FY 2018.</w:t>
      </w:r>
    </w:p>
    <w:p w14:paraId="208182C1" w14:textId="77777777" w:rsidR="00ED44A7" w:rsidRPr="0004176C" w:rsidRDefault="00ED44A7" w:rsidP="00ED44A7">
      <w:pPr>
        <w:pStyle w:val="ListParagraph"/>
        <w:numPr>
          <w:ilvl w:val="0"/>
          <w:numId w:val="0"/>
        </w:numPr>
        <w:ind w:left="360"/>
        <w:jc w:val="both"/>
      </w:pPr>
    </w:p>
    <w:p w14:paraId="5FC91809" w14:textId="64BA9712" w:rsidR="00291216" w:rsidRPr="0004176C" w:rsidRDefault="00291216" w:rsidP="00291216">
      <w:pPr>
        <w:autoSpaceDE w:val="0"/>
        <w:autoSpaceDN w:val="0"/>
        <w:adjustRightInd w:val="0"/>
        <w:jc w:val="both"/>
        <w:rPr>
          <w:b/>
          <w:color w:val="000000"/>
          <w:sz w:val="22"/>
          <w:szCs w:val="22"/>
        </w:rPr>
      </w:pPr>
      <w:r w:rsidRPr="0004176C">
        <w:rPr>
          <w:b/>
          <w:color w:val="000000"/>
          <w:sz w:val="22"/>
          <w:szCs w:val="22"/>
        </w:rPr>
        <w:t>Description/Update</w:t>
      </w:r>
    </w:p>
    <w:p w14:paraId="4CE90960" w14:textId="1C6ADEFC" w:rsidR="001B5F81" w:rsidRPr="0004176C" w:rsidRDefault="00DC0D1D" w:rsidP="001B5F81">
      <w:pPr>
        <w:autoSpaceDE w:val="0"/>
        <w:autoSpaceDN w:val="0"/>
        <w:adjustRightInd w:val="0"/>
        <w:jc w:val="both"/>
        <w:rPr>
          <w:color w:val="000000"/>
          <w:sz w:val="22"/>
          <w:szCs w:val="22"/>
        </w:rPr>
      </w:pPr>
      <w:r w:rsidRPr="0004176C">
        <w:rPr>
          <w:color w:val="000000"/>
          <w:sz w:val="22"/>
          <w:szCs w:val="22"/>
        </w:rPr>
        <w:t>Under this initiative</w:t>
      </w:r>
      <w:r w:rsidR="001B5F81" w:rsidRPr="0004176C">
        <w:rPr>
          <w:color w:val="000000"/>
          <w:sz w:val="22"/>
          <w:szCs w:val="22"/>
        </w:rPr>
        <w:t xml:space="preserve">, DHCD established </w:t>
      </w:r>
      <w:r w:rsidR="00E614F5" w:rsidRPr="0004176C">
        <w:rPr>
          <w:color w:val="000000"/>
          <w:sz w:val="22"/>
          <w:szCs w:val="22"/>
        </w:rPr>
        <w:t xml:space="preserve">the </w:t>
      </w:r>
      <w:r w:rsidR="0004176C" w:rsidRPr="0004176C">
        <w:rPr>
          <w:color w:val="000000"/>
          <w:sz w:val="22"/>
          <w:szCs w:val="22"/>
        </w:rPr>
        <w:t>Supporting Neighborhood</w:t>
      </w:r>
      <w:r w:rsidR="00E614F5" w:rsidRPr="0004176C">
        <w:rPr>
          <w:color w:val="000000"/>
          <w:sz w:val="22"/>
          <w:szCs w:val="22"/>
        </w:rPr>
        <w:t xml:space="preserve"> Opportunity in Massachusetts</w:t>
      </w:r>
      <w:r w:rsidR="00291216" w:rsidRPr="0004176C">
        <w:rPr>
          <w:color w:val="000000"/>
          <w:sz w:val="22"/>
          <w:szCs w:val="22"/>
        </w:rPr>
        <w:t xml:space="preserve"> (</w:t>
      </w:r>
      <w:r w:rsidR="006549B6" w:rsidRPr="0004176C">
        <w:rPr>
          <w:color w:val="000000"/>
          <w:sz w:val="22"/>
          <w:szCs w:val="22"/>
        </w:rPr>
        <w:t>SNO Mass</w:t>
      </w:r>
      <w:r w:rsidR="00291216" w:rsidRPr="0004176C">
        <w:rPr>
          <w:color w:val="000000"/>
          <w:sz w:val="22"/>
          <w:szCs w:val="22"/>
        </w:rPr>
        <w:t>) Program</w:t>
      </w:r>
      <w:r w:rsidR="00E614F5" w:rsidRPr="0004176C">
        <w:rPr>
          <w:color w:val="000000"/>
          <w:sz w:val="22"/>
          <w:szCs w:val="22"/>
        </w:rPr>
        <w:t xml:space="preserve">. The purpose of DHCD’s </w:t>
      </w:r>
      <w:r w:rsidR="006549B6" w:rsidRPr="0004176C">
        <w:rPr>
          <w:color w:val="000000"/>
          <w:sz w:val="22"/>
          <w:szCs w:val="22"/>
        </w:rPr>
        <w:t>SNO Mass</w:t>
      </w:r>
      <w:r w:rsidR="001B5F81" w:rsidRPr="0004176C">
        <w:rPr>
          <w:color w:val="000000"/>
          <w:sz w:val="22"/>
          <w:szCs w:val="22"/>
        </w:rPr>
        <w:t xml:space="preserve"> MTW initiative is to provide significant supports and encouragement to existing voucher participants and/or new voucher holders who wish to</w:t>
      </w:r>
      <w:r w:rsidR="00AB32AA" w:rsidRPr="0004176C">
        <w:rPr>
          <w:color w:val="000000"/>
          <w:sz w:val="22"/>
          <w:szCs w:val="22"/>
        </w:rPr>
        <w:t xml:space="preserve"> move to areas with empirically </w:t>
      </w:r>
      <w:r w:rsidR="001B5F81" w:rsidRPr="0004176C">
        <w:rPr>
          <w:color w:val="000000"/>
          <w:sz w:val="22"/>
          <w:szCs w:val="22"/>
        </w:rPr>
        <w:t xml:space="preserve">documented </w:t>
      </w:r>
      <w:r w:rsidR="0064307D" w:rsidRPr="0004176C">
        <w:rPr>
          <w:color w:val="000000"/>
          <w:sz w:val="22"/>
          <w:szCs w:val="22"/>
        </w:rPr>
        <w:t>high quality schools</w:t>
      </w:r>
      <w:r w:rsidR="004169F0" w:rsidRPr="0004176C">
        <w:rPr>
          <w:color w:val="000000"/>
          <w:sz w:val="22"/>
          <w:szCs w:val="22"/>
        </w:rPr>
        <w:t>,</w:t>
      </w:r>
      <w:r w:rsidR="0064307D" w:rsidRPr="0004176C">
        <w:rPr>
          <w:color w:val="000000"/>
          <w:sz w:val="22"/>
          <w:szCs w:val="22"/>
        </w:rPr>
        <w:t xml:space="preserve"> healthy environments and other opportunities </w:t>
      </w:r>
      <w:r w:rsidR="004169F0" w:rsidRPr="0004176C">
        <w:rPr>
          <w:color w:val="000000"/>
          <w:sz w:val="22"/>
          <w:szCs w:val="22"/>
        </w:rPr>
        <w:t xml:space="preserve"> </w:t>
      </w:r>
      <w:r w:rsidR="0064307D" w:rsidRPr="0004176C">
        <w:rPr>
          <w:color w:val="000000"/>
          <w:sz w:val="22"/>
          <w:szCs w:val="22"/>
        </w:rPr>
        <w:t xml:space="preserve">in the expectation that, over time, their need for housing and other subsidies will abate or diminish. </w:t>
      </w:r>
      <w:r w:rsidR="004169F0" w:rsidRPr="0004176C">
        <w:rPr>
          <w:color w:val="000000"/>
          <w:sz w:val="22"/>
          <w:szCs w:val="22"/>
        </w:rPr>
        <w:t xml:space="preserve"> . </w:t>
      </w:r>
    </w:p>
    <w:p w14:paraId="1516D479" w14:textId="77777777" w:rsidR="001B5F81" w:rsidRPr="0004176C" w:rsidRDefault="001B5F81" w:rsidP="001B5F81">
      <w:pPr>
        <w:autoSpaceDE w:val="0"/>
        <w:autoSpaceDN w:val="0"/>
        <w:adjustRightInd w:val="0"/>
        <w:jc w:val="both"/>
        <w:rPr>
          <w:color w:val="000000"/>
          <w:sz w:val="22"/>
          <w:szCs w:val="22"/>
        </w:rPr>
      </w:pPr>
    </w:p>
    <w:p w14:paraId="4BF77764" w14:textId="20065713" w:rsidR="0064307D" w:rsidRPr="0004176C" w:rsidRDefault="001B5F81" w:rsidP="001B5F81">
      <w:pPr>
        <w:autoSpaceDE w:val="0"/>
        <w:autoSpaceDN w:val="0"/>
        <w:adjustRightInd w:val="0"/>
        <w:jc w:val="both"/>
        <w:rPr>
          <w:color w:val="000000"/>
          <w:sz w:val="22"/>
          <w:szCs w:val="22"/>
        </w:rPr>
      </w:pPr>
      <w:r w:rsidRPr="0004176C">
        <w:rPr>
          <w:color w:val="000000"/>
          <w:sz w:val="22"/>
          <w:szCs w:val="22"/>
        </w:rPr>
        <w:t>Existing participants and/or voucher holders</w:t>
      </w:r>
      <w:r w:rsidR="00E614F5" w:rsidRPr="0004176C">
        <w:rPr>
          <w:color w:val="000000"/>
          <w:sz w:val="22"/>
          <w:szCs w:val="22"/>
        </w:rPr>
        <w:t xml:space="preserve"> interested in</w:t>
      </w:r>
      <w:r w:rsidRPr="0004176C">
        <w:rPr>
          <w:color w:val="000000"/>
          <w:sz w:val="22"/>
          <w:szCs w:val="22"/>
        </w:rPr>
        <w:t xml:space="preserve"> moving into these areas will </w:t>
      </w:r>
      <w:r w:rsidR="004169F0" w:rsidRPr="0004176C">
        <w:rPr>
          <w:color w:val="000000"/>
          <w:sz w:val="22"/>
          <w:szCs w:val="22"/>
        </w:rPr>
        <w:t>be provided with housing search counseling</w:t>
      </w:r>
      <w:r w:rsidRPr="0004176C">
        <w:rPr>
          <w:color w:val="000000"/>
          <w:sz w:val="22"/>
          <w:szCs w:val="22"/>
        </w:rPr>
        <w:t xml:space="preserve"> both before and after the move through the participating </w:t>
      </w:r>
      <w:r w:rsidR="00EE07A9" w:rsidRPr="0004176C">
        <w:rPr>
          <w:color w:val="000000"/>
          <w:sz w:val="22"/>
          <w:szCs w:val="22"/>
        </w:rPr>
        <w:t>RAAs</w:t>
      </w:r>
      <w:r w:rsidRPr="0004176C">
        <w:rPr>
          <w:color w:val="000000"/>
          <w:sz w:val="22"/>
          <w:szCs w:val="22"/>
        </w:rPr>
        <w:t xml:space="preserve">. </w:t>
      </w:r>
      <w:r w:rsidR="004169F0" w:rsidRPr="0004176C">
        <w:rPr>
          <w:color w:val="000000"/>
          <w:sz w:val="22"/>
          <w:szCs w:val="22"/>
        </w:rPr>
        <w:t xml:space="preserve"> Participating households will be eligible for up to $4,000 in financial support for security deposits, moving expenses and other post-move expenses to</w:t>
      </w:r>
      <w:r w:rsidR="0064307D" w:rsidRPr="0004176C">
        <w:rPr>
          <w:color w:val="000000"/>
          <w:sz w:val="22"/>
          <w:szCs w:val="22"/>
        </w:rPr>
        <w:t xml:space="preserve"> assist them with their move as well as assist them with</w:t>
      </w:r>
      <w:r w:rsidR="004169F0" w:rsidRPr="0004176C">
        <w:rPr>
          <w:color w:val="000000"/>
          <w:sz w:val="22"/>
          <w:szCs w:val="22"/>
        </w:rPr>
        <w:t xml:space="preserve"> accessing services and </w:t>
      </w:r>
      <w:r w:rsidR="0064307D" w:rsidRPr="0004176C">
        <w:rPr>
          <w:color w:val="000000"/>
          <w:sz w:val="22"/>
          <w:szCs w:val="22"/>
        </w:rPr>
        <w:t>educational and extracurricular activities for their children.</w:t>
      </w:r>
    </w:p>
    <w:p w14:paraId="654D78A3" w14:textId="0DB6B9F3" w:rsidR="001B5F81" w:rsidRPr="0004176C" w:rsidRDefault="001B5F81" w:rsidP="001B5F81">
      <w:pPr>
        <w:autoSpaceDE w:val="0"/>
        <w:autoSpaceDN w:val="0"/>
        <w:adjustRightInd w:val="0"/>
        <w:jc w:val="both"/>
        <w:rPr>
          <w:color w:val="000000"/>
          <w:sz w:val="22"/>
          <w:szCs w:val="22"/>
        </w:rPr>
      </w:pPr>
    </w:p>
    <w:p w14:paraId="40ABEB42" w14:textId="7496BF55" w:rsidR="00291216" w:rsidRPr="0004176C" w:rsidRDefault="00985E5B" w:rsidP="00291216">
      <w:pPr>
        <w:autoSpaceDE w:val="0"/>
        <w:autoSpaceDN w:val="0"/>
        <w:adjustRightInd w:val="0"/>
        <w:jc w:val="both"/>
        <w:rPr>
          <w:color w:val="000000"/>
          <w:sz w:val="22"/>
          <w:szCs w:val="22"/>
        </w:rPr>
      </w:pPr>
      <w:r w:rsidRPr="0004176C">
        <w:rPr>
          <w:color w:val="000000"/>
          <w:sz w:val="22"/>
          <w:szCs w:val="22"/>
        </w:rPr>
        <w:t>T</w:t>
      </w:r>
      <w:r w:rsidR="008C4860" w:rsidRPr="0004176C">
        <w:rPr>
          <w:color w:val="000000"/>
          <w:sz w:val="22"/>
          <w:szCs w:val="22"/>
        </w:rPr>
        <w:t>he</w:t>
      </w:r>
      <w:r w:rsidR="00DC0D1D" w:rsidRPr="0004176C">
        <w:rPr>
          <w:color w:val="000000"/>
          <w:sz w:val="22"/>
          <w:szCs w:val="22"/>
        </w:rPr>
        <w:t xml:space="preserve"> </w:t>
      </w:r>
      <w:r w:rsidR="006549B6" w:rsidRPr="0004176C">
        <w:rPr>
          <w:color w:val="000000"/>
          <w:sz w:val="22"/>
          <w:szCs w:val="22"/>
        </w:rPr>
        <w:t>SNO Mass</w:t>
      </w:r>
      <w:r w:rsidR="00DC0D1D" w:rsidRPr="0004176C">
        <w:rPr>
          <w:color w:val="000000"/>
          <w:sz w:val="22"/>
          <w:szCs w:val="22"/>
        </w:rPr>
        <w:t xml:space="preserve"> pilot</w:t>
      </w:r>
      <w:r w:rsidRPr="0004176C">
        <w:rPr>
          <w:color w:val="000000"/>
          <w:sz w:val="22"/>
          <w:szCs w:val="22"/>
        </w:rPr>
        <w:t xml:space="preserve"> is fully implemented</w:t>
      </w:r>
      <w:r w:rsidR="008C4860" w:rsidRPr="0004176C">
        <w:rPr>
          <w:color w:val="000000"/>
          <w:sz w:val="22"/>
          <w:szCs w:val="22"/>
        </w:rPr>
        <w:t xml:space="preserve"> at two RAAs and each RAA has </w:t>
      </w:r>
      <w:r w:rsidR="001E7A7F" w:rsidRPr="0004176C">
        <w:rPr>
          <w:color w:val="000000"/>
          <w:sz w:val="22"/>
          <w:szCs w:val="22"/>
        </w:rPr>
        <w:t>hired 2 full-</w:t>
      </w:r>
      <w:r w:rsidR="00DC0D1D" w:rsidRPr="0004176C">
        <w:rPr>
          <w:color w:val="000000"/>
          <w:sz w:val="22"/>
          <w:szCs w:val="22"/>
        </w:rPr>
        <w:t xml:space="preserve">time employees to support </w:t>
      </w:r>
      <w:r w:rsidR="008C4860" w:rsidRPr="0004176C">
        <w:rPr>
          <w:color w:val="000000"/>
          <w:sz w:val="22"/>
          <w:szCs w:val="22"/>
        </w:rPr>
        <w:t>program</w:t>
      </w:r>
      <w:r w:rsidRPr="0004176C">
        <w:rPr>
          <w:color w:val="000000"/>
          <w:sz w:val="22"/>
          <w:szCs w:val="22"/>
        </w:rPr>
        <w:t xml:space="preserve"> efforts</w:t>
      </w:r>
      <w:r w:rsidR="008C4860" w:rsidRPr="0004176C">
        <w:rPr>
          <w:color w:val="000000"/>
          <w:sz w:val="22"/>
          <w:szCs w:val="22"/>
        </w:rPr>
        <w:t xml:space="preserve">. </w:t>
      </w:r>
      <w:r w:rsidRPr="0004176C">
        <w:rPr>
          <w:color w:val="000000"/>
          <w:sz w:val="22"/>
          <w:szCs w:val="22"/>
        </w:rPr>
        <w:t>In FY 2021 DHCD will expand SNO Mass to all RAAs statewide. With the expansion efforts, DHCD an</w:t>
      </w:r>
      <w:r w:rsidR="00215250" w:rsidRPr="0004176C">
        <w:rPr>
          <w:color w:val="000000"/>
          <w:sz w:val="22"/>
          <w:szCs w:val="22"/>
        </w:rPr>
        <w:t>ticipates providing program orientation</w:t>
      </w:r>
      <w:r w:rsidR="00E47BC5" w:rsidRPr="0004176C">
        <w:rPr>
          <w:color w:val="000000"/>
          <w:sz w:val="22"/>
          <w:szCs w:val="22"/>
        </w:rPr>
        <w:t xml:space="preserve"> to 5</w:t>
      </w:r>
      <w:r w:rsidR="002211BC" w:rsidRPr="0004176C">
        <w:rPr>
          <w:color w:val="000000"/>
          <w:sz w:val="22"/>
          <w:szCs w:val="22"/>
        </w:rPr>
        <w:t>00</w:t>
      </w:r>
      <w:r w:rsidR="00215250" w:rsidRPr="0004176C">
        <w:rPr>
          <w:color w:val="000000"/>
          <w:sz w:val="22"/>
          <w:szCs w:val="22"/>
        </w:rPr>
        <w:t xml:space="preserve"> interested households and</w:t>
      </w:r>
      <w:r w:rsidR="002211BC" w:rsidRPr="0004176C">
        <w:rPr>
          <w:color w:val="000000"/>
          <w:sz w:val="22"/>
          <w:szCs w:val="22"/>
        </w:rPr>
        <w:t xml:space="preserve"> enroll</w:t>
      </w:r>
      <w:r w:rsidR="00215250" w:rsidRPr="0004176C">
        <w:rPr>
          <w:color w:val="000000"/>
          <w:sz w:val="22"/>
          <w:szCs w:val="22"/>
        </w:rPr>
        <w:t>ing and providing</w:t>
      </w:r>
      <w:r w:rsidR="002211BC" w:rsidRPr="0004176C">
        <w:rPr>
          <w:color w:val="000000"/>
          <w:sz w:val="22"/>
          <w:szCs w:val="22"/>
        </w:rPr>
        <w:t xml:space="preserve"> counseling </w:t>
      </w:r>
      <w:r w:rsidR="00E47BC5" w:rsidRPr="0004176C">
        <w:rPr>
          <w:color w:val="000000"/>
          <w:sz w:val="22"/>
          <w:szCs w:val="22"/>
        </w:rPr>
        <w:t>to 200</w:t>
      </w:r>
      <w:r w:rsidR="00215250" w:rsidRPr="0004176C">
        <w:rPr>
          <w:color w:val="000000"/>
          <w:sz w:val="22"/>
          <w:szCs w:val="22"/>
        </w:rPr>
        <w:t xml:space="preserve"> </w:t>
      </w:r>
      <w:r w:rsidR="002211BC" w:rsidRPr="0004176C">
        <w:rPr>
          <w:color w:val="000000"/>
          <w:sz w:val="22"/>
          <w:szCs w:val="22"/>
        </w:rPr>
        <w:t>households</w:t>
      </w:r>
      <w:r w:rsidR="00E47BC5" w:rsidRPr="0004176C">
        <w:rPr>
          <w:color w:val="000000"/>
          <w:sz w:val="22"/>
          <w:szCs w:val="22"/>
        </w:rPr>
        <w:t xml:space="preserve"> (4</w:t>
      </w:r>
      <w:r w:rsidR="00215250" w:rsidRPr="0004176C">
        <w:rPr>
          <w:color w:val="000000"/>
          <w:sz w:val="22"/>
          <w:szCs w:val="22"/>
        </w:rPr>
        <w:t>0% of orientation attendees). DHCD’s goal is to</w:t>
      </w:r>
      <w:r w:rsidR="00E47BC5" w:rsidRPr="0004176C">
        <w:rPr>
          <w:color w:val="000000"/>
          <w:sz w:val="22"/>
          <w:szCs w:val="22"/>
        </w:rPr>
        <w:t xml:space="preserve"> engage 14</w:t>
      </w:r>
      <w:r w:rsidR="002211BC" w:rsidRPr="0004176C">
        <w:rPr>
          <w:color w:val="000000"/>
          <w:sz w:val="22"/>
          <w:szCs w:val="22"/>
        </w:rPr>
        <w:t>0 households in housing search and ultimately move or leas</w:t>
      </w:r>
      <w:r w:rsidR="00E47BC5" w:rsidRPr="0004176C">
        <w:rPr>
          <w:color w:val="000000"/>
          <w:sz w:val="22"/>
          <w:szCs w:val="22"/>
        </w:rPr>
        <w:t>e up 6</w:t>
      </w:r>
      <w:r w:rsidR="002211BC" w:rsidRPr="0004176C">
        <w:rPr>
          <w:color w:val="000000"/>
          <w:sz w:val="22"/>
          <w:szCs w:val="22"/>
        </w:rPr>
        <w:t xml:space="preserve">0 households in identified opportunity neighborhoods. </w:t>
      </w:r>
    </w:p>
    <w:p w14:paraId="7BF72B06" w14:textId="0A4A76B1" w:rsidR="00143871" w:rsidRPr="0004176C" w:rsidRDefault="00143871" w:rsidP="00291216">
      <w:pPr>
        <w:autoSpaceDE w:val="0"/>
        <w:autoSpaceDN w:val="0"/>
        <w:adjustRightInd w:val="0"/>
        <w:jc w:val="both"/>
        <w:rPr>
          <w:color w:val="000000"/>
          <w:sz w:val="22"/>
          <w:szCs w:val="22"/>
        </w:rPr>
      </w:pPr>
    </w:p>
    <w:p w14:paraId="2C2CD0CB" w14:textId="77777777" w:rsidR="00143871" w:rsidRPr="0004176C" w:rsidRDefault="00143871" w:rsidP="00143871">
      <w:pPr>
        <w:jc w:val="both"/>
        <w:rPr>
          <w:b/>
          <w:color w:val="000000"/>
          <w:sz w:val="22"/>
          <w:szCs w:val="22"/>
        </w:rPr>
      </w:pPr>
      <w:r w:rsidRPr="0004176C">
        <w:rPr>
          <w:b/>
          <w:color w:val="000000"/>
          <w:sz w:val="22"/>
          <w:szCs w:val="22"/>
        </w:rPr>
        <w:t>Planned Non-Significant Changes</w:t>
      </w:r>
    </w:p>
    <w:p w14:paraId="4E52C15B" w14:textId="19F7D59C" w:rsidR="00143871" w:rsidRPr="0004176C" w:rsidRDefault="00215250" w:rsidP="00143871">
      <w:pPr>
        <w:jc w:val="both"/>
        <w:rPr>
          <w:b/>
          <w:strike/>
          <w:color w:val="FF0000"/>
          <w:sz w:val="22"/>
          <w:szCs w:val="22"/>
        </w:rPr>
      </w:pPr>
      <w:r w:rsidRPr="0004176C">
        <w:rPr>
          <w:color w:val="000000" w:themeColor="text1"/>
          <w:sz w:val="22"/>
          <w:szCs w:val="22"/>
        </w:rPr>
        <w:t>In FY 2021 DHCD anticipates rolling out the SNO Mass program to all RAAs statewide in addi</w:t>
      </w:r>
      <w:r w:rsidR="00B778DA" w:rsidRPr="0004176C">
        <w:rPr>
          <w:color w:val="000000" w:themeColor="text1"/>
          <w:sz w:val="22"/>
          <w:szCs w:val="22"/>
        </w:rPr>
        <w:t>tion to the two current RAAs, which</w:t>
      </w:r>
      <w:r w:rsidRPr="0004176C">
        <w:rPr>
          <w:color w:val="000000" w:themeColor="text1"/>
          <w:sz w:val="22"/>
          <w:szCs w:val="22"/>
        </w:rPr>
        <w:t xml:space="preserve"> have previously implemented and provided services under SNO Mass</w:t>
      </w:r>
      <w:r w:rsidR="00143871" w:rsidRPr="0004176C">
        <w:rPr>
          <w:color w:val="000000" w:themeColor="text1"/>
          <w:sz w:val="22"/>
          <w:szCs w:val="22"/>
        </w:rPr>
        <w:t xml:space="preserve">. </w:t>
      </w:r>
    </w:p>
    <w:p w14:paraId="57D09015" w14:textId="77777777" w:rsidR="00143871" w:rsidRPr="0004176C" w:rsidRDefault="00143871" w:rsidP="00143871">
      <w:pPr>
        <w:pStyle w:val="ListParagraph"/>
        <w:numPr>
          <w:ilvl w:val="0"/>
          <w:numId w:val="0"/>
        </w:numPr>
        <w:ind w:left="360"/>
        <w:jc w:val="both"/>
        <w:rPr>
          <w:color w:val="000000" w:themeColor="text1"/>
        </w:rPr>
      </w:pPr>
    </w:p>
    <w:p w14:paraId="77344F2A" w14:textId="77777777" w:rsidR="00143871" w:rsidRPr="0004176C" w:rsidRDefault="00143871" w:rsidP="00143871">
      <w:pPr>
        <w:jc w:val="both"/>
        <w:rPr>
          <w:b/>
          <w:sz w:val="22"/>
          <w:szCs w:val="22"/>
        </w:rPr>
      </w:pPr>
      <w:r w:rsidRPr="0004176C">
        <w:rPr>
          <w:b/>
          <w:sz w:val="22"/>
          <w:szCs w:val="22"/>
        </w:rPr>
        <w:t>Planned Changes to Metrics/Data Collection</w:t>
      </w:r>
    </w:p>
    <w:p w14:paraId="2CCE00C9" w14:textId="21727A62" w:rsidR="00143871" w:rsidRPr="0004176C" w:rsidRDefault="00556255" w:rsidP="00143871">
      <w:pPr>
        <w:jc w:val="both"/>
        <w:rPr>
          <w:bCs/>
          <w:sz w:val="22"/>
          <w:szCs w:val="22"/>
        </w:rPr>
      </w:pPr>
      <w:r w:rsidRPr="0004176C">
        <w:rPr>
          <w:bCs/>
          <w:sz w:val="22"/>
          <w:szCs w:val="22"/>
        </w:rPr>
        <w:t xml:space="preserve">DHCD has updated the metrics to include benchmark data based on program implementation plans.  </w:t>
      </w:r>
    </w:p>
    <w:p w14:paraId="7600E2AD" w14:textId="77777777" w:rsidR="00143871" w:rsidRPr="0004176C" w:rsidRDefault="00143871" w:rsidP="00143871">
      <w:pPr>
        <w:pStyle w:val="ListParagraph"/>
        <w:numPr>
          <w:ilvl w:val="0"/>
          <w:numId w:val="0"/>
        </w:numPr>
        <w:ind w:left="360"/>
        <w:jc w:val="both"/>
      </w:pPr>
    </w:p>
    <w:p w14:paraId="7910A4B8" w14:textId="42688C37" w:rsidR="00143871" w:rsidRPr="0004176C" w:rsidRDefault="00143871" w:rsidP="00143871">
      <w:pPr>
        <w:autoSpaceDE w:val="0"/>
        <w:autoSpaceDN w:val="0"/>
        <w:adjustRightInd w:val="0"/>
        <w:jc w:val="both"/>
        <w:rPr>
          <w:b/>
          <w:color w:val="000000"/>
          <w:sz w:val="22"/>
          <w:szCs w:val="22"/>
        </w:rPr>
      </w:pPr>
      <w:r w:rsidRPr="0004176C">
        <w:rPr>
          <w:b/>
          <w:color w:val="000000"/>
          <w:sz w:val="22"/>
          <w:szCs w:val="22"/>
        </w:rPr>
        <w:t>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14"/>
        <w:gridCol w:w="1627"/>
        <w:gridCol w:w="1354"/>
        <w:gridCol w:w="1440"/>
      </w:tblGrid>
      <w:tr w:rsidR="00143871" w:rsidRPr="0004176C" w14:paraId="49384E33" w14:textId="77777777" w:rsidTr="005F31D5">
        <w:trPr>
          <w:trHeight w:val="242"/>
        </w:trPr>
        <w:tc>
          <w:tcPr>
            <w:tcW w:w="1440" w:type="dxa"/>
            <w:gridSpan w:val="5"/>
            <w:shd w:val="clear" w:color="auto" w:fill="C6D9F1" w:themeFill="text2" w:themeFillTint="33"/>
            <w:hideMark/>
          </w:tcPr>
          <w:p w14:paraId="44D8B8DA" w14:textId="77777777" w:rsidR="00143871" w:rsidRPr="0004176C" w:rsidRDefault="00143871" w:rsidP="005A4716">
            <w:pPr>
              <w:jc w:val="center"/>
              <w:rPr>
                <w:rFonts w:eastAsia="Calibri"/>
                <w:b/>
                <w:bCs/>
                <w:i/>
                <w:iCs/>
                <w:sz w:val="20"/>
                <w:szCs w:val="20"/>
              </w:rPr>
            </w:pPr>
            <w:r w:rsidRPr="0004176C">
              <w:rPr>
                <w:rFonts w:eastAsia="Calibri"/>
                <w:b/>
                <w:bCs/>
                <w:i/>
                <w:iCs/>
                <w:sz w:val="20"/>
                <w:szCs w:val="20"/>
              </w:rPr>
              <w:t>HC #5: Increase in Resident Mobility</w:t>
            </w:r>
          </w:p>
        </w:tc>
      </w:tr>
      <w:tr w:rsidR="00143871" w:rsidRPr="0004176C" w14:paraId="6D8BCF8A" w14:textId="77777777" w:rsidTr="005F31D5">
        <w:trPr>
          <w:trHeight w:val="615"/>
        </w:trPr>
        <w:tc>
          <w:tcPr>
            <w:tcW w:w="3240" w:type="dxa"/>
            <w:shd w:val="clear" w:color="auto" w:fill="D9D9D9" w:themeFill="background1" w:themeFillShade="D9"/>
            <w:hideMark/>
          </w:tcPr>
          <w:p w14:paraId="101CCD8D" w14:textId="77777777" w:rsidR="00143871" w:rsidRPr="0004176C" w:rsidRDefault="00143871" w:rsidP="005A4716">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hideMark/>
          </w:tcPr>
          <w:p w14:paraId="3C065797" w14:textId="77777777" w:rsidR="00143871" w:rsidRPr="0004176C" w:rsidRDefault="00143871" w:rsidP="005A4716">
            <w:pPr>
              <w:jc w:val="center"/>
              <w:rPr>
                <w:rFonts w:eastAsia="Calibri"/>
                <w:b/>
                <w:bCs/>
                <w:sz w:val="20"/>
                <w:szCs w:val="20"/>
              </w:rPr>
            </w:pPr>
            <w:r w:rsidRPr="0004176C">
              <w:rPr>
                <w:rFonts w:eastAsia="Calibri"/>
                <w:b/>
                <w:bCs/>
                <w:sz w:val="20"/>
                <w:szCs w:val="20"/>
              </w:rPr>
              <w:t>Baseline</w:t>
            </w:r>
          </w:p>
        </w:tc>
        <w:tc>
          <w:tcPr>
            <w:tcW w:w="1627" w:type="dxa"/>
            <w:shd w:val="clear" w:color="auto" w:fill="D9D9D9" w:themeFill="background1" w:themeFillShade="D9"/>
            <w:hideMark/>
          </w:tcPr>
          <w:p w14:paraId="5A5B0CA0" w14:textId="0B87CE8A" w:rsidR="00143871" w:rsidRPr="0004176C" w:rsidRDefault="00143871" w:rsidP="005A4716">
            <w:pPr>
              <w:jc w:val="center"/>
              <w:rPr>
                <w:rFonts w:eastAsia="Calibri"/>
                <w:b/>
                <w:bCs/>
                <w:sz w:val="20"/>
                <w:szCs w:val="20"/>
              </w:rPr>
            </w:pPr>
            <w:r w:rsidRPr="0004176C">
              <w:rPr>
                <w:rFonts w:eastAsia="Calibri"/>
                <w:b/>
                <w:bCs/>
                <w:sz w:val="20"/>
                <w:szCs w:val="20"/>
              </w:rPr>
              <w:t>Benchmark</w:t>
            </w:r>
            <w:r w:rsidR="00771793" w:rsidRPr="0004176C">
              <w:rPr>
                <w:rFonts w:eastAsia="Calibri"/>
                <w:b/>
                <w:bCs/>
                <w:sz w:val="20"/>
                <w:szCs w:val="20"/>
              </w:rPr>
              <w:t>*</w:t>
            </w:r>
          </w:p>
        </w:tc>
        <w:tc>
          <w:tcPr>
            <w:tcW w:w="1354" w:type="dxa"/>
            <w:shd w:val="clear" w:color="auto" w:fill="D9D9D9" w:themeFill="background1" w:themeFillShade="D9"/>
            <w:hideMark/>
          </w:tcPr>
          <w:p w14:paraId="72004EFB" w14:textId="77777777" w:rsidR="00143871" w:rsidRPr="0004176C" w:rsidRDefault="00143871" w:rsidP="005A4716">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hideMark/>
          </w:tcPr>
          <w:p w14:paraId="10E2F2DD" w14:textId="77777777" w:rsidR="00143871" w:rsidRPr="0004176C" w:rsidRDefault="00143871" w:rsidP="005A4716">
            <w:pPr>
              <w:jc w:val="center"/>
              <w:rPr>
                <w:rFonts w:eastAsia="Calibri"/>
                <w:b/>
                <w:bCs/>
                <w:sz w:val="20"/>
                <w:szCs w:val="20"/>
              </w:rPr>
            </w:pPr>
            <w:r w:rsidRPr="0004176C">
              <w:rPr>
                <w:rFonts w:eastAsia="Calibri"/>
                <w:b/>
                <w:bCs/>
                <w:sz w:val="20"/>
                <w:szCs w:val="20"/>
              </w:rPr>
              <w:t>Benchmark Achieved?</w:t>
            </w:r>
          </w:p>
        </w:tc>
      </w:tr>
      <w:tr w:rsidR="00143871" w:rsidRPr="0004176C" w14:paraId="520085AC" w14:textId="77777777" w:rsidTr="005F31D5">
        <w:trPr>
          <w:trHeight w:val="980"/>
        </w:trPr>
        <w:tc>
          <w:tcPr>
            <w:tcW w:w="3240" w:type="dxa"/>
            <w:shd w:val="clear" w:color="auto" w:fill="auto"/>
            <w:hideMark/>
          </w:tcPr>
          <w:p w14:paraId="27A5D75F" w14:textId="77777777" w:rsidR="00143871" w:rsidRPr="0004176C" w:rsidRDefault="00143871" w:rsidP="005A4716">
            <w:pPr>
              <w:rPr>
                <w:rFonts w:eastAsia="Calibri"/>
                <w:sz w:val="20"/>
                <w:szCs w:val="20"/>
              </w:rPr>
            </w:pPr>
            <w:r w:rsidRPr="0004176C">
              <w:rPr>
                <w:rFonts w:eastAsia="Calibri"/>
                <w:sz w:val="20"/>
                <w:szCs w:val="20"/>
              </w:rPr>
              <w:t>Number of households able to move to a better unit and/or neighborhood of opportunity as a result of the activity (increase).</w:t>
            </w:r>
          </w:p>
        </w:tc>
        <w:tc>
          <w:tcPr>
            <w:tcW w:w="1714" w:type="dxa"/>
            <w:shd w:val="clear" w:color="auto" w:fill="auto"/>
          </w:tcPr>
          <w:p w14:paraId="20442344" w14:textId="77777777" w:rsidR="00143871" w:rsidRPr="0004176C" w:rsidRDefault="00143871" w:rsidP="00D748F5">
            <w:pPr>
              <w:jc w:val="center"/>
              <w:rPr>
                <w:rFonts w:eastAsia="Calibri"/>
                <w:sz w:val="20"/>
                <w:szCs w:val="20"/>
              </w:rPr>
            </w:pPr>
            <w:r w:rsidRPr="0004176C">
              <w:rPr>
                <w:rFonts w:eastAsia="Calibri"/>
                <w:sz w:val="20"/>
                <w:szCs w:val="20"/>
              </w:rPr>
              <w:t>0 households</w:t>
            </w:r>
          </w:p>
        </w:tc>
        <w:tc>
          <w:tcPr>
            <w:tcW w:w="1627" w:type="dxa"/>
            <w:shd w:val="clear" w:color="auto" w:fill="auto"/>
          </w:tcPr>
          <w:p w14:paraId="7109B3AE" w14:textId="50BA0914" w:rsidR="00143871" w:rsidRPr="0004176C" w:rsidRDefault="00E47BC5" w:rsidP="00D748F5">
            <w:pPr>
              <w:jc w:val="center"/>
              <w:rPr>
                <w:rFonts w:eastAsia="Calibri"/>
                <w:sz w:val="20"/>
                <w:szCs w:val="20"/>
              </w:rPr>
            </w:pPr>
            <w:r w:rsidRPr="0004176C">
              <w:rPr>
                <w:rFonts w:eastAsia="Calibri"/>
                <w:sz w:val="20"/>
                <w:szCs w:val="20"/>
              </w:rPr>
              <w:t>6</w:t>
            </w:r>
            <w:r w:rsidR="00771793" w:rsidRPr="0004176C">
              <w:rPr>
                <w:rFonts w:eastAsia="Calibri"/>
                <w:sz w:val="20"/>
                <w:szCs w:val="20"/>
              </w:rPr>
              <w:t>0 HHs</w:t>
            </w:r>
          </w:p>
        </w:tc>
        <w:tc>
          <w:tcPr>
            <w:tcW w:w="1354" w:type="dxa"/>
            <w:shd w:val="clear" w:color="auto" w:fill="auto"/>
          </w:tcPr>
          <w:p w14:paraId="1C3EFB19" w14:textId="77777777" w:rsidR="00143871" w:rsidRPr="0004176C" w:rsidRDefault="00143871" w:rsidP="00D748F5">
            <w:pPr>
              <w:jc w:val="center"/>
              <w:rPr>
                <w:rFonts w:eastAsia="Calibri"/>
                <w:sz w:val="20"/>
                <w:szCs w:val="20"/>
              </w:rPr>
            </w:pPr>
          </w:p>
        </w:tc>
        <w:tc>
          <w:tcPr>
            <w:tcW w:w="1440" w:type="dxa"/>
            <w:shd w:val="clear" w:color="auto" w:fill="auto"/>
          </w:tcPr>
          <w:p w14:paraId="37339C50" w14:textId="77777777" w:rsidR="00143871" w:rsidRPr="0004176C" w:rsidRDefault="00143871" w:rsidP="00D748F5">
            <w:pPr>
              <w:jc w:val="center"/>
              <w:rPr>
                <w:rFonts w:eastAsia="Calibri"/>
                <w:sz w:val="20"/>
                <w:szCs w:val="20"/>
              </w:rPr>
            </w:pPr>
          </w:p>
        </w:tc>
      </w:tr>
      <w:tr w:rsidR="00771793" w:rsidRPr="0004176C" w14:paraId="553411D4" w14:textId="77777777" w:rsidTr="005F31D5">
        <w:trPr>
          <w:trHeight w:val="233"/>
        </w:trPr>
        <w:tc>
          <w:tcPr>
            <w:tcW w:w="1440" w:type="dxa"/>
            <w:gridSpan w:val="5"/>
            <w:shd w:val="clear" w:color="auto" w:fill="auto"/>
          </w:tcPr>
          <w:p w14:paraId="3264844B" w14:textId="39CD8A54" w:rsidR="00771793" w:rsidRPr="0004176C" w:rsidRDefault="00556255" w:rsidP="00556255">
            <w:pPr>
              <w:rPr>
                <w:rFonts w:eastAsia="Calibri"/>
                <w:i/>
                <w:sz w:val="20"/>
                <w:szCs w:val="20"/>
              </w:rPr>
            </w:pPr>
            <w:r w:rsidRPr="0004176C">
              <w:rPr>
                <w:rFonts w:eastAsia="Calibri"/>
                <w:i/>
                <w:sz w:val="20"/>
                <w:szCs w:val="20"/>
              </w:rPr>
              <w:t>*While RAAs will</w:t>
            </w:r>
            <w:r w:rsidR="00E47BC5" w:rsidRPr="0004176C">
              <w:rPr>
                <w:rFonts w:eastAsia="Calibri"/>
                <w:i/>
                <w:sz w:val="20"/>
                <w:szCs w:val="20"/>
              </w:rPr>
              <w:t xml:space="preserve"> provide outreach to 5</w:t>
            </w:r>
            <w:r w:rsidR="00EE07A9" w:rsidRPr="0004176C">
              <w:rPr>
                <w:rFonts w:eastAsia="Calibri"/>
                <w:i/>
                <w:sz w:val="20"/>
                <w:szCs w:val="20"/>
              </w:rPr>
              <w:t>00</w:t>
            </w:r>
            <w:r w:rsidR="00E47BC5" w:rsidRPr="0004176C">
              <w:rPr>
                <w:rFonts w:eastAsia="Calibri"/>
                <w:i/>
                <w:sz w:val="20"/>
                <w:szCs w:val="20"/>
              </w:rPr>
              <w:t xml:space="preserve"> households, DHCD expects only 6</w:t>
            </w:r>
            <w:r w:rsidR="00EE07A9" w:rsidRPr="0004176C">
              <w:rPr>
                <w:rFonts w:eastAsia="Calibri"/>
                <w:i/>
                <w:sz w:val="20"/>
                <w:szCs w:val="20"/>
              </w:rPr>
              <w:t>0 household</w:t>
            </w:r>
            <w:r w:rsidRPr="0004176C">
              <w:rPr>
                <w:rFonts w:eastAsia="Calibri"/>
                <w:i/>
                <w:sz w:val="20"/>
                <w:szCs w:val="20"/>
              </w:rPr>
              <w:t xml:space="preserve">s will move/lease up a unit in a better neighborhood as a result of the program. </w:t>
            </w:r>
          </w:p>
        </w:tc>
      </w:tr>
      <w:tr w:rsidR="00143871" w:rsidRPr="0004176C" w14:paraId="36662D33" w14:textId="77777777" w:rsidTr="005F31D5">
        <w:trPr>
          <w:trHeight w:val="296"/>
        </w:trPr>
        <w:tc>
          <w:tcPr>
            <w:tcW w:w="1440" w:type="dxa"/>
            <w:gridSpan w:val="5"/>
            <w:shd w:val="clear" w:color="auto" w:fill="C6D9F1" w:themeFill="text2" w:themeFillTint="33"/>
          </w:tcPr>
          <w:p w14:paraId="791504CD" w14:textId="77777777" w:rsidR="00143871" w:rsidRPr="0004176C" w:rsidRDefault="00143871" w:rsidP="005A4716">
            <w:pPr>
              <w:jc w:val="center"/>
              <w:rPr>
                <w:rFonts w:eastAsia="Calibri"/>
                <w:i/>
                <w:sz w:val="20"/>
                <w:szCs w:val="20"/>
              </w:rPr>
            </w:pPr>
            <w:r w:rsidRPr="0004176C">
              <w:rPr>
                <w:b/>
                <w:bCs/>
                <w:i/>
                <w:iCs/>
                <w:sz w:val="20"/>
                <w:szCs w:val="20"/>
              </w:rPr>
              <w:t>HC #7: Households Assisted by Services that Increase Housing Choice</w:t>
            </w:r>
          </w:p>
        </w:tc>
      </w:tr>
      <w:tr w:rsidR="00143871" w:rsidRPr="0004176C" w14:paraId="0058BC1D" w14:textId="77777777" w:rsidTr="005F31D5">
        <w:trPr>
          <w:trHeight w:val="530"/>
        </w:trPr>
        <w:tc>
          <w:tcPr>
            <w:tcW w:w="3240" w:type="dxa"/>
            <w:shd w:val="clear" w:color="auto" w:fill="D9D9D9" w:themeFill="background1" w:themeFillShade="D9"/>
          </w:tcPr>
          <w:p w14:paraId="08E0D9C5" w14:textId="77777777" w:rsidR="00143871" w:rsidRPr="0004176C" w:rsidRDefault="00143871" w:rsidP="005A4716">
            <w:pPr>
              <w:jc w:val="center"/>
              <w:rPr>
                <w:rFonts w:eastAsia="Calibri"/>
                <w:sz w:val="20"/>
                <w:szCs w:val="20"/>
              </w:rPr>
            </w:pPr>
            <w:r w:rsidRPr="0004176C">
              <w:rPr>
                <w:b/>
                <w:bCs/>
                <w:sz w:val="20"/>
                <w:szCs w:val="20"/>
              </w:rPr>
              <w:t>Unit of Measurement</w:t>
            </w:r>
          </w:p>
        </w:tc>
        <w:tc>
          <w:tcPr>
            <w:tcW w:w="1714" w:type="dxa"/>
            <w:shd w:val="clear" w:color="auto" w:fill="D9D9D9" w:themeFill="background1" w:themeFillShade="D9"/>
          </w:tcPr>
          <w:p w14:paraId="350EFEAF" w14:textId="77777777" w:rsidR="00143871" w:rsidRPr="0004176C" w:rsidRDefault="00143871" w:rsidP="005A4716">
            <w:pPr>
              <w:jc w:val="center"/>
              <w:rPr>
                <w:rFonts w:eastAsia="Calibri"/>
                <w:sz w:val="20"/>
                <w:szCs w:val="20"/>
              </w:rPr>
            </w:pPr>
            <w:r w:rsidRPr="0004176C">
              <w:rPr>
                <w:b/>
                <w:bCs/>
                <w:sz w:val="20"/>
                <w:szCs w:val="20"/>
              </w:rPr>
              <w:t>Baseline</w:t>
            </w:r>
          </w:p>
        </w:tc>
        <w:tc>
          <w:tcPr>
            <w:tcW w:w="1627" w:type="dxa"/>
            <w:shd w:val="clear" w:color="auto" w:fill="D9D9D9" w:themeFill="background1" w:themeFillShade="D9"/>
          </w:tcPr>
          <w:p w14:paraId="1B4D482F" w14:textId="33B0234F" w:rsidR="00143871" w:rsidRPr="0004176C" w:rsidRDefault="00143871" w:rsidP="005A4716">
            <w:pPr>
              <w:jc w:val="center"/>
              <w:rPr>
                <w:rFonts w:eastAsia="Calibri"/>
                <w:sz w:val="20"/>
                <w:szCs w:val="20"/>
              </w:rPr>
            </w:pPr>
            <w:r w:rsidRPr="0004176C">
              <w:rPr>
                <w:b/>
                <w:bCs/>
                <w:sz w:val="20"/>
                <w:szCs w:val="20"/>
              </w:rPr>
              <w:t>Benchmark</w:t>
            </w:r>
            <w:r w:rsidR="00771793" w:rsidRPr="0004176C">
              <w:rPr>
                <w:b/>
                <w:bCs/>
                <w:sz w:val="20"/>
                <w:szCs w:val="20"/>
              </w:rPr>
              <w:t>**</w:t>
            </w:r>
          </w:p>
        </w:tc>
        <w:tc>
          <w:tcPr>
            <w:tcW w:w="1354" w:type="dxa"/>
            <w:shd w:val="clear" w:color="auto" w:fill="D9D9D9" w:themeFill="background1" w:themeFillShade="D9"/>
          </w:tcPr>
          <w:p w14:paraId="7ED6E6EC" w14:textId="77777777" w:rsidR="00143871" w:rsidRPr="0004176C" w:rsidRDefault="00143871" w:rsidP="005A4716">
            <w:pPr>
              <w:jc w:val="center"/>
              <w:rPr>
                <w:rFonts w:eastAsia="Calibri"/>
                <w:sz w:val="20"/>
                <w:szCs w:val="20"/>
              </w:rPr>
            </w:pPr>
            <w:r w:rsidRPr="0004176C">
              <w:rPr>
                <w:b/>
                <w:bCs/>
                <w:sz w:val="20"/>
                <w:szCs w:val="20"/>
              </w:rPr>
              <w:t>Outcome</w:t>
            </w:r>
          </w:p>
        </w:tc>
        <w:tc>
          <w:tcPr>
            <w:tcW w:w="1440" w:type="dxa"/>
            <w:shd w:val="clear" w:color="auto" w:fill="D9D9D9" w:themeFill="background1" w:themeFillShade="D9"/>
          </w:tcPr>
          <w:p w14:paraId="1565E040" w14:textId="77777777" w:rsidR="00143871" w:rsidRPr="0004176C" w:rsidRDefault="00143871" w:rsidP="005A4716">
            <w:pPr>
              <w:jc w:val="center"/>
              <w:rPr>
                <w:rFonts w:eastAsia="Calibri"/>
                <w:sz w:val="20"/>
                <w:szCs w:val="20"/>
              </w:rPr>
            </w:pPr>
            <w:r w:rsidRPr="0004176C">
              <w:rPr>
                <w:b/>
                <w:bCs/>
                <w:sz w:val="20"/>
                <w:szCs w:val="20"/>
              </w:rPr>
              <w:t>Benchmark Achieved?</w:t>
            </w:r>
          </w:p>
        </w:tc>
      </w:tr>
      <w:tr w:rsidR="00143871" w:rsidRPr="0004176C" w14:paraId="2DDF1F2D" w14:textId="77777777" w:rsidTr="005F31D5">
        <w:trPr>
          <w:trHeight w:val="746"/>
        </w:trPr>
        <w:tc>
          <w:tcPr>
            <w:tcW w:w="3240" w:type="dxa"/>
            <w:shd w:val="clear" w:color="auto" w:fill="auto"/>
          </w:tcPr>
          <w:p w14:paraId="6735553D" w14:textId="77777777" w:rsidR="00143871" w:rsidRPr="0004176C" w:rsidRDefault="00143871" w:rsidP="005A4716">
            <w:pPr>
              <w:rPr>
                <w:rFonts w:eastAsia="Calibri"/>
                <w:sz w:val="20"/>
                <w:szCs w:val="20"/>
              </w:rPr>
            </w:pPr>
            <w:r w:rsidRPr="0004176C">
              <w:rPr>
                <w:sz w:val="20"/>
                <w:szCs w:val="20"/>
              </w:rPr>
              <w:t>Number of households receiving services aimed to increase housing choice (increase).</w:t>
            </w:r>
          </w:p>
        </w:tc>
        <w:tc>
          <w:tcPr>
            <w:tcW w:w="1714" w:type="dxa"/>
            <w:shd w:val="clear" w:color="auto" w:fill="auto"/>
          </w:tcPr>
          <w:p w14:paraId="0413E18D" w14:textId="77777777" w:rsidR="00143871" w:rsidRPr="0004176C" w:rsidRDefault="00143871" w:rsidP="00D748F5">
            <w:pPr>
              <w:jc w:val="center"/>
              <w:rPr>
                <w:rFonts w:eastAsia="Calibri"/>
                <w:sz w:val="20"/>
                <w:szCs w:val="20"/>
              </w:rPr>
            </w:pPr>
            <w:r w:rsidRPr="0004176C">
              <w:rPr>
                <w:sz w:val="20"/>
                <w:szCs w:val="20"/>
              </w:rPr>
              <w:t>0 households</w:t>
            </w:r>
          </w:p>
        </w:tc>
        <w:tc>
          <w:tcPr>
            <w:tcW w:w="1627" w:type="dxa"/>
            <w:shd w:val="clear" w:color="auto" w:fill="auto"/>
          </w:tcPr>
          <w:p w14:paraId="09C09EAA" w14:textId="6B1C1123" w:rsidR="00143871" w:rsidRPr="0004176C" w:rsidRDefault="00E47BC5" w:rsidP="00D748F5">
            <w:pPr>
              <w:jc w:val="center"/>
              <w:rPr>
                <w:rFonts w:eastAsia="Calibri"/>
                <w:sz w:val="20"/>
                <w:szCs w:val="20"/>
              </w:rPr>
            </w:pPr>
            <w:r w:rsidRPr="0004176C">
              <w:rPr>
                <w:rFonts w:eastAsia="Calibri"/>
                <w:sz w:val="20"/>
                <w:szCs w:val="20"/>
              </w:rPr>
              <w:t>5</w:t>
            </w:r>
            <w:r w:rsidR="00771793" w:rsidRPr="0004176C">
              <w:rPr>
                <w:rFonts w:eastAsia="Calibri"/>
                <w:sz w:val="20"/>
                <w:szCs w:val="20"/>
              </w:rPr>
              <w:t>00</w:t>
            </w:r>
            <w:r w:rsidR="00556255" w:rsidRPr="0004176C">
              <w:rPr>
                <w:rFonts w:eastAsia="Calibri"/>
                <w:sz w:val="20"/>
                <w:szCs w:val="20"/>
              </w:rPr>
              <w:t xml:space="preserve"> HHs</w:t>
            </w:r>
          </w:p>
        </w:tc>
        <w:tc>
          <w:tcPr>
            <w:tcW w:w="1354" w:type="dxa"/>
            <w:shd w:val="clear" w:color="auto" w:fill="auto"/>
          </w:tcPr>
          <w:p w14:paraId="3D939B54" w14:textId="77777777" w:rsidR="00143871" w:rsidRPr="0004176C" w:rsidRDefault="00143871" w:rsidP="00D748F5">
            <w:pPr>
              <w:jc w:val="center"/>
              <w:rPr>
                <w:rFonts w:eastAsia="Calibri"/>
                <w:sz w:val="20"/>
                <w:szCs w:val="20"/>
              </w:rPr>
            </w:pPr>
          </w:p>
        </w:tc>
        <w:tc>
          <w:tcPr>
            <w:tcW w:w="1440" w:type="dxa"/>
            <w:shd w:val="clear" w:color="auto" w:fill="auto"/>
          </w:tcPr>
          <w:p w14:paraId="62BAA880" w14:textId="77777777" w:rsidR="00143871" w:rsidRPr="0004176C" w:rsidRDefault="00143871" w:rsidP="00D748F5">
            <w:pPr>
              <w:jc w:val="center"/>
              <w:rPr>
                <w:rFonts w:eastAsia="Calibri"/>
                <w:sz w:val="20"/>
                <w:szCs w:val="20"/>
              </w:rPr>
            </w:pPr>
          </w:p>
        </w:tc>
      </w:tr>
      <w:tr w:rsidR="00771793" w:rsidRPr="0004176C" w14:paraId="5E73F3F3" w14:textId="77777777" w:rsidTr="005F31D5">
        <w:trPr>
          <w:trHeight w:val="278"/>
        </w:trPr>
        <w:tc>
          <w:tcPr>
            <w:tcW w:w="1440" w:type="dxa"/>
            <w:gridSpan w:val="5"/>
            <w:shd w:val="clear" w:color="auto" w:fill="auto"/>
          </w:tcPr>
          <w:p w14:paraId="44AA9070" w14:textId="2C9DFB47" w:rsidR="00771793" w:rsidRPr="0004176C" w:rsidRDefault="00EE07A9" w:rsidP="00EE07A9">
            <w:pPr>
              <w:rPr>
                <w:rFonts w:eastAsia="Calibri"/>
                <w:i/>
                <w:sz w:val="20"/>
                <w:szCs w:val="20"/>
              </w:rPr>
            </w:pPr>
            <w:r w:rsidRPr="0004176C">
              <w:rPr>
                <w:rFonts w:eastAsia="Calibri"/>
                <w:i/>
                <w:sz w:val="20"/>
                <w:szCs w:val="20"/>
              </w:rPr>
              <w:t>** RAAs expect to</w:t>
            </w:r>
            <w:r w:rsidR="00556255" w:rsidRPr="0004176C">
              <w:rPr>
                <w:rFonts w:eastAsia="Calibri"/>
                <w:i/>
                <w:sz w:val="20"/>
                <w:szCs w:val="20"/>
              </w:rPr>
              <w:t xml:space="preserve"> provide outreach and information on the program to </w:t>
            </w:r>
            <w:r w:rsidR="00E47BC5" w:rsidRPr="0004176C">
              <w:rPr>
                <w:rFonts w:eastAsia="Calibri"/>
                <w:i/>
                <w:sz w:val="20"/>
                <w:szCs w:val="20"/>
              </w:rPr>
              <w:t>5</w:t>
            </w:r>
            <w:r w:rsidRPr="0004176C">
              <w:rPr>
                <w:rFonts w:eastAsia="Calibri"/>
                <w:i/>
                <w:sz w:val="20"/>
                <w:szCs w:val="20"/>
              </w:rPr>
              <w:t>00 household</w:t>
            </w:r>
            <w:r w:rsidR="00556255" w:rsidRPr="0004176C">
              <w:rPr>
                <w:rFonts w:eastAsia="Calibri"/>
                <w:i/>
                <w:sz w:val="20"/>
                <w:szCs w:val="20"/>
              </w:rPr>
              <w:t xml:space="preserve">s. </w:t>
            </w:r>
          </w:p>
        </w:tc>
      </w:tr>
    </w:tbl>
    <w:p w14:paraId="5AC823E2" w14:textId="77777777" w:rsidR="00A410CA" w:rsidRPr="0004176C" w:rsidRDefault="00A410CA" w:rsidP="00A410CA">
      <w:pPr>
        <w:jc w:val="both"/>
        <w:rPr>
          <w:b/>
          <w:color w:val="000000"/>
        </w:rPr>
      </w:pPr>
    </w:p>
    <w:p w14:paraId="720948AB" w14:textId="25E4EF96" w:rsidR="00A410CA" w:rsidRPr="0004176C" w:rsidRDefault="00A410CA" w:rsidP="00A410CA">
      <w:pPr>
        <w:jc w:val="both"/>
        <w:rPr>
          <w:b/>
          <w:color w:val="000000"/>
          <w:sz w:val="22"/>
          <w:szCs w:val="22"/>
        </w:rPr>
      </w:pPr>
      <w:r w:rsidRPr="0004176C">
        <w:rPr>
          <w:b/>
          <w:color w:val="000000"/>
          <w:sz w:val="22"/>
          <w:szCs w:val="22"/>
        </w:rPr>
        <w:t>Planned Significant Changes</w:t>
      </w:r>
    </w:p>
    <w:p w14:paraId="2DEC7C86" w14:textId="40CFDBAD" w:rsidR="00143871" w:rsidRPr="0004176C" w:rsidRDefault="00A410CA" w:rsidP="00A410CA">
      <w:pPr>
        <w:jc w:val="both"/>
        <w:rPr>
          <w:color w:val="000000" w:themeColor="text1"/>
          <w:sz w:val="22"/>
          <w:szCs w:val="22"/>
        </w:rPr>
      </w:pPr>
      <w:r w:rsidRPr="0004176C">
        <w:rPr>
          <w:color w:val="000000" w:themeColor="text1"/>
          <w:sz w:val="22"/>
          <w:szCs w:val="22"/>
        </w:rPr>
        <w:t>No significant changes are planned.</w:t>
      </w:r>
    </w:p>
    <w:p w14:paraId="6C315AED" w14:textId="77777777" w:rsidR="00A410CA" w:rsidRPr="0004176C" w:rsidRDefault="00A410CA" w:rsidP="00143871">
      <w:pPr>
        <w:autoSpaceDE w:val="0"/>
        <w:autoSpaceDN w:val="0"/>
        <w:adjustRightInd w:val="0"/>
        <w:jc w:val="both"/>
        <w:rPr>
          <w:color w:val="000000"/>
        </w:rPr>
        <w:sectPr w:rsidR="00A410CA" w:rsidRPr="0004176C" w:rsidSect="00F61294">
          <w:pgSz w:w="12240" w:h="15840"/>
          <w:pgMar w:top="1440" w:right="1440" w:bottom="1440" w:left="1440" w:header="720" w:footer="720" w:gutter="0"/>
          <w:cols w:space="720"/>
          <w:docGrid w:linePitch="360"/>
        </w:sectPr>
      </w:pPr>
    </w:p>
    <w:p w14:paraId="28192F04" w14:textId="0B44061C" w:rsidR="005E3062" w:rsidRPr="0004176C" w:rsidRDefault="005E3062" w:rsidP="001F2A56">
      <w:pPr>
        <w:pStyle w:val="Heading3"/>
      </w:pPr>
      <w:bookmarkStart w:id="53" w:name="_Toc33016938"/>
      <w:r w:rsidRPr="0004176C">
        <w:t>Activi</w:t>
      </w:r>
      <w:r w:rsidR="00881DD5" w:rsidRPr="0004176C">
        <w:t xml:space="preserve">ty 2011-4: </w:t>
      </w:r>
      <w:r w:rsidR="00B17845" w:rsidRPr="0004176C">
        <w:t xml:space="preserve">Multi-Year </w:t>
      </w:r>
      <w:r w:rsidRPr="0004176C">
        <w:t>Recertification</w:t>
      </w:r>
      <w:r w:rsidR="003D4865" w:rsidRPr="0004176C">
        <w:t>s</w:t>
      </w:r>
      <w:bookmarkEnd w:id="53"/>
    </w:p>
    <w:p w14:paraId="42E28521" w14:textId="29AB01ED" w:rsidR="00B17845" w:rsidRPr="0004176C" w:rsidRDefault="00C26707" w:rsidP="00B17845">
      <w:pPr>
        <w:rPr>
          <w:b/>
        </w:rPr>
      </w:pPr>
      <w:r w:rsidRPr="0004176C">
        <w:rPr>
          <w:b/>
        </w:rPr>
        <w:t xml:space="preserve">(Formerly </w:t>
      </w:r>
      <w:r w:rsidR="00B17845" w:rsidRPr="0004176C">
        <w:rPr>
          <w:b/>
        </w:rPr>
        <w:t>Biennial Recertification Process)</w:t>
      </w:r>
    </w:p>
    <w:p w14:paraId="692D8504" w14:textId="77777777" w:rsidR="005E3062" w:rsidRPr="0004176C" w:rsidRDefault="005E3062" w:rsidP="005E3062">
      <w:pPr>
        <w:rPr>
          <w:color w:val="000000"/>
        </w:rPr>
      </w:pPr>
    </w:p>
    <w:p w14:paraId="7C521133" w14:textId="77777777" w:rsidR="008A751B" w:rsidRPr="0004176C" w:rsidRDefault="008A751B" w:rsidP="008A751B">
      <w:pPr>
        <w:jc w:val="both"/>
        <w:rPr>
          <w:color w:val="000000"/>
          <w:sz w:val="22"/>
          <w:szCs w:val="22"/>
        </w:rPr>
      </w:pPr>
      <w:r w:rsidRPr="0004176C">
        <w:rPr>
          <w:b/>
          <w:color w:val="000000"/>
          <w:sz w:val="22"/>
          <w:szCs w:val="22"/>
        </w:rPr>
        <w:t>Plan Year Approved, Implemented, Amended</w:t>
      </w:r>
      <w:r w:rsidRPr="0004176C">
        <w:rPr>
          <w:color w:val="000000"/>
          <w:sz w:val="22"/>
          <w:szCs w:val="22"/>
        </w:rPr>
        <w:t xml:space="preserve"> </w:t>
      </w:r>
    </w:p>
    <w:p w14:paraId="736AD972" w14:textId="77777777" w:rsidR="008A751B" w:rsidRPr="0004176C" w:rsidRDefault="008A751B" w:rsidP="008A751B">
      <w:pPr>
        <w:pStyle w:val="ListParagraph"/>
        <w:numPr>
          <w:ilvl w:val="0"/>
          <w:numId w:val="63"/>
        </w:numPr>
      </w:pPr>
      <w:r w:rsidRPr="0004176C">
        <w:t>Biennial Recert and Limit on Interim Recerts: Approved FY 2011; Implemented and modified FY 2012.</w:t>
      </w:r>
    </w:p>
    <w:p w14:paraId="6524D76F" w14:textId="77777777" w:rsidR="008A751B" w:rsidRPr="0004176C" w:rsidRDefault="008A751B" w:rsidP="008A751B">
      <w:pPr>
        <w:pStyle w:val="ListParagraph"/>
        <w:numPr>
          <w:ilvl w:val="0"/>
          <w:numId w:val="63"/>
        </w:numPr>
      </w:pPr>
      <w:r w:rsidRPr="0004176C">
        <w:t>Triennial Recert: Approved FY 2020; Implemented FY 2021</w:t>
      </w:r>
    </w:p>
    <w:p w14:paraId="5169A240" w14:textId="77777777" w:rsidR="008A751B" w:rsidRPr="0004176C" w:rsidRDefault="008A751B" w:rsidP="008A751B">
      <w:pPr>
        <w:rPr>
          <w:b/>
          <w:sz w:val="22"/>
          <w:szCs w:val="22"/>
        </w:rPr>
      </w:pPr>
    </w:p>
    <w:p w14:paraId="1254DF1F" w14:textId="77777777" w:rsidR="00534E7A" w:rsidRPr="0004176C" w:rsidRDefault="005E3062" w:rsidP="004F3163">
      <w:pPr>
        <w:jc w:val="both"/>
        <w:rPr>
          <w:b/>
          <w:color w:val="000000"/>
          <w:sz w:val="22"/>
          <w:szCs w:val="22"/>
        </w:rPr>
      </w:pPr>
      <w:r w:rsidRPr="0004176C">
        <w:rPr>
          <w:b/>
          <w:color w:val="000000"/>
          <w:sz w:val="22"/>
          <w:szCs w:val="22"/>
        </w:rPr>
        <w:t>Description</w:t>
      </w:r>
      <w:r w:rsidR="00D76420" w:rsidRPr="0004176C">
        <w:rPr>
          <w:b/>
          <w:color w:val="000000"/>
          <w:sz w:val="22"/>
          <w:szCs w:val="22"/>
        </w:rPr>
        <w:t>/Update</w:t>
      </w:r>
    </w:p>
    <w:p w14:paraId="5D00549E" w14:textId="77777777" w:rsidR="005E3062" w:rsidRPr="0004176C" w:rsidRDefault="001819EB" w:rsidP="004F3163">
      <w:pPr>
        <w:jc w:val="both"/>
        <w:rPr>
          <w:sz w:val="22"/>
          <w:szCs w:val="22"/>
        </w:rPr>
      </w:pPr>
      <w:r w:rsidRPr="0004176C">
        <w:rPr>
          <w:color w:val="000000"/>
          <w:sz w:val="22"/>
          <w:szCs w:val="22"/>
        </w:rPr>
        <w:t xml:space="preserve">Under this initiative, </w:t>
      </w:r>
      <w:r w:rsidR="00534E7A" w:rsidRPr="0004176C">
        <w:rPr>
          <w:color w:val="000000"/>
          <w:sz w:val="22"/>
          <w:szCs w:val="22"/>
        </w:rPr>
        <w:t>the following recertification policies apply:</w:t>
      </w:r>
    </w:p>
    <w:p w14:paraId="70BB1F9E" w14:textId="77777777" w:rsidR="005E3062" w:rsidRPr="0004176C" w:rsidRDefault="005E3062" w:rsidP="005E3062">
      <w:pPr>
        <w:rPr>
          <w:sz w:val="22"/>
          <w:szCs w:val="22"/>
        </w:rPr>
      </w:pPr>
    </w:p>
    <w:p w14:paraId="55B8D1A8" w14:textId="48F84EA9" w:rsidR="005E3062" w:rsidRPr="0004176C" w:rsidRDefault="00507B14" w:rsidP="00EE07A9">
      <w:pPr>
        <w:numPr>
          <w:ilvl w:val="0"/>
          <w:numId w:val="5"/>
        </w:numPr>
        <w:ind w:left="360"/>
        <w:jc w:val="both"/>
        <w:rPr>
          <w:sz w:val="22"/>
          <w:szCs w:val="22"/>
        </w:rPr>
      </w:pPr>
      <w:r w:rsidRPr="0004176C">
        <w:rPr>
          <w:sz w:val="22"/>
          <w:szCs w:val="22"/>
        </w:rPr>
        <w:t>B</w:t>
      </w:r>
      <w:r w:rsidR="005E3062" w:rsidRPr="0004176C">
        <w:rPr>
          <w:sz w:val="22"/>
          <w:szCs w:val="22"/>
        </w:rPr>
        <w:t xml:space="preserve">iennial recertifications for all MTW households; </w:t>
      </w:r>
    </w:p>
    <w:p w14:paraId="2E4FEB2E" w14:textId="77777777" w:rsidR="00534E7A" w:rsidRPr="0004176C" w:rsidRDefault="00534E7A" w:rsidP="00EE07A9">
      <w:pPr>
        <w:ind w:left="360" w:hanging="360"/>
        <w:jc w:val="both"/>
        <w:rPr>
          <w:sz w:val="22"/>
          <w:szCs w:val="22"/>
        </w:rPr>
      </w:pPr>
    </w:p>
    <w:p w14:paraId="453DBA28" w14:textId="35520698" w:rsidR="00507B14" w:rsidRPr="0004176C" w:rsidRDefault="00507B14" w:rsidP="00EE07A9">
      <w:pPr>
        <w:numPr>
          <w:ilvl w:val="0"/>
          <w:numId w:val="5"/>
        </w:numPr>
        <w:ind w:left="360"/>
        <w:jc w:val="both"/>
        <w:rPr>
          <w:sz w:val="22"/>
          <w:szCs w:val="22"/>
        </w:rPr>
      </w:pPr>
      <w:r w:rsidRPr="0004176C">
        <w:rPr>
          <w:sz w:val="22"/>
          <w:szCs w:val="22"/>
        </w:rPr>
        <w:t>Annual recertification for zero income households;</w:t>
      </w:r>
    </w:p>
    <w:p w14:paraId="19186ACD" w14:textId="77777777" w:rsidR="00507B14" w:rsidRPr="0004176C" w:rsidRDefault="00507B14" w:rsidP="00507B14">
      <w:pPr>
        <w:ind w:left="720" w:hanging="360"/>
      </w:pPr>
    </w:p>
    <w:p w14:paraId="305D04BD" w14:textId="37F0648A" w:rsidR="00215250" w:rsidRPr="0004176C" w:rsidRDefault="00507B14" w:rsidP="00EE07A9">
      <w:pPr>
        <w:numPr>
          <w:ilvl w:val="0"/>
          <w:numId w:val="5"/>
        </w:numPr>
        <w:ind w:left="360"/>
        <w:jc w:val="both"/>
        <w:rPr>
          <w:sz w:val="22"/>
          <w:szCs w:val="22"/>
        </w:rPr>
      </w:pPr>
      <w:r w:rsidRPr="0004176C">
        <w:rPr>
          <w:sz w:val="22"/>
          <w:szCs w:val="22"/>
        </w:rPr>
        <w:t>T</w:t>
      </w:r>
      <w:r w:rsidR="00215250" w:rsidRPr="0004176C">
        <w:rPr>
          <w:sz w:val="22"/>
          <w:szCs w:val="22"/>
        </w:rPr>
        <w:t xml:space="preserve">riennial recertifications for elderly/disabled households </w:t>
      </w:r>
      <w:r w:rsidR="00F859BD" w:rsidRPr="0004176C">
        <w:rPr>
          <w:sz w:val="22"/>
          <w:szCs w:val="22"/>
        </w:rPr>
        <w:t>with fixed income only (SS/SSI/p</w:t>
      </w:r>
      <w:r w:rsidR="00215250" w:rsidRPr="0004176C">
        <w:rPr>
          <w:sz w:val="22"/>
          <w:szCs w:val="22"/>
        </w:rPr>
        <w:t>ension)</w:t>
      </w:r>
      <w:r w:rsidR="00F859BD" w:rsidRPr="0004176C">
        <w:rPr>
          <w:sz w:val="22"/>
          <w:szCs w:val="22"/>
        </w:rPr>
        <w:t>;</w:t>
      </w:r>
    </w:p>
    <w:p w14:paraId="39573A70" w14:textId="77777777" w:rsidR="00215250" w:rsidRPr="0004176C" w:rsidRDefault="00215250" w:rsidP="00215250">
      <w:pPr>
        <w:pStyle w:val="ListParagraph"/>
        <w:numPr>
          <w:ilvl w:val="0"/>
          <w:numId w:val="0"/>
        </w:numPr>
        <w:ind w:left="720"/>
        <w:rPr>
          <w:color w:val="000000"/>
        </w:rPr>
      </w:pPr>
    </w:p>
    <w:p w14:paraId="4AFE12AF" w14:textId="3411F7D2" w:rsidR="005E3062" w:rsidRPr="0004176C" w:rsidRDefault="00E257C4" w:rsidP="00EE07A9">
      <w:pPr>
        <w:numPr>
          <w:ilvl w:val="0"/>
          <w:numId w:val="5"/>
        </w:numPr>
        <w:ind w:left="360"/>
        <w:jc w:val="both"/>
        <w:rPr>
          <w:sz w:val="22"/>
          <w:szCs w:val="22"/>
        </w:rPr>
      </w:pPr>
      <w:r w:rsidRPr="0004176C">
        <w:rPr>
          <w:color w:val="000000"/>
          <w:sz w:val="22"/>
          <w:szCs w:val="22"/>
        </w:rPr>
        <w:t>Limit the number of voluntary interim recertifications that a MTW family may complete between regul</w:t>
      </w:r>
      <w:r w:rsidR="00944FD9" w:rsidRPr="0004176C">
        <w:rPr>
          <w:color w:val="000000"/>
          <w:sz w:val="22"/>
          <w:szCs w:val="22"/>
        </w:rPr>
        <w:t>ar biennial recertifications to</w:t>
      </w:r>
      <w:r w:rsidR="00E67EF1" w:rsidRPr="0004176C">
        <w:rPr>
          <w:color w:val="000000"/>
          <w:sz w:val="22"/>
          <w:szCs w:val="22"/>
        </w:rPr>
        <w:t xml:space="preserve"> </w:t>
      </w:r>
      <w:r w:rsidRPr="0004176C">
        <w:rPr>
          <w:color w:val="000000"/>
          <w:sz w:val="22"/>
          <w:szCs w:val="22"/>
        </w:rPr>
        <w:t>two</w:t>
      </w:r>
      <w:r w:rsidR="00944FD9" w:rsidRPr="0004176C">
        <w:rPr>
          <w:color w:val="000000"/>
          <w:sz w:val="22"/>
          <w:szCs w:val="22"/>
        </w:rPr>
        <w:t xml:space="preserve"> (2)</w:t>
      </w:r>
      <w:r w:rsidRPr="0004176C">
        <w:rPr>
          <w:color w:val="000000"/>
          <w:sz w:val="22"/>
          <w:szCs w:val="22"/>
        </w:rPr>
        <w:t>.  Required interim recertifications do not count against the limit</w:t>
      </w:r>
      <w:r w:rsidR="00534E7A" w:rsidRPr="0004176C">
        <w:rPr>
          <w:color w:val="000000"/>
          <w:sz w:val="22"/>
          <w:szCs w:val="22"/>
        </w:rPr>
        <w:t>.</w:t>
      </w:r>
      <w:r w:rsidRPr="0004176C">
        <w:rPr>
          <w:color w:val="000000"/>
          <w:sz w:val="22"/>
          <w:szCs w:val="22"/>
        </w:rPr>
        <w:t xml:space="preserve">  </w:t>
      </w:r>
      <w:r w:rsidR="00EE07A9" w:rsidRPr="0004176C">
        <w:rPr>
          <w:color w:val="000000"/>
          <w:sz w:val="22"/>
          <w:szCs w:val="22"/>
        </w:rPr>
        <w:t>The following households are exempt from this provision and are able to complete an interim recertification at any time: e</w:t>
      </w:r>
      <w:r w:rsidRPr="0004176C">
        <w:rPr>
          <w:color w:val="000000"/>
          <w:sz w:val="22"/>
          <w:szCs w:val="22"/>
        </w:rPr>
        <w:t>lderly and disabled households</w:t>
      </w:r>
      <w:r w:rsidRPr="0004176C">
        <w:rPr>
          <w:sz w:val="22"/>
          <w:szCs w:val="22"/>
        </w:rPr>
        <w:t xml:space="preserve">, </w:t>
      </w:r>
      <w:r w:rsidR="00EE07A9" w:rsidRPr="0004176C">
        <w:rPr>
          <w:sz w:val="22"/>
          <w:szCs w:val="22"/>
        </w:rPr>
        <w:t>households that</w:t>
      </w:r>
      <w:r w:rsidRPr="0004176C">
        <w:rPr>
          <w:sz w:val="22"/>
          <w:szCs w:val="22"/>
        </w:rPr>
        <w:t xml:space="preserve"> live in an Expiring Use project on the </w:t>
      </w:r>
      <w:r w:rsidR="00E67EF1" w:rsidRPr="0004176C">
        <w:rPr>
          <w:sz w:val="22"/>
          <w:szCs w:val="22"/>
        </w:rPr>
        <w:t>conversion date and select a PBV</w:t>
      </w:r>
      <w:r w:rsidR="00EE07A9" w:rsidRPr="0004176C">
        <w:rPr>
          <w:sz w:val="22"/>
          <w:szCs w:val="22"/>
        </w:rPr>
        <w:t>,</w:t>
      </w:r>
      <w:r w:rsidR="006D0E7E" w:rsidRPr="0004176C">
        <w:rPr>
          <w:sz w:val="22"/>
          <w:szCs w:val="22"/>
        </w:rPr>
        <w:t xml:space="preserve"> and FSS households</w:t>
      </w:r>
      <w:r w:rsidRPr="0004176C">
        <w:rPr>
          <w:color w:val="000000"/>
          <w:sz w:val="22"/>
          <w:szCs w:val="22"/>
        </w:rPr>
        <w:t>;</w:t>
      </w:r>
    </w:p>
    <w:p w14:paraId="101FAEA6" w14:textId="77777777" w:rsidR="00534E7A" w:rsidRPr="0004176C" w:rsidRDefault="00534E7A" w:rsidP="00EE07A9">
      <w:pPr>
        <w:ind w:left="360" w:hanging="360"/>
        <w:jc w:val="both"/>
        <w:rPr>
          <w:sz w:val="22"/>
          <w:szCs w:val="22"/>
        </w:rPr>
      </w:pPr>
    </w:p>
    <w:p w14:paraId="2A7BDF70" w14:textId="77777777" w:rsidR="005E3062" w:rsidRPr="0004176C" w:rsidRDefault="005E3062" w:rsidP="00EE07A9">
      <w:pPr>
        <w:numPr>
          <w:ilvl w:val="0"/>
          <w:numId w:val="5"/>
        </w:numPr>
        <w:ind w:left="360"/>
        <w:jc w:val="both"/>
        <w:rPr>
          <w:sz w:val="22"/>
          <w:szCs w:val="22"/>
        </w:rPr>
      </w:pPr>
      <w:r w:rsidRPr="0004176C">
        <w:rPr>
          <w:sz w:val="22"/>
          <w:szCs w:val="22"/>
        </w:rPr>
        <w:t xml:space="preserve">Any household that believes they would benefit by an annual recertification may request an annual income recertification. </w:t>
      </w:r>
      <w:r w:rsidR="00096A0D" w:rsidRPr="0004176C">
        <w:rPr>
          <w:sz w:val="22"/>
          <w:szCs w:val="22"/>
        </w:rPr>
        <w:t>If a household has requested and is approved for an annual recertification frequency, DHCD will allow one voluntary interim recertification between annual recertifications.</w:t>
      </w:r>
    </w:p>
    <w:p w14:paraId="6D3789F3" w14:textId="77777777" w:rsidR="005E3062" w:rsidRPr="0004176C" w:rsidRDefault="005E3062" w:rsidP="00EE07A9">
      <w:pPr>
        <w:ind w:left="360" w:hanging="360"/>
        <w:rPr>
          <w:color w:val="000000"/>
          <w:sz w:val="22"/>
          <w:szCs w:val="22"/>
        </w:rPr>
      </w:pPr>
    </w:p>
    <w:p w14:paraId="52FD7B83" w14:textId="6671AE14" w:rsidR="006E4C64" w:rsidRPr="0004176C" w:rsidRDefault="00046041" w:rsidP="006E4C64">
      <w:pPr>
        <w:jc w:val="both"/>
        <w:rPr>
          <w:sz w:val="22"/>
          <w:szCs w:val="22"/>
        </w:rPr>
      </w:pPr>
      <w:r w:rsidRPr="0004176C">
        <w:rPr>
          <w:sz w:val="22"/>
          <w:szCs w:val="22"/>
        </w:rPr>
        <w:t xml:space="preserve">In </w:t>
      </w:r>
      <w:r w:rsidR="006D6331" w:rsidRPr="0004176C">
        <w:rPr>
          <w:sz w:val="22"/>
          <w:szCs w:val="22"/>
        </w:rPr>
        <w:t>FY 2021</w:t>
      </w:r>
      <w:r w:rsidR="00A410CA" w:rsidRPr="0004176C">
        <w:rPr>
          <w:sz w:val="22"/>
          <w:szCs w:val="22"/>
        </w:rPr>
        <w:t>, DHCD plans to continue the biennial recertification process</w:t>
      </w:r>
      <w:r w:rsidR="00215250" w:rsidRPr="0004176C">
        <w:rPr>
          <w:sz w:val="22"/>
          <w:szCs w:val="22"/>
        </w:rPr>
        <w:t xml:space="preserve"> and implement the triennial recertification frequency for elderly/disabled households on fixed income</w:t>
      </w:r>
      <w:r w:rsidR="00A410CA" w:rsidRPr="0004176C">
        <w:rPr>
          <w:sz w:val="22"/>
          <w:szCs w:val="22"/>
        </w:rPr>
        <w:t xml:space="preserve">. </w:t>
      </w:r>
      <w:r w:rsidR="006E4C64" w:rsidRPr="0004176C">
        <w:rPr>
          <w:sz w:val="22"/>
          <w:szCs w:val="22"/>
        </w:rPr>
        <w:t xml:space="preserve">DHCD continues to benefit from overall cost and time savings for processing biennial recertifications. As families generally do not have to report increases in income between biennial recertifications, this activity also has a positive financial impact for families. </w:t>
      </w:r>
    </w:p>
    <w:p w14:paraId="77A81E51" w14:textId="020F78A1" w:rsidR="00A410CA" w:rsidRPr="0004176C" w:rsidRDefault="00A410CA" w:rsidP="006E4C64">
      <w:pPr>
        <w:jc w:val="both"/>
        <w:rPr>
          <w:sz w:val="22"/>
          <w:szCs w:val="22"/>
        </w:rPr>
      </w:pPr>
    </w:p>
    <w:p w14:paraId="6DF17015" w14:textId="77777777" w:rsidR="00A410CA" w:rsidRPr="0004176C" w:rsidRDefault="00A410CA" w:rsidP="00A410CA">
      <w:pPr>
        <w:jc w:val="both"/>
        <w:rPr>
          <w:b/>
          <w:color w:val="000000"/>
          <w:sz w:val="22"/>
          <w:szCs w:val="22"/>
        </w:rPr>
      </w:pPr>
      <w:r w:rsidRPr="0004176C">
        <w:rPr>
          <w:b/>
          <w:color w:val="000000"/>
          <w:sz w:val="22"/>
          <w:szCs w:val="22"/>
        </w:rPr>
        <w:t>Planned Non-Significant Changes</w:t>
      </w:r>
    </w:p>
    <w:p w14:paraId="039F69BA" w14:textId="3A37612A" w:rsidR="003B4163" w:rsidRPr="0004176C" w:rsidRDefault="00507B14" w:rsidP="00A410CA">
      <w:pPr>
        <w:jc w:val="both"/>
        <w:rPr>
          <w:color w:val="000000" w:themeColor="text1"/>
          <w:sz w:val="22"/>
          <w:szCs w:val="22"/>
        </w:rPr>
      </w:pPr>
      <w:r w:rsidRPr="0004176C">
        <w:rPr>
          <w:color w:val="000000" w:themeColor="text1"/>
          <w:sz w:val="22"/>
          <w:szCs w:val="22"/>
        </w:rPr>
        <w:t>No non-significant changes are planned</w:t>
      </w:r>
    </w:p>
    <w:p w14:paraId="76872C9B" w14:textId="02CFB5C0" w:rsidR="00A410CA" w:rsidRPr="0004176C" w:rsidRDefault="003B4163" w:rsidP="00507B14">
      <w:pPr>
        <w:jc w:val="both"/>
        <w:rPr>
          <w:b/>
          <w:strike/>
          <w:color w:val="FF0000"/>
          <w:sz w:val="22"/>
          <w:szCs w:val="22"/>
        </w:rPr>
      </w:pPr>
      <w:r w:rsidRPr="0004176C">
        <w:rPr>
          <w:color w:val="000000" w:themeColor="text1"/>
          <w:sz w:val="22"/>
          <w:szCs w:val="22"/>
        </w:rPr>
        <w:t xml:space="preserve"> </w:t>
      </w:r>
    </w:p>
    <w:p w14:paraId="3AC73E3B" w14:textId="5D8193B2" w:rsidR="00A410CA" w:rsidRPr="0004176C" w:rsidRDefault="00A410CA" w:rsidP="00A410CA">
      <w:pPr>
        <w:jc w:val="both"/>
        <w:rPr>
          <w:b/>
          <w:sz w:val="22"/>
          <w:szCs w:val="22"/>
        </w:rPr>
      </w:pPr>
      <w:r w:rsidRPr="0004176C">
        <w:rPr>
          <w:b/>
          <w:sz w:val="22"/>
          <w:szCs w:val="22"/>
        </w:rPr>
        <w:t>Planned Changes to Metrics/Data Collection</w:t>
      </w:r>
    </w:p>
    <w:p w14:paraId="4F0BFC57" w14:textId="01CEA184" w:rsidR="00710786" w:rsidRPr="0004176C" w:rsidRDefault="002D6E16" w:rsidP="00A410CA">
      <w:pPr>
        <w:jc w:val="both"/>
        <w:rPr>
          <w:sz w:val="22"/>
          <w:szCs w:val="22"/>
        </w:rPr>
      </w:pPr>
      <w:r w:rsidRPr="0004176C">
        <w:rPr>
          <w:sz w:val="22"/>
          <w:szCs w:val="22"/>
        </w:rPr>
        <w:t>DHCD has updated the benchmarks to reflect anticipated outcomes for FY 2021.</w:t>
      </w:r>
    </w:p>
    <w:p w14:paraId="243EC6BE" w14:textId="35A3F753" w:rsidR="000146B8" w:rsidRPr="0004176C" w:rsidRDefault="000146B8" w:rsidP="00A410CA">
      <w:pPr>
        <w:autoSpaceDE w:val="0"/>
        <w:autoSpaceDN w:val="0"/>
        <w:adjustRightInd w:val="0"/>
        <w:jc w:val="both"/>
        <w:rPr>
          <w:b/>
          <w:color w:val="000000"/>
          <w:sz w:val="22"/>
          <w:szCs w:val="22"/>
        </w:rPr>
      </w:pPr>
    </w:p>
    <w:p w14:paraId="1EA40033" w14:textId="468EF5EC" w:rsidR="00DD60AA" w:rsidRPr="0004176C" w:rsidRDefault="000146B8" w:rsidP="000146B8">
      <w:pPr>
        <w:jc w:val="both"/>
        <w:rPr>
          <w:b/>
          <w:color w:val="000000"/>
          <w:sz w:val="22"/>
          <w:szCs w:val="22"/>
        </w:rPr>
      </w:pPr>
      <w:r w:rsidRPr="0004176C">
        <w:rPr>
          <w:b/>
          <w:color w:val="000000"/>
          <w:sz w:val="22"/>
          <w:szCs w:val="22"/>
        </w:rPr>
        <w:t>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14"/>
        <w:gridCol w:w="1627"/>
        <w:gridCol w:w="1354"/>
        <w:gridCol w:w="1440"/>
      </w:tblGrid>
      <w:tr w:rsidR="00DD60AA" w:rsidRPr="0004176C" w14:paraId="19984C4A" w14:textId="77777777" w:rsidTr="00666672">
        <w:trPr>
          <w:trHeight w:hRule="exact" w:val="317"/>
        </w:trPr>
        <w:tc>
          <w:tcPr>
            <w:tcW w:w="1440" w:type="dxa"/>
            <w:gridSpan w:val="5"/>
            <w:shd w:val="clear" w:color="auto" w:fill="C6D9F1" w:themeFill="text2" w:themeFillTint="33"/>
          </w:tcPr>
          <w:p w14:paraId="14A85A2E" w14:textId="77777777" w:rsidR="00DD60AA" w:rsidRPr="0004176C" w:rsidRDefault="00DD60AA" w:rsidP="00655474">
            <w:pPr>
              <w:jc w:val="center"/>
              <w:rPr>
                <w:rFonts w:eastAsia="Calibri"/>
                <w:b/>
                <w:bCs/>
                <w:i/>
                <w:iCs/>
                <w:sz w:val="20"/>
                <w:szCs w:val="20"/>
              </w:rPr>
            </w:pPr>
            <w:r w:rsidRPr="0004176C">
              <w:rPr>
                <w:rFonts w:eastAsia="Calibri"/>
                <w:b/>
                <w:bCs/>
                <w:i/>
                <w:iCs/>
                <w:sz w:val="20"/>
                <w:szCs w:val="20"/>
              </w:rPr>
              <w:t>CE #1: Agency Cost Savings*</w:t>
            </w:r>
          </w:p>
        </w:tc>
      </w:tr>
      <w:tr w:rsidR="00DD60AA" w:rsidRPr="0004176C" w14:paraId="679F47B0" w14:textId="77777777" w:rsidTr="00666672">
        <w:trPr>
          <w:trHeight w:hRule="exact" w:val="576"/>
        </w:trPr>
        <w:tc>
          <w:tcPr>
            <w:tcW w:w="3240" w:type="dxa"/>
            <w:shd w:val="clear" w:color="auto" w:fill="D9D9D9" w:themeFill="background1" w:themeFillShade="D9"/>
          </w:tcPr>
          <w:p w14:paraId="02B3617E" w14:textId="77777777" w:rsidR="00DD60AA" w:rsidRPr="0004176C" w:rsidRDefault="00DD60AA" w:rsidP="00655474">
            <w:pPr>
              <w:jc w:val="center"/>
              <w:rPr>
                <w:rFonts w:eastAsia="Calibri"/>
                <w:b/>
                <w:bCs/>
                <w:i/>
                <w:iCs/>
                <w:sz w:val="20"/>
                <w:szCs w:val="20"/>
              </w:rPr>
            </w:pPr>
            <w:r w:rsidRPr="0004176C">
              <w:rPr>
                <w:rFonts w:eastAsia="Calibri"/>
                <w:b/>
                <w:bCs/>
                <w:sz w:val="20"/>
                <w:szCs w:val="20"/>
              </w:rPr>
              <w:t>Unit of Measurement</w:t>
            </w:r>
          </w:p>
        </w:tc>
        <w:tc>
          <w:tcPr>
            <w:tcW w:w="1714" w:type="dxa"/>
            <w:shd w:val="clear" w:color="auto" w:fill="D9D9D9" w:themeFill="background1" w:themeFillShade="D9"/>
          </w:tcPr>
          <w:p w14:paraId="0325964B" w14:textId="77777777" w:rsidR="00BB5C97" w:rsidRPr="0004176C" w:rsidRDefault="00BB5C97" w:rsidP="00655474">
            <w:pPr>
              <w:jc w:val="center"/>
              <w:rPr>
                <w:rFonts w:eastAsia="Calibri"/>
                <w:b/>
                <w:bCs/>
                <w:sz w:val="20"/>
                <w:szCs w:val="20"/>
              </w:rPr>
            </w:pPr>
          </w:p>
          <w:p w14:paraId="36AFD180" w14:textId="1851548E" w:rsidR="00DD60AA" w:rsidRPr="0004176C" w:rsidRDefault="00DD60AA" w:rsidP="00655474">
            <w:pPr>
              <w:jc w:val="center"/>
              <w:rPr>
                <w:rFonts w:eastAsia="Calibri"/>
                <w:b/>
                <w:bCs/>
                <w:i/>
                <w:iCs/>
                <w:sz w:val="20"/>
                <w:szCs w:val="20"/>
              </w:rPr>
            </w:pPr>
            <w:r w:rsidRPr="0004176C">
              <w:rPr>
                <w:rFonts w:eastAsia="Calibri"/>
                <w:b/>
                <w:bCs/>
                <w:sz w:val="20"/>
                <w:szCs w:val="20"/>
              </w:rPr>
              <w:t>Baseline</w:t>
            </w:r>
          </w:p>
        </w:tc>
        <w:tc>
          <w:tcPr>
            <w:tcW w:w="1627" w:type="dxa"/>
            <w:shd w:val="clear" w:color="auto" w:fill="D9D9D9" w:themeFill="background1" w:themeFillShade="D9"/>
          </w:tcPr>
          <w:p w14:paraId="1204F438" w14:textId="77777777" w:rsidR="00DD60AA" w:rsidRPr="0004176C" w:rsidRDefault="00DD60AA" w:rsidP="00655474">
            <w:pPr>
              <w:jc w:val="center"/>
              <w:rPr>
                <w:rFonts w:eastAsia="Calibri"/>
                <w:b/>
                <w:bCs/>
                <w:i/>
                <w:iCs/>
                <w:sz w:val="20"/>
                <w:szCs w:val="20"/>
              </w:rPr>
            </w:pPr>
            <w:r w:rsidRPr="0004176C">
              <w:rPr>
                <w:rFonts w:eastAsia="Calibri"/>
                <w:b/>
                <w:bCs/>
                <w:sz w:val="20"/>
                <w:szCs w:val="20"/>
              </w:rPr>
              <w:t>Benchmark</w:t>
            </w:r>
          </w:p>
        </w:tc>
        <w:tc>
          <w:tcPr>
            <w:tcW w:w="1354" w:type="dxa"/>
            <w:shd w:val="clear" w:color="auto" w:fill="D9D9D9" w:themeFill="background1" w:themeFillShade="D9"/>
          </w:tcPr>
          <w:p w14:paraId="6319D538" w14:textId="77777777" w:rsidR="00DD60AA" w:rsidRPr="0004176C" w:rsidRDefault="00DD60AA" w:rsidP="00655474">
            <w:pPr>
              <w:jc w:val="center"/>
              <w:rPr>
                <w:rFonts w:eastAsia="Calibri"/>
                <w:b/>
                <w:bCs/>
                <w:i/>
                <w:iCs/>
                <w:sz w:val="20"/>
                <w:szCs w:val="20"/>
              </w:rPr>
            </w:pPr>
            <w:r w:rsidRPr="0004176C">
              <w:rPr>
                <w:rFonts w:eastAsia="Calibri"/>
                <w:b/>
                <w:bCs/>
                <w:sz w:val="20"/>
                <w:szCs w:val="20"/>
              </w:rPr>
              <w:t>Outcome</w:t>
            </w:r>
          </w:p>
        </w:tc>
        <w:tc>
          <w:tcPr>
            <w:tcW w:w="1440" w:type="dxa"/>
            <w:shd w:val="clear" w:color="auto" w:fill="D9D9D9" w:themeFill="background1" w:themeFillShade="D9"/>
          </w:tcPr>
          <w:p w14:paraId="7115AD1E" w14:textId="77777777" w:rsidR="00DD60AA" w:rsidRPr="0004176C" w:rsidRDefault="00DD60AA" w:rsidP="00655474">
            <w:pPr>
              <w:jc w:val="center"/>
              <w:rPr>
                <w:rFonts w:eastAsia="Calibri"/>
                <w:b/>
                <w:bCs/>
                <w:i/>
                <w:iCs/>
                <w:sz w:val="20"/>
                <w:szCs w:val="20"/>
              </w:rPr>
            </w:pPr>
            <w:r w:rsidRPr="0004176C">
              <w:rPr>
                <w:rFonts w:eastAsia="Calibri"/>
                <w:b/>
                <w:bCs/>
                <w:sz w:val="20"/>
                <w:szCs w:val="20"/>
              </w:rPr>
              <w:t>Benchmark Achieved?</w:t>
            </w:r>
          </w:p>
        </w:tc>
      </w:tr>
      <w:tr w:rsidR="00DD60AA" w:rsidRPr="0004176C" w14:paraId="56417C73" w14:textId="77777777" w:rsidTr="00666672">
        <w:trPr>
          <w:trHeight w:val="314"/>
        </w:trPr>
        <w:tc>
          <w:tcPr>
            <w:tcW w:w="3240" w:type="dxa"/>
            <w:shd w:val="clear" w:color="auto" w:fill="auto"/>
          </w:tcPr>
          <w:p w14:paraId="648E2B70" w14:textId="77777777" w:rsidR="00DD60AA" w:rsidRPr="0004176C" w:rsidRDefault="00DD60AA" w:rsidP="00DD60AA">
            <w:pPr>
              <w:rPr>
                <w:rFonts w:eastAsia="Calibri"/>
                <w:b/>
                <w:bCs/>
                <w:i/>
                <w:iCs/>
                <w:sz w:val="20"/>
                <w:szCs w:val="20"/>
              </w:rPr>
            </w:pPr>
            <w:r w:rsidRPr="0004176C">
              <w:rPr>
                <w:rFonts w:eastAsia="Calibri"/>
                <w:sz w:val="20"/>
                <w:szCs w:val="20"/>
              </w:rPr>
              <w:t>Total cost of task in dollars (decrease).</w:t>
            </w:r>
          </w:p>
        </w:tc>
        <w:tc>
          <w:tcPr>
            <w:tcW w:w="1714" w:type="dxa"/>
            <w:shd w:val="clear" w:color="auto" w:fill="auto"/>
          </w:tcPr>
          <w:p w14:paraId="2F1DA87C" w14:textId="7252BBF5" w:rsidR="00BB5C97" w:rsidRPr="0004176C" w:rsidRDefault="00BB5C97" w:rsidP="00BB5C97">
            <w:pPr>
              <w:jc w:val="center"/>
              <w:rPr>
                <w:rFonts w:eastAsia="Calibri"/>
                <w:sz w:val="20"/>
                <w:szCs w:val="20"/>
              </w:rPr>
            </w:pPr>
            <w:r w:rsidRPr="0004176C">
              <w:rPr>
                <w:rFonts w:eastAsia="Calibri"/>
                <w:b/>
                <w:sz w:val="20"/>
                <w:szCs w:val="20"/>
              </w:rPr>
              <w:t>Total Cost of Activity Prior to Implementation</w:t>
            </w:r>
            <w:r w:rsidRPr="0004176C">
              <w:rPr>
                <w:rFonts w:eastAsia="Calibri"/>
                <w:sz w:val="20"/>
                <w:szCs w:val="20"/>
              </w:rPr>
              <w:t>: $922,037</w:t>
            </w:r>
          </w:p>
          <w:p w14:paraId="6B01901A" w14:textId="77777777" w:rsidR="00BB5C97" w:rsidRPr="0004176C" w:rsidRDefault="00BB5C97" w:rsidP="00BB5C97">
            <w:pPr>
              <w:jc w:val="center"/>
              <w:rPr>
                <w:rFonts w:eastAsia="Calibri"/>
                <w:b/>
                <w:sz w:val="20"/>
                <w:szCs w:val="20"/>
              </w:rPr>
            </w:pPr>
          </w:p>
          <w:p w14:paraId="3D25553C" w14:textId="64230903" w:rsidR="00DD60AA" w:rsidRPr="0004176C" w:rsidRDefault="00DD60AA" w:rsidP="00BB5C97">
            <w:pPr>
              <w:jc w:val="center"/>
              <w:rPr>
                <w:rFonts w:eastAsia="Calibri"/>
                <w:sz w:val="20"/>
                <w:szCs w:val="20"/>
              </w:rPr>
            </w:pPr>
            <w:r w:rsidRPr="0004176C">
              <w:rPr>
                <w:rFonts w:eastAsia="Calibri"/>
                <w:b/>
                <w:sz w:val="20"/>
                <w:szCs w:val="20"/>
              </w:rPr>
              <w:t>Number of vouchers</w:t>
            </w:r>
            <w:r w:rsidRPr="0004176C">
              <w:rPr>
                <w:rFonts w:eastAsia="Calibri"/>
                <w:sz w:val="20"/>
                <w:szCs w:val="20"/>
              </w:rPr>
              <w:t>: 20,298</w:t>
            </w:r>
          </w:p>
          <w:p w14:paraId="5C43A7B3" w14:textId="77777777" w:rsidR="00DD60AA" w:rsidRPr="0004176C" w:rsidRDefault="00DD60AA" w:rsidP="00BB5C97">
            <w:pPr>
              <w:jc w:val="center"/>
              <w:rPr>
                <w:rFonts w:eastAsia="Calibri"/>
                <w:sz w:val="20"/>
                <w:szCs w:val="20"/>
              </w:rPr>
            </w:pPr>
          </w:p>
          <w:p w14:paraId="2A85741E" w14:textId="77777777" w:rsidR="00DD60AA" w:rsidRPr="0004176C" w:rsidRDefault="00DD60AA" w:rsidP="00BB5C97">
            <w:pPr>
              <w:jc w:val="center"/>
              <w:rPr>
                <w:rFonts w:eastAsia="Calibri"/>
                <w:sz w:val="20"/>
                <w:szCs w:val="20"/>
              </w:rPr>
            </w:pPr>
            <w:r w:rsidRPr="0004176C">
              <w:rPr>
                <w:rFonts w:eastAsia="Calibri"/>
                <w:b/>
                <w:sz w:val="20"/>
                <w:szCs w:val="20"/>
              </w:rPr>
              <w:t>Time per Recertification</w:t>
            </w:r>
            <w:r w:rsidRPr="0004176C">
              <w:rPr>
                <w:rFonts w:eastAsia="Calibri"/>
                <w:sz w:val="20"/>
                <w:szCs w:val="20"/>
              </w:rPr>
              <w:t>: 2.5 hours</w:t>
            </w:r>
          </w:p>
          <w:p w14:paraId="5CC46090" w14:textId="77777777" w:rsidR="00DD60AA" w:rsidRPr="0004176C" w:rsidRDefault="00DD60AA" w:rsidP="00BB5C97">
            <w:pPr>
              <w:jc w:val="center"/>
              <w:rPr>
                <w:rFonts w:eastAsia="Calibri"/>
                <w:sz w:val="20"/>
                <w:szCs w:val="20"/>
              </w:rPr>
            </w:pPr>
          </w:p>
          <w:p w14:paraId="74B960F5" w14:textId="77777777" w:rsidR="00DD60AA" w:rsidRPr="0004176C" w:rsidRDefault="00DD60AA" w:rsidP="00BB5C97">
            <w:pPr>
              <w:jc w:val="center"/>
              <w:rPr>
                <w:rFonts w:eastAsia="Calibri"/>
                <w:sz w:val="20"/>
                <w:szCs w:val="20"/>
              </w:rPr>
            </w:pPr>
            <w:r w:rsidRPr="0004176C">
              <w:rPr>
                <w:rFonts w:eastAsia="Calibri"/>
                <w:b/>
                <w:sz w:val="20"/>
                <w:szCs w:val="20"/>
              </w:rPr>
              <w:t>Average Hourly Staff Rate</w:t>
            </w:r>
            <w:r w:rsidRPr="0004176C">
              <w:rPr>
                <w:rFonts w:eastAsia="Calibri"/>
                <w:sz w:val="20"/>
                <w:szCs w:val="20"/>
              </w:rPr>
              <w:t>: $18.17</w:t>
            </w:r>
          </w:p>
          <w:p w14:paraId="7B28871F" w14:textId="6B19F602" w:rsidR="00DD60AA" w:rsidRPr="0004176C" w:rsidRDefault="00DD60AA" w:rsidP="00666672">
            <w:pPr>
              <w:rPr>
                <w:rFonts w:eastAsia="Calibri"/>
                <w:b/>
                <w:bCs/>
                <w:i/>
                <w:iCs/>
                <w:sz w:val="20"/>
                <w:szCs w:val="20"/>
              </w:rPr>
            </w:pPr>
          </w:p>
        </w:tc>
        <w:tc>
          <w:tcPr>
            <w:tcW w:w="1627" w:type="dxa"/>
            <w:shd w:val="clear" w:color="auto" w:fill="auto"/>
          </w:tcPr>
          <w:p w14:paraId="5705C76B" w14:textId="1A8F5B25" w:rsidR="00BB5C97" w:rsidRPr="0004176C" w:rsidRDefault="00BB5C97" w:rsidP="00DD60AA">
            <w:pPr>
              <w:jc w:val="center"/>
              <w:rPr>
                <w:rFonts w:eastAsia="Calibri"/>
                <w:sz w:val="20"/>
                <w:szCs w:val="20"/>
              </w:rPr>
            </w:pPr>
            <w:r w:rsidRPr="0004176C">
              <w:rPr>
                <w:rFonts w:eastAsia="Calibri"/>
                <w:b/>
                <w:sz w:val="20"/>
                <w:szCs w:val="20"/>
              </w:rPr>
              <w:t xml:space="preserve">Anticipated Total Cost of Activity in </w:t>
            </w:r>
            <w:r w:rsidR="006D6331" w:rsidRPr="0004176C">
              <w:rPr>
                <w:rFonts w:eastAsia="Calibri"/>
                <w:b/>
                <w:sz w:val="20"/>
                <w:szCs w:val="20"/>
              </w:rPr>
              <w:t>FY 2021</w:t>
            </w:r>
            <w:r w:rsidRPr="0004176C">
              <w:rPr>
                <w:rFonts w:eastAsia="Calibri"/>
                <w:sz w:val="20"/>
                <w:szCs w:val="20"/>
              </w:rPr>
              <w:t>:</w:t>
            </w:r>
          </w:p>
          <w:p w14:paraId="0E84EA38" w14:textId="49165329" w:rsidR="00BB5C97" w:rsidRPr="0004176C" w:rsidRDefault="00A20112" w:rsidP="00DD60AA">
            <w:pPr>
              <w:jc w:val="center"/>
              <w:rPr>
                <w:rFonts w:eastAsia="Calibri"/>
                <w:b/>
                <w:sz w:val="20"/>
                <w:szCs w:val="20"/>
              </w:rPr>
            </w:pPr>
            <w:r w:rsidRPr="0004176C">
              <w:rPr>
                <w:rFonts w:eastAsia="Calibri"/>
                <w:sz w:val="20"/>
                <w:szCs w:val="20"/>
              </w:rPr>
              <w:t xml:space="preserve"> $391,844</w:t>
            </w:r>
            <w:r w:rsidR="00BB5C97" w:rsidRPr="0004176C">
              <w:rPr>
                <w:rFonts w:eastAsia="Calibri"/>
                <w:sz w:val="20"/>
                <w:szCs w:val="20"/>
              </w:rPr>
              <w:t>*</w:t>
            </w:r>
          </w:p>
          <w:p w14:paraId="4317603F" w14:textId="77777777" w:rsidR="00BB5C97" w:rsidRPr="0004176C" w:rsidRDefault="00BB5C97" w:rsidP="00DD60AA">
            <w:pPr>
              <w:jc w:val="center"/>
              <w:rPr>
                <w:rFonts w:eastAsia="Calibri"/>
                <w:b/>
                <w:sz w:val="20"/>
                <w:szCs w:val="20"/>
              </w:rPr>
            </w:pPr>
          </w:p>
          <w:p w14:paraId="5CD4BD20" w14:textId="037F3B6C" w:rsidR="00DD60AA" w:rsidRPr="0004176C" w:rsidRDefault="00DD60AA" w:rsidP="00DD60AA">
            <w:pPr>
              <w:jc w:val="center"/>
              <w:rPr>
                <w:rFonts w:eastAsia="Calibri"/>
                <w:sz w:val="20"/>
                <w:szCs w:val="20"/>
              </w:rPr>
            </w:pPr>
            <w:r w:rsidRPr="0004176C">
              <w:rPr>
                <w:rFonts w:eastAsia="Calibri"/>
                <w:b/>
                <w:sz w:val="20"/>
                <w:szCs w:val="20"/>
              </w:rPr>
              <w:t>Anticipated Number of Recertifications</w:t>
            </w:r>
            <w:r w:rsidR="00AB4262" w:rsidRPr="0004176C">
              <w:rPr>
                <w:rFonts w:eastAsia="Calibri"/>
                <w:sz w:val="20"/>
                <w:szCs w:val="20"/>
              </w:rPr>
              <w:t xml:space="preserve">: </w:t>
            </w:r>
          </w:p>
          <w:p w14:paraId="38E464EC" w14:textId="5F85464D" w:rsidR="004221A5" w:rsidRPr="0004176C" w:rsidRDefault="00BB5C97" w:rsidP="00DD60AA">
            <w:pPr>
              <w:jc w:val="center"/>
              <w:rPr>
                <w:rFonts w:eastAsia="Calibri"/>
                <w:sz w:val="20"/>
                <w:szCs w:val="20"/>
              </w:rPr>
            </w:pPr>
            <w:r w:rsidRPr="0004176C">
              <w:rPr>
                <w:rFonts w:eastAsia="Calibri"/>
                <w:sz w:val="20"/>
                <w:szCs w:val="20"/>
              </w:rPr>
              <w:t>8,293</w:t>
            </w:r>
          </w:p>
          <w:p w14:paraId="6868610B" w14:textId="77777777" w:rsidR="00DD60AA" w:rsidRPr="0004176C" w:rsidRDefault="00DD60AA" w:rsidP="00DD60AA">
            <w:pPr>
              <w:jc w:val="center"/>
              <w:rPr>
                <w:rFonts w:eastAsia="Calibri"/>
                <w:sz w:val="20"/>
                <w:szCs w:val="20"/>
              </w:rPr>
            </w:pPr>
          </w:p>
          <w:p w14:paraId="075FDCD5" w14:textId="77777777" w:rsidR="00DD60AA" w:rsidRPr="0004176C" w:rsidRDefault="00DD60AA" w:rsidP="00DD60AA">
            <w:pPr>
              <w:jc w:val="center"/>
              <w:rPr>
                <w:rFonts w:eastAsia="Calibri"/>
                <w:sz w:val="20"/>
                <w:szCs w:val="20"/>
              </w:rPr>
            </w:pPr>
            <w:r w:rsidRPr="0004176C">
              <w:rPr>
                <w:rFonts w:eastAsia="Calibri"/>
                <w:b/>
                <w:sz w:val="20"/>
                <w:szCs w:val="20"/>
              </w:rPr>
              <w:t>Time per Recertification</w:t>
            </w:r>
            <w:r w:rsidRPr="0004176C">
              <w:rPr>
                <w:rFonts w:eastAsia="Calibri"/>
                <w:sz w:val="20"/>
                <w:szCs w:val="20"/>
              </w:rPr>
              <w:t>: 2.25 hours</w:t>
            </w:r>
          </w:p>
          <w:p w14:paraId="03A79832" w14:textId="77777777" w:rsidR="00DD60AA" w:rsidRPr="0004176C" w:rsidRDefault="00DD60AA" w:rsidP="00DD60AA">
            <w:pPr>
              <w:jc w:val="center"/>
              <w:rPr>
                <w:rFonts w:eastAsia="Calibri"/>
                <w:sz w:val="20"/>
                <w:szCs w:val="20"/>
              </w:rPr>
            </w:pPr>
          </w:p>
          <w:p w14:paraId="4E7ECDF8" w14:textId="5C610CEB" w:rsidR="00DD60AA" w:rsidRPr="0004176C" w:rsidRDefault="00DD60AA" w:rsidP="00D748F5">
            <w:pPr>
              <w:jc w:val="center"/>
              <w:rPr>
                <w:rFonts w:eastAsia="Calibri"/>
                <w:sz w:val="20"/>
                <w:szCs w:val="20"/>
              </w:rPr>
            </w:pPr>
            <w:r w:rsidRPr="0004176C">
              <w:rPr>
                <w:rFonts w:eastAsia="Calibri"/>
                <w:b/>
                <w:sz w:val="20"/>
                <w:szCs w:val="20"/>
              </w:rPr>
              <w:t>Average Hourly Staff Rate</w:t>
            </w:r>
            <w:r w:rsidR="00AB4262" w:rsidRPr="0004176C">
              <w:rPr>
                <w:rFonts w:eastAsia="Calibri"/>
                <w:sz w:val="20"/>
                <w:szCs w:val="20"/>
              </w:rPr>
              <w:t>: $2</w:t>
            </w:r>
            <w:r w:rsidR="00BB5C97" w:rsidRPr="0004176C">
              <w:rPr>
                <w:rFonts w:eastAsia="Calibri"/>
                <w:sz w:val="20"/>
                <w:szCs w:val="20"/>
              </w:rPr>
              <w:t>1.00</w:t>
            </w:r>
          </w:p>
        </w:tc>
        <w:tc>
          <w:tcPr>
            <w:tcW w:w="1354" w:type="dxa"/>
            <w:shd w:val="clear" w:color="auto" w:fill="auto"/>
          </w:tcPr>
          <w:p w14:paraId="71B08852" w14:textId="64EA1B6D" w:rsidR="003D4019" w:rsidRPr="0004176C" w:rsidRDefault="003D4019" w:rsidP="003D4019">
            <w:pPr>
              <w:jc w:val="center"/>
              <w:rPr>
                <w:rFonts w:eastAsia="Calibri"/>
                <w:b/>
                <w:bCs/>
                <w:i/>
                <w:iCs/>
                <w:sz w:val="20"/>
                <w:szCs w:val="20"/>
              </w:rPr>
            </w:pPr>
          </w:p>
          <w:p w14:paraId="128CC2D5" w14:textId="48A6DF6F" w:rsidR="00995B8D" w:rsidRPr="0004176C" w:rsidRDefault="00995B8D" w:rsidP="00DD60AA">
            <w:pPr>
              <w:jc w:val="center"/>
              <w:rPr>
                <w:rFonts w:eastAsia="Calibri"/>
                <w:b/>
                <w:bCs/>
                <w:i/>
                <w:iCs/>
                <w:sz w:val="20"/>
                <w:szCs w:val="20"/>
              </w:rPr>
            </w:pPr>
          </w:p>
        </w:tc>
        <w:tc>
          <w:tcPr>
            <w:tcW w:w="1440" w:type="dxa"/>
            <w:shd w:val="clear" w:color="auto" w:fill="auto"/>
          </w:tcPr>
          <w:p w14:paraId="3D1B2AB0" w14:textId="64D9DFB8" w:rsidR="00DD60AA" w:rsidRPr="0004176C" w:rsidRDefault="00DD60AA" w:rsidP="00DD60AA">
            <w:pPr>
              <w:jc w:val="center"/>
              <w:rPr>
                <w:rFonts w:eastAsia="Calibri"/>
                <w:b/>
                <w:bCs/>
                <w:i/>
                <w:iCs/>
                <w:sz w:val="20"/>
                <w:szCs w:val="20"/>
              </w:rPr>
            </w:pPr>
          </w:p>
        </w:tc>
      </w:tr>
      <w:tr w:rsidR="00DD60AA" w:rsidRPr="0004176C" w14:paraId="04936024" w14:textId="77777777" w:rsidTr="00666672">
        <w:trPr>
          <w:trHeight w:val="188"/>
        </w:trPr>
        <w:tc>
          <w:tcPr>
            <w:tcW w:w="1440" w:type="dxa"/>
            <w:gridSpan w:val="5"/>
            <w:shd w:val="clear" w:color="auto" w:fill="auto"/>
          </w:tcPr>
          <w:p w14:paraId="295031CD" w14:textId="38BA5779" w:rsidR="00DD60AA" w:rsidRPr="0004176C" w:rsidRDefault="00DD60AA" w:rsidP="00DD60AA">
            <w:pPr>
              <w:rPr>
                <w:rFonts w:eastAsia="Calibri"/>
                <w:b/>
                <w:bCs/>
                <w:i/>
                <w:iCs/>
                <w:sz w:val="20"/>
                <w:szCs w:val="20"/>
              </w:rPr>
            </w:pPr>
            <w:r w:rsidRPr="0004176C">
              <w:rPr>
                <w:rFonts w:eastAsia="Calibri"/>
                <w:i/>
                <w:sz w:val="20"/>
                <w:szCs w:val="20"/>
              </w:rPr>
              <w:t>*Accounts for cost savings from Biennial</w:t>
            </w:r>
            <w:r w:rsidR="004221A5" w:rsidRPr="0004176C">
              <w:rPr>
                <w:rFonts w:eastAsia="Calibri"/>
                <w:i/>
                <w:sz w:val="20"/>
                <w:szCs w:val="20"/>
              </w:rPr>
              <w:t>/Triennial</w:t>
            </w:r>
            <w:r w:rsidRPr="0004176C">
              <w:rPr>
                <w:rFonts w:eastAsia="Calibri"/>
                <w:i/>
                <w:sz w:val="20"/>
                <w:szCs w:val="20"/>
              </w:rPr>
              <w:t xml:space="preserve"> Recertifications and Rent Simplification</w:t>
            </w:r>
            <w:r w:rsidR="00A20112" w:rsidRPr="0004176C">
              <w:rPr>
                <w:rFonts w:eastAsia="Calibri"/>
                <w:i/>
                <w:sz w:val="20"/>
                <w:szCs w:val="20"/>
              </w:rPr>
              <w:t>.</w:t>
            </w:r>
            <w:r w:rsidRPr="0004176C">
              <w:rPr>
                <w:rFonts w:eastAsia="Calibri"/>
                <w:i/>
                <w:sz w:val="20"/>
                <w:szCs w:val="20"/>
              </w:rPr>
              <w:t xml:space="preserve"> </w:t>
            </w:r>
          </w:p>
        </w:tc>
      </w:tr>
      <w:tr w:rsidR="00DD60AA" w:rsidRPr="0004176C" w14:paraId="249EFF7C" w14:textId="77777777" w:rsidTr="00666672">
        <w:trPr>
          <w:trHeight w:hRule="exact" w:val="317"/>
        </w:trPr>
        <w:tc>
          <w:tcPr>
            <w:tcW w:w="1440" w:type="dxa"/>
            <w:gridSpan w:val="5"/>
            <w:shd w:val="clear" w:color="auto" w:fill="C6D9F1" w:themeFill="text2" w:themeFillTint="33"/>
            <w:hideMark/>
          </w:tcPr>
          <w:p w14:paraId="24DBF050" w14:textId="77777777" w:rsidR="00DD60AA" w:rsidRPr="0004176C" w:rsidRDefault="00DD60AA" w:rsidP="00DD60AA">
            <w:pPr>
              <w:jc w:val="center"/>
              <w:rPr>
                <w:rFonts w:eastAsia="Calibri"/>
                <w:b/>
                <w:bCs/>
                <w:i/>
                <w:iCs/>
                <w:sz w:val="20"/>
                <w:szCs w:val="20"/>
              </w:rPr>
            </w:pPr>
            <w:r w:rsidRPr="0004176C">
              <w:rPr>
                <w:rFonts w:eastAsia="Calibri"/>
                <w:b/>
                <w:bCs/>
                <w:i/>
                <w:iCs/>
                <w:sz w:val="20"/>
                <w:szCs w:val="20"/>
              </w:rPr>
              <w:t>CE #2: Staff Time Savings*</w:t>
            </w:r>
          </w:p>
        </w:tc>
      </w:tr>
      <w:tr w:rsidR="00DD60AA" w:rsidRPr="0004176C" w14:paraId="3D7FD94D" w14:textId="77777777" w:rsidTr="00666672">
        <w:trPr>
          <w:trHeight w:hRule="exact" w:val="576"/>
        </w:trPr>
        <w:tc>
          <w:tcPr>
            <w:tcW w:w="3240" w:type="dxa"/>
            <w:shd w:val="clear" w:color="auto" w:fill="D9D9D9" w:themeFill="background1" w:themeFillShade="D9"/>
            <w:hideMark/>
          </w:tcPr>
          <w:p w14:paraId="02BC0A66" w14:textId="77777777" w:rsidR="00DD60AA" w:rsidRPr="0004176C" w:rsidRDefault="00DD60AA" w:rsidP="00DD60AA">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hideMark/>
          </w:tcPr>
          <w:p w14:paraId="02E79013" w14:textId="77777777" w:rsidR="00DD60AA" w:rsidRPr="0004176C" w:rsidRDefault="00DD60AA" w:rsidP="00DD60AA">
            <w:pPr>
              <w:jc w:val="center"/>
              <w:rPr>
                <w:rFonts w:eastAsia="Calibri"/>
                <w:b/>
                <w:bCs/>
                <w:sz w:val="20"/>
                <w:szCs w:val="20"/>
              </w:rPr>
            </w:pPr>
            <w:r w:rsidRPr="0004176C">
              <w:rPr>
                <w:rFonts w:eastAsia="Calibri"/>
                <w:b/>
                <w:bCs/>
                <w:sz w:val="20"/>
                <w:szCs w:val="20"/>
              </w:rPr>
              <w:t>Baseline</w:t>
            </w:r>
          </w:p>
        </w:tc>
        <w:tc>
          <w:tcPr>
            <w:tcW w:w="1627" w:type="dxa"/>
            <w:shd w:val="clear" w:color="auto" w:fill="D9D9D9" w:themeFill="background1" w:themeFillShade="D9"/>
            <w:hideMark/>
          </w:tcPr>
          <w:p w14:paraId="088ED20B" w14:textId="77777777" w:rsidR="00DD60AA" w:rsidRPr="0004176C" w:rsidRDefault="00DD60AA" w:rsidP="00DD60AA">
            <w:pPr>
              <w:jc w:val="center"/>
              <w:rPr>
                <w:rFonts w:eastAsia="Calibri"/>
                <w:b/>
                <w:bCs/>
                <w:sz w:val="20"/>
                <w:szCs w:val="20"/>
              </w:rPr>
            </w:pPr>
            <w:r w:rsidRPr="0004176C">
              <w:rPr>
                <w:rFonts w:eastAsia="Calibri"/>
                <w:b/>
                <w:bCs/>
                <w:sz w:val="20"/>
                <w:szCs w:val="20"/>
              </w:rPr>
              <w:t>Benchmark</w:t>
            </w:r>
          </w:p>
        </w:tc>
        <w:tc>
          <w:tcPr>
            <w:tcW w:w="1354" w:type="dxa"/>
            <w:shd w:val="clear" w:color="auto" w:fill="D9D9D9" w:themeFill="background1" w:themeFillShade="D9"/>
            <w:hideMark/>
          </w:tcPr>
          <w:p w14:paraId="6A1CAFC1" w14:textId="77777777" w:rsidR="00DD60AA" w:rsidRPr="0004176C" w:rsidRDefault="00DD60AA" w:rsidP="00DD60AA">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hideMark/>
          </w:tcPr>
          <w:p w14:paraId="698F676E" w14:textId="77777777" w:rsidR="00DD60AA" w:rsidRPr="0004176C" w:rsidRDefault="00DD60AA" w:rsidP="00DD60AA">
            <w:pPr>
              <w:jc w:val="center"/>
              <w:rPr>
                <w:rFonts w:eastAsia="Calibri"/>
                <w:b/>
                <w:bCs/>
                <w:sz w:val="20"/>
                <w:szCs w:val="20"/>
              </w:rPr>
            </w:pPr>
            <w:r w:rsidRPr="0004176C">
              <w:rPr>
                <w:rFonts w:eastAsia="Calibri"/>
                <w:b/>
                <w:bCs/>
                <w:sz w:val="20"/>
                <w:szCs w:val="20"/>
              </w:rPr>
              <w:t>Benchmark Achieved?</w:t>
            </w:r>
          </w:p>
        </w:tc>
      </w:tr>
      <w:tr w:rsidR="00D76CE0" w:rsidRPr="0004176C" w14:paraId="7672CA84" w14:textId="77777777" w:rsidTr="00666672">
        <w:trPr>
          <w:trHeight w:val="755"/>
        </w:trPr>
        <w:tc>
          <w:tcPr>
            <w:tcW w:w="3240" w:type="dxa"/>
            <w:shd w:val="clear" w:color="auto" w:fill="auto"/>
            <w:hideMark/>
          </w:tcPr>
          <w:p w14:paraId="6CC03FDA" w14:textId="77777777" w:rsidR="00D76CE0" w:rsidRPr="0004176C" w:rsidRDefault="00D76CE0" w:rsidP="00D76CE0">
            <w:pPr>
              <w:rPr>
                <w:rFonts w:eastAsia="Calibri"/>
                <w:sz w:val="20"/>
                <w:szCs w:val="20"/>
              </w:rPr>
            </w:pPr>
            <w:r w:rsidRPr="0004176C">
              <w:rPr>
                <w:rFonts w:eastAsia="Calibri"/>
                <w:sz w:val="20"/>
                <w:szCs w:val="20"/>
              </w:rPr>
              <w:t>Total time to complete the task in staff hours (decrease).</w:t>
            </w:r>
          </w:p>
        </w:tc>
        <w:tc>
          <w:tcPr>
            <w:tcW w:w="1714" w:type="dxa"/>
            <w:shd w:val="clear" w:color="auto" w:fill="auto"/>
          </w:tcPr>
          <w:p w14:paraId="617836C3" w14:textId="23448D34" w:rsidR="00BB5C97" w:rsidRPr="0004176C" w:rsidRDefault="00BB5C97" w:rsidP="00D76CE0">
            <w:pPr>
              <w:jc w:val="center"/>
              <w:rPr>
                <w:rFonts w:eastAsia="Calibri"/>
                <w:b/>
                <w:sz w:val="20"/>
                <w:szCs w:val="20"/>
              </w:rPr>
            </w:pPr>
            <w:r w:rsidRPr="0004176C">
              <w:rPr>
                <w:rFonts w:eastAsia="Calibri"/>
                <w:b/>
                <w:sz w:val="20"/>
                <w:szCs w:val="20"/>
              </w:rPr>
              <w:t>Total Time Spent on Activity Prior to Implementation</w:t>
            </w:r>
            <w:r w:rsidRPr="0004176C">
              <w:rPr>
                <w:rFonts w:eastAsia="Calibri"/>
                <w:sz w:val="20"/>
                <w:szCs w:val="20"/>
              </w:rPr>
              <w:t>: 50,745 hours</w:t>
            </w:r>
          </w:p>
          <w:p w14:paraId="169ACD0B" w14:textId="77777777" w:rsidR="00BB5C97" w:rsidRPr="0004176C" w:rsidRDefault="00BB5C97" w:rsidP="00D76CE0">
            <w:pPr>
              <w:jc w:val="center"/>
              <w:rPr>
                <w:rFonts w:eastAsia="Calibri"/>
                <w:b/>
                <w:sz w:val="20"/>
                <w:szCs w:val="20"/>
              </w:rPr>
            </w:pPr>
          </w:p>
          <w:p w14:paraId="265E8914" w14:textId="28C487CF" w:rsidR="00D76CE0" w:rsidRPr="0004176C" w:rsidRDefault="00D76CE0" w:rsidP="00D76CE0">
            <w:pPr>
              <w:jc w:val="center"/>
              <w:rPr>
                <w:rFonts w:eastAsia="Calibri"/>
                <w:sz w:val="20"/>
                <w:szCs w:val="20"/>
              </w:rPr>
            </w:pPr>
            <w:r w:rsidRPr="0004176C">
              <w:rPr>
                <w:rFonts w:eastAsia="Calibri"/>
                <w:b/>
                <w:sz w:val="20"/>
                <w:szCs w:val="20"/>
              </w:rPr>
              <w:t>Number of vouchers</w:t>
            </w:r>
            <w:r w:rsidRPr="0004176C">
              <w:rPr>
                <w:rFonts w:eastAsia="Calibri"/>
                <w:sz w:val="20"/>
                <w:szCs w:val="20"/>
              </w:rPr>
              <w:t>: 20,298</w:t>
            </w:r>
          </w:p>
          <w:p w14:paraId="13BD99E9" w14:textId="77777777" w:rsidR="00D76CE0" w:rsidRPr="0004176C" w:rsidRDefault="00D76CE0" w:rsidP="00D76CE0">
            <w:pPr>
              <w:jc w:val="center"/>
              <w:rPr>
                <w:rFonts w:eastAsia="Calibri"/>
                <w:sz w:val="20"/>
                <w:szCs w:val="20"/>
              </w:rPr>
            </w:pPr>
          </w:p>
          <w:p w14:paraId="6BC64AB8" w14:textId="77777777" w:rsidR="00D76CE0" w:rsidRPr="0004176C" w:rsidRDefault="00D76CE0" w:rsidP="00D76CE0">
            <w:pPr>
              <w:jc w:val="center"/>
              <w:rPr>
                <w:rFonts w:eastAsia="Calibri"/>
                <w:sz w:val="20"/>
                <w:szCs w:val="20"/>
              </w:rPr>
            </w:pPr>
            <w:r w:rsidRPr="0004176C">
              <w:rPr>
                <w:rFonts w:eastAsia="Calibri"/>
                <w:b/>
                <w:sz w:val="20"/>
                <w:szCs w:val="20"/>
              </w:rPr>
              <w:t>Time per Recertification</w:t>
            </w:r>
            <w:r w:rsidRPr="0004176C">
              <w:rPr>
                <w:rFonts w:eastAsia="Calibri"/>
                <w:sz w:val="20"/>
                <w:szCs w:val="20"/>
              </w:rPr>
              <w:t>: 2.5 hours</w:t>
            </w:r>
          </w:p>
          <w:p w14:paraId="312D7532" w14:textId="77777777" w:rsidR="00D76CE0" w:rsidRPr="0004176C" w:rsidRDefault="00D76CE0" w:rsidP="00D76CE0">
            <w:pPr>
              <w:jc w:val="center"/>
              <w:rPr>
                <w:rFonts w:eastAsia="Calibri"/>
                <w:sz w:val="20"/>
                <w:szCs w:val="20"/>
              </w:rPr>
            </w:pPr>
          </w:p>
          <w:p w14:paraId="37F5DED9" w14:textId="276587EF" w:rsidR="00D76CE0" w:rsidRPr="0004176C" w:rsidRDefault="00D76CE0" w:rsidP="00D76CE0">
            <w:pPr>
              <w:jc w:val="center"/>
              <w:rPr>
                <w:rFonts w:eastAsia="Calibri"/>
                <w:sz w:val="20"/>
                <w:szCs w:val="20"/>
              </w:rPr>
            </w:pPr>
          </w:p>
        </w:tc>
        <w:tc>
          <w:tcPr>
            <w:tcW w:w="1627" w:type="dxa"/>
            <w:shd w:val="clear" w:color="auto" w:fill="auto"/>
          </w:tcPr>
          <w:p w14:paraId="2E17D372" w14:textId="3E45E513" w:rsidR="00BB5C97" w:rsidRPr="0004176C" w:rsidRDefault="00BB5C97" w:rsidP="00D76CE0">
            <w:pPr>
              <w:jc w:val="center"/>
              <w:rPr>
                <w:rFonts w:eastAsia="Calibri"/>
                <w:sz w:val="20"/>
                <w:szCs w:val="20"/>
              </w:rPr>
            </w:pPr>
            <w:r w:rsidRPr="0004176C">
              <w:rPr>
                <w:rFonts w:eastAsia="Calibri"/>
                <w:b/>
                <w:sz w:val="20"/>
                <w:szCs w:val="20"/>
              </w:rPr>
              <w:t xml:space="preserve">Anticipated Total Time Spent on Activity in </w:t>
            </w:r>
            <w:r w:rsidR="006D6331" w:rsidRPr="0004176C">
              <w:rPr>
                <w:rFonts w:eastAsia="Calibri"/>
                <w:b/>
                <w:sz w:val="20"/>
                <w:szCs w:val="20"/>
              </w:rPr>
              <w:t>FY 2021</w:t>
            </w:r>
            <w:r w:rsidRPr="0004176C">
              <w:rPr>
                <w:rFonts w:eastAsia="Calibri"/>
                <w:sz w:val="20"/>
                <w:szCs w:val="20"/>
              </w:rPr>
              <w:t>:</w:t>
            </w:r>
          </w:p>
          <w:p w14:paraId="136B7E1C" w14:textId="7843EA95" w:rsidR="00BB5C97" w:rsidRPr="0004176C" w:rsidRDefault="00BB5C97" w:rsidP="00D76CE0">
            <w:pPr>
              <w:jc w:val="center"/>
              <w:rPr>
                <w:rFonts w:eastAsia="Calibri"/>
                <w:b/>
                <w:sz w:val="20"/>
                <w:szCs w:val="20"/>
              </w:rPr>
            </w:pPr>
            <w:r w:rsidRPr="0004176C">
              <w:rPr>
                <w:rFonts w:eastAsia="Calibri"/>
                <w:sz w:val="20"/>
                <w:szCs w:val="20"/>
              </w:rPr>
              <w:t>18,659 hours</w:t>
            </w:r>
          </w:p>
          <w:p w14:paraId="57D56AE0" w14:textId="77777777" w:rsidR="00BB5C97" w:rsidRPr="0004176C" w:rsidRDefault="00BB5C97" w:rsidP="00D76CE0">
            <w:pPr>
              <w:jc w:val="center"/>
              <w:rPr>
                <w:rFonts w:eastAsia="Calibri"/>
                <w:b/>
                <w:sz w:val="20"/>
                <w:szCs w:val="20"/>
              </w:rPr>
            </w:pPr>
          </w:p>
          <w:p w14:paraId="6E7302F2" w14:textId="24775BB0" w:rsidR="00D76CE0" w:rsidRPr="0004176C" w:rsidRDefault="00D76CE0" w:rsidP="00D76CE0">
            <w:pPr>
              <w:jc w:val="center"/>
              <w:rPr>
                <w:rFonts w:eastAsia="Calibri"/>
                <w:sz w:val="20"/>
                <w:szCs w:val="20"/>
              </w:rPr>
            </w:pPr>
            <w:r w:rsidRPr="0004176C">
              <w:rPr>
                <w:rFonts w:eastAsia="Calibri"/>
                <w:b/>
                <w:sz w:val="20"/>
                <w:szCs w:val="20"/>
              </w:rPr>
              <w:t>Anticipated Number of Recertifications</w:t>
            </w:r>
            <w:r w:rsidRPr="0004176C">
              <w:rPr>
                <w:rFonts w:eastAsia="Calibri"/>
                <w:sz w:val="20"/>
                <w:szCs w:val="20"/>
              </w:rPr>
              <w:t xml:space="preserve">: </w:t>
            </w:r>
          </w:p>
          <w:p w14:paraId="12052424" w14:textId="436AE62B" w:rsidR="00BB5C97" w:rsidRPr="0004176C" w:rsidRDefault="00BB5C97" w:rsidP="00D76CE0">
            <w:pPr>
              <w:jc w:val="center"/>
              <w:rPr>
                <w:rFonts w:eastAsia="Calibri"/>
                <w:sz w:val="20"/>
                <w:szCs w:val="20"/>
              </w:rPr>
            </w:pPr>
            <w:r w:rsidRPr="0004176C">
              <w:rPr>
                <w:rFonts w:eastAsia="Calibri"/>
                <w:sz w:val="20"/>
                <w:szCs w:val="20"/>
              </w:rPr>
              <w:t>8,293</w:t>
            </w:r>
          </w:p>
          <w:p w14:paraId="4D44EF21" w14:textId="77777777" w:rsidR="00D76CE0" w:rsidRPr="0004176C" w:rsidRDefault="00D76CE0" w:rsidP="00D76CE0">
            <w:pPr>
              <w:jc w:val="center"/>
              <w:rPr>
                <w:rFonts w:eastAsia="Calibri"/>
                <w:sz w:val="20"/>
                <w:szCs w:val="20"/>
              </w:rPr>
            </w:pPr>
          </w:p>
          <w:p w14:paraId="746F6385" w14:textId="1AA5551D" w:rsidR="00D76CE0" w:rsidRPr="0004176C" w:rsidRDefault="00D76CE0" w:rsidP="00D748F5">
            <w:pPr>
              <w:jc w:val="center"/>
              <w:rPr>
                <w:rFonts w:eastAsia="Calibri"/>
                <w:sz w:val="20"/>
                <w:szCs w:val="20"/>
              </w:rPr>
            </w:pPr>
            <w:r w:rsidRPr="0004176C">
              <w:rPr>
                <w:rFonts w:eastAsia="Calibri"/>
                <w:b/>
                <w:sz w:val="20"/>
                <w:szCs w:val="20"/>
              </w:rPr>
              <w:t>Time per Recertification</w:t>
            </w:r>
            <w:r w:rsidRPr="0004176C">
              <w:rPr>
                <w:rFonts w:eastAsia="Calibri"/>
                <w:sz w:val="20"/>
                <w:szCs w:val="20"/>
              </w:rPr>
              <w:t>: 2.25 hours</w:t>
            </w:r>
          </w:p>
        </w:tc>
        <w:tc>
          <w:tcPr>
            <w:tcW w:w="1354" w:type="dxa"/>
            <w:shd w:val="clear" w:color="auto" w:fill="auto"/>
          </w:tcPr>
          <w:p w14:paraId="206F895E" w14:textId="2A49DD6E" w:rsidR="00995B8D" w:rsidRPr="0004176C" w:rsidRDefault="00995B8D" w:rsidP="00D76CE0">
            <w:pPr>
              <w:jc w:val="center"/>
              <w:rPr>
                <w:rFonts w:eastAsia="Calibri"/>
                <w:sz w:val="20"/>
                <w:szCs w:val="20"/>
              </w:rPr>
            </w:pPr>
          </w:p>
        </w:tc>
        <w:tc>
          <w:tcPr>
            <w:tcW w:w="1440" w:type="dxa"/>
            <w:shd w:val="clear" w:color="auto" w:fill="auto"/>
          </w:tcPr>
          <w:p w14:paraId="71F59C1C" w14:textId="3056ED2D" w:rsidR="00D76CE0" w:rsidRPr="0004176C" w:rsidRDefault="00D76CE0" w:rsidP="00D76CE0">
            <w:pPr>
              <w:jc w:val="center"/>
              <w:rPr>
                <w:rFonts w:eastAsia="Calibri"/>
                <w:sz w:val="20"/>
                <w:szCs w:val="20"/>
              </w:rPr>
            </w:pPr>
          </w:p>
        </w:tc>
      </w:tr>
      <w:tr w:rsidR="00DD60AA" w:rsidRPr="0004176C" w14:paraId="46F4290A" w14:textId="77777777" w:rsidTr="00666672">
        <w:trPr>
          <w:trHeight w:val="80"/>
        </w:trPr>
        <w:tc>
          <w:tcPr>
            <w:tcW w:w="1440" w:type="dxa"/>
            <w:gridSpan w:val="5"/>
            <w:shd w:val="clear" w:color="auto" w:fill="auto"/>
          </w:tcPr>
          <w:p w14:paraId="2CD01CF8" w14:textId="458ADA2B" w:rsidR="00DD60AA" w:rsidRPr="0004176C" w:rsidRDefault="00DD60AA" w:rsidP="00DD60AA">
            <w:pPr>
              <w:rPr>
                <w:rFonts w:eastAsia="Calibri"/>
                <w:i/>
                <w:sz w:val="20"/>
                <w:szCs w:val="20"/>
              </w:rPr>
            </w:pPr>
            <w:r w:rsidRPr="0004176C">
              <w:rPr>
                <w:rFonts w:eastAsia="Calibri"/>
                <w:i/>
                <w:sz w:val="20"/>
                <w:szCs w:val="20"/>
              </w:rPr>
              <w:t>*Accounts for time savings from Biennial</w:t>
            </w:r>
            <w:r w:rsidR="008D7DC4" w:rsidRPr="0004176C">
              <w:rPr>
                <w:rFonts w:eastAsia="Calibri"/>
                <w:i/>
                <w:sz w:val="20"/>
                <w:szCs w:val="20"/>
              </w:rPr>
              <w:t>/Triennial</w:t>
            </w:r>
            <w:r w:rsidRPr="0004176C">
              <w:rPr>
                <w:rFonts w:eastAsia="Calibri"/>
                <w:i/>
                <w:sz w:val="20"/>
                <w:szCs w:val="20"/>
              </w:rPr>
              <w:t xml:space="preserve"> Recertifications and Rent Simplification</w:t>
            </w:r>
            <w:r w:rsidR="00A20112" w:rsidRPr="0004176C">
              <w:rPr>
                <w:rFonts w:eastAsia="Calibri"/>
                <w:i/>
                <w:sz w:val="20"/>
                <w:szCs w:val="20"/>
              </w:rPr>
              <w:t>.</w:t>
            </w:r>
            <w:r w:rsidRPr="0004176C">
              <w:rPr>
                <w:rFonts w:eastAsia="Calibri"/>
                <w:i/>
                <w:sz w:val="20"/>
                <w:szCs w:val="20"/>
              </w:rPr>
              <w:t xml:space="preserve"> </w:t>
            </w:r>
          </w:p>
        </w:tc>
      </w:tr>
      <w:tr w:rsidR="00DD60AA" w:rsidRPr="0004176C" w14:paraId="1FF49496" w14:textId="77777777" w:rsidTr="00666672">
        <w:trPr>
          <w:trHeight w:hRule="exact" w:val="317"/>
        </w:trPr>
        <w:tc>
          <w:tcPr>
            <w:tcW w:w="1440" w:type="dxa"/>
            <w:gridSpan w:val="5"/>
            <w:tcBorders>
              <w:top w:val="single" w:sz="4" w:space="0" w:color="auto"/>
            </w:tcBorders>
            <w:shd w:val="clear" w:color="auto" w:fill="C6D9F1" w:themeFill="text2" w:themeFillTint="33"/>
          </w:tcPr>
          <w:p w14:paraId="1FD74165" w14:textId="77777777" w:rsidR="00DD60AA" w:rsidRPr="0004176C" w:rsidRDefault="00DD60AA" w:rsidP="00DD60AA">
            <w:pPr>
              <w:jc w:val="center"/>
              <w:rPr>
                <w:rFonts w:eastAsia="Calibri"/>
                <w:sz w:val="20"/>
                <w:szCs w:val="20"/>
              </w:rPr>
            </w:pPr>
            <w:r w:rsidRPr="0004176C">
              <w:rPr>
                <w:b/>
                <w:bCs/>
                <w:i/>
                <w:iCs/>
                <w:sz w:val="20"/>
                <w:szCs w:val="20"/>
              </w:rPr>
              <w:t>SS #1: Increase in Household Income</w:t>
            </w:r>
            <w:r w:rsidR="00995B8D" w:rsidRPr="0004176C">
              <w:rPr>
                <w:b/>
                <w:bCs/>
                <w:i/>
                <w:iCs/>
                <w:sz w:val="20"/>
                <w:szCs w:val="20"/>
              </w:rPr>
              <w:t>*</w:t>
            </w:r>
          </w:p>
        </w:tc>
      </w:tr>
      <w:tr w:rsidR="00DD60AA" w:rsidRPr="0004176C" w14:paraId="6FC2FC54" w14:textId="77777777" w:rsidTr="00666672">
        <w:trPr>
          <w:trHeight w:hRule="exact" w:val="576"/>
        </w:trPr>
        <w:tc>
          <w:tcPr>
            <w:tcW w:w="3240" w:type="dxa"/>
            <w:shd w:val="clear" w:color="auto" w:fill="D9D9D9" w:themeFill="background1" w:themeFillShade="D9"/>
          </w:tcPr>
          <w:p w14:paraId="04F5109E" w14:textId="77777777" w:rsidR="00DD60AA" w:rsidRPr="0004176C" w:rsidRDefault="00DD60AA" w:rsidP="00DD60AA">
            <w:pPr>
              <w:jc w:val="center"/>
              <w:rPr>
                <w:b/>
                <w:bCs/>
                <w:sz w:val="20"/>
                <w:szCs w:val="20"/>
              </w:rPr>
            </w:pPr>
            <w:r w:rsidRPr="0004176C">
              <w:rPr>
                <w:b/>
                <w:bCs/>
                <w:sz w:val="20"/>
                <w:szCs w:val="20"/>
              </w:rPr>
              <w:t>Unit of Measurement</w:t>
            </w:r>
          </w:p>
        </w:tc>
        <w:tc>
          <w:tcPr>
            <w:tcW w:w="1714" w:type="dxa"/>
            <w:shd w:val="clear" w:color="auto" w:fill="D9D9D9" w:themeFill="background1" w:themeFillShade="D9"/>
          </w:tcPr>
          <w:p w14:paraId="488B33DF" w14:textId="77777777" w:rsidR="00DD60AA" w:rsidRPr="0004176C" w:rsidRDefault="00DD60AA" w:rsidP="00DD60AA">
            <w:pPr>
              <w:jc w:val="center"/>
              <w:rPr>
                <w:b/>
                <w:bCs/>
                <w:sz w:val="20"/>
                <w:szCs w:val="20"/>
              </w:rPr>
            </w:pPr>
            <w:r w:rsidRPr="0004176C">
              <w:rPr>
                <w:b/>
                <w:bCs/>
                <w:sz w:val="20"/>
                <w:szCs w:val="20"/>
              </w:rPr>
              <w:t>Baseline</w:t>
            </w:r>
          </w:p>
        </w:tc>
        <w:tc>
          <w:tcPr>
            <w:tcW w:w="1627" w:type="dxa"/>
            <w:shd w:val="clear" w:color="auto" w:fill="D9D9D9" w:themeFill="background1" w:themeFillShade="D9"/>
          </w:tcPr>
          <w:p w14:paraId="1F51CDE0" w14:textId="0B1AA72E" w:rsidR="00DD60AA" w:rsidRPr="0004176C" w:rsidRDefault="00DD60AA" w:rsidP="00DD60AA">
            <w:pPr>
              <w:jc w:val="center"/>
              <w:rPr>
                <w:b/>
                <w:bCs/>
                <w:sz w:val="20"/>
                <w:szCs w:val="20"/>
              </w:rPr>
            </w:pPr>
            <w:r w:rsidRPr="0004176C">
              <w:rPr>
                <w:b/>
                <w:bCs/>
                <w:sz w:val="20"/>
                <w:szCs w:val="20"/>
              </w:rPr>
              <w:t>Benchmark</w:t>
            </w:r>
            <w:r w:rsidR="003D4019" w:rsidRPr="0004176C">
              <w:rPr>
                <w:b/>
                <w:bCs/>
                <w:sz w:val="20"/>
                <w:szCs w:val="20"/>
              </w:rPr>
              <w:t>**</w:t>
            </w:r>
          </w:p>
        </w:tc>
        <w:tc>
          <w:tcPr>
            <w:tcW w:w="1354" w:type="dxa"/>
            <w:shd w:val="clear" w:color="auto" w:fill="D9D9D9" w:themeFill="background1" w:themeFillShade="D9"/>
          </w:tcPr>
          <w:p w14:paraId="2053D861" w14:textId="4ED66045" w:rsidR="00DD60AA" w:rsidRPr="0004176C" w:rsidRDefault="00DD60AA" w:rsidP="00DD60AA">
            <w:pPr>
              <w:jc w:val="center"/>
              <w:rPr>
                <w:b/>
                <w:bCs/>
                <w:sz w:val="20"/>
                <w:szCs w:val="20"/>
              </w:rPr>
            </w:pPr>
            <w:r w:rsidRPr="0004176C">
              <w:rPr>
                <w:b/>
                <w:bCs/>
                <w:sz w:val="20"/>
                <w:szCs w:val="20"/>
              </w:rPr>
              <w:t>Outcome</w:t>
            </w:r>
            <w:r w:rsidR="003D4019" w:rsidRPr="0004176C">
              <w:rPr>
                <w:b/>
                <w:bCs/>
                <w:sz w:val="20"/>
                <w:szCs w:val="20"/>
              </w:rPr>
              <w:t>**</w:t>
            </w:r>
          </w:p>
        </w:tc>
        <w:tc>
          <w:tcPr>
            <w:tcW w:w="1440" w:type="dxa"/>
            <w:shd w:val="clear" w:color="auto" w:fill="D9D9D9" w:themeFill="background1" w:themeFillShade="D9"/>
          </w:tcPr>
          <w:p w14:paraId="4BA0B816" w14:textId="77777777" w:rsidR="00DD60AA" w:rsidRPr="0004176C" w:rsidRDefault="00DD60AA" w:rsidP="00DD60AA">
            <w:pPr>
              <w:jc w:val="center"/>
              <w:rPr>
                <w:b/>
                <w:bCs/>
                <w:sz w:val="20"/>
                <w:szCs w:val="20"/>
              </w:rPr>
            </w:pPr>
            <w:r w:rsidRPr="0004176C">
              <w:rPr>
                <w:b/>
                <w:bCs/>
                <w:sz w:val="20"/>
                <w:szCs w:val="20"/>
              </w:rPr>
              <w:t>Benchmark Achieved?</w:t>
            </w:r>
          </w:p>
        </w:tc>
      </w:tr>
      <w:tr w:rsidR="00D76CE0" w:rsidRPr="0004176C" w14:paraId="72EF5EA2" w14:textId="77777777" w:rsidTr="00666672">
        <w:trPr>
          <w:trHeight w:val="755"/>
        </w:trPr>
        <w:tc>
          <w:tcPr>
            <w:tcW w:w="3240" w:type="dxa"/>
            <w:shd w:val="clear" w:color="auto" w:fill="auto"/>
          </w:tcPr>
          <w:p w14:paraId="265728A4" w14:textId="77777777" w:rsidR="00D76CE0" w:rsidRPr="0004176C" w:rsidRDefault="00D76CE0" w:rsidP="00D76CE0">
            <w:pPr>
              <w:rPr>
                <w:sz w:val="20"/>
                <w:szCs w:val="20"/>
              </w:rPr>
            </w:pPr>
            <w:r w:rsidRPr="0004176C">
              <w:rPr>
                <w:sz w:val="20"/>
                <w:szCs w:val="20"/>
              </w:rPr>
              <w:t>Average earned income of households affected by this policy in dollars (increase).</w:t>
            </w:r>
          </w:p>
        </w:tc>
        <w:tc>
          <w:tcPr>
            <w:tcW w:w="1714" w:type="dxa"/>
            <w:shd w:val="clear" w:color="auto" w:fill="auto"/>
          </w:tcPr>
          <w:p w14:paraId="78BED472" w14:textId="0565F6B2" w:rsidR="00D76CE0" w:rsidRPr="0004176C" w:rsidRDefault="00D76CE0" w:rsidP="00D748F5">
            <w:pPr>
              <w:jc w:val="center"/>
              <w:rPr>
                <w:sz w:val="20"/>
                <w:szCs w:val="20"/>
              </w:rPr>
            </w:pPr>
            <w:r w:rsidRPr="0004176C">
              <w:rPr>
                <w:sz w:val="20"/>
                <w:szCs w:val="20"/>
              </w:rPr>
              <w:t>$19,058</w:t>
            </w:r>
          </w:p>
        </w:tc>
        <w:tc>
          <w:tcPr>
            <w:tcW w:w="1627" w:type="dxa"/>
            <w:shd w:val="clear" w:color="auto" w:fill="auto"/>
          </w:tcPr>
          <w:p w14:paraId="4BE91472" w14:textId="77777777" w:rsidR="00D76CE0" w:rsidRPr="0004176C" w:rsidRDefault="00D76CE0" w:rsidP="00D748F5">
            <w:pPr>
              <w:jc w:val="center"/>
              <w:rPr>
                <w:sz w:val="20"/>
                <w:szCs w:val="20"/>
              </w:rPr>
            </w:pPr>
            <w:r w:rsidRPr="0004176C">
              <w:rPr>
                <w:sz w:val="20"/>
                <w:szCs w:val="20"/>
              </w:rPr>
              <w:t>$21,871</w:t>
            </w:r>
          </w:p>
        </w:tc>
        <w:tc>
          <w:tcPr>
            <w:tcW w:w="1354" w:type="dxa"/>
            <w:shd w:val="clear" w:color="auto" w:fill="auto"/>
          </w:tcPr>
          <w:p w14:paraId="01B08538" w14:textId="77777777" w:rsidR="00995B8D" w:rsidRPr="0004176C" w:rsidRDefault="00995B8D" w:rsidP="00D748F5">
            <w:pPr>
              <w:jc w:val="center"/>
              <w:rPr>
                <w:sz w:val="20"/>
                <w:szCs w:val="20"/>
              </w:rPr>
            </w:pPr>
          </w:p>
        </w:tc>
        <w:tc>
          <w:tcPr>
            <w:tcW w:w="1440" w:type="dxa"/>
            <w:shd w:val="clear" w:color="auto" w:fill="auto"/>
          </w:tcPr>
          <w:p w14:paraId="6BF36179" w14:textId="4C3BE748" w:rsidR="00D76CE0" w:rsidRPr="0004176C" w:rsidRDefault="00D76CE0" w:rsidP="00D748F5">
            <w:pPr>
              <w:jc w:val="center"/>
              <w:rPr>
                <w:sz w:val="20"/>
                <w:szCs w:val="20"/>
              </w:rPr>
            </w:pPr>
          </w:p>
        </w:tc>
      </w:tr>
      <w:tr w:rsidR="00D76CE0" w:rsidRPr="0004176C" w14:paraId="4E5B82EE" w14:textId="77777777" w:rsidTr="00666672">
        <w:trPr>
          <w:trHeight w:val="98"/>
        </w:trPr>
        <w:tc>
          <w:tcPr>
            <w:tcW w:w="1440" w:type="dxa"/>
            <w:gridSpan w:val="5"/>
            <w:shd w:val="clear" w:color="auto" w:fill="auto"/>
          </w:tcPr>
          <w:p w14:paraId="640E718C" w14:textId="279837D0" w:rsidR="007A2751" w:rsidRPr="0004176C" w:rsidRDefault="00626E12" w:rsidP="00D76CE0">
            <w:pPr>
              <w:rPr>
                <w:rFonts w:eastAsia="Calibri"/>
                <w:i/>
                <w:sz w:val="20"/>
                <w:szCs w:val="20"/>
              </w:rPr>
            </w:pPr>
            <w:r w:rsidRPr="0004176C">
              <w:rPr>
                <w:rFonts w:eastAsia="Calibri"/>
                <w:i/>
                <w:sz w:val="20"/>
                <w:szCs w:val="20"/>
              </w:rPr>
              <w:t>*The impact on earned income results from multi-year recertifications and rent simplification activities</w:t>
            </w:r>
            <w:r w:rsidR="00A20112" w:rsidRPr="0004176C">
              <w:rPr>
                <w:rFonts w:eastAsia="Calibri"/>
                <w:i/>
                <w:sz w:val="20"/>
                <w:szCs w:val="20"/>
              </w:rPr>
              <w:t>.</w:t>
            </w:r>
          </w:p>
          <w:p w14:paraId="07A1342E" w14:textId="4789154F" w:rsidR="007A2751" w:rsidRPr="0004176C" w:rsidRDefault="007A2751" w:rsidP="00D76CE0">
            <w:pPr>
              <w:rPr>
                <w:i/>
                <w:sz w:val="20"/>
                <w:szCs w:val="20"/>
              </w:rPr>
            </w:pPr>
            <w:r w:rsidRPr="0004176C">
              <w:rPr>
                <w:i/>
                <w:sz w:val="20"/>
                <w:szCs w:val="20"/>
              </w:rPr>
              <w:t>**Represents average earned income for workable households</w:t>
            </w:r>
            <w:r w:rsidR="00A20112" w:rsidRPr="0004176C">
              <w:rPr>
                <w:i/>
                <w:sz w:val="20"/>
                <w:szCs w:val="20"/>
              </w:rPr>
              <w:t>.</w:t>
            </w:r>
          </w:p>
        </w:tc>
      </w:tr>
      <w:tr w:rsidR="00D76CE0" w:rsidRPr="0004176C" w14:paraId="42E9B8B9" w14:textId="77777777" w:rsidTr="00666672">
        <w:trPr>
          <w:trHeight w:hRule="exact" w:val="317"/>
        </w:trPr>
        <w:tc>
          <w:tcPr>
            <w:tcW w:w="1440" w:type="dxa"/>
            <w:gridSpan w:val="5"/>
            <w:shd w:val="clear" w:color="auto" w:fill="C6D9F1" w:themeFill="text2" w:themeFillTint="33"/>
          </w:tcPr>
          <w:p w14:paraId="27BAC379" w14:textId="77777777" w:rsidR="00D76CE0" w:rsidRPr="0004176C" w:rsidRDefault="00D76CE0" w:rsidP="00D76CE0">
            <w:pPr>
              <w:jc w:val="center"/>
              <w:rPr>
                <w:rFonts w:eastAsia="Calibri"/>
                <w:sz w:val="20"/>
                <w:szCs w:val="20"/>
              </w:rPr>
            </w:pPr>
            <w:r w:rsidRPr="0004176C">
              <w:rPr>
                <w:b/>
                <w:bCs/>
                <w:i/>
                <w:iCs/>
                <w:sz w:val="20"/>
                <w:szCs w:val="20"/>
              </w:rPr>
              <w:t>SS #3: Increase in Positive Outcomes in Employment Status</w:t>
            </w:r>
          </w:p>
        </w:tc>
      </w:tr>
      <w:tr w:rsidR="00D76CE0" w:rsidRPr="0004176C" w14:paraId="73B5286A" w14:textId="77777777" w:rsidTr="00666672">
        <w:trPr>
          <w:trHeight w:hRule="exact" w:val="576"/>
        </w:trPr>
        <w:tc>
          <w:tcPr>
            <w:tcW w:w="3240" w:type="dxa"/>
            <w:shd w:val="clear" w:color="auto" w:fill="D9D9D9" w:themeFill="background1" w:themeFillShade="D9"/>
          </w:tcPr>
          <w:p w14:paraId="1B605ACA" w14:textId="77777777" w:rsidR="00D76CE0" w:rsidRPr="0004176C" w:rsidRDefault="00D76CE0" w:rsidP="00D76CE0">
            <w:pPr>
              <w:jc w:val="center"/>
              <w:rPr>
                <w:b/>
                <w:bCs/>
                <w:sz w:val="20"/>
                <w:szCs w:val="20"/>
              </w:rPr>
            </w:pPr>
            <w:r w:rsidRPr="0004176C">
              <w:rPr>
                <w:b/>
                <w:bCs/>
                <w:sz w:val="20"/>
                <w:szCs w:val="20"/>
              </w:rPr>
              <w:t>Unit of Measurement</w:t>
            </w:r>
          </w:p>
        </w:tc>
        <w:tc>
          <w:tcPr>
            <w:tcW w:w="1714" w:type="dxa"/>
            <w:shd w:val="clear" w:color="auto" w:fill="D9D9D9" w:themeFill="background1" w:themeFillShade="D9"/>
          </w:tcPr>
          <w:p w14:paraId="5A87B918" w14:textId="77777777" w:rsidR="00D76CE0" w:rsidRPr="0004176C" w:rsidRDefault="00D76CE0" w:rsidP="00D76CE0">
            <w:pPr>
              <w:jc w:val="center"/>
              <w:rPr>
                <w:b/>
                <w:bCs/>
                <w:sz w:val="20"/>
                <w:szCs w:val="20"/>
              </w:rPr>
            </w:pPr>
            <w:r w:rsidRPr="0004176C">
              <w:rPr>
                <w:b/>
                <w:bCs/>
                <w:sz w:val="20"/>
                <w:szCs w:val="20"/>
              </w:rPr>
              <w:t>Baseline</w:t>
            </w:r>
          </w:p>
        </w:tc>
        <w:tc>
          <w:tcPr>
            <w:tcW w:w="1627" w:type="dxa"/>
            <w:shd w:val="clear" w:color="auto" w:fill="D9D9D9" w:themeFill="background1" w:themeFillShade="D9"/>
          </w:tcPr>
          <w:p w14:paraId="23D4B306" w14:textId="77777777" w:rsidR="00D76CE0" w:rsidRPr="0004176C" w:rsidRDefault="00D76CE0" w:rsidP="00D76CE0">
            <w:pPr>
              <w:jc w:val="center"/>
              <w:rPr>
                <w:b/>
                <w:bCs/>
                <w:sz w:val="20"/>
                <w:szCs w:val="20"/>
              </w:rPr>
            </w:pPr>
            <w:r w:rsidRPr="0004176C">
              <w:rPr>
                <w:b/>
                <w:bCs/>
                <w:sz w:val="20"/>
                <w:szCs w:val="20"/>
              </w:rPr>
              <w:t>Benchmark</w:t>
            </w:r>
          </w:p>
        </w:tc>
        <w:tc>
          <w:tcPr>
            <w:tcW w:w="1354" w:type="dxa"/>
            <w:shd w:val="clear" w:color="auto" w:fill="D9D9D9" w:themeFill="background1" w:themeFillShade="D9"/>
          </w:tcPr>
          <w:p w14:paraId="31E4B6D6" w14:textId="77777777" w:rsidR="00D76CE0" w:rsidRPr="0004176C" w:rsidRDefault="00D76CE0" w:rsidP="00D76CE0">
            <w:pPr>
              <w:jc w:val="center"/>
              <w:rPr>
                <w:b/>
                <w:bCs/>
                <w:sz w:val="20"/>
                <w:szCs w:val="20"/>
              </w:rPr>
            </w:pPr>
            <w:r w:rsidRPr="0004176C">
              <w:rPr>
                <w:b/>
                <w:bCs/>
                <w:sz w:val="20"/>
                <w:szCs w:val="20"/>
              </w:rPr>
              <w:t>Outcome</w:t>
            </w:r>
          </w:p>
        </w:tc>
        <w:tc>
          <w:tcPr>
            <w:tcW w:w="1440" w:type="dxa"/>
            <w:shd w:val="clear" w:color="auto" w:fill="D9D9D9" w:themeFill="background1" w:themeFillShade="D9"/>
          </w:tcPr>
          <w:p w14:paraId="2E46F86D" w14:textId="77777777" w:rsidR="00D76CE0" w:rsidRPr="0004176C" w:rsidRDefault="00D76CE0" w:rsidP="00D76CE0">
            <w:pPr>
              <w:jc w:val="center"/>
              <w:rPr>
                <w:b/>
                <w:bCs/>
                <w:sz w:val="20"/>
                <w:szCs w:val="20"/>
              </w:rPr>
            </w:pPr>
            <w:r w:rsidRPr="0004176C">
              <w:rPr>
                <w:b/>
                <w:bCs/>
                <w:sz w:val="20"/>
                <w:szCs w:val="20"/>
              </w:rPr>
              <w:t>Benchmark Achieved?</w:t>
            </w:r>
          </w:p>
        </w:tc>
      </w:tr>
      <w:tr w:rsidR="00D76CE0" w:rsidRPr="0004176C" w14:paraId="1433423E" w14:textId="77777777" w:rsidTr="00666672">
        <w:trPr>
          <w:trHeight w:val="755"/>
        </w:trPr>
        <w:tc>
          <w:tcPr>
            <w:tcW w:w="3240" w:type="dxa"/>
            <w:vMerge w:val="restart"/>
            <w:shd w:val="clear" w:color="auto" w:fill="auto"/>
          </w:tcPr>
          <w:p w14:paraId="07DC5AE7" w14:textId="48189B0F" w:rsidR="00D76CE0" w:rsidRPr="0004176C" w:rsidRDefault="00D76CE0" w:rsidP="00D76CE0">
            <w:pPr>
              <w:rPr>
                <w:rFonts w:eastAsia="Calibri"/>
                <w:sz w:val="20"/>
                <w:szCs w:val="20"/>
              </w:rPr>
            </w:pPr>
            <w:r w:rsidRPr="0004176C">
              <w:rPr>
                <w:sz w:val="20"/>
                <w:szCs w:val="20"/>
              </w:rPr>
              <w:t xml:space="preserve"> </w:t>
            </w:r>
            <w:r w:rsidR="001E7A7F" w:rsidRPr="0004176C">
              <w:rPr>
                <w:rFonts w:eastAsia="Calibri"/>
                <w:sz w:val="20"/>
                <w:szCs w:val="20"/>
              </w:rPr>
              <w:t>Employed Part-Time or Full-Time</w:t>
            </w:r>
          </w:p>
        </w:tc>
        <w:tc>
          <w:tcPr>
            <w:tcW w:w="1714" w:type="dxa"/>
            <w:shd w:val="clear" w:color="auto" w:fill="auto"/>
          </w:tcPr>
          <w:p w14:paraId="2B981514" w14:textId="77777777" w:rsidR="00D76CE0" w:rsidRPr="0004176C" w:rsidRDefault="00D76CE0" w:rsidP="00D748F5">
            <w:pPr>
              <w:jc w:val="center"/>
              <w:rPr>
                <w:rFonts w:eastAsia="Calibri"/>
                <w:sz w:val="20"/>
                <w:szCs w:val="20"/>
              </w:rPr>
            </w:pPr>
            <w:r w:rsidRPr="0004176C">
              <w:rPr>
                <w:rFonts w:eastAsia="Calibri"/>
                <w:sz w:val="20"/>
                <w:szCs w:val="20"/>
              </w:rPr>
              <w:t>5,019 households in FY 2011</w:t>
            </w:r>
          </w:p>
        </w:tc>
        <w:tc>
          <w:tcPr>
            <w:tcW w:w="1627" w:type="dxa"/>
            <w:shd w:val="clear" w:color="auto" w:fill="auto"/>
          </w:tcPr>
          <w:p w14:paraId="046D6CD9" w14:textId="52A0AC27" w:rsidR="00D76CE0" w:rsidRPr="0004176C" w:rsidRDefault="00A42D8C" w:rsidP="00D748F5">
            <w:pPr>
              <w:jc w:val="center"/>
              <w:rPr>
                <w:rFonts w:eastAsia="Calibri"/>
                <w:sz w:val="20"/>
                <w:szCs w:val="20"/>
              </w:rPr>
            </w:pPr>
            <w:r w:rsidRPr="0004176C">
              <w:rPr>
                <w:rFonts w:eastAsia="Calibri"/>
                <w:sz w:val="20"/>
                <w:szCs w:val="20"/>
              </w:rPr>
              <w:t>3,868</w:t>
            </w:r>
            <w:r w:rsidR="00D76CE0" w:rsidRPr="0004176C">
              <w:rPr>
                <w:rFonts w:eastAsia="Calibri"/>
                <w:sz w:val="20"/>
                <w:szCs w:val="20"/>
              </w:rPr>
              <w:t xml:space="preserve"> households</w:t>
            </w:r>
          </w:p>
        </w:tc>
        <w:tc>
          <w:tcPr>
            <w:tcW w:w="1354" w:type="dxa"/>
            <w:shd w:val="clear" w:color="auto" w:fill="auto"/>
          </w:tcPr>
          <w:p w14:paraId="74F5665E" w14:textId="20678517" w:rsidR="00D76CE0" w:rsidRPr="0004176C" w:rsidRDefault="00D76CE0" w:rsidP="00D748F5">
            <w:pPr>
              <w:jc w:val="center"/>
              <w:rPr>
                <w:rFonts w:eastAsia="Calibri"/>
                <w:b/>
                <w:sz w:val="20"/>
                <w:szCs w:val="20"/>
              </w:rPr>
            </w:pPr>
          </w:p>
        </w:tc>
        <w:tc>
          <w:tcPr>
            <w:tcW w:w="1440" w:type="dxa"/>
            <w:shd w:val="clear" w:color="auto" w:fill="auto"/>
          </w:tcPr>
          <w:p w14:paraId="0565246E" w14:textId="0575D94D" w:rsidR="00D76CE0" w:rsidRPr="0004176C" w:rsidRDefault="00D76CE0" w:rsidP="00D748F5">
            <w:pPr>
              <w:jc w:val="center"/>
              <w:rPr>
                <w:rFonts w:eastAsia="Calibri"/>
                <w:sz w:val="20"/>
                <w:szCs w:val="20"/>
              </w:rPr>
            </w:pPr>
          </w:p>
        </w:tc>
      </w:tr>
      <w:tr w:rsidR="00D76CE0" w:rsidRPr="0004176C" w14:paraId="63839BDC" w14:textId="77777777" w:rsidTr="00666672">
        <w:trPr>
          <w:trHeight w:val="611"/>
        </w:trPr>
        <w:tc>
          <w:tcPr>
            <w:tcW w:w="3240" w:type="dxa"/>
            <w:vMerge/>
            <w:shd w:val="clear" w:color="auto" w:fill="auto"/>
          </w:tcPr>
          <w:p w14:paraId="0D80F36F" w14:textId="77777777" w:rsidR="00D76CE0" w:rsidRPr="0004176C" w:rsidRDefault="00D76CE0" w:rsidP="00D76CE0">
            <w:pPr>
              <w:rPr>
                <w:sz w:val="20"/>
                <w:szCs w:val="20"/>
              </w:rPr>
            </w:pPr>
          </w:p>
        </w:tc>
        <w:tc>
          <w:tcPr>
            <w:tcW w:w="1714" w:type="dxa"/>
            <w:shd w:val="clear" w:color="auto" w:fill="auto"/>
          </w:tcPr>
          <w:p w14:paraId="27079190" w14:textId="77777777" w:rsidR="00D76CE0" w:rsidRPr="0004176C" w:rsidRDefault="00D76CE0" w:rsidP="00D748F5">
            <w:pPr>
              <w:jc w:val="center"/>
              <w:rPr>
                <w:rFonts w:eastAsia="Calibri"/>
                <w:sz w:val="20"/>
                <w:szCs w:val="20"/>
              </w:rPr>
            </w:pPr>
            <w:r w:rsidRPr="0004176C">
              <w:rPr>
                <w:rFonts w:eastAsia="Calibri"/>
                <w:sz w:val="20"/>
                <w:szCs w:val="20"/>
              </w:rPr>
              <w:t>54% of work-able households</w:t>
            </w:r>
          </w:p>
        </w:tc>
        <w:tc>
          <w:tcPr>
            <w:tcW w:w="1627" w:type="dxa"/>
            <w:shd w:val="clear" w:color="auto" w:fill="auto"/>
          </w:tcPr>
          <w:p w14:paraId="6868098B" w14:textId="2C583967" w:rsidR="00D76CE0" w:rsidRPr="0004176C" w:rsidRDefault="00A42D8C" w:rsidP="00D748F5">
            <w:pPr>
              <w:jc w:val="center"/>
              <w:rPr>
                <w:rFonts w:eastAsia="Calibri"/>
                <w:sz w:val="20"/>
                <w:szCs w:val="20"/>
              </w:rPr>
            </w:pPr>
            <w:r w:rsidRPr="0004176C">
              <w:rPr>
                <w:rFonts w:eastAsia="Calibri"/>
                <w:sz w:val="20"/>
                <w:szCs w:val="20"/>
              </w:rPr>
              <w:t>4</w:t>
            </w:r>
            <w:r w:rsidR="00520689" w:rsidRPr="0004176C">
              <w:rPr>
                <w:rFonts w:eastAsia="Calibri"/>
                <w:sz w:val="20"/>
                <w:szCs w:val="20"/>
              </w:rPr>
              <w:t>0</w:t>
            </w:r>
            <w:r w:rsidR="00D76CE0" w:rsidRPr="0004176C">
              <w:rPr>
                <w:rFonts w:eastAsia="Calibri"/>
                <w:sz w:val="20"/>
                <w:szCs w:val="20"/>
              </w:rPr>
              <w:t>% of work-able households</w:t>
            </w:r>
          </w:p>
        </w:tc>
        <w:tc>
          <w:tcPr>
            <w:tcW w:w="1354" w:type="dxa"/>
            <w:shd w:val="clear" w:color="auto" w:fill="auto"/>
          </w:tcPr>
          <w:p w14:paraId="7A42F73A" w14:textId="5F4CFF52" w:rsidR="00D76CE0" w:rsidRPr="0004176C" w:rsidRDefault="00D76CE0" w:rsidP="00D748F5">
            <w:pPr>
              <w:jc w:val="center"/>
              <w:rPr>
                <w:rFonts w:eastAsia="Calibri"/>
                <w:b/>
                <w:sz w:val="20"/>
                <w:szCs w:val="20"/>
              </w:rPr>
            </w:pPr>
          </w:p>
        </w:tc>
        <w:tc>
          <w:tcPr>
            <w:tcW w:w="1440" w:type="dxa"/>
            <w:shd w:val="clear" w:color="auto" w:fill="auto"/>
          </w:tcPr>
          <w:p w14:paraId="76137530" w14:textId="731C9527" w:rsidR="00D76CE0" w:rsidRPr="0004176C" w:rsidRDefault="00D76CE0" w:rsidP="00D748F5">
            <w:pPr>
              <w:jc w:val="center"/>
              <w:rPr>
                <w:rFonts w:eastAsia="Calibri"/>
                <w:sz w:val="20"/>
                <w:szCs w:val="20"/>
              </w:rPr>
            </w:pPr>
          </w:p>
        </w:tc>
      </w:tr>
      <w:tr w:rsidR="00D76CE0" w:rsidRPr="0004176C" w14:paraId="3BE004C0" w14:textId="77777777" w:rsidTr="00666672">
        <w:trPr>
          <w:trHeight w:hRule="exact" w:val="317"/>
        </w:trPr>
        <w:tc>
          <w:tcPr>
            <w:tcW w:w="1440" w:type="dxa"/>
            <w:gridSpan w:val="5"/>
            <w:shd w:val="clear" w:color="auto" w:fill="C6D9F1" w:themeFill="text2" w:themeFillTint="33"/>
          </w:tcPr>
          <w:p w14:paraId="4AFF36A4" w14:textId="77777777" w:rsidR="00D76CE0" w:rsidRPr="0004176C" w:rsidRDefault="00D76CE0" w:rsidP="00D76CE0">
            <w:pPr>
              <w:jc w:val="center"/>
              <w:rPr>
                <w:rFonts w:eastAsia="Calibri"/>
                <w:sz w:val="20"/>
                <w:szCs w:val="20"/>
              </w:rPr>
            </w:pPr>
            <w:r w:rsidRPr="0004176C">
              <w:rPr>
                <w:b/>
                <w:bCs/>
                <w:i/>
                <w:iCs/>
                <w:sz w:val="20"/>
                <w:szCs w:val="20"/>
              </w:rPr>
              <w:t>SS #4: Households Removed from Temporary Assistance for Needy Families (TANF)</w:t>
            </w:r>
          </w:p>
        </w:tc>
      </w:tr>
      <w:tr w:rsidR="00D76CE0" w:rsidRPr="0004176C" w14:paraId="765B47F2" w14:textId="77777777" w:rsidTr="00666672">
        <w:trPr>
          <w:trHeight w:hRule="exact" w:val="576"/>
        </w:trPr>
        <w:tc>
          <w:tcPr>
            <w:tcW w:w="3240" w:type="dxa"/>
            <w:shd w:val="clear" w:color="auto" w:fill="D9D9D9" w:themeFill="background1" w:themeFillShade="D9"/>
          </w:tcPr>
          <w:p w14:paraId="1C23050E" w14:textId="77777777" w:rsidR="00D76CE0" w:rsidRPr="0004176C" w:rsidRDefault="00D76CE0" w:rsidP="00D76CE0">
            <w:pPr>
              <w:jc w:val="center"/>
              <w:rPr>
                <w:sz w:val="20"/>
                <w:szCs w:val="20"/>
              </w:rPr>
            </w:pPr>
            <w:r w:rsidRPr="0004176C">
              <w:rPr>
                <w:b/>
                <w:bCs/>
                <w:sz w:val="20"/>
                <w:szCs w:val="20"/>
              </w:rPr>
              <w:t>Unit of Measurement</w:t>
            </w:r>
          </w:p>
        </w:tc>
        <w:tc>
          <w:tcPr>
            <w:tcW w:w="1714" w:type="dxa"/>
            <w:shd w:val="clear" w:color="auto" w:fill="D9D9D9" w:themeFill="background1" w:themeFillShade="D9"/>
          </w:tcPr>
          <w:p w14:paraId="0685B29F" w14:textId="77777777" w:rsidR="00D76CE0" w:rsidRPr="0004176C" w:rsidRDefault="00D76CE0" w:rsidP="00D76CE0">
            <w:pPr>
              <w:jc w:val="center"/>
              <w:rPr>
                <w:rFonts w:eastAsia="Calibri"/>
                <w:sz w:val="20"/>
                <w:szCs w:val="20"/>
              </w:rPr>
            </w:pPr>
            <w:r w:rsidRPr="0004176C">
              <w:rPr>
                <w:b/>
                <w:bCs/>
                <w:sz w:val="20"/>
                <w:szCs w:val="20"/>
              </w:rPr>
              <w:t>Baseline</w:t>
            </w:r>
          </w:p>
        </w:tc>
        <w:tc>
          <w:tcPr>
            <w:tcW w:w="1627" w:type="dxa"/>
            <w:shd w:val="clear" w:color="auto" w:fill="D9D9D9" w:themeFill="background1" w:themeFillShade="D9"/>
          </w:tcPr>
          <w:p w14:paraId="52222AA5" w14:textId="77777777" w:rsidR="00D76CE0" w:rsidRPr="0004176C" w:rsidRDefault="00D76CE0" w:rsidP="00D76CE0">
            <w:pPr>
              <w:jc w:val="center"/>
              <w:rPr>
                <w:rFonts w:eastAsia="Calibri"/>
                <w:sz w:val="20"/>
                <w:szCs w:val="20"/>
              </w:rPr>
            </w:pPr>
            <w:r w:rsidRPr="0004176C">
              <w:rPr>
                <w:b/>
                <w:bCs/>
                <w:sz w:val="20"/>
                <w:szCs w:val="20"/>
              </w:rPr>
              <w:t>Benchmark</w:t>
            </w:r>
          </w:p>
        </w:tc>
        <w:tc>
          <w:tcPr>
            <w:tcW w:w="1354" w:type="dxa"/>
            <w:shd w:val="clear" w:color="auto" w:fill="D9D9D9" w:themeFill="background1" w:themeFillShade="D9"/>
          </w:tcPr>
          <w:p w14:paraId="03CACE37" w14:textId="77777777" w:rsidR="00D76CE0" w:rsidRPr="0004176C" w:rsidRDefault="00D76CE0" w:rsidP="00D76CE0">
            <w:pPr>
              <w:jc w:val="center"/>
              <w:rPr>
                <w:rFonts w:eastAsia="Calibri"/>
                <w:b/>
                <w:sz w:val="20"/>
                <w:szCs w:val="20"/>
              </w:rPr>
            </w:pPr>
            <w:r w:rsidRPr="0004176C">
              <w:rPr>
                <w:b/>
                <w:bCs/>
                <w:sz w:val="20"/>
                <w:szCs w:val="20"/>
              </w:rPr>
              <w:t>Outcome</w:t>
            </w:r>
          </w:p>
        </w:tc>
        <w:tc>
          <w:tcPr>
            <w:tcW w:w="1440" w:type="dxa"/>
            <w:shd w:val="clear" w:color="auto" w:fill="D9D9D9" w:themeFill="background1" w:themeFillShade="D9"/>
          </w:tcPr>
          <w:p w14:paraId="1655D865" w14:textId="77777777" w:rsidR="00D76CE0" w:rsidRPr="0004176C" w:rsidRDefault="00D76CE0" w:rsidP="00D76CE0">
            <w:pPr>
              <w:jc w:val="center"/>
              <w:rPr>
                <w:rFonts w:eastAsia="Calibri"/>
                <w:sz w:val="20"/>
                <w:szCs w:val="20"/>
              </w:rPr>
            </w:pPr>
            <w:r w:rsidRPr="0004176C">
              <w:rPr>
                <w:b/>
                <w:bCs/>
                <w:sz w:val="20"/>
                <w:szCs w:val="20"/>
              </w:rPr>
              <w:t>Benchmark Achieved?</w:t>
            </w:r>
          </w:p>
        </w:tc>
      </w:tr>
      <w:tr w:rsidR="00D76CE0" w:rsidRPr="0004176C" w14:paraId="697E24FE" w14:textId="77777777" w:rsidTr="00666672">
        <w:trPr>
          <w:trHeight w:val="539"/>
        </w:trPr>
        <w:tc>
          <w:tcPr>
            <w:tcW w:w="3240" w:type="dxa"/>
            <w:shd w:val="clear" w:color="auto" w:fill="auto"/>
          </w:tcPr>
          <w:p w14:paraId="26E40407" w14:textId="77777777" w:rsidR="00D76CE0" w:rsidRPr="0004176C" w:rsidRDefault="00D76CE0" w:rsidP="00D76CE0">
            <w:pPr>
              <w:rPr>
                <w:sz w:val="20"/>
                <w:szCs w:val="20"/>
              </w:rPr>
            </w:pPr>
            <w:r w:rsidRPr="0004176C">
              <w:rPr>
                <w:sz w:val="20"/>
                <w:szCs w:val="20"/>
              </w:rPr>
              <w:t>Number of households receiving TANF assistance (decrease).</w:t>
            </w:r>
          </w:p>
        </w:tc>
        <w:tc>
          <w:tcPr>
            <w:tcW w:w="1714" w:type="dxa"/>
            <w:shd w:val="clear" w:color="auto" w:fill="auto"/>
          </w:tcPr>
          <w:p w14:paraId="147B56CA" w14:textId="77777777" w:rsidR="00D76CE0" w:rsidRPr="0004176C" w:rsidRDefault="00D76CE0" w:rsidP="00D748F5">
            <w:pPr>
              <w:jc w:val="center"/>
              <w:rPr>
                <w:rFonts w:eastAsia="Calibri"/>
                <w:sz w:val="20"/>
                <w:szCs w:val="20"/>
              </w:rPr>
            </w:pPr>
            <w:r w:rsidRPr="0004176C">
              <w:rPr>
                <w:rFonts w:eastAsia="Calibri"/>
                <w:sz w:val="20"/>
                <w:szCs w:val="20"/>
              </w:rPr>
              <w:t>2,920 households in FY 2011</w:t>
            </w:r>
          </w:p>
        </w:tc>
        <w:tc>
          <w:tcPr>
            <w:tcW w:w="1627" w:type="dxa"/>
            <w:shd w:val="clear" w:color="auto" w:fill="auto"/>
          </w:tcPr>
          <w:p w14:paraId="5ABD397B" w14:textId="4215B8E5" w:rsidR="00D76CE0" w:rsidRPr="0004176C" w:rsidRDefault="00520689" w:rsidP="00D748F5">
            <w:pPr>
              <w:jc w:val="center"/>
              <w:rPr>
                <w:rFonts w:eastAsia="Calibri"/>
                <w:sz w:val="20"/>
                <w:szCs w:val="20"/>
              </w:rPr>
            </w:pPr>
            <w:r w:rsidRPr="0004176C">
              <w:rPr>
                <w:rFonts w:eastAsia="Calibri"/>
                <w:sz w:val="20"/>
                <w:szCs w:val="20"/>
              </w:rPr>
              <w:t>2,150</w:t>
            </w:r>
            <w:r w:rsidR="00D76CE0" w:rsidRPr="0004176C">
              <w:rPr>
                <w:rFonts w:eastAsia="Calibri"/>
                <w:sz w:val="20"/>
                <w:szCs w:val="20"/>
              </w:rPr>
              <w:t xml:space="preserve"> households</w:t>
            </w:r>
          </w:p>
        </w:tc>
        <w:tc>
          <w:tcPr>
            <w:tcW w:w="1354" w:type="dxa"/>
            <w:shd w:val="clear" w:color="auto" w:fill="auto"/>
          </w:tcPr>
          <w:p w14:paraId="28530312" w14:textId="4D4B1C20" w:rsidR="00D76CE0" w:rsidRPr="0004176C" w:rsidRDefault="00D76CE0" w:rsidP="00D748F5">
            <w:pPr>
              <w:jc w:val="center"/>
              <w:rPr>
                <w:rFonts w:eastAsia="Calibri"/>
                <w:b/>
                <w:sz w:val="20"/>
                <w:szCs w:val="20"/>
              </w:rPr>
            </w:pPr>
          </w:p>
        </w:tc>
        <w:tc>
          <w:tcPr>
            <w:tcW w:w="1440" w:type="dxa"/>
            <w:shd w:val="clear" w:color="auto" w:fill="auto"/>
          </w:tcPr>
          <w:p w14:paraId="13A985C9" w14:textId="3651F53A" w:rsidR="00D76CE0" w:rsidRPr="0004176C" w:rsidRDefault="00D76CE0" w:rsidP="00D748F5">
            <w:pPr>
              <w:jc w:val="center"/>
              <w:rPr>
                <w:rFonts w:eastAsia="Calibri"/>
                <w:sz w:val="20"/>
                <w:szCs w:val="20"/>
              </w:rPr>
            </w:pPr>
          </w:p>
        </w:tc>
      </w:tr>
      <w:tr w:rsidR="00D76CE0" w:rsidRPr="0004176C" w14:paraId="5E547467" w14:textId="77777777" w:rsidTr="00666672">
        <w:trPr>
          <w:trHeight w:hRule="exact" w:val="317"/>
        </w:trPr>
        <w:tc>
          <w:tcPr>
            <w:tcW w:w="1440" w:type="dxa"/>
            <w:gridSpan w:val="5"/>
            <w:shd w:val="clear" w:color="auto" w:fill="C6D9F1" w:themeFill="text2" w:themeFillTint="33"/>
          </w:tcPr>
          <w:p w14:paraId="275E0E39" w14:textId="77777777" w:rsidR="00D76CE0" w:rsidRPr="0004176C" w:rsidRDefault="00D76CE0" w:rsidP="00D76CE0">
            <w:pPr>
              <w:jc w:val="center"/>
              <w:rPr>
                <w:rFonts w:eastAsia="Calibri"/>
                <w:sz w:val="20"/>
                <w:szCs w:val="20"/>
              </w:rPr>
            </w:pPr>
            <w:r w:rsidRPr="0004176C">
              <w:rPr>
                <w:b/>
                <w:bCs/>
                <w:i/>
                <w:iCs/>
                <w:sz w:val="20"/>
                <w:szCs w:val="20"/>
              </w:rPr>
              <w:t>SS #8: Households Transitioned to Self Sufficiency</w:t>
            </w:r>
          </w:p>
        </w:tc>
      </w:tr>
      <w:tr w:rsidR="00D76CE0" w:rsidRPr="0004176C" w14:paraId="53BB3340" w14:textId="77777777" w:rsidTr="00666672">
        <w:trPr>
          <w:trHeight w:hRule="exact" w:val="576"/>
        </w:trPr>
        <w:tc>
          <w:tcPr>
            <w:tcW w:w="3240" w:type="dxa"/>
            <w:shd w:val="clear" w:color="auto" w:fill="D9D9D9" w:themeFill="background1" w:themeFillShade="D9"/>
          </w:tcPr>
          <w:p w14:paraId="69026922" w14:textId="77777777" w:rsidR="00D76CE0" w:rsidRPr="0004176C" w:rsidRDefault="00D76CE0" w:rsidP="00D76CE0">
            <w:pPr>
              <w:jc w:val="center"/>
              <w:rPr>
                <w:sz w:val="20"/>
                <w:szCs w:val="20"/>
              </w:rPr>
            </w:pPr>
            <w:r w:rsidRPr="0004176C">
              <w:rPr>
                <w:b/>
                <w:bCs/>
                <w:sz w:val="20"/>
                <w:szCs w:val="20"/>
              </w:rPr>
              <w:t>Unit of Measurement</w:t>
            </w:r>
          </w:p>
        </w:tc>
        <w:tc>
          <w:tcPr>
            <w:tcW w:w="1714" w:type="dxa"/>
            <w:shd w:val="clear" w:color="auto" w:fill="D9D9D9" w:themeFill="background1" w:themeFillShade="D9"/>
          </w:tcPr>
          <w:p w14:paraId="1C8835C4" w14:textId="77777777" w:rsidR="00D76CE0" w:rsidRPr="0004176C" w:rsidRDefault="00D76CE0" w:rsidP="00D76CE0">
            <w:pPr>
              <w:jc w:val="center"/>
              <w:rPr>
                <w:rFonts w:eastAsia="Calibri"/>
                <w:sz w:val="20"/>
                <w:szCs w:val="20"/>
              </w:rPr>
            </w:pPr>
            <w:r w:rsidRPr="0004176C">
              <w:rPr>
                <w:b/>
                <w:bCs/>
                <w:sz w:val="20"/>
                <w:szCs w:val="20"/>
              </w:rPr>
              <w:t>Baseline</w:t>
            </w:r>
          </w:p>
        </w:tc>
        <w:tc>
          <w:tcPr>
            <w:tcW w:w="1627" w:type="dxa"/>
            <w:shd w:val="clear" w:color="auto" w:fill="D9D9D9" w:themeFill="background1" w:themeFillShade="D9"/>
          </w:tcPr>
          <w:p w14:paraId="30834FB5" w14:textId="77777777" w:rsidR="00D76CE0" w:rsidRPr="0004176C" w:rsidRDefault="00D76CE0" w:rsidP="00D76CE0">
            <w:pPr>
              <w:jc w:val="center"/>
              <w:rPr>
                <w:rFonts w:eastAsia="Calibri"/>
                <w:sz w:val="20"/>
                <w:szCs w:val="20"/>
              </w:rPr>
            </w:pPr>
            <w:r w:rsidRPr="0004176C">
              <w:rPr>
                <w:b/>
                <w:bCs/>
                <w:sz w:val="20"/>
                <w:szCs w:val="20"/>
              </w:rPr>
              <w:t>Benchmark</w:t>
            </w:r>
          </w:p>
        </w:tc>
        <w:tc>
          <w:tcPr>
            <w:tcW w:w="1354" w:type="dxa"/>
            <w:shd w:val="clear" w:color="auto" w:fill="D9D9D9" w:themeFill="background1" w:themeFillShade="D9"/>
          </w:tcPr>
          <w:p w14:paraId="3895B2BD" w14:textId="77777777" w:rsidR="00D76CE0" w:rsidRPr="0004176C" w:rsidRDefault="00D76CE0" w:rsidP="00D76CE0">
            <w:pPr>
              <w:jc w:val="center"/>
              <w:rPr>
                <w:rFonts w:eastAsia="Calibri"/>
                <w:b/>
                <w:sz w:val="20"/>
                <w:szCs w:val="20"/>
              </w:rPr>
            </w:pPr>
            <w:r w:rsidRPr="0004176C">
              <w:rPr>
                <w:b/>
                <w:bCs/>
                <w:sz w:val="20"/>
                <w:szCs w:val="20"/>
              </w:rPr>
              <w:t>Outcome</w:t>
            </w:r>
          </w:p>
        </w:tc>
        <w:tc>
          <w:tcPr>
            <w:tcW w:w="1440" w:type="dxa"/>
            <w:shd w:val="clear" w:color="auto" w:fill="D9D9D9" w:themeFill="background1" w:themeFillShade="D9"/>
          </w:tcPr>
          <w:p w14:paraId="61F6CA49" w14:textId="77777777" w:rsidR="00D76CE0" w:rsidRPr="0004176C" w:rsidRDefault="00D76CE0" w:rsidP="00D76CE0">
            <w:pPr>
              <w:jc w:val="center"/>
              <w:rPr>
                <w:rFonts w:eastAsia="Calibri"/>
                <w:sz w:val="20"/>
                <w:szCs w:val="20"/>
              </w:rPr>
            </w:pPr>
            <w:r w:rsidRPr="0004176C">
              <w:rPr>
                <w:b/>
                <w:bCs/>
                <w:sz w:val="20"/>
                <w:szCs w:val="20"/>
              </w:rPr>
              <w:t>Benchmark Achieved?</w:t>
            </w:r>
          </w:p>
        </w:tc>
      </w:tr>
      <w:tr w:rsidR="00D76CE0" w:rsidRPr="0004176C" w14:paraId="04662B72" w14:textId="77777777" w:rsidTr="00666672">
        <w:trPr>
          <w:trHeight w:val="530"/>
        </w:trPr>
        <w:tc>
          <w:tcPr>
            <w:tcW w:w="3240" w:type="dxa"/>
            <w:shd w:val="clear" w:color="auto" w:fill="auto"/>
          </w:tcPr>
          <w:p w14:paraId="4FAA0B32" w14:textId="77777777" w:rsidR="00D76CE0" w:rsidRPr="0004176C" w:rsidRDefault="00D76CE0" w:rsidP="00D76CE0">
            <w:pPr>
              <w:rPr>
                <w:sz w:val="20"/>
                <w:szCs w:val="20"/>
              </w:rPr>
            </w:pPr>
            <w:r w:rsidRPr="0004176C">
              <w:rPr>
                <w:sz w:val="20"/>
                <w:szCs w:val="20"/>
              </w:rPr>
              <w:t>Number of households transitioned to self-sufficiency (increase).</w:t>
            </w:r>
          </w:p>
        </w:tc>
        <w:tc>
          <w:tcPr>
            <w:tcW w:w="1714" w:type="dxa"/>
            <w:shd w:val="clear" w:color="auto" w:fill="auto"/>
          </w:tcPr>
          <w:p w14:paraId="497C5B0D" w14:textId="77777777" w:rsidR="00D76CE0" w:rsidRPr="0004176C" w:rsidRDefault="00D76CE0" w:rsidP="00D748F5">
            <w:pPr>
              <w:jc w:val="center"/>
              <w:rPr>
                <w:rFonts w:eastAsia="Calibri"/>
                <w:sz w:val="20"/>
                <w:szCs w:val="20"/>
              </w:rPr>
            </w:pPr>
            <w:r w:rsidRPr="0004176C">
              <w:rPr>
                <w:rFonts w:eastAsia="Calibri"/>
                <w:sz w:val="20"/>
                <w:szCs w:val="20"/>
              </w:rPr>
              <w:t>0 households</w:t>
            </w:r>
          </w:p>
        </w:tc>
        <w:tc>
          <w:tcPr>
            <w:tcW w:w="1627" w:type="dxa"/>
            <w:shd w:val="clear" w:color="auto" w:fill="auto"/>
          </w:tcPr>
          <w:p w14:paraId="42BDCC0D" w14:textId="54075378" w:rsidR="00D76CE0" w:rsidRPr="0004176C" w:rsidRDefault="00626E12" w:rsidP="00D748F5">
            <w:pPr>
              <w:jc w:val="center"/>
              <w:rPr>
                <w:rFonts w:eastAsia="Calibri"/>
                <w:sz w:val="20"/>
                <w:szCs w:val="20"/>
              </w:rPr>
            </w:pPr>
            <w:r w:rsidRPr="0004176C">
              <w:rPr>
                <w:rFonts w:eastAsia="Calibri"/>
                <w:sz w:val="20"/>
                <w:szCs w:val="20"/>
              </w:rPr>
              <w:t>25</w:t>
            </w:r>
            <w:r w:rsidR="003D4019" w:rsidRPr="0004176C">
              <w:rPr>
                <w:rFonts w:eastAsia="Calibri"/>
                <w:sz w:val="20"/>
                <w:szCs w:val="20"/>
              </w:rPr>
              <w:t xml:space="preserve"> households*</w:t>
            </w:r>
          </w:p>
        </w:tc>
        <w:tc>
          <w:tcPr>
            <w:tcW w:w="1354" w:type="dxa"/>
            <w:shd w:val="clear" w:color="auto" w:fill="auto"/>
          </w:tcPr>
          <w:p w14:paraId="0649EFC2" w14:textId="71F58396" w:rsidR="00D76CE0" w:rsidRPr="0004176C" w:rsidRDefault="00D76CE0" w:rsidP="00D748F5">
            <w:pPr>
              <w:jc w:val="center"/>
              <w:rPr>
                <w:rFonts w:eastAsia="Calibri"/>
                <w:b/>
                <w:sz w:val="20"/>
                <w:szCs w:val="20"/>
              </w:rPr>
            </w:pPr>
          </w:p>
        </w:tc>
        <w:tc>
          <w:tcPr>
            <w:tcW w:w="1440" w:type="dxa"/>
            <w:shd w:val="clear" w:color="auto" w:fill="auto"/>
          </w:tcPr>
          <w:p w14:paraId="5D7FA191" w14:textId="743F12D5" w:rsidR="00D76CE0" w:rsidRPr="0004176C" w:rsidRDefault="00D76CE0" w:rsidP="00D748F5">
            <w:pPr>
              <w:jc w:val="center"/>
              <w:rPr>
                <w:rFonts w:eastAsia="Calibri"/>
                <w:sz w:val="20"/>
                <w:szCs w:val="20"/>
              </w:rPr>
            </w:pPr>
          </w:p>
        </w:tc>
      </w:tr>
      <w:tr w:rsidR="00D76CE0" w:rsidRPr="0004176C" w14:paraId="558DDFAF" w14:textId="77777777" w:rsidTr="00666672">
        <w:trPr>
          <w:trHeight w:val="233"/>
        </w:trPr>
        <w:tc>
          <w:tcPr>
            <w:tcW w:w="1440" w:type="dxa"/>
            <w:gridSpan w:val="5"/>
            <w:shd w:val="clear" w:color="auto" w:fill="auto"/>
          </w:tcPr>
          <w:p w14:paraId="5E9D59E0" w14:textId="64A9F5F4" w:rsidR="00D76CE0" w:rsidRPr="0004176C" w:rsidRDefault="00A20112" w:rsidP="00D76CE0">
            <w:pPr>
              <w:rPr>
                <w:rFonts w:eastAsia="Calibri"/>
                <w:i/>
                <w:sz w:val="20"/>
                <w:szCs w:val="20"/>
              </w:rPr>
            </w:pPr>
            <w:r w:rsidRPr="0004176C">
              <w:rPr>
                <w:rFonts w:eastAsia="Calibri"/>
                <w:i/>
                <w:sz w:val="20"/>
                <w:szCs w:val="20"/>
              </w:rPr>
              <w:t>*Households that</w:t>
            </w:r>
            <w:r w:rsidR="00D76CE0" w:rsidRPr="0004176C">
              <w:rPr>
                <w:rFonts w:eastAsia="Calibri"/>
                <w:i/>
                <w:sz w:val="20"/>
                <w:szCs w:val="20"/>
              </w:rPr>
              <w:t xml:space="preserve"> were EOP</w:t>
            </w:r>
            <w:r w:rsidR="00990F72" w:rsidRPr="0004176C">
              <w:rPr>
                <w:rFonts w:eastAsia="Calibri"/>
                <w:i/>
                <w:sz w:val="20"/>
                <w:szCs w:val="20"/>
              </w:rPr>
              <w:t>’</w:t>
            </w:r>
            <w:r w:rsidR="00D76CE0" w:rsidRPr="0004176C">
              <w:rPr>
                <w:rFonts w:eastAsia="Calibri"/>
                <w:i/>
                <w:sz w:val="20"/>
                <w:szCs w:val="20"/>
              </w:rPr>
              <w:t>d at zero HAP.</w:t>
            </w:r>
          </w:p>
        </w:tc>
      </w:tr>
    </w:tbl>
    <w:p w14:paraId="1097CD24" w14:textId="77777777" w:rsidR="00CA2CB8" w:rsidRPr="0004176C" w:rsidRDefault="00CA2CB8"/>
    <w:p w14:paraId="18D267E3" w14:textId="77777777" w:rsidR="006E4C64" w:rsidRPr="0004176C" w:rsidRDefault="006E4C64" w:rsidP="006E4C64">
      <w:pPr>
        <w:jc w:val="both"/>
        <w:rPr>
          <w:b/>
          <w:color w:val="000000"/>
          <w:sz w:val="22"/>
          <w:szCs w:val="22"/>
        </w:rPr>
      </w:pPr>
      <w:r w:rsidRPr="0004176C">
        <w:rPr>
          <w:b/>
          <w:color w:val="000000"/>
          <w:sz w:val="22"/>
          <w:szCs w:val="22"/>
        </w:rPr>
        <w:t>Planned Significant Changes</w:t>
      </w:r>
    </w:p>
    <w:p w14:paraId="5AE83D50" w14:textId="77777777" w:rsidR="006E4C64" w:rsidRPr="0004176C" w:rsidRDefault="006E4C64" w:rsidP="006E4C64">
      <w:pPr>
        <w:jc w:val="both"/>
        <w:rPr>
          <w:color w:val="000000" w:themeColor="text1"/>
          <w:sz w:val="22"/>
          <w:szCs w:val="22"/>
        </w:rPr>
      </w:pPr>
      <w:r w:rsidRPr="0004176C">
        <w:rPr>
          <w:color w:val="000000" w:themeColor="text1"/>
          <w:sz w:val="22"/>
          <w:szCs w:val="22"/>
        </w:rPr>
        <w:t>No significant changes are planned.</w:t>
      </w:r>
    </w:p>
    <w:p w14:paraId="0BA22DF9" w14:textId="77777777" w:rsidR="00E003BD" w:rsidRPr="0004176C" w:rsidRDefault="00E003BD" w:rsidP="001F2A56">
      <w:pPr>
        <w:pStyle w:val="Heading3"/>
        <w:sectPr w:rsidR="00E003BD" w:rsidRPr="0004176C" w:rsidSect="00F61294">
          <w:pgSz w:w="12240" w:h="15840"/>
          <w:pgMar w:top="1440" w:right="1440" w:bottom="1152" w:left="1440" w:header="720" w:footer="720" w:gutter="0"/>
          <w:cols w:space="720"/>
          <w:docGrid w:linePitch="360"/>
        </w:sectPr>
      </w:pPr>
    </w:p>
    <w:p w14:paraId="4AE7121A" w14:textId="54C45949" w:rsidR="005E3062" w:rsidRPr="0004176C" w:rsidRDefault="005E3062" w:rsidP="001F2A56">
      <w:pPr>
        <w:pStyle w:val="Heading3"/>
      </w:pPr>
      <w:bookmarkStart w:id="54" w:name="_Toc33016939"/>
      <w:r w:rsidRPr="0004176C">
        <w:t>Ac</w:t>
      </w:r>
      <w:r w:rsidR="00881DD5" w:rsidRPr="0004176C">
        <w:t>tivity 2011-5: Youth Transition</w:t>
      </w:r>
      <w:r w:rsidRPr="0004176C">
        <w:t xml:space="preserve"> </w:t>
      </w:r>
      <w:r w:rsidR="00881DD5" w:rsidRPr="0004176C">
        <w:t>to Success Program (YTTSP)</w:t>
      </w:r>
      <w:bookmarkEnd w:id="54"/>
    </w:p>
    <w:p w14:paraId="1DAE4F35" w14:textId="77777777" w:rsidR="005E3062" w:rsidRPr="0004176C" w:rsidRDefault="005E3062" w:rsidP="005E3062">
      <w:pPr>
        <w:rPr>
          <w:color w:val="000000"/>
          <w:sz w:val="22"/>
          <w:szCs w:val="22"/>
        </w:rPr>
      </w:pPr>
    </w:p>
    <w:p w14:paraId="4627986E" w14:textId="77777777" w:rsidR="008A751B" w:rsidRPr="0004176C" w:rsidRDefault="008A751B" w:rsidP="008A751B">
      <w:pPr>
        <w:jc w:val="both"/>
        <w:rPr>
          <w:color w:val="000000"/>
          <w:sz w:val="22"/>
          <w:szCs w:val="22"/>
        </w:rPr>
      </w:pPr>
      <w:r w:rsidRPr="0004176C">
        <w:rPr>
          <w:b/>
          <w:color w:val="000000"/>
          <w:sz w:val="22"/>
          <w:szCs w:val="22"/>
        </w:rPr>
        <w:t>Plan Year Approved, Implemented, Amended</w:t>
      </w:r>
      <w:r w:rsidRPr="0004176C">
        <w:rPr>
          <w:color w:val="000000"/>
          <w:sz w:val="22"/>
          <w:szCs w:val="22"/>
        </w:rPr>
        <w:t xml:space="preserve"> </w:t>
      </w:r>
    </w:p>
    <w:p w14:paraId="780F967D" w14:textId="77777777" w:rsidR="008A751B" w:rsidRPr="0004176C" w:rsidRDefault="008A751B" w:rsidP="008A751B">
      <w:pPr>
        <w:rPr>
          <w:sz w:val="22"/>
          <w:szCs w:val="22"/>
        </w:rPr>
      </w:pPr>
      <w:r w:rsidRPr="0004176C">
        <w:rPr>
          <w:sz w:val="22"/>
          <w:szCs w:val="22"/>
        </w:rPr>
        <w:t xml:space="preserve">Approved FY 2011 and implemented FY 2013. </w:t>
      </w:r>
    </w:p>
    <w:p w14:paraId="090D3425" w14:textId="77777777" w:rsidR="008A751B" w:rsidRPr="0004176C" w:rsidRDefault="008A751B" w:rsidP="008A751B">
      <w:pPr>
        <w:jc w:val="both"/>
        <w:rPr>
          <w:sz w:val="22"/>
          <w:szCs w:val="22"/>
        </w:rPr>
      </w:pPr>
    </w:p>
    <w:p w14:paraId="43215CFA" w14:textId="77777777" w:rsidR="00E81C68" w:rsidRPr="0004176C" w:rsidRDefault="005E3062" w:rsidP="00166CB7">
      <w:pPr>
        <w:jc w:val="both"/>
        <w:rPr>
          <w:b/>
          <w:color w:val="000000"/>
          <w:sz w:val="22"/>
          <w:szCs w:val="22"/>
        </w:rPr>
      </w:pPr>
      <w:r w:rsidRPr="0004176C">
        <w:rPr>
          <w:b/>
          <w:color w:val="000000"/>
          <w:sz w:val="22"/>
          <w:szCs w:val="22"/>
        </w:rPr>
        <w:t>Description</w:t>
      </w:r>
      <w:bookmarkStart w:id="55" w:name="OLE_LINK1"/>
      <w:bookmarkStart w:id="56" w:name="OLE_LINK2"/>
      <w:r w:rsidR="00DB361F" w:rsidRPr="0004176C">
        <w:rPr>
          <w:b/>
          <w:color w:val="000000"/>
          <w:sz w:val="22"/>
          <w:szCs w:val="22"/>
        </w:rPr>
        <w:t>/Update</w:t>
      </w:r>
    </w:p>
    <w:p w14:paraId="71F8A98D" w14:textId="65029075" w:rsidR="005E3062" w:rsidRPr="0004176C" w:rsidRDefault="00E614F5" w:rsidP="00166CB7">
      <w:pPr>
        <w:jc w:val="both"/>
        <w:rPr>
          <w:sz w:val="22"/>
          <w:szCs w:val="22"/>
        </w:rPr>
      </w:pPr>
      <w:r w:rsidRPr="0004176C">
        <w:rPr>
          <w:sz w:val="22"/>
          <w:szCs w:val="22"/>
        </w:rPr>
        <w:t xml:space="preserve">DHCD </w:t>
      </w:r>
      <w:r w:rsidR="00317373" w:rsidRPr="0004176C">
        <w:rPr>
          <w:sz w:val="22"/>
          <w:szCs w:val="22"/>
        </w:rPr>
        <w:t xml:space="preserve">initially </w:t>
      </w:r>
      <w:r w:rsidR="005E3062" w:rsidRPr="0004176C">
        <w:rPr>
          <w:sz w:val="22"/>
          <w:szCs w:val="22"/>
        </w:rPr>
        <w:t>designed and implemented a time-limited program to provide continued support to and build upon the successes of youth currently participating in its Family Unificati</w:t>
      </w:r>
      <w:r w:rsidR="003D20AC" w:rsidRPr="0004176C">
        <w:rPr>
          <w:sz w:val="22"/>
          <w:szCs w:val="22"/>
        </w:rPr>
        <w:t xml:space="preserve">on </w:t>
      </w:r>
      <w:r w:rsidR="00A56782" w:rsidRPr="0004176C">
        <w:rPr>
          <w:sz w:val="22"/>
          <w:szCs w:val="22"/>
        </w:rPr>
        <w:t xml:space="preserve">- </w:t>
      </w:r>
      <w:r w:rsidR="003D20AC" w:rsidRPr="0004176C">
        <w:rPr>
          <w:sz w:val="22"/>
          <w:szCs w:val="22"/>
        </w:rPr>
        <w:t>Aging Out of Foster Care P</w:t>
      </w:r>
      <w:r w:rsidR="005E3062" w:rsidRPr="0004176C">
        <w:rPr>
          <w:sz w:val="22"/>
          <w:szCs w:val="22"/>
        </w:rPr>
        <w:t xml:space="preserve">rogram that are facing </w:t>
      </w:r>
      <w:r w:rsidR="008664C9" w:rsidRPr="0004176C">
        <w:rPr>
          <w:sz w:val="22"/>
          <w:szCs w:val="22"/>
        </w:rPr>
        <w:t xml:space="preserve">the expiration on their subsidy. </w:t>
      </w:r>
      <w:r w:rsidR="000D4A25" w:rsidRPr="0004176C">
        <w:rPr>
          <w:sz w:val="22"/>
          <w:szCs w:val="22"/>
        </w:rPr>
        <w:t xml:space="preserve">As the demand for FUP vouchers </w:t>
      </w:r>
      <w:r w:rsidR="00317373" w:rsidRPr="0004176C">
        <w:rPr>
          <w:sz w:val="22"/>
          <w:szCs w:val="22"/>
        </w:rPr>
        <w:t xml:space="preserve">continued to grow, </w:t>
      </w:r>
      <w:r w:rsidR="00D94FC0" w:rsidRPr="0004176C">
        <w:rPr>
          <w:sz w:val="22"/>
          <w:szCs w:val="22"/>
        </w:rPr>
        <w:t>DHCD has expanded the</w:t>
      </w:r>
      <w:r w:rsidR="000D4A25" w:rsidRPr="0004176C">
        <w:rPr>
          <w:sz w:val="22"/>
          <w:szCs w:val="22"/>
        </w:rPr>
        <w:t xml:space="preserve"> </w:t>
      </w:r>
      <w:r w:rsidR="00D94FC0" w:rsidRPr="0004176C">
        <w:rPr>
          <w:sz w:val="22"/>
          <w:szCs w:val="22"/>
        </w:rPr>
        <w:t>YTTSP</w:t>
      </w:r>
      <w:r w:rsidR="000D4A25" w:rsidRPr="0004176C">
        <w:rPr>
          <w:sz w:val="22"/>
          <w:szCs w:val="22"/>
        </w:rPr>
        <w:t xml:space="preserve"> throughout the years</w:t>
      </w:r>
      <w:r w:rsidR="00317373" w:rsidRPr="0004176C">
        <w:rPr>
          <w:sz w:val="22"/>
          <w:szCs w:val="22"/>
        </w:rPr>
        <w:t xml:space="preserve">. YTTSP now </w:t>
      </w:r>
      <w:r w:rsidR="000D4A25" w:rsidRPr="0004176C">
        <w:rPr>
          <w:sz w:val="22"/>
          <w:szCs w:val="22"/>
        </w:rPr>
        <w:t>provide</w:t>
      </w:r>
      <w:r w:rsidR="006522E9" w:rsidRPr="0004176C">
        <w:rPr>
          <w:sz w:val="22"/>
          <w:szCs w:val="22"/>
        </w:rPr>
        <w:t>s</w:t>
      </w:r>
      <w:r w:rsidR="000D4A25" w:rsidRPr="0004176C">
        <w:rPr>
          <w:sz w:val="22"/>
          <w:szCs w:val="22"/>
        </w:rPr>
        <w:t xml:space="preserve"> subsidies and support to a broader group of youth, which includes FUP AOP referrals, “College” referrals from DCF and referrals for</w:t>
      </w:r>
      <w:r w:rsidR="000D4A25" w:rsidRPr="0004176C">
        <w:rPr>
          <w:color w:val="000000"/>
          <w:sz w:val="22"/>
          <w:szCs w:val="22"/>
        </w:rPr>
        <w:t xml:space="preserve"> individuals </w:t>
      </w:r>
      <w:r w:rsidR="00846766" w:rsidRPr="0004176C">
        <w:rPr>
          <w:color w:val="000000"/>
          <w:sz w:val="22"/>
          <w:szCs w:val="22"/>
        </w:rPr>
        <w:t xml:space="preserve">enrolled in a full-time designated employment program, referred </w:t>
      </w:r>
      <w:r w:rsidR="000D4A25" w:rsidRPr="0004176C">
        <w:rPr>
          <w:color w:val="000000"/>
          <w:sz w:val="22"/>
          <w:szCs w:val="22"/>
        </w:rPr>
        <w:t>from other providers outside of DCF.</w:t>
      </w:r>
      <w:r w:rsidR="00D94FC0" w:rsidRPr="0004176C">
        <w:rPr>
          <w:sz w:val="22"/>
          <w:szCs w:val="22"/>
        </w:rPr>
        <w:t xml:space="preserve"> Participants receive a </w:t>
      </w:r>
      <w:r w:rsidR="005E3062" w:rsidRPr="0004176C">
        <w:rPr>
          <w:sz w:val="22"/>
          <w:szCs w:val="22"/>
        </w:rPr>
        <w:t>shallow</w:t>
      </w:r>
      <w:r w:rsidR="00031208" w:rsidRPr="0004176C">
        <w:rPr>
          <w:sz w:val="22"/>
          <w:szCs w:val="22"/>
        </w:rPr>
        <w:t>,</w:t>
      </w:r>
      <w:r w:rsidR="005E3062" w:rsidRPr="0004176C">
        <w:rPr>
          <w:sz w:val="22"/>
          <w:szCs w:val="22"/>
        </w:rPr>
        <w:t xml:space="preserve"> short-term and time-limited</w:t>
      </w:r>
      <w:r w:rsidR="001B2FC8" w:rsidRPr="0004176C">
        <w:rPr>
          <w:sz w:val="22"/>
          <w:szCs w:val="22"/>
        </w:rPr>
        <w:t xml:space="preserve"> subsidy;</w:t>
      </w:r>
      <w:r w:rsidR="005E3062" w:rsidRPr="0004176C">
        <w:rPr>
          <w:sz w:val="22"/>
          <w:szCs w:val="22"/>
        </w:rPr>
        <w:t xml:space="preserve"> supportive services</w:t>
      </w:r>
      <w:r w:rsidR="001B2FC8" w:rsidRPr="0004176C">
        <w:rPr>
          <w:sz w:val="22"/>
          <w:szCs w:val="22"/>
        </w:rPr>
        <w:t>;</w:t>
      </w:r>
      <w:r w:rsidR="005E3062" w:rsidRPr="0004176C">
        <w:rPr>
          <w:sz w:val="22"/>
          <w:szCs w:val="22"/>
        </w:rPr>
        <w:t xml:space="preserve"> funds for education, training </w:t>
      </w:r>
      <w:r w:rsidR="001B2FC8" w:rsidRPr="0004176C">
        <w:rPr>
          <w:sz w:val="22"/>
          <w:szCs w:val="22"/>
        </w:rPr>
        <w:t>and employment related expenses;</w:t>
      </w:r>
      <w:r w:rsidR="005E3062" w:rsidRPr="0004176C">
        <w:rPr>
          <w:sz w:val="22"/>
          <w:szCs w:val="22"/>
        </w:rPr>
        <w:t xml:space="preserve"> an escrow account</w:t>
      </w:r>
      <w:r w:rsidR="001B2FC8" w:rsidRPr="0004176C">
        <w:rPr>
          <w:sz w:val="22"/>
          <w:szCs w:val="22"/>
        </w:rPr>
        <w:t>;</w:t>
      </w:r>
      <w:r w:rsidR="005E3062" w:rsidRPr="0004176C">
        <w:rPr>
          <w:sz w:val="22"/>
          <w:szCs w:val="22"/>
        </w:rPr>
        <w:t xml:space="preserve"> and case management.</w:t>
      </w:r>
      <w:r w:rsidR="00317373" w:rsidRPr="0004176C">
        <w:rPr>
          <w:sz w:val="22"/>
          <w:szCs w:val="22"/>
        </w:rPr>
        <w:t xml:space="preserve"> Where DCF services are required for participation in this program, participation in the program ends when DCF services end.</w:t>
      </w:r>
      <w:r w:rsidR="005E3062" w:rsidRPr="0004176C">
        <w:rPr>
          <w:sz w:val="22"/>
          <w:szCs w:val="22"/>
        </w:rPr>
        <w:t xml:space="preserve"> </w:t>
      </w:r>
      <w:r w:rsidR="00355672" w:rsidRPr="0004176C">
        <w:rPr>
          <w:sz w:val="22"/>
          <w:szCs w:val="22"/>
        </w:rPr>
        <w:t xml:space="preserve">  </w:t>
      </w:r>
    </w:p>
    <w:p w14:paraId="6B8D720B" w14:textId="75BED1A8" w:rsidR="005E3062" w:rsidRPr="0004176C" w:rsidRDefault="005E3062" w:rsidP="00166CB7">
      <w:pPr>
        <w:jc w:val="both"/>
        <w:rPr>
          <w:sz w:val="22"/>
          <w:szCs w:val="22"/>
        </w:rPr>
      </w:pPr>
    </w:p>
    <w:p w14:paraId="347E06FB" w14:textId="02CFD4EF" w:rsidR="0083477A" w:rsidRPr="0004176C" w:rsidRDefault="00B65630" w:rsidP="00166CB7">
      <w:pPr>
        <w:jc w:val="both"/>
        <w:rPr>
          <w:sz w:val="22"/>
          <w:szCs w:val="22"/>
        </w:rPr>
      </w:pPr>
      <w:r w:rsidRPr="0004176C">
        <w:rPr>
          <w:color w:val="000000"/>
          <w:sz w:val="22"/>
          <w:szCs w:val="22"/>
        </w:rPr>
        <w:t>DHCD revised</w:t>
      </w:r>
      <w:r w:rsidR="0083477A" w:rsidRPr="0004176C">
        <w:rPr>
          <w:color w:val="000000"/>
          <w:sz w:val="22"/>
          <w:szCs w:val="22"/>
        </w:rPr>
        <w:t xml:space="preserve"> the eligibility requirements for FUP AOP and College Referrals to include individuals who have completed 9 college level credits, but did not complete a full year of college. This will allow the program to serve individuals who have demonstrated the ability to successfully complete college work, but due to unforeseen issues, may not have been able to continue.  Additionally, all YTTSP referrals will now have subsidies that hold steady for years one and two and then decrease 15% for the remaining three years</w:t>
      </w:r>
      <w:r w:rsidR="00D94FC0" w:rsidRPr="0004176C">
        <w:rPr>
          <w:color w:val="000000"/>
          <w:sz w:val="22"/>
          <w:szCs w:val="22"/>
        </w:rPr>
        <w:t>.</w:t>
      </w:r>
    </w:p>
    <w:p w14:paraId="304FB001" w14:textId="77777777" w:rsidR="0083477A" w:rsidRPr="0004176C" w:rsidRDefault="0083477A" w:rsidP="00166CB7">
      <w:pPr>
        <w:jc w:val="both"/>
        <w:rPr>
          <w:sz w:val="22"/>
          <w:szCs w:val="22"/>
        </w:rPr>
      </w:pPr>
    </w:p>
    <w:p w14:paraId="1E80B21B" w14:textId="097595CC" w:rsidR="008664C9" w:rsidRPr="00E273B1" w:rsidRDefault="008664C9" w:rsidP="008664C9">
      <w:pPr>
        <w:jc w:val="both"/>
        <w:rPr>
          <w:sz w:val="22"/>
          <w:szCs w:val="22"/>
        </w:rPr>
      </w:pPr>
      <w:r w:rsidRPr="0004176C">
        <w:rPr>
          <w:sz w:val="22"/>
          <w:szCs w:val="22"/>
        </w:rPr>
        <w:t>The following outlines</w:t>
      </w:r>
      <w:r w:rsidRPr="00E273B1">
        <w:rPr>
          <w:sz w:val="22"/>
          <w:szCs w:val="22"/>
        </w:rPr>
        <w:t xml:space="preserve"> eligibility requirements:  </w:t>
      </w:r>
    </w:p>
    <w:p w14:paraId="4A3D7340" w14:textId="77777777" w:rsidR="008664C9" w:rsidRPr="00E273B1" w:rsidRDefault="008664C9" w:rsidP="008664C9">
      <w:pPr>
        <w:jc w:val="both"/>
        <w:rPr>
          <w:sz w:val="22"/>
          <w:szCs w:val="22"/>
        </w:rPr>
      </w:pPr>
    </w:p>
    <w:p w14:paraId="327B35FE" w14:textId="77777777" w:rsidR="008664C9" w:rsidRPr="00E273B1" w:rsidRDefault="008664C9" w:rsidP="008664C9">
      <w:pPr>
        <w:ind w:left="360"/>
        <w:jc w:val="both"/>
        <w:rPr>
          <w:i/>
          <w:sz w:val="22"/>
          <w:szCs w:val="22"/>
        </w:rPr>
      </w:pPr>
      <w:r w:rsidRPr="00E273B1">
        <w:rPr>
          <w:i/>
          <w:sz w:val="22"/>
          <w:szCs w:val="22"/>
        </w:rPr>
        <w:t>FUP AOP Referrals:</w:t>
      </w:r>
    </w:p>
    <w:p w14:paraId="3BD31FA6" w14:textId="77777777" w:rsidR="008664C9" w:rsidRPr="00E273B1" w:rsidRDefault="008664C9" w:rsidP="00AA5A80">
      <w:pPr>
        <w:pStyle w:val="ListParagraph"/>
        <w:numPr>
          <w:ilvl w:val="0"/>
          <w:numId w:val="37"/>
        </w:numPr>
        <w:jc w:val="both"/>
      </w:pPr>
      <w:r w:rsidRPr="00E273B1">
        <w:t>Referred by DCF;</w:t>
      </w:r>
    </w:p>
    <w:p w14:paraId="2D71FCFF" w14:textId="77777777" w:rsidR="008664C9" w:rsidRPr="00E273B1" w:rsidRDefault="008664C9" w:rsidP="00AA5A80">
      <w:pPr>
        <w:pStyle w:val="ListParagraph"/>
        <w:numPr>
          <w:ilvl w:val="0"/>
          <w:numId w:val="37"/>
        </w:numPr>
        <w:jc w:val="both"/>
      </w:pPr>
      <w:r w:rsidRPr="00E273B1">
        <w:t>Participated in FUP AOP for no less than 18 months;</w:t>
      </w:r>
    </w:p>
    <w:p w14:paraId="09038660" w14:textId="77777777" w:rsidR="008664C9" w:rsidRPr="00E273B1" w:rsidRDefault="008664C9" w:rsidP="00AA5A80">
      <w:pPr>
        <w:pStyle w:val="ListParagraph"/>
        <w:numPr>
          <w:ilvl w:val="0"/>
          <w:numId w:val="37"/>
        </w:numPr>
        <w:jc w:val="both"/>
      </w:pPr>
      <w:r w:rsidRPr="00E273B1">
        <w:t>Employed for at least 12 hours per week;</w:t>
      </w:r>
    </w:p>
    <w:p w14:paraId="6746CC24" w14:textId="4DFDF8CE" w:rsidR="008664C9" w:rsidRPr="00E273B1" w:rsidRDefault="008664C9" w:rsidP="00AA5A80">
      <w:pPr>
        <w:pStyle w:val="ListParagraph"/>
        <w:numPr>
          <w:ilvl w:val="0"/>
          <w:numId w:val="37"/>
        </w:numPr>
        <w:jc w:val="both"/>
      </w:pPr>
      <w:r w:rsidRPr="00E273B1">
        <w:t>Enrolled in an education or training program at the time of referral</w:t>
      </w:r>
      <w:r w:rsidR="0083477A" w:rsidRPr="00E273B1">
        <w:t>. This includes individuals who have completed 9 college level credits, but who may not have completed a full year of college</w:t>
      </w:r>
      <w:r w:rsidRPr="00E273B1">
        <w:t>;</w:t>
      </w:r>
    </w:p>
    <w:p w14:paraId="221274EB" w14:textId="43CEEEEC" w:rsidR="008664C9" w:rsidRPr="00E273B1" w:rsidRDefault="008664C9" w:rsidP="00AA5A80">
      <w:pPr>
        <w:pStyle w:val="ListParagraph"/>
        <w:numPr>
          <w:ilvl w:val="0"/>
          <w:numId w:val="37"/>
        </w:numPr>
        <w:jc w:val="both"/>
      </w:pPr>
      <w:r w:rsidRPr="00E273B1">
        <w:t>Partici</w:t>
      </w:r>
      <w:r w:rsidR="0083477A" w:rsidRPr="00E273B1">
        <w:t xml:space="preserve">pant in good standing under FUP </w:t>
      </w:r>
      <w:r w:rsidRPr="00E273B1">
        <w:t>AOP</w:t>
      </w:r>
      <w:r w:rsidR="00427E5F" w:rsidRPr="00E273B1">
        <w:t>,</w:t>
      </w:r>
      <w:r w:rsidRPr="00E273B1">
        <w:t xml:space="preserve"> including no tenancy violations and current on rent;</w:t>
      </w:r>
    </w:p>
    <w:p w14:paraId="391C2E2B" w14:textId="68D69561" w:rsidR="008664C9" w:rsidRPr="00E273B1" w:rsidRDefault="00024E32" w:rsidP="00AA5A80">
      <w:pPr>
        <w:pStyle w:val="ListParagraph"/>
        <w:numPr>
          <w:ilvl w:val="0"/>
          <w:numId w:val="37"/>
        </w:numPr>
        <w:jc w:val="both"/>
      </w:pPr>
      <w:r>
        <w:t>Income eligible for the HCV P</w:t>
      </w:r>
      <w:r w:rsidR="008664C9" w:rsidRPr="00E273B1">
        <w:t>rogram; and</w:t>
      </w:r>
      <w:r w:rsidR="00427E5F" w:rsidRPr="00E273B1">
        <w:t>,</w:t>
      </w:r>
    </w:p>
    <w:p w14:paraId="0923F673" w14:textId="77777777" w:rsidR="008664C9" w:rsidRPr="00E273B1" w:rsidRDefault="008664C9" w:rsidP="00AA5A80">
      <w:pPr>
        <w:pStyle w:val="ListParagraph"/>
        <w:numPr>
          <w:ilvl w:val="0"/>
          <w:numId w:val="37"/>
        </w:numPr>
        <w:jc w:val="both"/>
      </w:pPr>
      <w:r w:rsidRPr="00E273B1">
        <w:t xml:space="preserve">Meet other DHCD eligibility screening requirements. </w:t>
      </w:r>
    </w:p>
    <w:p w14:paraId="43B2508D" w14:textId="77777777" w:rsidR="008664C9" w:rsidRPr="00E273B1" w:rsidRDefault="008664C9" w:rsidP="008664C9">
      <w:pPr>
        <w:jc w:val="both"/>
        <w:rPr>
          <w:sz w:val="22"/>
          <w:szCs w:val="22"/>
        </w:rPr>
      </w:pPr>
    </w:p>
    <w:p w14:paraId="2AC90299" w14:textId="77777777" w:rsidR="008664C9" w:rsidRPr="00E273B1" w:rsidRDefault="008664C9" w:rsidP="008664C9">
      <w:pPr>
        <w:ind w:left="360"/>
        <w:jc w:val="both"/>
        <w:rPr>
          <w:i/>
          <w:sz w:val="22"/>
          <w:szCs w:val="22"/>
        </w:rPr>
      </w:pPr>
      <w:r w:rsidRPr="00E273B1">
        <w:rPr>
          <w:i/>
          <w:sz w:val="22"/>
          <w:szCs w:val="22"/>
        </w:rPr>
        <w:t>College Referrals:</w:t>
      </w:r>
    </w:p>
    <w:p w14:paraId="7C756518" w14:textId="77777777" w:rsidR="008664C9" w:rsidRPr="00E273B1" w:rsidRDefault="008664C9" w:rsidP="00AA5A80">
      <w:pPr>
        <w:pStyle w:val="ListParagraph"/>
        <w:numPr>
          <w:ilvl w:val="0"/>
          <w:numId w:val="38"/>
        </w:numPr>
        <w:jc w:val="both"/>
      </w:pPr>
      <w:r w:rsidRPr="00E273B1">
        <w:t>Referred by DCF;</w:t>
      </w:r>
    </w:p>
    <w:p w14:paraId="3EB44ECB" w14:textId="34FBE555" w:rsidR="008664C9" w:rsidRPr="00E273B1" w:rsidRDefault="008664C9" w:rsidP="00AA5A80">
      <w:pPr>
        <w:pStyle w:val="ListParagraph"/>
        <w:numPr>
          <w:ilvl w:val="0"/>
          <w:numId w:val="38"/>
        </w:numPr>
        <w:jc w:val="both"/>
      </w:pPr>
      <w:r w:rsidRPr="00E273B1">
        <w:t>Enrolled in a full-time or part-time moving to full-time post-secondary degree</w:t>
      </w:r>
      <w:r w:rsidR="003E656F" w:rsidRPr="00E273B1">
        <w:t xml:space="preserve"> or Associate’s Degree</w:t>
      </w:r>
      <w:r w:rsidRPr="00E273B1">
        <w:t xml:space="preserve"> program at the time of referral</w:t>
      </w:r>
      <w:r w:rsidR="0083477A" w:rsidRPr="00E273B1">
        <w:t>. This includes individuals who have completed 9 college level credits, but who may not have c</w:t>
      </w:r>
      <w:r w:rsidR="00024E32">
        <w:t>ompleted a full year of college</w:t>
      </w:r>
      <w:r w:rsidRPr="00E273B1">
        <w:t xml:space="preserve">; </w:t>
      </w:r>
    </w:p>
    <w:p w14:paraId="263F8C00" w14:textId="15562A4A" w:rsidR="008664C9" w:rsidRPr="00E273B1" w:rsidRDefault="008664C9" w:rsidP="00AA5A80">
      <w:pPr>
        <w:pStyle w:val="ListParagraph"/>
        <w:numPr>
          <w:ilvl w:val="0"/>
          <w:numId w:val="38"/>
        </w:numPr>
        <w:jc w:val="both"/>
      </w:pPr>
      <w:r w:rsidRPr="00E273B1">
        <w:t>Income eligibl</w:t>
      </w:r>
      <w:r w:rsidR="00024E32">
        <w:t>e for the HCV P</w:t>
      </w:r>
      <w:r w:rsidRPr="00E273B1">
        <w:t>rogram; and</w:t>
      </w:r>
      <w:r w:rsidR="00427E5F" w:rsidRPr="00E273B1">
        <w:t>,</w:t>
      </w:r>
    </w:p>
    <w:p w14:paraId="6340FA24" w14:textId="77777777" w:rsidR="003904F5" w:rsidRPr="00E273B1" w:rsidRDefault="008664C9" w:rsidP="00AA5A80">
      <w:pPr>
        <w:pStyle w:val="ListParagraph"/>
        <w:numPr>
          <w:ilvl w:val="0"/>
          <w:numId w:val="38"/>
        </w:numPr>
        <w:jc w:val="both"/>
      </w:pPr>
      <w:r w:rsidRPr="00E273B1">
        <w:t>Meet other DHCD eligibility screening requirements.</w:t>
      </w:r>
    </w:p>
    <w:p w14:paraId="2374934F" w14:textId="77777777" w:rsidR="003904F5" w:rsidRPr="00E273B1" w:rsidRDefault="003904F5" w:rsidP="003904F5">
      <w:pPr>
        <w:ind w:left="360"/>
        <w:jc w:val="both"/>
        <w:rPr>
          <w:sz w:val="22"/>
          <w:szCs w:val="22"/>
        </w:rPr>
      </w:pPr>
    </w:p>
    <w:p w14:paraId="2E109406" w14:textId="66FEDB31" w:rsidR="003904F5" w:rsidRPr="00E273B1" w:rsidRDefault="003904F5" w:rsidP="003904F5">
      <w:pPr>
        <w:ind w:left="360"/>
        <w:jc w:val="both"/>
        <w:rPr>
          <w:i/>
          <w:sz w:val="22"/>
          <w:szCs w:val="22"/>
        </w:rPr>
      </w:pPr>
      <w:r w:rsidRPr="00E273B1">
        <w:rPr>
          <w:i/>
          <w:sz w:val="22"/>
          <w:szCs w:val="22"/>
        </w:rPr>
        <w:t>Other Agency Referrals</w:t>
      </w:r>
      <w:r w:rsidR="00427E5F" w:rsidRPr="00E273B1">
        <w:rPr>
          <w:i/>
          <w:sz w:val="22"/>
          <w:szCs w:val="22"/>
        </w:rPr>
        <w:t>:</w:t>
      </w:r>
    </w:p>
    <w:p w14:paraId="72D9EECC" w14:textId="21F6555B" w:rsidR="00065B5C" w:rsidRPr="00E273B1" w:rsidRDefault="00B56C56" w:rsidP="00AA5A80">
      <w:pPr>
        <w:pStyle w:val="ListParagraph"/>
        <w:numPr>
          <w:ilvl w:val="0"/>
          <w:numId w:val="37"/>
        </w:numPr>
        <w:jc w:val="both"/>
      </w:pPr>
      <w:r w:rsidRPr="00E273B1">
        <w:t>Enrolled in a full-tim</w:t>
      </w:r>
      <w:r w:rsidR="00427E5F" w:rsidRPr="00E273B1">
        <w:t>e designated employment program</w:t>
      </w:r>
      <w:r w:rsidR="00065B5C" w:rsidRPr="00E273B1">
        <w:t>;</w:t>
      </w:r>
    </w:p>
    <w:p w14:paraId="2DAAF97A" w14:textId="3D76D642" w:rsidR="00065B5C" w:rsidRPr="00E273B1" w:rsidRDefault="00024E32" w:rsidP="00AA5A80">
      <w:pPr>
        <w:pStyle w:val="ListParagraph"/>
        <w:numPr>
          <w:ilvl w:val="0"/>
          <w:numId w:val="37"/>
        </w:numPr>
        <w:jc w:val="both"/>
      </w:pPr>
      <w:r>
        <w:t>Income eligible for the HCV P</w:t>
      </w:r>
      <w:r w:rsidR="00065B5C" w:rsidRPr="00E273B1">
        <w:t>rogram; and</w:t>
      </w:r>
      <w:r w:rsidR="00427E5F" w:rsidRPr="00E273B1">
        <w:t>,</w:t>
      </w:r>
    </w:p>
    <w:p w14:paraId="1331906B" w14:textId="77777777" w:rsidR="00065B5C" w:rsidRPr="00E273B1" w:rsidRDefault="00065B5C" w:rsidP="00AA5A80">
      <w:pPr>
        <w:pStyle w:val="ListParagraph"/>
        <w:numPr>
          <w:ilvl w:val="0"/>
          <w:numId w:val="37"/>
        </w:numPr>
        <w:jc w:val="both"/>
      </w:pPr>
      <w:r w:rsidRPr="00E273B1">
        <w:t xml:space="preserve">Meet other DHCD eligibility screening requirements. </w:t>
      </w:r>
    </w:p>
    <w:p w14:paraId="4ABDB063" w14:textId="5AEC96BC" w:rsidR="00E902E5" w:rsidRPr="00E273B1" w:rsidRDefault="00E902E5" w:rsidP="00166CB7">
      <w:pPr>
        <w:jc w:val="both"/>
        <w:rPr>
          <w:sz w:val="22"/>
          <w:szCs w:val="22"/>
        </w:rPr>
      </w:pPr>
    </w:p>
    <w:p w14:paraId="122C98F1" w14:textId="77777777" w:rsidR="00E902E5" w:rsidRPr="00E273B1" w:rsidRDefault="00E902E5" w:rsidP="00E902E5">
      <w:pPr>
        <w:jc w:val="both"/>
        <w:rPr>
          <w:sz w:val="22"/>
          <w:szCs w:val="22"/>
        </w:rPr>
      </w:pPr>
      <w:r w:rsidRPr="00E273B1">
        <w:rPr>
          <w:sz w:val="22"/>
          <w:szCs w:val="22"/>
        </w:rPr>
        <w:t>YTTSP will provide participants with:</w:t>
      </w:r>
    </w:p>
    <w:p w14:paraId="53F4195C" w14:textId="54E6F880" w:rsidR="00E902E5" w:rsidRPr="00E273B1" w:rsidRDefault="00E902E5" w:rsidP="00AA5A80">
      <w:pPr>
        <w:pStyle w:val="ListParagraph"/>
        <w:numPr>
          <w:ilvl w:val="0"/>
          <w:numId w:val="39"/>
        </w:numPr>
        <w:jc w:val="both"/>
        <w:rPr>
          <w:color w:val="000000"/>
        </w:rPr>
      </w:pPr>
      <w:r w:rsidRPr="00E273B1">
        <w:t xml:space="preserve">A flat rental subsidy that </w:t>
      </w:r>
      <w:r w:rsidR="00B65630" w:rsidRPr="00E273B1">
        <w:t xml:space="preserve">holds steady for the first two years and then </w:t>
      </w:r>
      <w:r w:rsidRPr="00E273B1">
        <w:t>steps down annually by 15%</w:t>
      </w:r>
      <w:r w:rsidR="00B65630" w:rsidRPr="00E273B1">
        <w:t xml:space="preserve"> for the final three</w:t>
      </w:r>
      <w:r w:rsidR="00D34080" w:rsidRPr="00E273B1">
        <w:t xml:space="preserve"> years</w:t>
      </w:r>
      <w:r w:rsidR="000D4A25" w:rsidRPr="00E273B1">
        <w:rPr>
          <w:color w:val="000000"/>
        </w:rPr>
        <w:t xml:space="preserve">.  </w:t>
      </w:r>
    </w:p>
    <w:p w14:paraId="03CA86D3" w14:textId="74EDED30" w:rsidR="00E902E5" w:rsidRPr="00E273B1" w:rsidRDefault="00E902E5" w:rsidP="00E902E5">
      <w:pPr>
        <w:numPr>
          <w:ilvl w:val="0"/>
          <w:numId w:val="4"/>
        </w:numPr>
        <w:ind w:left="720"/>
        <w:contextualSpacing/>
        <w:jc w:val="both"/>
        <w:rPr>
          <w:sz w:val="22"/>
          <w:szCs w:val="22"/>
        </w:rPr>
      </w:pPr>
      <w:r w:rsidRPr="00E273B1">
        <w:rPr>
          <w:sz w:val="22"/>
          <w:szCs w:val="22"/>
        </w:rPr>
        <w:t>A matched savings account up to $800/year; and</w:t>
      </w:r>
      <w:r w:rsidR="00E003BD" w:rsidRPr="00E273B1">
        <w:rPr>
          <w:sz w:val="22"/>
          <w:szCs w:val="22"/>
        </w:rPr>
        <w:t>,</w:t>
      </w:r>
    </w:p>
    <w:p w14:paraId="513FA754" w14:textId="525AE4AC" w:rsidR="00355672" w:rsidRPr="00E273B1" w:rsidRDefault="00E902E5" w:rsidP="00166CB7">
      <w:pPr>
        <w:numPr>
          <w:ilvl w:val="0"/>
          <w:numId w:val="4"/>
        </w:numPr>
        <w:ind w:left="720"/>
        <w:contextualSpacing/>
        <w:jc w:val="both"/>
        <w:rPr>
          <w:sz w:val="22"/>
          <w:szCs w:val="22"/>
        </w:rPr>
      </w:pPr>
      <w:r w:rsidRPr="00E273B1">
        <w:rPr>
          <w:sz w:val="22"/>
          <w:szCs w:val="22"/>
        </w:rPr>
        <w:t>An annual support budget of $500 for expenses related to sustaining employment and meeting educational goals.</w:t>
      </w:r>
    </w:p>
    <w:p w14:paraId="0403772D" w14:textId="4D9D84A5" w:rsidR="00BF5A8D" w:rsidRPr="00E273B1" w:rsidRDefault="00BF5A8D" w:rsidP="00BF5A8D">
      <w:pPr>
        <w:contextualSpacing/>
        <w:jc w:val="both"/>
        <w:rPr>
          <w:sz w:val="22"/>
          <w:szCs w:val="22"/>
        </w:rPr>
      </w:pPr>
    </w:p>
    <w:p w14:paraId="2EF67A85" w14:textId="05A80FE9" w:rsidR="00BF5A8D" w:rsidRPr="00E273B1" w:rsidRDefault="00BF5A8D" w:rsidP="00BF5A8D">
      <w:pPr>
        <w:contextualSpacing/>
        <w:jc w:val="both"/>
        <w:rPr>
          <w:sz w:val="22"/>
          <w:szCs w:val="22"/>
        </w:rPr>
      </w:pPr>
      <w:r w:rsidRPr="00E273B1">
        <w:rPr>
          <w:sz w:val="22"/>
          <w:szCs w:val="22"/>
        </w:rPr>
        <w:t xml:space="preserve">In </w:t>
      </w:r>
      <w:r w:rsidR="006D6331" w:rsidRPr="00E273B1">
        <w:rPr>
          <w:sz w:val="22"/>
          <w:szCs w:val="22"/>
        </w:rPr>
        <w:t>FY 2021</w:t>
      </w:r>
      <w:r w:rsidR="00EB3FB2" w:rsidRPr="00E273B1">
        <w:rPr>
          <w:sz w:val="22"/>
          <w:szCs w:val="22"/>
        </w:rPr>
        <w:t>,</w:t>
      </w:r>
      <w:r w:rsidRPr="00E273B1">
        <w:rPr>
          <w:sz w:val="22"/>
          <w:szCs w:val="22"/>
        </w:rPr>
        <w:t xml:space="preserve"> DHCD anticipates a total of </w:t>
      </w:r>
      <w:r w:rsidR="003658D2" w:rsidRPr="00E273B1">
        <w:rPr>
          <w:sz w:val="22"/>
          <w:szCs w:val="22"/>
        </w:rPr>
        <w:t>57 households w</w:t>
      </w:r>
      <w:r w:rsidR="00B65630" w:rsidRPr="00E273B1">
        <w:rPr>
          <w:sz w:val="22"/>
          <w:szCs w:val="22"/>
        </w:rPr>
        <w:t>ill be served by this activity</w:t>
      </w:r>
      <w:r w:rsidR="003658D2" w:rsidRPr="00E273B1">
        <w:rPr>
          <w:sz w:val="22"/>
          <w:szCs w:val="22"/>
        </w:rPr>
        <w:t xml:space="preserve">. </w:t>
      </w:r>
    </w:p>
    <w:p w14:paraId="298D157A" w14:textId="261CFB4E" w:rsidR="00851EDB" w:rsidRPr="00E273B1" w:rsidRDefault="00851EDB" w:rsidP="005E3062">
      <w:pPr>
        <w:rPr>
          <w:sz w:val="22"/>
          <w:szCs w:val="22"/>
        </w:rPr>
      </w:pPr>
    </w:p>
    <w:p w14:paraId="7DB46432" w14:textId="77777777" w:rsidR="00E5472C" w:rsidRPr="00E273B1" w:rsidRDefault="00166CB7" w:rsidP="00166CB7">
      <w:pPr>
        <w:jc w:val="both"/>
        <w:rPr>
          <w:b/>
          <w:color w:val="000000"/>
          <w:sz w:val="22"/>
          <w:szCs w:val="22"/>
        </w:rPr>
      </w:pPr>
      <w:r w:rsidRPr="00E273B1">
        <w:rPr>
          <w:b/>
          <w:color w:val="000000"/>
          <w:sz w:val="22"/>
          <w:szCs w:val="22"/>
        </w:rPr>
        <w:t>Planned Non-Significant Changes</w:t>
      </w:r>
    </w:p>
    <w:p w14:paraId="0CFF69D0" w14:textId="6547019D" w:rsidR="00166CB7" w:rsidRPr="00E273B1" w:rsidRDefault="006D523D" w:rsidP="00166CB7">
      <w:pPr>
        <w:jc w:val="both"/>
        <w:rPr>
          <w:b/>
          <w:color w:val="000000"/>
          <w:sz w:val="22"/>
          <w:szCs w:val="22"/>
        </w:rPr>
      </w:pPr>
      <w:r w:rsidRPr="00E273B1">
        <w:rPr>
          <w:color w:val="000000"/>
          <w:sz w:val="22"/>
          <w:szCs w:val="22"/>
        </w:rPr>
        <w:t xml:space="preserve"> </w:t>
      </w:r>
      <w:r w:rsidR="00B65630" w:rsidRPr="00E273B1">
        <w:rPr>
          <w:color w:val="000000"/>
          <w:sz w:val="22"/>
          <w:szCs w:val="22"/>
        </w:rPr>
        <w:t>There are no non-significant changes planned for FY 2021</w:t>
      </w:r>
    </w:p>
    <w:p w14:paraId="3D8AFA39" w14:textId="77777777" w:rsidR="00166CB7" w:rsidRPr="00E273B1" w:rsidRDefault="00166CB7" w:rsidP="00166CB7">
      <w:pPr>
        <w:pStyle w:val="ListParagraph"/>
        <w:numPr>
          <w:ilvl w:val="0"/>
          <w:numId w:val="0"/>
        </w:numPr>
        <w:ind w:left="360"/>
        <w:jc w:val="both"/>
        <w:rPr>
          <w:color w:val="000000" w:themeColor="text1"/>
        </w:rPr>
      </w:pPr>
    </w:p>
    <w:p w14:paraId="17AE3640" w14:textId="77777777" w:rsidR="00166CB7" w:rsidRPr="00E273B1" w:rsidRDefault="00166CB7" w:rsidP="00166CB7">
      <w:pPr>
        <w:jc w:val="both"/>
        <w:rPr>
          <w:b/>
          <w:sz w:val="22"/>
          <w:szCs w:val="22"/>
        </w:rPr>
      </w:pPr>
      <w:r w:rsidRPr="00E273B1">
        <w:rPr>
          <w:b/>
          <w:sz w:val="22"/>
          <w:szCs w:val="22"/>
        </w:rPr>
        <w:t>Planned Changes to Metrics/Data Collection</w:t>
      </w:r>
    </w:p>
    <w:p w14:paraId="1163EB0D" w14:textId="58587DD8" w:rsidR="00166CB7" w:rsidRPr="00C26707" w:rsidRDefault="00E273B1" w:rsidP="00166CB7">
      <w:pPr>
        <w:jc w:val="both"/>
        <w:rPr>
          <w:bCs/>
          <w:sz w:val="22"/>
          <w:szCs w:val="22"/>
        </w:rPr>
      </w:pPr>
      <w:r w:rsidRPr="00E273B1">
        <w:rPr>
          <w:bCs/>
          <w:sz w:val="22"/>
          <w:szCs w:val="22"/>
        </w:rPr>
        <w:t>There are no changes to metrics</w:t>
      </w:r>
      <w:r w:rsidR="00484B0A" w:rsidRPr="00E273B1">
        <w:rPr>
          <w:bCs/>
          <w:sz w:val="22"/>
          <w:szCs w:val="22"/>
        </w:rPr>
        <w:t>.</w:t>
      </w:r>
      <w:r w:rsidR="00484B0A" w:rsidRPr="00C26707">
        <w:rPr>
          <w:bCs/>
          <w:sz w:val="22"/>
          <w:szCs w:val="22"/>
        </w:rPr>
        <w:t xml:space="preserve"> </w:t>
      </w:r>
      <w:r w:rsidR="00166CB7" w:rsidRPr="00C26707">
        <w:rPr>
          <w:bCs/>
          <w:sz w:val="22"/>
          <w:szCs w:val="22"/>
        </w:rPr>
        <w:t xml:space="preserve"> </w:t>
      </w:r>
    </w:p>
    <w:p w14:paraId="413D153C" w14:textId="77777777" w:rsidR="00166CB7" w:rsidRPr="00C26707" w:rsidRDefault="00166CB7" w:rsidP="00166CB7">
      <w:pPr>
        <w:pStyle w:val="ListParagraph"/>
        <w:numPr>
          <w:ilvl w:val="0"/>
          <w:numId w:val="0"/>
        </w:numPr>
        <w:ind w:left="360"/>
        <w:jc w:val="both"/>
      </w:pPr>
    </w:p>
    <w:p w14:paraId="5F646B86" w14:textId="77777777" w:rsidR="00166CB7" w:rsidRPr="00C26707" w:rsidRDefault="00166CB7" w:rsidP="00166CB7">
      <w:pPr>
        <w:autoSpaceDE w:val="0"/>
        <w:autoSpaceDN w:val="0"/>
        <w:adjustRightInd w:val="0"/>
        <w:jc w:val="both"/>
        <w:rPr>
          <w:b/>
          <w:color w:val="000000"/>
          <w:sz w:val="22"/>
          <w:szCs w:val="22"/>
        </w:rPr>
      </w:pPr>
      <w:r w:rsidRPr="00C26707">
        <w:rPr>
          <w:b/>
          <w:color w:val="000000"/>
          <w:sz w:val="22"/>
          <w:szCs w:val="22"/>
        </w:rPr>
        <w:t>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14"/>
        <w:gridCol w:w="1627"/>
        <w:gridCol w:w="1354"/>
        <w:gridCol w:w="1440"/>
      </w:tblGrid>
      <w:tr w:rsidR="004E079C" w:rsidRPr="003658D2" w14:paraId="4275DBF4" w14:textId="77777777" w:rsidTr="00666672">
        <w:trPr>
          <w:trHeight w:hRule="exact" w:val="317"/>
        </w:trPr>
        <w:tc>
          <w:tcPr>
            <w:tcW w:w="144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6C6C4B9" w14:textId="77777777" w:rsidR="004E079C" w:rsidRPr="003658D2" w:rsidRDefault="004E079C" w:rsidP="00655474">
            <w:pPr>
              <w:jc w:val="center"/>
              <w:rPr>
                <w:rFonts w:eastAsia="Calibri"/>
                <w:b/>
                <w:bCs/>
                <w:i/>
                <w:iCs/>
                <w:sz w:val="20"/>
                <w:szCs w:val="20"/>
              </w:rPr>
            </w:pPr>
            <w:r w:rsidRPr="003658D2">
              <w:rPr>
                <w:rFonts w:eastAsia="Calibri"/>
                <w:b/>
                <w:bCs/>
                <w:i/>
                <w:iCs/>
                <w:sz w:val="20"/>
                <w:szCs w:val="20"/>
              </w:rPr>
              <w:t>CE #4: Increase in Resources Leveraged</w:t>
            </w:r>
          </w:p>
        </w:tc>
      </w:tr>
      <w:tr w:rsidR="004E079C" w:rsidRPr="003658D2" w14:paraId="08B32954" w14:textId="77777777" w:rsidTr="00666672">
        <w:trPr>
          <w:trHeight w:hRule="exact" w:val="576"/>
        </w:trPr>
        <w:tc>
          <w:tcPr>
            <w:tcW w:w="3240" w:type="dxa"/>
            <w:shd w:val="clear" w:color="auto" w:fill="D9D9D9" w:themeFill="background1" w:themeFillShade="D9"/>
            <w:hideMark/>
          </w:tcPr>
          <w:p w14:paraId="3E83E519" w14:textId="77777777" w:rsidR="004E079C" w:rsidRPr="003658D2" w:rsidRDefault="004E079C" w:rsidP="00655474">
            <w:pPr>
              <w:jc w:val="center"/>
              <w:rPr>
                <w:b/>
                <w:bCs/>
                <w:sz w:val="20"/>
                <w:szCs w:val="20"/>
              </w:rPr>
            </w:pPr>
            <w:r w:rsidRPr="003658D2">
              <w:rPr>
                <w:b/>
                <w:bCs/>
                <w:sz w:val="20"/>
                <w:szCs w:val="20"/>
              </w:rPr>
              <w:t>Unit of Measurement</w:t>
            </w:r>
          </w:p>
        </w:tc>
        <w:tc>
          <w:tcPr>
            <w:tcW w:w="1714" w:type="dxa"/>
            <w:shd w:val="clear" w:color="auto" w:fill="D9D9D9" w:themeFill="background1" w:themeFillShade="D9"/>
            <w:hideMark/>
          </w:tcPr>
          <w:p w14:paraId="64F8D888" w14:textId="77777777" w:rsidR="004E079C" w:rsidRPr="003658D2" w:rsidRDefault="004E079C" w:rsidP="00655474">
            <w:pPr>
              <w:jc w:val="center"/>
              <w:rPr>
                <w:b/>
                <w:bCs/>
                <w:sz w:val="20"/>
                <w:szCs w:val="20"/>
              </w:rPr>
            </w:pPr>
            <w:r w:rsidRPr="003658D2">
              <w:rPr>
                <w:b/>
                <w:bCs/>
                <w:sz w:val="20"/>
                <w:szCs w:val="20"/>
              </w:rPr>
              <w:t>Baseline</w:t>
            </w:r>
          </w:p>
        </w:tc>
        <w:tc>
          <w:tcPr>
            <w:tcW w:w="1627" w:type="dxa"/>
            <w:shd w:val="clear" w:color="auto" w:fill="D9D9D9" w:themeFill="background1" w:themeFillShade="D9"/>
            <w:hideMark/>
          </w:tcPr>
          <w:p w14:paraId="3997BB30" w14:textId="77777777" w:rsidR="004E079C" w:rsidRPr="003658D2" w:rsidRDefault="004E079C" w:rsidP="00655474">
            <w:pPr>
              <w:jc w:val="center"/>
              <w:rPr>
                <w:b/>
                <w:bCs/>
                <w:sz w:val="20"/>
                <w:szCs w:val="20"/>
              </w:rPr>
            </w:pPr>
            <w:r w:rsidRPr="003658D2">
              <w:rPr>
                <w:b/>
                <w:bCs/>
                <w:sz w:val="20"/>
                <w:szCs w:val="20"/>
              </w:rPr>
              <w:t>Benchmark</w:t>
            </w:r>
          </w:p>
        </w:tc>
        <w:tc>
          <w:tcPr>
            <w:tcW w:w="1354" w:type="dxa"/>
            <w:shd w:val="clear" w:color="auto" w:fill="D9D9D9" w:themeFill="background1" w:themeFillShade="D9"/>
            <w:hideMark/>
          </w:tcPr>
          <w:p w14:paraId="0CF4FBDA" w14:textId="77777777" w:rsidR="004E079C" w:rsidRPr="003658D2" w:rsidRDefault="004E079C" w:rsidP="00655474">
            <w:pPr>
              <w:jc w:val="center"/>
              <w:rPr>
                <w:b/>
                <w:bCs/>
                <w:sz w:val="20"/>
                <w:szCs w:val="20"/>
              </w:rPr>
            </w:pPr>
            <w:r w:rsidRPr="003658D2">
              <w:rPr>
                <w:b/>
                <w:bCs/>
                <w:sz w:val="20"/>
                <w:szCs w:val="20"/>
              </w:rPr>
              <w:t>Outcome</w:t>
            </w:r>
          </w:p>
        </w:tc>
        <w:tc>
          <w:tcPr>
            <w:tcW w:w="1440" w:type="dxa"/>
            <w:shd w:val="clear" w:color="auto" w:fill="D9D9D9" w:themeFill="background1" w:themeFillShade="D9"/>
            <w:hideMark/>
          </w:tcPr>
          <w:p w14:paraId="2D6EA4C0" w14:textId="77777777" w:rsidR="004E079C" w:rsidRPr="003658D2" w:rsidRDefault="004E079C" w:rsidP="00655474">
            <w:pPr>
              <w:jc w:val="center"/>
              <w:rPr>
                <w:b/>
                <w:bCs/>
                <w:sz w:val="20"/>
                <w:szCs w:val="20"/>
              </w:rPr>
            </w:pPr>
            <w:r w:rsidRPr="003658D2">
              <w:rPr>
                <w:b/>
                <w:bCs/>
                <w:sz w:val="20"/>
                <w:szCs w:val="20"/>
              </w:rPr>
              <w:t>Benchmark Achieved?</w:t>
            </w:r>
          </w:p>
        </w:tc>
      </w:tr>
      <w:tr w:rsidR="003E174E" w:rsidRPr="003658D2" w14:paraId="490DA416" w14:textId="77777777" w:rsidTr="00666672">
        <w:trPr>
          <w:trHeight w:val="584"/>
        </w:trPr>
        <w:tc>
          <w:tcPr>
            <w:tcW w:w="3240" w:type="dxa"/>
            <w:hideMark/>
          </w:tcPr>
          <w:p w14:paraId="5C452B3E" w14:textId="77777777" w:rsidR="003E174E" w:rsidRPr="003658D2" w:rsidRDefault="003E174E" w:rsidP="003E174E">
            <w:pPr>
              <w:rPr>
                <w:sz w:val="20"/>
                <w:szCs w:val="20"/>
              </w:rPr>
            </w:pPr>
            <w:r w:rsidRPr="003658D2">
              <w:rPr>
                <w:sz w:val="20"/>
                <w:szCs w:val="20"/>
              </w:rPr>
              <w:t>Amount of funds leveraged in dollars (increase).</w:t>
            </w:r>
          </w:p>
        </w:tc>
        <w:tc>
          <w:tcPr>
            <w:tcW w:w="1714" w:type="dxa"/>
            <w:hideMark/>
          </w:tcPr>
          <w:p w14:paraId="6498DE69" w14:textId="77777777" w:rsidR="003E174E" w:rsidRPr="003658D2" w:rsidRDefault="003E174E" w:rsidP="00D748F5">
            <w:pPr>
              <w:jc w:val="center"/>
              <w:rPr>
                <w:sz w:val="20"/>
                <w:szCs w:val="20"/>
              </w:rPr>
            </w:pPr>
            <w:r w:rsidRPr="003658D2">
              <w:rPr>
                <w:sz w:val="20"/>
                <w:szCs w:val="20"/>
              </w:rPr>
              <w:t>$0.00</w:t>
            </w:r>
          </w:p>
        </w:tc>
        <w:tc>
          <w:tcPr>
            <w:tcW w:w="1627" w:type="dxa"/>
            <w:hideMark/>
          </w:tcPr>
          <w:p w14:paraId="579949C5" w14:textId="10D78047" w:rsidR="003E174E" w:rsidRPr="003658D2" w:rsidRDefault="003E174E" w:rsidP="00D748F5">
            <w:pPr>
              <w:jc w:val="center"/>
              <w:rPr>
                <w:sz w:val="20"/>
                <w:szCs w:val="20"/>
              </w:rPr>
            </w:pPr>
            <w:r w:rsidRPr="003658D2">
              <w:rPr>
                <w:sz w:val="20"/>
                <w:szCs w:val="20"/>
              </w:rPr>
              <w:t>$</w:t>
            </w:r>
            <w:r w:rsidR="00232CA8" w:rsidRPr="003658D2">
              <w:rPr>
                <w:sz w:val="20"/>
                <w:szCs w:val="20"/>
              </w:rPr>
              <w:t>380,000</w:t>
            </w:r>
            <w:r w:rsidR="00E003BD">
              <w:rPr>
                <w:sz w:val="20"/>
                <w:szCs w:val="20"/>
              </w:rPr>
              <w:t>*</w:t>
            </w:r>
          </w:p>
        </w:tc>
        <w:tc>
          <w:tcPr>
            <w:tcW w:w="1354" w:type="dxa"/>
            <w:hideMark/>
          </w:tcPr>
          <w:p w14:paraId="2E0DCD9E" w14:textId="66815FC2" w:rsidR="006D0E7E" w:rsidRPr="003658D2" w:rsidRDefault="006D0E7E" w:rsidP="00D748F5">
            <w:pPr>
              <w:jc w:val="center"/>
              <w:rPr>
                <w:sz w:val="20"/>
                <w:szCs w:val="20"/>
              </w:rPr>
            </w:pPr>
          </w:p>
        </w:tc>
        <w:tc>
          <w:tcPr>
            <w:tcW w:w="1440" w:type="dxa"/>
            <w:hideMark/>
          </w:tcPr>
          <w:p w14:paraId="2CAB7754" w14:textId="37E629DC" w:rsidR="006D0E7E" w:rsidRPr="003658D2" w:rsidRDefault="006D0E7E" w:rsidP="00D748F5">
            <w:pPr>
              <w:jc w:val="center"/>
              <w:rPr>
                <w:sz w:val="20"/>
                <w:szCs w:val="20"/>
              </w:rPr>
            </w:pPr>
          </w:p>
        </w:tc>
      </w:tr>
      <w:tr w:rsidR="00232CA8" w:rsidRPr="003658D2" w14:paraId="4ABEEE8E" w14:textId="77777777" w:rsidTr="00666672">
        <w:trPr>
          <w:trHeight w:val="350"/>
        </w:trPr>
        <w:tc>
          <w:tcPr>
            <w:tcW w:w="1440" w:type="dxa"/>
            <w:gridSpan w:val="5"/>
          </w:tcPr>
          <w:p w14:paraId="0887546F" w14:textId="276A5A46" w:rsidR="00232CA8" w:rsidRPr="003658D2" w:rsidRDefault="00232CA8" w:rsidP="008D4C62">
            <w:pPr>
              <w:rPr>
                <w:i/>
                <w:sz w:val="20"/>
                <w:szCs w:val="20"/>
              </w:rPr>
            </w:pPr>
            <w:r w:rsidRPr="003658D2">
              <w:rPr>
                <w:i/>
                <w:sz w:val="20"/>
                <w:szCs w:val="20"/>
              </w:rPr>
              <w:t xml:space="preserve">*This number is tied to the number of participants. </w:t>
            </w:r>
          </w:p>
        </w:tc>
      </w:tr>
      <w:tr w:rsidR="004E079C" w:rsidRPr="003658D2" w14:paraId="204926EE" w14:textId="77777777" w:rsidTr="00666672">
        <w:trPr>
          <w:trHeight w:hRule="exact" w:val="317"/>
        </w:trPr>
        <w:tc>
          <w:tcPr>
            <w:tcW w:w="1440" w:type="dxa"/>
            <w:gridSpan w:val="5"/>
            <w:shd w:val="clear" w:color="auto" w:fill="C6D9F1" w:themeFill="text2" w:themeFillTint="33"/>
          </w:tcPr>
          <w:p w14:paraId="2B5CC047" w14:textId="77777777" w:rsidR="004E079C" w:rsidRPr="003658D2" w:rsidRDefault="004E079C" w:rsidP="004E079C">
            <w:pPr>
              <w:jc w:val="center"/>
              <w:rPr>
                <w:sz w:val="20"/>
                <w:szCs w:val="20"/>
              </w:rPr>
            </w:pPr>
            <w:r w:rsidRPr="003658D2">
              <w:rPr>
                <w:b/>
                <w:bCs/>
                <w:i/>
                <w:iCs/>
                <w:sz w:val="20"/>
                <w:szCs w:val="20"/>
              </w:rPr>
              <w:t>SS #1: Increase in Household Income</w:t>
            </w:r>
          </w:p>
        </w:tc>
      </w:tr>
      <w:tr w:rsidR="004E079C" w:rsidRPr="003658D2" w14:paraId="44A83E44" w14:textId="77777777" w:rsidTr="00666672">
        <w:trPr>
          <w:trHeight w:hRule="exact" w:val="576"/>
        </w:trPr>
        <w:tc>
          <w:tcPr>
            <w:tcW w:w="3240" w:type="dxa"/>
            <w:shd w:val="clear" w:color="auto" w:fill="D9D9D9" w:themeFill="background1" w:themeFillShade="D9"/>
          </w:tcPr>
          <w:p w14:paraId="316748B6" w14:textId="77777777" w:rsidR="004E079C" w:rsidRPr="003658D2" w:rsidRDefault="004E079C" w:rsidP="004E079C">
            <w:pPr>
              <w:jc w:val="center"/>
              <w:rPr>
                <w:b/>
                <w:bCs/>
                <w:sz w:val="20"/>
                <w:szCs w:val="20"/>
              </w:rPr>
            </w:pPr>
            <w:r w:rsidRPr="003658D2">
              <w:rPr>
                <w:b/>
                <w:bCs/>
                <w:sz w:val="20"/>
                <w:szCs w:val="20"/>
              </w:rPr>
              <w:t>Unit of Measurement</w:t>
            </w:r>
          </w:p>
        </w:tc>
        <w:tc>
          <w:tcPr>
            <w:tcW w:w="1714" w:type="dxa"/>
            <w:shd w:val="clear" w:color="auto" w:fill="D9D9D9" w:themeFill="background1" w:themeFillShade="D9"/>
          </w:tcPr>
          <w:p w14:paraId="625D3632" w14:textId="77777777" w:rsidR="004E079C" w:rsidRPr="003658D2" w:rsidRDefault="004E079C" w:rsidP="004E079C">
            <w:pPr>
              <w:jc w:val="center"/>
              <w:rPr>
                <w:b/>
                <w:bCs/>
                <w:sz w:val="20"/>
                <w:szCs w:val="20"/>
              </w:rPr>
            </w:pPr>
            <w:r w:rsidRPr="003658D2">
              <w:rPr>
                <w:b/>
                <w:bCs/>
                <w:sz w:val="20"/>
                <w:szCs w:val="20"/>
              </w:rPr>
              <w:t>Baseline</w:t>
            </w:r>
          </w:p>
        </w:tc>
        <w:tc>
          <w:tcPr>
            <w:tcW w:w="1627" w:type="dxa"/>
            <w:shd w:val="clear" w:color="auto" w:fill="D9D9D9" w:themeFill="background1" w:themeFillShade="D9"/>
          </w:tcPr>
          <w:p w14:paraId="2CF51254" w14:textId="77777777" w:rsidR="004E079C" w:rsidRPr="003658D2" w:rsidRDefault="004E079C" w:rsidP="004E079C">
            <w:pPr>
              <w:jc w:val="center"/>
              <w:rPr>
                <w:b/>
                <w:bCs/>
                <w:sz w:val="20"/>
                <w:szCs w:val="20"/>
              </w:rPr>
            </w:pPr>
            <w:r w:rsidRPr="003658D2">
              <w:rPr>
                <w:b/>
                <w:bCs/>
                <w:sz w:val="20"/>
                <w:szCs w:val="20"/>
              </w:rPr>
              <w:t>Benchmark</w:t>
            </w:r>
          </w:p>
        </w:tc>
        <w:tc>
          <w:tcPr>
            <w:tcW w:w="1354" w:type="dxa"/>
            <w:shd w:val="clear" w:color="auto" w:fill="D9D9D9" w:themeFill="background1" w:themeFillShade="D9"/>
          </w:tcPr>
          <w:p w14:paraId="50CCE526" w14:textId="77777777" w:rsidR="004E079C" w:rsidRPr="003658D2" w:rsidRDefault="004E079C" w:rsidP="004E079C">
            <w:pPr>
              <w:jc w:val="center"/>
              <w:rPr>
                <w:b/>
                <w:bCs/>
                <w:sz w:val="20"/>
                <w:szCs w:val="20"/>
              </w:rPr>
            </w:pPr>
            <w:r w:rsidRPr="003658D2">
              <w:rPr>
                <w:b/>
                <w:bCs/>
                <w:sz w:val="20"/>
                <w:szCs w:val="20"/>
              </w:rPr>
              <w:t>Outcome</w:t>
            </w:r>
          </w:p>
        </w:tc>
        <w:tc>
          <w:tcPr>
            <w:tcW w:w="1440" w:type="dxa"/>
            <w:shd w:val="clear" w:color="auto" w:fill="D9D9D9" w:themeFill="background1" w:themeFillShade="D9"/>
          </w:tcPr>
          <w:p w14:paraId="5F7FCB54" w14:textId="77777777" w:rsidR="004E079C" w:rsidRPr="003658D2" w:rsidRDefault="004E079C" w:rsidP="004E079C">
            <w:pPr>
              <w:jc w:val="center"/>
              <w:rPr>
                <w:b/>
                <w:bCs/>
                <w:sz w:val="20"/>
                <w:szCs w:val="20"/>
              </w:rPr>
            </w:pPr>
            <w:r w:rsidRPr="003658D2">
              <w:rPr>
                <w:b/>
                <w:bCs/>
                <w:sz w:val="20"/>
                <w:szCs w:val="20"/>
              </w:rPr>
              <w:t>Benchmark Achieved?</w:t>
            </w:r>
          </w:p>
        </w:tc>
      </w:tr>
      <w:tr w:rsidR="003E174E" w:rsidRPr="003658D2" w14:paraId="5227B69C" w14:textId="77777777" w:rsidTr="00666672">
        <w:trPr>
          <w:trHeight w:val="836"/>
        </w:trPr>
        <w:tc>
          <w:tcPr>
            <w:tcW w:w="3240" w:type="dxa"/>
          </w:tcPr>
          <w:p w14:paraId="05698E00" w14:textId="77777777" w:rsidR="003E174E" w:rsidRPr="003658D2" w:rsidRDefault="003E174E" w:rsidP="003E174E">
            <w:pPr>
              <w:rPr>
                <w:sz w:val="20"/>
                <w:szCs w:val="20"/>
              </w:rPr>
            </w:pPr>
            <w:r w:rsidRPr="003658D2">
              <w:rPr>
                <w:sz w:val="20"/>
                <w:szCs w:val="20"/>
              </w:rPr>
              <w:t>Average earned income of households affected by this policy in dollars (increase).</w:t>
            </w:r>
          </w:p>
        </w:tc>
        <w:tc>
          <w:tcPr>
            <w:tcW w:w="1714" w:type="dxa"/>
          </w:tcPr>
          <w:p w14:paraId="3D793A91" w14:textId="77777777" w:rsidR="003E174E" w:rsidRPr="003658D2" w:rsidRDefault="003E174E" w:rsidP="00D748F5">
            <w:pPr>
              <w:jc w:val="center"/>
              <w:rPr>
                <w:sz w:val="20"/>
                <w:szCs w:val="20"/>
              </w:rPr>
            </w:pPr>
            <w:r w:rsidRPr="003658D2">
              <w:rPr>
                <w:sz w:val="20"/>
                <w:szCs w:val="20"/>
              </w:rPr>
              <w:t>$9,492 for current YTTSP participants at time of enrollment</w:t>
            </w:r>
          </w:p>
        </w:tc>
        <w:tc>
          <w:tcPr>
            <w:tcW w:w="1627" w:type="dxa"/>
          </w:tcPr>
          <w:p w14:paraId="6EC898BA" w14:textId="3612EA99" w:rsidR="003E174E" w:rsidRPr="003658D2" w:rsidRDefault="003E174E" w:rsidP="00D748F5">
            <w:pPr>
              <w:jc w:val="center"/>
              <w:rPr>
                <w:sz w:val="20"/>
                <w:szCs w:val="20"/>
              </w:rPr>
            </w:pPr>
            <w:r w:rsidRPr="003658D2">
              <w:rPr>
                <w:rFonts w:eastAsia="Calibri"/>
                <w:bCs/>
                <w:iCs/>
                <w:sz w:val="20"/>
                <w:szCs w:val="20"/>
              </w:rPr>
              <w:t>$10,012</w:t>
            </w:r>
            <w:r w:rsidR="00727AC8" w:rsidRPr="003658D2">
              <w:rPr>
                <w:rFonts w:eastAsia="Calibri"/>
                <w:bCs/>
                <w:iCs/>
                <w:sz w:val="20"/>
                <w:szCs w:val="20"/>
              </w:rPr>
              <w:t>*</w:t>
            </w:r>
          </w:p>
        </w:tc>
        <w:tc>
          <w:tcPr>
            <w:tcW w:w="1354" w:type="dxa"/>
          </w:tcPr>
          <w:p w14:paraId="2097FF6C" w14:textId="30716380" w:rsidR="003E174E" w:rsidRPr="003658D2" w:rsidRDefault="003E174E" w:rsidP="00D748F5">
            <w:pPr>
              <w:jc w:val="center"/>
              <w:rPr>
                <w:sz w:val="20"/>
                <w:szCs w:val="20"/>
              </w:rPr>
            </w:pPr>
          </w:p>
        </w:tc>
        <w:tc>
          <w:tcPr>
            <w:tcW w:w="1440" w:type="dxa"/>
          </w:tcPr>
          <w:p w14:paraId="022EA2C9" w14:textId="4EF5F97D" w:rsidR="003E174E" w:rsidRPr="003658D2" w:rsidRDefault="003E174E" w:rsidP="00D748F5">
            <w:pPr>
              <w:jc w:val="center"/>
              <w:rPr>
                <w:sz w:val="20"/>
                <w:szCs w:val="20"/>
              </w:rPr>
            </w:pPr>
          </w:p>
        </w:tc>
      </w:tr>
      <w:tr w:rsidR="00727AC8" w:rsidRPr="003658D2" w14:paraId="7E12A462" w14:textId="77777777" w:rsidTr="00666672">
        <w:trPr>
          <w:trHeight w:hRule="exact" w:val="317"/>
        </w:trPr>
        <w:tc>
          <w:tcPr>
            <w:tcW w:w="1440" w:type="dxa"/>
            <w:gridSpan w:val="5"/>
            <w:shd w:val="clear" w:color="auto" w:fill="FFFFFF" w:themeFill="background1"/>
          </w:tcPr>
          <w:p w14:paraId="467B2A4D" w14:textId="7F5DDC3C" w:rsidR="00727AC8" w:rsidRPr="003658D2" w:rsidRDefault="00727AC8" w:rsidP="00727AC8">
            <w:pPr>
              <w:rPr>
                <w:bCs/>
                <w:i/>
                <w:iCs/>
                <w:sz w:val="20"/>
                <w:szCs w:val="20"/>
              </w:rPr>
            </w:pPr>
            <w:r w:rsidRPr="003658D2">
              <w:rPr>
                <w:bCs/>
                <w:i/>
                <w:iCs/>
                <w:sz w:val="20"/>
                <w:szCs w:val="20"/>
              </w:rPr>
              <w:t>*Where participants enroll in school and reduce hours worked, this benchmark may be overstated.</w:t>
            </w:r>
          </w:p>
        </w:tc>
      </w:tr>
      <w:tr w:rsidR="004E079C" w:rsidRPr="003658D2" w14:paraId="7637ADD4" w14:textId="77777777" w:rsidTr="00666672">
        <w:trPr>
          <w:trHeight w:hRule="exact" w:val="317"/>
        </w:trPr>
        <w:tc>
          <w:tcPr>
            <w:tcW w:w="1440" w:type="dxa"/>
            <w:gridSpan w:val="5"/>
            <w:shd w:val="clear" w:color="auto" w:fill="C6D9F1" w:themeFill="text2" w:themeFillTint="33"/>
            <w:hideMark/>
          </w:tcPr>
          <w:p w14:paraId="5895645A" w14:textId="77777777" w:rsidR="004E079C" w:rsidRPr="003658D2" w:rsidRDefault="004E079C" w:rsidP="004E079C">
            <w:pPr>
              <w:jc w:val="center"/>
              <w:rPr>
                <w:b/>
                <w:bCs/>
                <w:i/>
                <w:iCs/>
                <w:sz w:val="20"/>
                <w:szCs w:val="20"/>
              </w:rPr>
            </w:pPr>
            <w:r w:rsidRPr="003658D2">
              <w:rPr>
                <w:b/>
                <w:bCs/>
                <w:i/>
                <w:iCs/>
                <w:sz w:val="20"/>
                <w:szCs w:val="20"/>
              </w:rPr>
              <w:t>SS #2: Increase in Household Savings</w:t>
            </w:r>
          </w:p>
        </w:tc>
      </w:tr>
      <w:tr w:rsidR="004E079C" w:rsidRPr="003658D2" w14:paraId="6BD1B528" w14:textId="77777777" w:rsidTr="00666672">
        <w:trPr>
          <w:trHeight w:hRule="exact" w:val="576"/>
        </w:trPr>
        <w:tc>
          <w:tcPr>
            <w:tcW w:w="3240" w:type="dxa"/>
            <w:shd w:val="clear" w:color="auto" w:fill="D9D9D9" w:themeFill="background1" w:themeFillShade="D9"/>
            <w:hideMark/>
          </w:tcPr>
          <w:p w14:paraId="511495C0" w14:textId="77777777" w:rsidR="004E079C" w:rsidRPr="003658D2" w:rsidRDefault="004E079C" w:rsidP="004E079C">
            <w:pPr>
              <w:jc w:val="center"/>
              <w:rPr>
                <w:b/>
                <w:bCs/>
                <w:sz w:val="20"/>
                <w:szCs w:val="20"/>
              </w:rPr>
            </w:pPr>
            <w:r w:rsidRPr="003658D2">
              <w:rPr>
                <w:b/>
                <w:bCs/>
                <w:sz w:val="20"/>
                <w:szCs w:val="20"/>
              </w:rPr>
              <w:t>Unit of Measurement</w:t>
            </w:r>
          </w:p>
        </w:tc>
        <w:tc>
          <w:tcPr>
            <w:tcW w:w="1714" w:type="dxa"/>
            <w:shd w:val="clear" w:color="auto" w:fill="D9D9D9" w:themeFill="background1" w:themeFillShade="D9"/>
            <w:hideMark/>
          </w:tcPr>
          <w:p w14:paraId="1DC1CAC8" w14:textId="77777777" w:rsidR="004E079C" w:rsidRPr="003658D2" w:rsidRDefault="004E079C" w:rsidP="004E079C">
            <w:pPr>
              <w:jc w:val="center"/>
              <w:rPr>
                <w:b/>
                <w:bCs/>
                <w:sz w:val="20"/>
                <w:szCs w:val="20"/>
              </w:rPr>
            </w:pPr>
            <w:r w:rsidRPr="003658D2">
              <w:rPr>
                <w:b/>
                <w:bCs/>
                <w:sz w:val="20"/>
                <w:szCs w:val="20"/>
              </w:rPr>
              <w:t>Baseline</w:t>
            </w:r>
          </w:p>
        </w:tc>
        <w:tc>
          <w:tcPr>
            <w:tcW w:w="1627" w:type="dxa"/>
            <w:shd w:val="clear" w:color="auto" w:fill="D9D9D9" w:themeFill="background1" w:themeFillShade="D9"/>
            <w:hideMark/>
          </w:tcPr>
          <w:p w14:paraId="2E8D20F1" w14:textId="77777777" w:rsidR="004E079C" w:rsidRPr="003658D2" w:rsidRDefault="004E079C" w:rsidP="004E079C">
            <w:pPr>
              <w:jc w:val="center"/>
              <w:rPr>
                <w:b/>
                <w:bCs/>
                <w:sz w:val="20"/>
                <w:szCs w:val="20"/>
              </w:rPr>
            </w:pPr>
            <w:r w:rsidRPr="003658D2">
              <w:rPr>
                <w:b/>
                <w:bCs/>
                <w:sz w:val="20"/>
                <w:szCs w:val="20"/>
              </w:rPr>
              <w:t>Benchmark</w:t>
            </w:r>
          </w:p>
        </w:tc>
        <w:tc>
          <w:tcPr>
            <w:tcW w:w="1354" w:type="dxa"/>
            <w:shd w:val="clear" w:color="auto" w:fill="D9D9D9" w:themeFill="background1" w:themeFillShade="D9"/>
            <w:hideMark/>
          </w:tcPr>
          <w:p w14:paraId="77357F8F" w14:textId="77777777" w:rsidR="004E079C" w:rsidRPr="003658D2" w:rsidRDefault="004E079C" w:rsidP="004E079C">
            <w:pPr>
              <w:jc w:val="center"/>
              <w:rPr>
                <w:b/>
                <w:bCs/>
                <w:sz w:val="20"/>
                <w:szCs w:val="20"/>
              </w:rPr>
            </w:pPr>
            <w:r w:rsidRPr="003658D2">
              <w:rPr>
                <w:b/>
                <w:bCs/>
                <w:sz w:val="20"/>
                <w:szCs w:val="20"/>
              </w:rPr>
              <w:t>Outcome</w:t>
            </w:r>
          </w:p>
        </w:tc>
        <w:tc>
          <w:tcPr>
            <w:tcW w:w="1440" w:type="dxa"/>
            <w:shd w:val="clear" w:color="auto" w:fill="D9D9D9" w:themeFill="background1" w:themeFillShade="D9"/>
            <w:hideMark/>
          </w:tcPr>
          <w:p w14:paraId="5A6B9220" w14:textId="77777777" w:rsidR="004E079C" w:rsidRPr="003658D2" w:rsidRDefault="004E079C" w:rsidP="004E079C">
            <w:pPr>
              <w:jc w:val="center"/>
              <w:rPr>
                <w:b/>
                <w:bCs/>
                <w:sz w:val="20"/>
                <w:szCs w:val="20"/>
              </w:rPr>
            </w:pPr>
            <w:r w:rsidRPr="003658D2">
              <w:rPr>
                <w:b/>
                <w:bCs/>
                <w:sz w:val="20"/>
                <w:szCs w:val="20"/>
              </w:rPr>
              <w:t>Benchmark Achieved?</w:t>
            </w:r>
          </w:p>
        </w:tc>
      </w:tr>
      <w:tr w:rsidR="003E174E" w:rsidRPr="003658D2" w14:paraId="79839106" w14:textId="77777777" w:rsidTr="00666672">
        <w:trPr>
          <w:trHeight w:val="737"/>
        </w:trPr>
        <w:tc>
          <w:tcPr>
            <w:tcW w:w="3240" w:type="dxa"/>
            <w:hideMark/>
          </w:tcPr>
          <w:p w14:paraId="671FB012" w14:textId="77777777" w:rsidR="003E174E" w:rsidRPr="003658D2" w:rsidRDefault="003E174E" w:rsidP="003E174E">
            <w:pPr>
              <w:rPr>
                <w:sz w:val="20"/>
                <w:szCs w:val="20"/>
              </w:rPr>
            </w:pPr>
            <w:r w:rsidRPr="003658D2">
              <w:rPr>
                <w:sz w:val="20"/>
                <w:szCs w:val="20"/>
              </w:rPr>
              <w:t>Average amount of savings/escrow of households affected by this policy in dollars (increase).</w:t>
            </w:r>
          </w:p>
        </w:tc>
        <w:tc>
          <w:tcPr>
            <w:tcW w:w="1714" w:type="dxa"/>
            <w:hideMark/>
          </w:tcPr>
          <w:p w14:paraId="45B29C26" w14:textId="77777777" w:rsidR="003E174E" w:rsidRPr="003658D2" w:rsidRDefault="003E174E" w:rsidP="00D748F5">
            <w:pPr>
              <w:jc w:val="center"/>
              <w:rPr>
                <w:sz w:val="20"/>
                <w:szCs w:val="20"/>
              </w:rPr>
            </w:pPr>
            <w:r w:rsidRPr="003658D2">
              <w:rPr>
                <w:sz w:val="20"/>
                <w:szCs w:val="20"/>
              </w:rPr>
              <w:t>$0</w:t>
            </w:r>
          </w:p>
        </w:tc>
        <w:tc>
          <w:tcPr>
            <w:tcW w:w="1627" w:type="dxa"/>
            <w:hideMark/>
          </w:tcPr>
          <w:p w14:paraId="2ACA33AD" w14:textId="0B384DEE" w:rsidR="003E174E" w:rsidRPr="003658D2" w:rsidRDefault="003E174E" w:rsidP="00D748F5">
            <w:pPr>
              <w:jc w:val="center"/>
              <w:rPr>
                <w:sz w:val="20"/>
                <w:szCs w:val="20"/>
              </w:rPr>
            </w:pPr>
            <w:r w:rsidRPr="003658D2">
              <w:rPr>
                <w:sz w:val="20"/>
                <w:szCs w:val="20"/>
              </w:rPr>
              <w:t>$680 savings</w:t>
            </w:r>
          </w:p>
        </w:tc>
        <w:tc>
          <w:tcPr>
            <w:tcW w:w="1354" w:type="dxa"/>
            <w:hideMark/>
          </w:tcPr>
          <w:p w14:paraId="2A2D478B" w14:textId="4D6ABC9C" w:rsidR="003E174E" w:rsidRPr="003658D2" w:rsidRDefault="003E174E" w:rsidP="00D748F5">
            <w:pPr>
              <w:jc w:val="center"/>
              <w:rPr>
                <w:sz w:val="20"/>
                <w:szCs w:val="20"/>
              </w:rPr>
            </w:pPr>
          </w:p>
        </w:tc>
        <w:tc>
          <w:tcPr>
            <w:tcW w:w="1440" w:type="dxa"/>
            <w:hideMark/>
          </w:tcPr>
          <w:p w14:paraId="261E7537" w14:textId="456775F7" w:rsidR="003E174E" w:rsidRPr="003658D2" w:rsidRDefault="003E174E" w:rsidP="00D748F5">
            <w:pPr>
              <w:jc w:val="center"/>
              <w:rPr>
                <w:sz w:val="20"/>
                <w:szCs w:val="20"/>
              </w:rPr>
            </w:pPr>
          </w:p>
        </w:tc>
      </w:tr>
      <w:tr w:rsidR="004E079C" w:rsidRPr="003658D2" w14:paraId="380D8F47" w14:textId="77777777" w:rsidTr="00666672">
        <w:trPr>
          <w:trHeight w:hRule="exact" w:val="317"/>
        </w:trPr>
        <w:tc>
          <w:tcPr>
            <w:tcW w:w="1440" w:type="dxa"/>
            <w:gridSpan w:val="5"/>
            <w:shd w:val="clear" w:color="auto" w:fill="C6D9F1" w:themeFill="text2" w:themeFillTint="33"/>
            <w:hideMark/>
          </w:tcPr>
          <w:p w14:paraId="475F8F69" w14:textId="77777777" w:rsidR="004E079C" w:rsidRPr="003658D2" w:rsidRDefault="004E079C" w:rsidP="004E079C">
            <w:pPr>
              <w:jc w:val="center"/>
              <w:rPr>
                <w:rFonts w:eastAsia="Calibri"/>
                <w:b/>
                <w:bCs/>
                <w:i/>
                <w:iCs/>
                <w:sz w:val="20"/>
                <w:szCs w:val="20"/>
              </w:rPr>
            </w:pPr>
            <w:r w:rsidRPr="003658D2">
              <w:rPr>
                <w:rFonts w:eastAsia="Calibri"/>
                <w:b/>
                <w:bCs/>
                <w:i/>
                <w:iCs/>
                <w:sz w:val="20"/>
                <w:szCs w:val="20"/>
              </w:rPr>
              <w:t>SS #3: Increase in Positive Outcomes in Employment Status</w:t>
            </w:r>
          </w:p>
        </w:tc>
      </w:tr>
      <w:tr w:rsidR="004E079C" w:rsidRPr="003658D2" w14:paraId="05798609" w14:textId="77777777" w:rsidTr="00666672">
        <w:trPr>
          <w:trHeight w:hRule="exact" w:val="576"/>
        </w:trPr>
        <w:tc>
          <w:tcPr>
            <w:tcW w:w="3240" w:type="dxa"/>
            <w:shd w:val="clear" w:color="auto" w:fill="D9D9D9" w:themeFill="background1" w:themeFillShade="D9"/>
            <w:hideMark/>
          </w:tcPr>
          <w:p w14:paraId="7B3E725A" w14:textId="77777777" w:rsidR="004E079C" w:rsidRPr="003658D2" w:rsidRDefault="004E079C" w:rsidP="004E079C">
            <w:pPr>
              <w:jc w:val="center"/>
              <w:rPr>
                <w:rFonts w:eastAsia="Calibri"/>
                <w:b/>
                <w:bCs/>
                <w:sz w:val="20"/>
                <w:szCs w:val="20"/>
              </w:rPr>
            </w:pPr>
            <w:r w:rsidRPr="003658D2">
              <w:rPr>
                <w:rFonts w:eastAsia="Calibri"/>
                <w:b/>
                <w:bCs/>
                <w:sz w:val="20"/>
                <w:szCs w:val="20"/>
              </w:rPr>
              <w:t>Unit of Measurement</w:t>
            </w:r>
          </w:p>
        </w:tc>
        <w:tc>
          <w:tcPr>
            <w:tcW w:w="1714" w:type="dxa"/>
            <w:shd w:val="clear" w:color="auto" w:fill="D9D9D9" w:themeFill="background1" w:themeFillShade="D9"/>
            <w:hideMark/>
          </w:tcPr>
          <w:p w14:paraId="25B5E58D" w14:textId="77777777" w:rsidR="004E079C" w:rsidRPr="003658D2" w:rsidRDefault="004E079C" w:rsidP="004E079C">
            <w:pPr>
              <w:jc w:val="center"/>
              <w:rPr>
                <w:rFonts w:eastAsia="Calibri"/>
                <w:b/>
                <w:bCs/>
                <w:sz w:val="20"/>
                <w:szCs w:val="20"/>
              </w:rPr>
            </w:pPr>
            <w:r w:rsidRPr="003658D2">
              <w:rPr>
                <w:rFonts w:eastAsia="Calibri"/>
                <w:b/>
                <w:bCs/>
                <w:sz w:val="20"/>
                <w:szCs w:val="20"/>
              </w:rPr>
              <w:t>Baseline</w:t>
            </w:r>
          </w:p>
        </w:tc>
        <w:tc>
          <w:tcPr>
            <w:tcW w:w="1627" w:type="dxa"/>
            <w:shd w:val="clear" w:color="auto" w:fill="D9D9D9" w:themeFill="background1" w:themeFillShade="D9"/>
            <w:hideMark/>
          </w:tcPr>
          <w:p w14:paraId="4E3419A1" w14:textId="77777777" w:rsidR="004E079C" w:rsidRPr="003658D2" w:rsidRDefault="004E079C" w:rsidP="004E079C">
            <w:pPr>
              <w:jc w:val="center"/>
              <w:rPr>
                <w:rFonts w:eastAsia="Calibri"/>
                <w:b/>
                <w:bCs/>
                <w:sz w:val="20"/>
                <w:szCs w:val="20"/>
              </w:rPr>
            </w:pPr>
            <w:r w:rsidRPr="003658D2">
              <w:rPr>
                <w:rFonts w:eastAsia="Calibri"/>
                <w:b/>
                <w:bCs/>
                <w:sz w:val="20"/>
                <w:szCs w:val="20"/>
              </w:rPr>
              <w:t>Benchmark</w:t>
            </w:r>
          </w:p>
        </w:tc>
        <w:tc>
          <w:tcPr>
            <w:tcW w:w="1354" w:type="dxa"/>
            <w:shd w:val="clear" w:color="auto" w:fill="D9D9D9" w:themeFill="background1" w:themeFillShade="D9"/>
            <w:hideMark/>
          </w:tcPr>
          <w:p w14:paraId="3FC8134D" w14:textId="77777777" w:rsidR="004E079C" w:rsidRPr="003658D2" w:rsidRDefault="004E079C" w:rsidP="004E079C">
            <w:pPr>
              <w:jc w:val="center"/>
              <w:rPr>
                <w:rFonts w:eastAsia="Calibri"/>
                <w:b/>
                <w:bCs/>
                <w:sz w:val="20"/>
                <w:szCs w:val="20"/>
              </w:rPr>
            </w:pPr>
            <w:r w:rsidRPr="003658D2">
              <w:rPr>
                <w:rFonts w:eastAsia="Calibri"/>
                <w:b/>
                <w:bCs/>
                <w:sz w:val="20"/>
                <w:szCs w:val="20"/>
              </w:rPr>
              <w:t>Outcome</w:t>
            </w:r>
          </w:p>
        </w:tc>
        <w:tc>
          <w:tcPr>
            <w:tcW w:w="1440" w:type="dxa"/>
            <w:shd w:val="clear" w:color="auto" w:fill="D9D9D9" w:themeFill="background1" w:themeFillShade="D9"/>
            <w:hideMark/>
          </w:tcPr>
          <w:p w14:paraId="79993454" w14:textId="77777777" w:rsidR="004E079C" w:rsidRPr="003658D2" w:rsidRDefault="004E079C" w:rsidP="004E079C">
            <w:pPr>
              <w:jc w:val="center"/>
              <w:rPr>
                <w:rFonts w:eastAsia="Calibri"/>
                <w:b/>
                <w:bCs/>
                <w:sz w:val="20"/>
                <w:szCs w:val="20"/>
              </w:rPr>
            </w:pPr>
            <w:r w:rsidRPr="003658D2">
              <w:rPr>
                <w:rFonts w:eastAsia="Calibri"/>
                <w:b/>
                <w:bCs/>
                <w:sz w:val="20"/>
                <w:szCs w:val="20"/>
              </w:rPr>
              <w:t>Benchmark Achieved?</w:t>
            </w:r>
          </w:p>
        </w:tc>
      </w:tr>
      <w:tr w:rsidR="003E174E" w:rsidRPr="003658D2" w14:paraId="5A2E8632" w14:textId="77777777" w:rsidTr="00666672">
        <w:trPr>
          <w:trHeight w:val="315"/>
        </w:trPr>
        <w:tc>
          <w:tcPr>
            <w:tcW w:w="3240" w:type="dxa"/>
            <w:vMerge w:val="restart"/>
            <w:shd w:val="clear" w:color="auto" w:fill="auto"/>
            <w:hideMark/>
          </w:tcPr>
          <w:p w14:paraId="04A5F494" w14:textId="63594CAD" w:rsidR="003E174E" w:rsidRPr="003658D2" w:rsidRDefault="003E174E" w:rsidP="003E174E">
            <w:pPr>
              <w:rPr>
                <w:rFonts w:eastAsia="Calibri"/>
                <w:sz w:val="20"/>
                <w:szCs w:val="20"/>
              </w:rPr>
            </w:pPr>
            <w:r w:rsidRPr="003658D2">
              <w:rPr>
                <w:rFonts w:eastAsia="Calibri"/>
                <w:sz w:val="20"/>
                <w:szCs w:val="20"/>
              </w:rPr>
              <w:t>Enrolled in an  Educational Program</w:t>
            </w:r>
            <w:r w:rsidR="00E003BD">
              <w:rPr>
                <w:rFonts w:eastAsia="Calibri"/>
                <w:sz w:val="20"/>
                <w:szCs w:val="20"/>
              </w:rPr>
              <w:t xml:space="preserve"> or Job Training</w:t>
            </w:r>
          </w:p>
        </w:tc>
        <w:tc>
          <w:tcPr>
            <w:tcW w:w="1714" w:type="dxa"/>
            <w:shd w:val="clear" w:color="auto" w:fill="auto"/>
          </w:tcPr>
          <w:p w14:paraId="6DA48397" w14:textId="77777777" w:rsidR="003E174E" w:rsidRPr="003658D2" w:rsidRDefault="003E174E" w:rsidP="00D748F5">
            <w:pPr>
              <w:jc w:val="center"/>
              <w:rPr>
                <w:rFonts w:eastAsia="Calibri"/>
                <w:sz w:val="20"/>
                <w:szCs w:val="20"/>
              </w:rPr>
            </w:pPr>
            <w:r w:rsidRPr="003658D2">
              <w:rPr>
                <w:rFonts w:eastAsia="Calibri"/>
                <w:sz w:val="20"/>
                <w:szCs w:val="20"/>
              </w:rPr>
              <w:t>7 participants</w:t>
            </w:r>
          </w:p>
        </w:tc>
        <w:tc>
          <w:tcPr>
            <w:tcW w:w="1627" w:type="dxa"/>
            <w:shd w:val="clear" w:color="auto" w:fill="auto"/>
          </w:tcPr>
          <w:p w14:paraId="5B59300A" w14:textId="1D8BDE35" w:rsidR="003E174E" w:rsidRPr="003658D2" w:rsidRDefault="00484B0A" w:rsidP="00D748F5">
            <w:pPr>
              <w:jc w:val="center"/>
              <w:rPr>
                <w:rFonts w:eastAsia="Calibri"/>
                <w:sz w:val="20"/>
                <w:szCs w:val="20"/>
              </w:rPr>
            </w:pPr>
            <w:r w:rsidRPr="003658D2">
              <w:rPr>
                <w:rFonts w:eastAsia="Calibri"/>
                <w:sz w:val="20"/>
                <w:szCs w:val="20"/>
              </w:rPr>
              <w:t>34</w:t>
            </w:r>
            <w:r w:rsidR="003E174E" w:rsidRPr="003658D2">
              <w:rPr>
                <w:rFonts w:eastAsia="Calibri"/>
                <w:sz w:val="20"/>
                <w:szCs w:val="20"/>
              </w:rPr>
              <w:t xml:space="preserve"> participants</w:t>
            </w:r>
          </w:p>
        </w:tc>
        <w:tc>
          <w:tcPr>
            <w:tcW w:w="1354" w:type="dxa"/>
            <w:shd w:val="clear" w:color="auto" w:fill="auto"/>
          </w:tcPr>
          <w:p w14:paraId="0794D6F6" w14:textId="78C66352" w:rsidR="003E174E" w:rsidRPr="003658D2" w:rsidRDefault="003E174E" w:rsidP="00D748F5">
            <w:pPr>
              <w:jc w:val="center"/>
              <w:rPr>
                <w:rFonts w:eastAsia="Calibri"/>
                <w:sz w:val="20"/>
                <w:szCs w:val="20"/>
              </w:rPr>
            </w:pPr>
          </w:p>
        </w:tc>
        <w:tc>
          <w:tcPr>
            <w:tcW w:w="1440" w:type="dxa"/>
            <w:vMerge w:val="restart"/>
            <w:shd w:val="clear" w:color="auto" w:fill="auto"/>
          </w:tcPr>
          <w:p w14:paraId="74076159" w14:textId="1E145DF9" w:rsidR="003E174E" w:rsidRPr="003658D2" w:rsidRDefault="003E174E" w:rsidP="00D748F5">
            <w:pPr>
              <w:jc w:val="center"/>
              <w:rPr>
                <w:rFonts w:eastAsia="Calibri"/>
                <w:sz w:val="20"/>
                <w:szCs w:val="20"/>
              </w:rPr>
            </w:pPr>
          </w:p>
        </w:tc>
      </w:tr>
      <w:tr w:rsidR="003E174E" w:rsidRPr="003658D2" w14:paraId="5864681C" w14:textId="77777777" w:rsidTr="00666672">
        <w:trPr>
          <w:trHeight w:val="315"/>
        </w:trPr>
        <w:tc>
          <w:tcPr>
            <w:tcW w:w="3240" w:type="dxa"/>
            <w:vMerge/>
            <w:shd w:val="clear" w:color="auto" w:fill="auto"/>
            <w:hideMark/>
          </w:tcPr>
          <w:p w14:paraId="45DF1789" w14:textId="77777777" w:rsidR="003E174E" w:rsidRPr="003658D2" w:rsidRDefault="003E174E" w:rsidP="003E174E">
            <w:pPr>
              <w:rPr>
                <w:rFonts w:eastAsia="Calibri"/>
                <w:sz w:val="20"/>
                <w:szCs w:val="20"/>
              </w:rPr>
            </w:pPr>
          </w:p>
        </w:tc>
        <w:tc>
          <w:tcPr>
            <w:tcW w:w="1714" w:type="dxa"/>
            <w:shd w:val="clear" w:color="auto" w:fill="auto"/>
          </w:tcPr>
          <w:p w14:paraId="1A96C7C7" w14:textId="77777777" w:rsidR="003E174E" w:rsidRPr="003658D2" w:rsidRDefault="003E174E" w:rsidP="00D748F5">
            <w:pPr>
              <w:jc w:val="center"/>
              <w:rPr>
                <w:rFonts w:eastAsia="Calibri"/>
                <w:sz w:val="20"/>
                <w:szCs w:val="20"/>
              </w:rPr>
            </w:pPr>
            <w:r w:rsidRPr="003658D2">
              <w:rPr>
                <w:rFonts w:eastAsia="Calibri"/>
                <w:sz w:val="20"/>
                <w:szCs w:val="20"/>
              </w:rPr>
              <w:t>100% of participants</w:t>
            </w:r>
          </w:p>
        </w:tc>
        <w:tc>
          <w:tcPr>
            <w:tcW w:w="1627" w:type="dxa"/>
            <w:shd w:val="clear" w:color="auto" w:fill="auto"/>
          </w:tcPr>
          <w:p w14:paraId="257ACB13" w14:textId="77777777" w:rsidR="003E174E" w:rsidRPr="003658D2" w:rsidRDefault="003E174E" w:rsidP="00D748F5">
            <w:pPr>
              <w:jc w:val="center"/>
              <w:rPr>
                <w:rFonts w:eastAsia="Calibri"/>
                <w:sz w:val="20"/>
                <w:szCs w:val="20"/>
              </w:rPr>
            </w:pPr>
            <w:r w:rsidRPr="003658D2">
              <w:rPr>
                <w:rFonts w:eastAsia="Calibri"/>
                <w:sz w:val="20"/>
                <w:szCs w:val="20"/>
              </w:rPr>
              <w:t>60% of participants</w:t>
            </w:r>
          </w:p>
        </w:tc>
        <w:tc>
          <w:tcPr>
            <w:tcW w:w="1354" w:type="dxa"/>
            <w:shd w:val="clear" w:color="auto" w:fill="auto"/>
          </w:tcPr>
          <w:p w14:paraId="72CD7110" w14:textId="72D42019" w:rsidR="003E174E" w:rsidRPr="003658D2" w:rsidRDefault="003E174E" w:rsidP="00D748F5">
            <w:pPr>
              <w:jc w:val="center"/>
              <w:rPr>
                <w:rFonts w:eastAsia="Calibri"/>
                <w:sz w:val="20"/>
                <w:szCs w:val="20"/>
              </w:rPr>
            </w:pPr>
          </w:p>
        </w:tc>
        <w:tc>
          <w:tcPr>
            <w:tcW w:w="1440" w:type="dxa"/>
            <w:vMerge/>
            <w:shd w:val="clear" w:color="auto" w:fill="auto"/>
          </w:tcPr>
          <w:p w14:paraId="4E7778DC" w14:textId="77777777" w:rsidR="003E174E" w:rsidRPr="003658D2" w:rsidRDefault="003E174E" w:rsidP="00D748F5">
            <w:pPr>
              <w:jc w:val="center"/>
              <w:rPr>
                <w:rFonts w:eastAsia="Calibri"/>
                <w:sz w:val="20"/>
                <w:szCs w:val="20"/>
              </w:rPr>
            </w:pPr>
          </w:p>
        </w:tc>
      </w:tr>
      <w:tr w:rsidR="003E174E" w:rsidRPr="003658D2" w14:paraId="261648E5" w14:textId="77777777" w:rsidTr="00666672">
        <w:trPr>
          <w:trHeight w:val="315"/>
        </w:trPr>
        <w:tc>
          <w:tcPr>
            <w:tcW w:w="3240" w:type="dxa"/>
            <w:vMerge w:val="restart"/>
            <w:shd w:val="clear" w:color="auto" w:fill="auto"/>
            <w:hideMark/>
          </w:tcPr>
          <w:p w14:paraId="1EFAF25C" w14:textId="77777777" w:rsidR="003E174E" w:rsidRPr="003658D2" w:rsidRDefault="003E174E" w:rsidP="003E174E">
            <w:pPr>
              <w:rPr>
                <w:rFonts w:eastAsia="Calibri"/>
                <w:sz w:val="20"/>
                <w:szCs w:val="20"/>
              </w:rPr>
            </w:pPr>
            <w:r w:rsidRPr="003658D2">
              <w:rPr>
                <w:rFonts w:eastAsia="Calibri"/>
                <w:sz w:val="20"/>
                <w:szCs w:val="20"/>
              </w:rPr>
              <w:t>Unemployed</w:t>
            </w:r>
          </w:p>
        </w:tc>
        <w:tc>
          <w:tcPr>
            <w:tcW w:w="1714" w:type="dxa"/>
            <w:shd w:val="clear" w:color="auto" w:fill="auto"/>
          </w:tcPr>
          <w:p w14:paraId="1C307463" w14:textId="77777777" w:rsidR="003E174E" w:rsidRPr="003658D2" w:rsidRDefault="003E174E" w:rsidP="00D748F5">
            <w:pPr>
              <w:jc w:val="center"/>
              <w:rPr>
                <w:rFonts w:eastAsia="Calibri"/>
                <w:sz w:val="20"/>
                <w:szCs w:val="20"/>
              </w:rPr>
            </w:pPr>
            <w:r w:rsidRPr="003658D2">
              <w:rPr>
                <w:rFonts w:eastAsia="Calibri"/>
                <w:sz w:val="20"/>
                <w:szCs w:val="20"/>
              </w:rPr>
              <w:t>0 participants</w:t>
            </w:r>
          </w:p>
        </w:tc>
        <w:tc>
          <w:tcPr>
            <w:tcW w:w="1627" w:type="dxa"/>
            <w:shd w:val="clear" w:color="auto" w:fill="auto"/>
          </w:tcPr>
          <w:p w14:paraId="09EDBFF4" w14:textId="3719FF12" w:rsidR="003E174E" w:rsidRPr="003658D2" w:rsidRDefault="00484B0A" w:rsidP="00D748F5">
            <w:pPr>
              <w:jc w:val="center"/>
              <w:rPr>
                <w:rFonts w:eastAsia="Calibri"/>
                <w:sz w:val="20"/>
                <w:szCs w:val="20"/>
              </w:rPr>
            </w:pPr>
            <w:r w:rsidRPr="003658D2">
              <w:rPr>
                <w:rFonts w:eastAsia="Calibri"/>
                <w:sz w:val="20"/>
                <w:szCs w:val="20"/>
              </w:rPr>
              <w:t>40</w:t>
            </w:r>
            <w:r w:rsidR="003E174E" w:rsidRPr="003658D2">
              <w:rPr>
                <w:rFonts w:eastAsia="Calibri"/>
                <w:sz w:val="20"/>
                <w:szCs w:val="20"/>
              </w:rPr>
              <w:t xml:space="preserve"> participants</w:t>
            </w:r>
          </w:p>
        </w:tc>
        <w:tc>
          <w:tcPr>
            <w:tcW w:w="1354" w:type="dxa"/>
            <w:shd w:val="clear" w:color="auto" w:fill="auto"/>
          </w:tcPr>
          <w:p w14:paraId="00E999C9" w14:textId="64256F08" w:rsidR="003E174E" w:rsidRPr="003658D2" w:rsidRDefault="003E174E" w:rsidP="00D748F5">
            <w:pPr>
              <w:jc w:val="center"/>
              <w:rPr>
                <w:rFonts w:eastAsia="Calibri"/>
                <w:sz w:val="20"/>
                <w:szCs w:val="20"/>
              </w:rPr>
            </w:pPr>
          </w:p>
        </w:tc>
        <w:tc>
          <w:tcPr>
            <w:tcW w:w="1440" w:type="dxa"/>
            <w:vMerge w:val="restart"/>
            <w:shd w:val="clear" w:color="auto" w:fill="auto"/>
          </w:tcPr>
          <w:p w14:paraId="1CBD5298" w14:textId="0E65D853" w:rsidR="003E174E" w:rsidRPr="003658D2" w:rsidRDefault="003E174E" w:rsidP="00D748F5">
            <w:pPr>
              <w:jc w:val="center"/>
              <w:rPr>
                <w:rFonts w:eastAsia="Calibri"/>
                <w:sz w:val="20"/>
                <w:szCs w:val="20"/>
              </w:rPr>
            </w:pPr>
          </w:p>
        </w:tc>
      </w:tr>
      <w:tr w:rsidR="003E174E" w:rsidRPr="003658D2" w14:paraId="1BCBAC85" w14:textId="77777777" w:rsidTr="00666672">
        <w:trPr>
          <w:trHeight w:val="315"/>
        </w:trPr>
        <w:tc>
          <w:tcPr>
            <w:tcW w:w="3240" w:type="dxa"/>
            <w:vMerge/>
            <w:shd w:val="clear" w:color="auto" w:fill="auto"/>
            <w:hideMark/>
          </w:tcPr>
          <w:p w14:paraId="3FF73698" w14:textId="77777777" w:rsidR="003E174E" w:rsidRPr="003658D2" w:rsidRDefault="003E174E" w:rsidP="003E174E">
            <w:pPr>
              <w:rPr>
                <w:rFonts w:eastAsia="Calibri"/>
                <w:sz w:val="20"/>
                <w:szCs w:val="20"/>
              </w:rPr>
            </w:pPr>
          </w:p>
        </w:tc>
        <w:tc>
          <w:tcPr>
            <w:tcW w:w="1714" w:type="dxa"/>
            <w:shd w:val="clear" w:color="auto" w:fill="auto"/>
          </w:tcPr>
          <w:p w14:paraId="09F64CA9" w14:textId="77777777" w:rsidR="003E174E" w:rsidRPr="003658D2" w:rsidRDefault="003E174E" w:rsidP="00D748F5">
            <w:pPr>
              <w:jc w:val="center"/>
              <w:rPr>
                <w:rFonts w:eastAsia="Calibri"/>
                <w:sz w:val="20"/>
                <w:szCs w:val="20"/>
              </w:rPr>
            </w:pPr>
            <w:r w:rsidRPr="003658D2">
              <w:rPr>
                <w:rFonts w:eastAsia="Calibri"/>
                <w:sz w:val="20"/>
                <w:szCs w:val="20"/>
              </w:rPr>
              <w:t>0% of participants</w:t>
            </w:r>
          </w:p>
        </w:tc>
        <w:tc>
          <w:tcPr>
            <w:tcW w:w="1627" w:type="dxa"/>
            <w:shd w:val="clear" w:color="auto" w:fill="auto"/>
          </w:tcPr>
          <w:p w14:paraId="48E7ACB0" w14:textId="77777777" w:rsidR="003E174E" w:rsidRPr="003658D2" w:rsidRDefault="00426DCC" w:rsidP="00D748F5">
            <w:pPr>
              <w:jc w:val="center"/>
              <w:rPr>
                <w:rFonts w:eastAsia="Calibri"/>
                <w:sz w:val="20"/>
                <w:szCs w:val="20"/>
              </w:rPr>
            </w:pPr>
            <w:r w:rsidRPr="003658D2">
              <w:rPr>
                <w:rFonts w:eastAsia="Calibri"/>
                <w:sz w:val="20"/>
                <w:szCs w:val="20"/>
              </w:rPr>
              <w:t>7</w:t>
            </w:r>
            <w:r w:rsidR="00AC248D" w:rsidRPr="003658D2">
              <w:rPr>
                <w:rFonts w:eastAsia="Calibri"/>
                <w:sz w:val="20"/>
                <w:szCs w:val="20"/>
              </w:rPr>
              <w:t>0</w:t>
            </w:r>
            <w:r w:rsidR="003E174E" w:rsidRPr="003658D2">
              <w:rPr>
                <w:rFonts w:eastAsia="Calibri"/>
                <w:sz w:val="20"/>
                <w:szCs w:val="20"/>
              </w:rPr>
              <w:t>% of participants</w:t>
            </w:r>
          </w:p>
        </w:tc>
        <w:tc>
          <w:tcPr>
            <w:tcW w:w="1354" w:type="dxa"/>
            <w:shd w:val="clear" w:color="auto" w:fill="auto"/>
          </w:tcPr>
          <w:p w14:paraId="7AD8A5BD" w14:textId="274F7F47" w:rsidR="003E174E" w:rsidRPr="003658D2" w:rsidRDefault="003E174E" w:rsidP="00D748F5">
            <w:pPr>
              <w:jc w:val="center"/>
              <w:rPr>
                <w:rFonts w:eastAsia="Calibri"/>
                <w:sz w:val="20"/>
                <w:szCs w:val="20"/>
              </w:rPr>
            </w:pPr>
          </w:p>
        </w:tc>
        <w:tc>
          <w:tcPr>
            <w:tcW w:w="1440" w:type="dxa"/>
            <w:vMerge/>
            <w:shd w:val="clear" w:color="auto" w:fill="auto"/>
          </w:tcPr>
          <w:p w14:paraId="645B40A3" w14:textId="77777777" w:rsidR="003E174E" w:rsidRPr="003658D2" w:rsidRDefault="003E174E" w:rsidP="00D748F5">
            <w:pPr>
              <w:jc w:val="center"/>
              <w:rPr>
                <w:rFonts w:eastAsia="Calibri"/>
                <w:sz w:val="20"/>
                <w:szCs w:val="20"/>
              </w:rPr>
            </w:pPr>
          </w:p>
        </w:tc>
      </w:tr>
      <w:tr w:rsidR="003E174E" w:rsidRPr="003658D2" w14:paraId="26B39A20" w14:textId="77777777" w:rsidTr="00666672">
        <w:trPr>
          <w:trHeight w:val="315"/>
        </w:trPr>
        <w:tc>
          <w:tcPr>
            <w:tcW w:w="3240" w:type="dxa"/>
            <w:vMerge w:val="restart"/>
            <w:shd w:val="clear" w:color="auto" w:fill="auto"/>
          </w:tcPr>
          <w:p w14:paraId="4C407455" w14:textId="4D5391FF" w:rsidR="003E174E" w:rsidRPr="003658D2" w:rsidRDefault="001E7A7F" w:rsidP="003E174E">
            <w:pPr>
              <w:rPr>
                <w:rFonts w:eastAsia="Calibri"/>
                <w:sz w:val="20"/>
                <w:szCs w:val="20"/>
              </w:rPr>
            </w:pPr>
            <w:r w:rsidRPr="003658D2">
              <w:rPr>
                <w:rFonts w:eastAsia="Calibri"/>
                <w:sz w:val="20"/>
                <w:szCs w:val="20"/>
              </w:rPr>
              <w:t>Employed</w:t>
            </w:r>
            <w:r>
              <w:rPr>
                <w:rFonts w:eastAsia="Calibri"/>
                <w:sz w:val="20"/>
                <w:szCs w:val="20"/>
              </w:rPr>
              <w:t xml:space="preserve"> Part-Time or Full-Time</w:t>
            </w:r>
          </w:p>
        </w:tc>
        <w:tc>
          <w:tcPr>
            <w:tcW w:w="1714" w:type="dxa"/>
            <w:shd w:val="clear" w:color="auto" w:fill="auto"/>
          </w:tcPr>
          <w:p w14:paraId="5FBBB77F" w14:textId="77777777" w:rsidR="003E174E" w:rsidRPr="003658D2" w:rsidRDefault="003E174E" w:rsidP="00D748F5">
            <w:pPr>
              <w:jc w:val="center"/>
              <w:rPr>
                <w:rFonts w:eastAsia="Calibri"/>
                <w:sz w:val="20"/>
                <w:szCs w:val="20"/>
              </w:rPr>
            </w:pPr>
            <w:r w:rsidRPr="003658D2">
              <w:rPr>
                <w:rFonts w:eastAsia="Calibri"/>
                <w:sz w:val="20"/>
                <w:szCs w:val="20"/>
              </w:rPr>
              <w:t>7 participants</w:t>
            </w:r>
          </w:p>
        </w:tc>
        <w:tc>
          <w:tcPr>
            <w:tcW w:w="1627" w:type="dxa"/>
            <w:shd w:val="clear" w:color="auto" w:fill="auto"/>
          </w:tcPr>
          <w:p w14:paraId="3F7B5C14" w14:textId="753B75A8" w:rsidR="003E174E" w:rsidRPr="003658D2" w:rsidRDefault="00484B0A" w:rsidP="00D748F5">
            <w:pPr>
              <w:jc w:val="center"/>
              <w:rPr>
                <w:rFonts w:eastAsia="Calibri"/>
                <w:sz w:val="20"/>
                <w:szCs w:val="20"/>
              </w:rPr>
            </w:pPr>
            <w:r w:rsidRPr="003658D2">
              <w:rPr>
                <w:rFonts w:eastAsia="Calibri"/>
                <w:sz w:val="20"/>
                <w:szCs w:val="20"/>
              </w:rPr>
              <w:t>17</w:t>
            </w:r>
            <w:r w:rsidR="003E174E" w:rsidRPr="003658D2">
              <w:rPr>
                <w:rFonts w:eastAsia="Calibri"/>
                <w:sz w:val="20"/>
                <w:szCs w:val="20"/>
              </w:rPr>
              <w:t xml:space="preserve"> participants</w:t>
            </w:r>
          </w:p>
        </w:tc>
        <w:tc>
          <w:tcPr>
            <w:tcW w:w="1354" w:type="dxa"/>
            <w:shd w:val="clear" w:color="auto" w:fill="auto"/>
          </w:tcPr>
          <w:p w14:paraId="7A88360A" w14:textId="3BFC70E1" w:rsidR="003E174E" w:rsidRPr="003658D2" w:rsidRDefault="003E174E" w:rsidP="00D748F5">
            <w:pPr>
              <w:jc w:val="center"/>
              <w:rPr>
                <w:rFonts w:eastAsia="Calibri"/>
                <w:sz w:val="20"/>
                <w:szCs w:val="20"/>
              </w:rPr>
            </w:pPr>
          </w:p>
        </w:tc>
        <w:tc>
          <w:tcPr>
            <w:tcW w:w="1440" w:type="dxa"/>
            <w:vMerge w:val="restart"/>
            <w:shd w:val="clear" w:color="auto" w:fill="auto"/>
          </w:tcPr>
          <w:p w14:paraId="568E2879" w14:textId="7428AAD6" w:rsidR="003E174E" w:rsidRPr="003658D2" w:rsidRDefault="003E174E" w:rsidP="00D748F5">
            <w:pPr>
              <w:jc w:val="center"/>
              <w:rPr>
                <w:rFonts w:eastAsia="Calibri"/>
                <w:sz w:val="20"/>
                <w:szCs w:val="20"/>
              </w:rPr>
            </w:pPr>
          </w:p>
        </w:tc>
      </w:tr>
      <w:tr w:rsidR="003E174E" w:rsidRPr="003658D2" w14:paraId="7A2128F9" w14:textId="77777777" w:rsidTr="00666672">
        <w:trPr>
          <w:trHeight w:val="315"/>
        </w:trPr>
        <w:tc>
          <w:tcPr>
            <w:tcW w:w="3240" w:type="dxa"/>
            <w:vMerge/>
            <w:shd w:val="clear" w:color="auto" w:fill="auto"/>
          </w:tcPr>
          <w:p w14:paraId="532C943E" w14:textId="77777777" w:rsidR="003E174E" w:rsidRPr="003658D2" w:rsidRDefault="003E174E" w:rsidP="003E174E">
            <w:pPr>
              <w:rPr>
                <w:rFonts w:eastAsia="Calibri"/>
                <w:sz w:val="20"/>
                <w:szCs w:val="20"/>
              </w:rPr>
            </w:pPr>
          </w:p>
        </w:tc>
        <w:tc>
          <w:tcPr>
            <w:tcW w:w="1714" w:type="dxa"/>
            <w:shd w:val="clear" w:color="auto" w:fill="auto"/>
          </w:tcPr>
          <w:p w14:paraId="703FE776" w14:textId="77777777" w:rsidR="003E174E" w:rsidRPr="003658D2" w:rsidRDefault="003E174E" w:rsidP="00D748F5">
            <w:pPr>
              <w:jc w:val="center"/>
              <w:rPr>
                <w:rFonts w:eastAsia="Calibri"/>
                <w:sz w:val="20"/>
                <w:szCs w:val="20"/>
              </w:rPr>
            </w:pPr>
            <w:r w:rsidRPr="003658D2">
              <w:rPr>
                <w:rFonts w:eastAsia="Calibri"/>
                <w:sz w:val="20"/>
                <w:szCs w:val="20"/>
              </w:rPr>
              <w:t>100% of participants</w:t>
            </w:r>
          </w:p>
        </w:tc>
        <w:tc>
          <w:tcPr>
            <w:tcW w:w="1627" w:type="dxa"/>
            <w:shd w:val="clear" w:color="auto" w:fill="auto"/>
          </w:tcPr>
          <w:p w14:paraId="5E9F8B02" w14:textId="77777777" w:rsidR="003E174E" w:rsidRPr="003658D2" w:rsidRDefault="00426DCC" w:rsidP="00D748F5">
            <w:pPr>
              <w:jc w:val="center"/>
              <w:rPr>
                <w:rFonts w:eastAsia="Calibri"/>
                <w:sz w:val="20"/>
                <w:szCs w:val="20"/>
              </w:rPr>
            </w:pPr>
            <w:r w:rsidRPr="003658D2">
              <w:rPr>
                <w:rFonts w:eastAsia="Calibri"/>
                <w:sz w:val="20"/>
                <w:szCs w:val="20"/>
              </w:rPr>
              <w:t>30</w:t>
            </w:r>
            <w:r w:rsidR="003E174E" w:rsidRPr="003658D2">
              <w:rPr>
                <w:rFonts w:eastAsia="Calibri"/>
                <w:sz w:val="20"/>
                <w:szCs w:val="20"/>
              </w:rPr>
              <w:t xml:space="preserve"> % of participants</w:t>
            </w:r>
          </w:p>
        </w:tc>
        <w:tc>
          <w:tcPr>
            <w:tcW w:w="1354" w:type="dxa"/>
            <w:shd w:val="clear" w:color="auto" w:fill="auto"/>
          </w:tcPr>
          <w:p w14:paraId="29A4B05B" w14:textId="79C7D0FF" w:rsidR="003E174E" w:rsidRPr="003658D2" w:rsidRDefault="003E174E" w:rsidP="00D748F5">
            <w:pPr>
              <w:jc w:val="center"/>
              <w:rPr>
                <w:rFonts w:eastAsia="Calibri"/>
                <w:sz w:val="20"/>
                <w:szCs w:val="20"/>
              </w:rPr>
            </w:pPr>
          </w:p>
        </w:tc>
        <w:tc>
          <w:tcPr>
            <w:tcW w:w="1440" w:type="dxa"/>
            <w:vMerge/>
            <w:shd w:val="clear" w:color="auto" w:fill="auto"/>
          </w:tcPr>
          <w:p w14:paraId="2E0E6ABA" w14:textId="77777777" w:rsidR="003E174E" w:rsidRPr="003658D2" w:rsidRDefault="003E174E" w:rsidP="00D748F5">
            <w:pPr>
              <w:jc w:val="center"/>
              <w:rPr>
                <w:rFonts w:eastAsia="Calibri"/>
                <w:sz w:val="20"/>
                <w:szCs w:val="20"/>
              </w:rPr>
            </w:pPr>
          </w:p>
        </w:tc>
      </w:tr>
      <w:tr w:rsidR="004E079C" w:rsidRPr="003658D2" w14:paraId="2B75F637" w14:textId="77777777" w:rsidTr="00666672">
        <w:trPr>
          <w:trHeight w:hRule="exact" w:val="317"/>
        </w:trPr>
        <w:tc>
          <w:tcPr>
            <w:tcW w:w="1440" w:type="dxa"/>
            <w:gridSpan w:val="5"/>
            <w:shd w:val="clear" w:color="auto" w:fill="C6D9F1" w:themeFill="text2" w:themeFillTint="33"/>
          </w:tcPr>
          <w:p w14:paraId="652DDCA1" w14:textId="77777777" w:rsidR="004E079C" w:rsidRPr="003658D2" w:rsidRDefault="004E079C" w:rsidP="00D748F5">
            <w:pPr>
              <w:jc w:val="center"/>
              <w:rPr>
                <w:rFonts w:eastAsia="Calibri"/>
                <w:b/>
                <w:bCs/>
                <w:i/>
                <w:iCs/>
                <w:sz w:val="20"/>
                <w:szCs w:val="20"/>
              </w:rPr>
            </w:pPr>
            <w:r w:rsidRPr="003658D2">
              <w:rPr>
                <w:b/>
                <w:bCs/>
                <w:i/>
                <w:iCs/>
                <w:sz w:val="20"/>
                <w:szCs w:val="20"/>
              </w:rPr>
              <w:t>SS #4: Households Removed from Temporary Assistance for Needy Families (TANF)</w:t>
            </w:r>
          </w:p>
        </w:tc>
      </w:tr>
      <w:tr w:rsidR="004E079C" w:rsidRPr="003658D2" w14:paraId="3C4DE732" w14:textId="77777777" w:rsidTr="00666672">
        <w:trPr>
          <w:trHeight w:hRule="exact" w:val="576"/>
        </w:trPr>
        <w:tc>
          <w:tcPr>
            <w:tcW w:w="3240" w:type="dxa"/>
            <w:shd w:val="clear" w:color="auto" w:fill="D9D9D9" w:themeFill="background1" w:themeFillShade="D9"/>
          </w:tcPr>
          <w:p w14:paraId="67735AC5" w14:textId="77777777" w:rsidR="004E079C" w:rsidRPr="003658D2" w:rsidRDefault="004E079C" w:rsidP="004E079C">
            <w:pPr>
              <w:jc w:val="center"/>
              <w:rPr>
                <w:rFonts w:eastAsia="Calibri"/>
                <w:b/>
                <w:bCs/>
                <w:sz w:val="20"/>
                <w:szCs w:val="20"/>
              </w:rPr>
            </w:pPr>
            <w:r w:rsidRPr="003658D2">
              <w:rPr>
                <w:rFonts w:eastAsia="Calibri"/>
                <w:b/>
                <w:bCs/>
                <w:sz w:val="20"/>
                <w:szCs w:val="20"/>
              </w:rPr>
              <w:t>Unit of Measurement</w:t>
            </w:r>
          </w:p>
        </w:tc>
        <w:tc>
          <w:tcPr>
            <w:tcW w:w="1714" w:type="dxa"/>
            <w:shd w:val="clear" w:color="auto" w:fill="D9D9D9" w:themeFill="background1" w:themeFillShade="D9"/>
          </w:tcPr>
          <w:p w14:paraId="4F6E19A6" w14:textId="77777777" w:rsidR="004E079C" w:rsidRPr="003658D2" w:rsidRDefault="004E079C" w:rsidP="004E079C">
            <w:pPr>
              <w:jc w:val="center"/>
              <w:rPr>
                <w:rFonts w:eastAsia="Calibri"/>
                <w:b/>
                <w:bCs/>
                <w:sz w:val="20"/>
                <w:szCs w:val="20"/>
              </w:rPr>
            </w:pPr>
            <w:r w:rsidRPr="003658D2">
              <w:rPr>
                <w:rFonts w:eastAsia="Calibri"/>
                <w:b/>
                <w:bCs/>
                <w:sz w:val="20"/>
                <w:szCs w:val="20"/>
              </w:rPr>
              <w:t>Baseline</w:t>
            </w:r>
          </w:p>
        </w:tc>
        <w:tc>
          <w:tcPr>
            <w:tcW w:w="1627" w:type="dxa"/>
            <w:shd w:val="clear" w:color="auto" w:fill="D9D9D9" w:themeFill="background1" w:themeFillShade="D9"/>
          </w:tcPr>
          <w:p w14:paraId="4DDAC63A" w14:textId="77777777" w:rsidR="004E079C" w:rsidRPr="003658D2" w:rsidRDefault="004E079C" w:rsidP="004E079C">
            <w:pPr>
              <w:jc w:val="center"/>
              <w:rPr>
                <w:rFonts w:eastAsia="Calibri"/>
                <w:b/>
                <w:bCs/>
                <w:sz w:val="20"/>
                <w:szCs w:val="20"/>
              </w:rPr>
            </w:pPr>
            <w:r w:rsidRPr="003658D2">
              <w:rPr>
                <w:rFonts w:eastAsia="Calibri"/>
                <w:b/>
                <w:bCs/>
                <w:sz w:val="20"/>
                <w:szCs w:val="20"/>
              </w:rPr>
              <w:t>Benchmark</w:t>
            </w:r>
          </w:p>
        </w:tc>
        <w:tc>
          <w:tcPr>
            <w:tcW w:w="1354" w:type="dxa"/>
            <w:shd w:val="clear" w:color="auto" w:fill="D9D9D9" w:themeFill="background1" w:themeFillShade="D9"/>
          </w:tcPr>
          <w:p w14:paraId="5CF37F80" w14:textId="77777777" w:rsidR="004E079C" w:rsidRPr="003658D2" w:rsidRDefault="004E079C" w:rsidP="004E079C">
            <w:pPr>
              <w:jc w:val="center"/>
              <w:rPr>
                <w:rFonts w:eastAsia="Calibri"/>
                <w:b/>
                <w:bCs/>
                <w:sz w:val="20"/>
                <w:szCs w:val="20"/>
              </w:rPr>
            </w:pPr>
            <w:r w:rsidRPr="003658D2">
              <w:rPr>
                <w:rFonts w:eastAsia="Calibri"/>
                <w:b/>
                <w:bCs/>
                <w:sz w:val="20"/>
                <w:szCs w:val="20"/>
              </w:rPr>
              <w:t>Outcome</w:t>
            </w:r>
          </w:p>
        </w:tc>
        <w:tc>
          <w:tcPr>
            <w:tcW w:w="1440" w:type="dxa"/>
            <w:shd w:val="clear" w:color="auto" w:fill="D9D9D9" w:themeFill="background1" w:themeFillShade="D9"/>
          </w:tcPr>
          <w:p w14:paraId="046F48F1" w14:textId="77777777" w:rsidR="004E079C" w:rsidRPr="003658D2" w:rsidRDefault="004E079C" w:rsidP="004E079C">
            <w:pPr>
              <w:jc w:val="center"/>
              <w:rPr>
                <w:rFonts w:eastAsia="Calibri"/>
                <w:b/>
                <w:bCs/>
                <w:sz w:val="20"/>
                <w:szCs w:val="20"/>
              </w:rPr>
            </w:pPr>
            <w:r w:rsidRPr="003658D2">
              <w:rPr>
                <w:rFonts w:eastAsia="Calibri"/>
                <w:b/>
                <w:bCs/>
                <w:sz w:val="20"/>
                <w:szCs w:val="20"/>
              </w:rPr>
              <w:t>Benchmark Achieved?</w:t>
            </w:r>
          </w:p>
        </w:tc>
      </w:tr>
      <w:tr w:rsidR="003E174E" w:rsidRPr="003658D2" w14:paraId="71214509" w14:textId="77777777" w:rsidTr="00666672">
        <w:trPr>
          <w:trHeight w:val="305"/>
        </w:trPr>
        <w:tc>
          <w:tcPr>
            <w:tcW w:w="3240" w:type="dxa"/>
            <w:shd w:val="clear" w:color="auto" w:fill="auto"/>
          </w:tcPr>
          <w:p w14:paraId="13AB31FF" w14:textId="77777777" w:rsidR="003E174E" w:rsidRPr="003658D2" w:rsidRDefault="003E174E" w:rsidP="003E174E">
            <w:pPr>
              <w:rPr>
                <w:rFonts w:eastAsia="Calibri"/>
                <w:b/>
                <w:bCs/>
                <w:i/>
                <w:iCs/>
                <w:sz w:val="20"/>
                <w:szCs w:val="20"/>
              </w:rPr>
            </w:pPr>
            <w:r w:rsidRPr="003658D2">
              <w:rPr>
                <w:sz w:val="20"/>
                <w:szCs w:val="20"/>
              </w:rPr>
              <w:t>Number of households receiving TANF assistance (decrease).</w:t>
            </w:r>
          </w:p>
        </w:tc>
        <w:tc>
          <w:tcPr>
            <w:tcW w:w="1714" w:type="dxa"/>
            <w:shd w:val="clear" w:color="auto" w:fill="auto"/>
          </w:tcPr>
          <w:p w14:paraId="29A9CC65" w14:textId="77777777" w:rsidR="003E174E" w:rsidRPr="003658D2" w:rsidRDefault="003E174E" w:rsidP="00D748F5">
            <w:pPr>
              <w:jc w:val="center"/>
              <w:rPr>
                <w:rFonts w:eastAsia="Calibri"/>
                <w:bCs/>
                <w:iCs/>
                <w:sz w:val="20"/>
                <w:szCs w:val="20"/>
              </w:rPr>
            </w:pPr>
            <w:r w:rsidRPr="003658D2">
              <w:rPr>
                <w:rFonts w:eastAsia="Calibri"/>
                <w:bCs/>
                <w:iCs/>
                <w:sz w:val="20"/>
                <w:szCs w:val="20"/>
              </w:rPr>
              <w:t>0 households</w:t>
            </w:r>
          </w:p>
        </w:tc>
        <w:tc>
          <w:tcPr>
            <w:tcW w:w="1627" w:type="dxa"/>
            <w:shd w:val="clear" w:color="auto" w:fill="auto"/>
          </w:tcPr>
          <w:p w14:paraId="7213007A" w14:textId="77777777" w:rsidR="003E174E" w:rsidRPr="003658D2" w:rsidRDefault="00AC248D" w:rsidP="00D748F5">
            <w:pPr>
              <w:jc w:val="center"/>
              <w:rPr>
                <w:rFonts w:eastAsia="Calibri"/>
                <w:bCs/>
                <w:iCs/>
                <w:sz w:val="20"/>
                <w:szCs w:val="20"/>
              </w:rPr>
            </w:pPr>
            <w:r w:rsidRPr="003658D2">
              <w:rPr>
                <w:rFonts w:eastAsia="Calibri"/>
                <w:bCs/>
                <w:iCs/>
                <w:sz w:val="20"/>
                <w:szCs w:val="20"/>
              </w:rPr>
              <w:t>4</w:t>
            </w:r>
            <w:r w:rsidR="003E174E" w:rsidRPr="003658D2">
              <w:rPr>
                <w:rFonts w:eastAsia="Calibri"/>
                <w:bCs/>
                <w:iCs/>
                <w:sz w:val="20"/>
                <w:szCs w:val="20"/>
              </w:rPr>
              <w:t xml:space="preserve"> Households</w:t>
            </w:r>
          </w:p>
        </w:tc>
        <w:tc>
          <w:tcPr>
            <w:tcW w:w="1354" w:type="dxa"/>
            <w:shd w:val="clear" w:color="auto" w:fill="auto"/>
          </w:tcPr>
          <w:p w14:paraId="5E063497" w14:textId="5C64C53A" w:rsidR="003E174E" w:rsidRPr="003658D2" w:rsidRDefault="003E174E" w:rsidP="00D748F5">
            <w:pPr>
              <w:jc w:val="center"/>
              <w:rPr>
                <w:rFonts w:eastAsia="Calibri"/>
                <w:b/>
                <w:bCs/>
                <w:i/>
                <w:iCs/>
                <w:sz w:val="20"/>
                <w:szCs w:val="20"/>
              </w:rPr>
            </w:pPr>
          </w:p>
        </w:tc>
        <w:tc>
          <w:tcPr>
            <w:tcW w:w="1440" w:type="dxa"/>
            <w:shd w:val="clear" w:color="auto" w:fill="auto"/>
          </w:tcPr>
          <w:p w14:paraId="2F1C70D4" w14:textId="4F61A29B" w:rsidR="003E174E" w:rsidRPr="003658D2" w:rsidRDefault="003E174E" w:rsidP="00D748F5">
            <w:pPr>
              <w:jc w:val="center"/>
              <w:rPr>
                <w:rFonts w:eastAsia="Calibri"/>
                <w:b/>
                <w:bCs/>
                <w:i/>
                <w:iCs/>
                <w:sz w:val="20"/>
                <w:szCs w:val="20"/>
              </w:rPr>
            </w:pPr>
          </w:p>
        </w:tc>
      </w:tr>
      <w:tr w:rsidR="004E079C" w:rsidRPr="003658D2" w14:paraId="6E8FF638" w14:textId="77777777" w:rsidTr="00666672">
        <w:trPr>
          <w:trHeight w:hRule="exact" w:val="317"/>
        </w:trPr>
        <w:tc>
          <w:tcPr>
            <w:tcW w:w="1440" w:type="dxa"/>
            <w:gridSpan w:val="5"/>
            <w:shd w:val="clear" w:color="auto" w:fill="C6D9F1" w:themeFill="text2" w:themeFillTint="33"/>
            <w:hideMark/>
          </w:tcPr>
          <w:p w14:paraId="24626A2D" w14:textId="108DBA5E" w:rsidR="004E079C" w:rsidRPr="003658D2" w:rsidRDefault="004E079C" w:rsidP="004E079C">
            <w:pPr>
              <w:jc w:val="center"/>
              <w:rPr>
                <w:rFonts w:eastAsia="Calibri"/>
                <w:b/>
                <w:bCs/>
                <w:i/>
                <w:iCs/>
                <w:sz w:val="20"/>
                <w:szCs w:val="20"/>
              </w:rPr>
            </w:pPr>
            <w:r w:rsidRPr="003658D2">
              <w:rPr>
                <w:rFonts w:eastAsia="Calibri"/>
                <w:b/>
                <w:bCs/>
                <w:i/>
                <w:iCs/>
                <w:sz w:val="20"/>
                <w:szCs w:val="20"/>
              </w:rPr>
              <w:t>SS #5: Households Assisted by Services that Increase Self Sufficiency</w:t>
            </w:r>
          </w:p>
        </w:tc>
      </w:tr>
      <w:tr w:rsidR="004E079C" w:rsidRPr="003658D2" w14:paraId="2E75FB88" w14:textId="77777777" w:rsidTr="00666672">
        <w:trPr>
          <w:trHeight w:hRule="exact" w:val="576"/>
        </w:trPr>
        <w:tc>
          <w:tcPr>
            <w:tcW w:w="3240" w:type="dxa"/>
            <w:shd w:val="clear" w:color="auto" w:fill="D9D9D9" w:themeFill="background1" w:themeFillShade="D9"/>
            <w:hideMark/>
          </w:tcPr>
          <w:p w14:paraId="23E5B330" w14:textId="77777777" w:rsidR="004E079C" w:rsidRPr="003658D2" w:rsidRDefault="004E079C" w:rsidP="004E079C">
            <w:pPr>
              <w:jc w:val="center"/>
              <w:rPr>
                <w:rFonts w:eastAsia="Calibri"/>
                <w:b/>
                <w:bCs/>
                <w:sz w:val="20"/>
                <w:szCs w:val="20"/>
              </w:rPr>
            </w:pPr>
            <w:r w:rsidRPr="003658D2">
              <w:rPr>
                <w:rFonts w:eastAsia="Calibri"/>
                <w:b/>
                <w:bCs/>
                <w:sz w:val="20"/>
                <w:szCs w:val="20"/>
              </w:rPr>
              <w:t>Unit of Measurement</w:t>
            </w:r>
          </w:p>
        </w:tc>
        <w:tc>
          <w:tcPr>
            <w:tcW w:w="1714" w:type="dxa"/>
            <w:shd w:val="clear" w:color="auto" w:fill="D9D9D9" w:themeFill="background1" w:themeFillShade="D9"/>
            <w:hideMark/>
          </w:tcPr>
          <w:p w14:paraId="3E180131" w14:textId="77777777" w:rsidR="004E079C" w:rsidRPr="003658D2" w:rsidRDefault="004E079C" w:rsidP="004E079C">
            <w:pPr>
              <w:jc w:val="center"/>
              <w:rPr>
                <w:rFonts w:eastAsia="Calibri"/>
                <w:b/>
                <w:bCs/>
                <w:sz w:val="20"/>
                <w:szCs w:val="20"/>
              </w:rPr>
            </w:pPr>
            <w:r w:rsidRPr="003658D2">
              <w:rPr>
                <w:rFonts w:eastAsia="Calibri"/>
                <w:b/>
                <w:bCs/>
                <w:sz w:val="20"/>
                <w:szCs w:val="20"/>
              </w:rPr>
              <w:t>Baseline</w:t>
            </w:r>
          </w:p>
        </w:tc>
        <w:tc>
          <w:tcPr>
            <w:tcW w:w="1627" w:type="dxa"/>
            <w:shd w:val="clear" w:color="auto" w:fill="D9D9D9" w:themeFill="background1" w:themeFillShade="D9"/>
            <w:hideMark/>
          </w:tcPr>
          <w:p w14:paraId="39F29CF4" w14:textId="77777777" w:rsidR="004E079C" w:rsidRPr="003658D2" w:rsidRDefault="004E079C" w:rsidP="004E079C">
            <w:pPr>
              <w:jc w:val="center"/>
              <w:rPr>
                <w:rFonts w:eastAsia="Calibri"/>
                <w:b/>
                <w:bCs/>
                <w:sz w:val="20"/>
                <w:szCs w:val="20"/>
              </w:rPr>
            </w:pPr>
            <w:r w:rsidRPr="003658D2">
              <w:rPr>
                <w:rFonts w:eastAsia="Calibri"/>
                <w:b/>
                <w:bCs/>
                <w:sz w:val="20"/>
                <w:szCs w:val="20"/>
              </w:rPr>
              <w:t>Benchmark</w:t>
            </w:r>
          </w:p>
        </w:tc>
        <w:tc>
          <w:tcPr>
            <w:tcW w:w="1354" w:type="dxa"/>
            <w:shd w:val="clear" w:color="auto" w:fill="D9D9D9" w:themeFill="background1" w:themeFillShade="D9"/>
            <w:hideMark/>
          </w:tcPr>
          <w:p w14:paraId="2B7C028D" w14:textId="77777777" w:rsidR="004E079C" w:rsidRPr="003658D2" w:rsidRDefault="004E079C" w:rsidP="009F735A">
            <w:pPr>
              <w:jc w:val="center"/>
              <w:rPr>
                <w:rFonts w:eastAsia="Calibri"/>
                <w:b/>
                <w:bCs/>
                <w:sz w:val="20"/>
                <w:szCs w:val="20"/>
              </w:rPr>
            </w:pPr>
            <w:r w:rsidRPr="003658D2">
              <w:rPr>
                <w:rFonts w:eastAsia="Calibri"/>
                <w:b/>
                <w:bCs/>
                <w:sz w:val="20"/>
                <w:szCs w:val="20"/>
              </w:rPr>
              <w:t>Outcome</w:t>
            </w:r>
          </w:p>
        </w:tc>
        <w:tc>
          <w:tcPr>
            <w:tcW w:w="1440" w:type="dxa"/>
            <w:shd w:val="clear" w:color="auto" w:fill="D9D9D9" w:themeFill="background1" w:themeFillShade="D9"/>
            <w:hideMark/>
          </w:tcPr>
          <w:p w14:paraId="4F7AA0C1" w14:textId="77777777" w:rsidR="004E079C" w:rsidRPr="003658D2" w:rsidRDefault="004E079C" w:rsidP="004E079C">
            <w:pPr>
              <w:jc w:val="center"/>
              <w:rPr>
                <w:rFonts w:eastAsia="Calibri"/>
                <w:b/>
                <w:bCs/>
                <w:sz w:val="20"/>
                <w:szCs w:val="20"/>
              </w:rPr>
            </w:pPr>
            <w:r w:rsidRPr="003658D2">
              <w:rPr>
                <w:rFonts w:eastAsia="Calibri"/>
                <w:b/>
                <w:bCs/>
                <w:sz w:val="20"/>
                <w:szCs w:val="20"/>
              </w:rPr>
              <w:t>Benchmark Achieved?</w:t>
            </w:r>
          </w:p>
        </w:tc>
      </w:tr>
      <w:tr w:rsidR="004E079C" w:rsidRPr="003658D2" w14:paraId="629539C2" w14:textId="77777777" w:rsidTr="00666672">
        <w:trPr>
          <w:trHeight w:val="791"/>
        </w:trPr>
        <w:tc>
          <w:tcPr>
            <w:tcW w:w="3240" w:type="dxa"/>
            <w:shd w:val="clear" w:color="auto" w:fill="auto"/>
            <w:hideMark/>
          </w:tcPr>
          <w:p w14:paraId="7F3F6E10" w14:textId="77777777" w:rsidR="004E079C" w:rsidRPr="003658D2" w:rsidRDefault="004E079C" w:rsidP="004E079C">
            <w:pPr>
              <w:rPr>
                <w:rFonts w:eastAsia="Calibri"/>
                <w:sz w:val="20"/>
                <w:szCs w:val="20"/>
              </w:rPr>
            </w:pPr>
            <w:r w:rsidRPr="003658D2">
              <w:rPr>
                <w:rFonts w:eastAsia="Calibri"/>
                <w:sz w:val="20"/>
                <w:szCs w:val="20"/>
              </w:rPr>
              <w:t>Number of households receiving services aimed to increase self-sufficiency (increase).</w:t>
            </w:r>
          </w:p>
        </w:tc>
        <w:tc>
          <w:tcPr>
            <w:tcW w:w="1714" w:type="dxa"/>
            <w:shd w:val="clear" w:color="auto" w:fill="auto"/>
          </w:tcPr>
          <w:p w14:paraId="3F6E5DF7" w14:textId="77777777" w:rsidR="004E079C" w:rsidRPr="003658D2" w:rsidRDefault="004E079C" w:rsidP="00D748F5">
            <w:pPr>
              <w:jc w:val="center"/>
              <w:rPr>
                <w:rFonts w:eastAsia="Calibri"/>
                <w:sz w:val="20"/>
                <w:szCs w:val="20"/>
              </w:rPr>
            </w:pPr>
            <w:r w:rsidRPr="003658D2">
              <w:rPr>
                <w:rFonts w:eastAsia="Calibri"/>
                <w:sz w:val="20"/>
                <w:szCs w:val="20"/>
              </w:rPr>
              <w:t>0 households</w:t>
            </w:r>
          </w:p>
        </w:tc>
        <w:tc>
          <w:tcPr>
            <w:tcW w:w="1627" w:type="dxa"/>
            <w:shd w:val="clear" w:color="auto" w:fill="auto"/>
          </w:tcPr>
          <w:p w14:paraId="081793D7" w14:textId="693C4368" w:rsidR="004E079C" w:rsidRPr="003658D2" w:rsidRDefault="00484B0A" w:rsidP="00D748F5">
            <w:pPr>
              <w:jc w:val="center"/>
              <w:rPr>
                <w:rFonts w:eastAsia="Calibri"/>
                <w:sz w:val="20"/>
                <w:szCs w:val="20"/>
              </w:rPr>
            </w:pPr>
            <w:r w:rsidRPr="003658D2">
              <w:rPr>
                <w:rFonts w:eastAsia="Calibri"/>
                <w:sz w:val="20"/>
                <w:szCs w:val="20"/>
              </w:rPr>
              <w:t>57</w:t>
            </w:r>
            <w:r w:rsidR="004E079C" w:rsidRPr="003658D2">
              <w:rPr>
                <w:rFonts w:eastAsia="Calibri"/>
                <w:sz w:val="20"/>
                <w:szCs w:val="20"/>
              </w:rPr>
              <w:t xml:space="preserve"> households</w:t>
            </w:r>
          </w:p>
        </w:tc>
        <w:tc>
          <w:tcPr>
            <w:tcW w:w="1354" w:type="dxa"/>
            <w:shd w:val="clear" w:color="auto" w:fill="auto"/>
          </w:tcPr>
          <w:p w14:paraId="0B8F610C" w14:textId="4A97546F" w:rsidR="004E079C" w:rsidRPr="003658D2" w:rsidRDefault="004E079C" w:rsidP="00D748F5">
            <w:pPr>
              <w:jc w:val="center"/>
              <w:rPr>
                <w:rFonts w:eastAsia="Calibri"/>
                <w:sz w:val="20"/>
                <w:szCs w:val="20"/>
              </w:rPr>
            </w:pPr>
          </w:p>
        </w:tc>
        <w:tc>
          <w:tcPr>
            <w:tcW w:w="1440" w:type="dxa"/>
            <w:shd w:val="clear" w:color="auto" w:fill="auto"/>
          </w:tcPr>
          <w:p w14:paraId="168AB6D8" w14:textId="6F40E504" w:rsidR="004E079C" w:rsidRPr="003658D2" w:rsidRDefault="004E079C" w:rsidP="00D748F5">
            <w:pPr>
              <w:jc w:val="center"/>
              <w:rPr>
                <w:rFonts w:eastAsia="Calibri"/>
                <w:sz w:val="20"/>
                <w:szCs w:val="20"/>
              </w:rPr>
            </w:pPr>
          </w:p>
        </w:tc>
      </w:tr>
      <w:tr w:rsidR="004E079C" w:rsidRPr="003658D2" w14:paraId="4EF30B8F" w14:textId="77777777" w:rsidTr="00666672">
        <w:trPr>
          <w:trHeight w:hRule="exact" w:val="317"/>
        </w:trPr>
        <w:tc>
          <w:tcPr>
            <w:tcW w:w="1440" w:type="dxa"/>
            <w:gridSpan w:val="5"/>
            <w:shd w:val="clear" w:color="auto" w:fill="C6D9F1" w:themeFill="text2" w:themeFillTint="33"/>
            <w:hideMark/>
          </w:tcPr>
          <w:p w14:paraId="11D5B7A6" w14:textId="2AF92E49" w:rsidR="004E079C" w:rsidRPr="003658D2" w:rsidRDefault="004E079C" w:rsidP="004E079C">
            <w:pPr>
              <w:jc w:val="center"/>
              <w:rPr>
                <w:rFonts w:eastAsia="Calibri"/>
                <w:b/>
                <w:bCs/>
                <w:i/>
                <w:iCs/>
                <w:sz w:val="20"/>
                <w:szCs w:val="20"/>
              </w:rPr>
            </w:pPr>
            <w:r w:rsidRPr="003658D2">
              <w:rPr>
                <w:rFonts w:eastAsia="Calibri"/>
                <w:b/>
                <w:bCs/>
                <w:i/>
                <w:iCs/>
                <w:sz w:val="20"/>
                <w:szCs w:val="20"/>
              </w:rPr>
              <w:t>SS #8: Households Transitioned to Self Sufficiency</w:t>
            </w:r>
            <w:r w:rsidR="003658D2" w:rsidRPr="003658D2">
              <w:rPr>
                <w:rFonts w:eastAsia="Calibri"/>
                <w:b/>
                <w:bCs/>
                <w:i/>
                <w:iCs/>
                <w:sz w:val="20"/>
                <w:szCs w:val="20"/>
              </w:rPr>
              <w:t>*</w:t>
            </w:r>
          </w:p>
        </w:tc>
      </w:tr>
      <w:tr w:rsidR="004E079C" w:rsidRPr="003658D2" w14:paraId="3EFDB323" w14:textId="77777777" w:rsidTr="00666672">
        <w:trPr>
          <w:trHeight w:hRule="exact" w:val="576"/>
        </w:trPr>
        <w:tc>
          <w:tcPr>
            <w:tcW w:w="3240" w:type="dxa"/>
            <w:shd w:val="clear" w:color="auto" w:fill="D9D9D9" w:themeFill="background1" w:themeFillShade="D9"/>
            <w:hideMark/>
          </w:tcPr>
          <w:p w14:paraId="5D0F45E3" w14:textId="77777777" w:rsidR="004E079C" w:rsidRPr="003658D2" w:rsidRDefault="004E079C" w:rsidP="004E079C">
            <w:pPr>
              <w:jc w:val="center"/>
              <w:rPr>
                <w:rFonts w:eastAsia="Calibri"/>
                <w:b/>
                <w:bCs/>
                <w:sz w:val="20"/>
                <w:szCs w:val="20"/>
              </w:rPr>
            </w:pPr>
            <w:r w:rsidRPr="003658D2">
              <w:rPr>
                <w:rFonts w:eastAsia="Calibri"/>
                <w:b/>
                <w:bCs/>
                <w:sz w:val="20"/>
                <w:szCs w:val="20"/>
              </w:rPr>
              <w:t>Unit of Measurement</w:t>
            </w:r>
          </w:p>
        </w:tc>
        <w:tc>
          <w:tcPr>
            <w:tcW w:w="1714" w:type="dxa"/>
            <w:shd w:val="clear" w:color="auto" w:fill="D9D9D9" w:themeFill="background1" w:themeFillShade="D9"/>
            <w:hideMark/>
          </w:tcPr>
          <w:p w14:paraId="2DF9069C" w14:textId="77777777" w:rsidR="004E079C" w:rsidRPr="003658D2" w:rsidRDefault="004E079C" w:rsidP="004E079C">
            <w:pPr>
              <w:jc w:val="center"/>
              <w:rPr>
                <w:rFonts w:eastAsia="Calibri"/>
                <w:b/>
                <w:bCs/>
                <w:sz w:val="20"/>
                <w:szCs w:val="20"/>
              </w:rPr>
            </w:pPr>
            <w:r w:rsidRPr="003658D2">
              <w:rPr>
                <w:rFonts w:eastAsia="Calibri"/>
                <w:b/>
                <w:bCs/>
                <w:sz w:val="20"/>
                <w:szCs w:val="20"/>
              </w:rPr>
              <w:t>Baseline</w:t>
            </w:r>
          </w:p>
        </w:tc>
        <w:tc>
          <w:tcPr>
            <w:tcW w:w="1627" w:type="dxa"/>
            <w:shd w:val="clear" w:color="auto" w:fill="D9D9D9" w:themeFill="background1" w:themeFillShade="D9"/>
            <w:hideMark/>
          </w:tcPr>
          <w:p w14:paraId="457F4CCA" w14:textId="77777777" w:rsidR="004E079C" w:rsidRPr="003658D2" w:rsidRDefault="004E079C" w:rsidP="004E079C">
            <w:pPr>
              <w:jc w:val="center"/>
              <w:rPr>
                <w:rFonts w:eastAsia="Calibri"/>
                <w:b/>
                <w:bCs/>
                <w:sz w:val="20"/>
                <w:szCs w:val="20"/>
              </w:rPr>
            </w:pPr>
            <w:r w:rsidRPr="003658D2">
              <w:rPr>
                <w:rFonts w:eastAsia="Calibri"/>
                <w:b/>
                <w:bCs/>
                <w:sz w:val="20"/>
                <w:szCs w:val="20"/>
              </w:rPr>
              <w:t>Benchmark</w:t>
            </w:r>
          </w:p>
        </w:tc>
        <w:tc>
          <w:tcPr>
            <w:tcW w:w="1354" w:type="dxa"/>
            <w:shd w:val="clear" w:color="auto" w:fill="D9D9D9" w:themeFill="background1" w:themeFillShade="D9"/>
            <w:hideMark/>
          </w:tcPr>
          <w:p w14:paraId="3FB1AB1D" w14:textId="77777777" w:rsidR="004E079C" w:rsidRPr="003658D2" w:rsidRDefault="004E079C" w:rsidP="004E079C">
            <w:pPr>
              <w:jc w:val="center"/>
              <w:rPr>
                <w:rFonts w:eastAsia="Calibri"/>
                <w:b/>
                <w:bCs/>
                <w:sz w:val="20"/>
                <w:szCs w:val="20"/>
              </w:rPr>
            </w:pPr>
            <w:r w:rsidRPr="003658D2">
              <w:rPr>
                <w:rFonts w:eastAsia="Calibri"/>
                <w:b/>
                <w:bCs/>
                <w:sz w:val="20"/>
                <w:szCs w:val="20"/>
              </w:rPr>
              <w:t>Outcome</w:t>
            </w:r>
          </w:p>
        </w:tc>
        <w:tc>
          <w:tcPr>
            <w:tcW w:w="1440" w:type="dxa"/>
            <w:shd w:val="clear" w:color="auto" w:fill="D9D9D9" w:themeFill="background1" w:themeFillShade="D9"/>
            <w:hideMark/>
          </w:tcPr>
          <w:p w14:paraId="1DFE4730" w14:textId="77777777" w:rsidR="004E079C" w:rsidRPr="003658D2" w:rsidRDefault="004E079C" w:rsidP="004E079C">
            <w:pPr>
              <w:jc w:val="center"/>
              <w:rPr>
                <w:rFonts w:eastAsia="Calibri"/>
                <w:b/>
                <w:bCs/>
                <w:sz w:val="20"/>
                <w:szCs w:val="20"/>
              </w:rPr>
            </w:pPr>
            <w:r w:rsidRPr="003658D2">
              <w:rPr>
                <w:rFonts w:eastAsia="Calibri"/>
                <w:b/>
                <w:bCs/>
                <w:sz w:val="20"/>
                <w:szCs w:val="20"/>
              </w:rPr>
              <w:t>Benchmark Achieved?</w:t>
            </w:r>
          </w:p>
        </w:tc>
      </w:tr>
      <w:tr w:rsidR="003E174E" w:rsidRPr="003658D2" w14:paraId="68DC06A1" w14:textId="77777777" w:rsidTr="00666672">
        <w:trPr>
          <w:trHeight w:val="620"/>
        </w:trPr>
        <w:tc>
          <w:tcPr>
            <w:tcW w:w="3240" w:type="dxa"/>
            <w:shd w:val="clear" w:color="auto" w:fill="auto"/>
            <w:hideMark/>
          </w:tcPr>
          <w:p w14:paraId="25CE101F" w14:textId="4A6BB6A4" w:rsidR="003E174E" w:rsidRPr="003658D2" w:rsidRDefault="003E174E" w:rsidP="00E003BD">
            <w:pPr>
              <w:rPr>
                <w:rFonts w:eastAsia="Calibri"/>
                <w:sz w:val="20"/>
                <w:szCs w:val="20"/>
              </w:rPr>
            </w:pPr>
            <w:r w:rsidRPr="003658D2">
              <w:rPr>
                <w:rFonts w:eastAsia="Calibri"/>
                <w:sz w:val="20"/>
                <w:szCs w:val="20"/>
              </w:rPr>
              <w:t xml:space="preserve">Number of households transitioned to self-sufficiency (increase). </w:t>
            </w:r>
          </w:p>
        </w:tc>
        <w:tc>
          <w:tcPr>
            <w:tcW w:w="1714" w:type="dxa"/>
            <w:shd w:val="clear" w:color="auto" w:fill="auto"/>
          </w:tcPr>
          <w:p w14:paraId="6D4D36E5" w14:textId="77777777" w:rsidR="003E174E" w:rsidRPr="003658D2" w:rsidRDefault="003E174E" w:rsidP="00D748F5">
            <w:pPr>
              <w:jc w:val="center"/>
              <w:rPr>
                <w:rFonts w:eastAsia="Calibri"/>
                <w:sz w:val="20"/>
                <w:szCs w:val="20"/>
              </w:rPr>
            </w:pPr>
            <w:r w:rsidRPr="003658D2">
              <w:rPr>
                <w:rFonts w:eastAsia="Calibri"/>
                <w:sz w:val="20"/>
                <w:szCs w:val="20"/>
              </w:rPr>
              <w:t>0 households</w:t>
            </w:r>
          </w:p>
        </w:tc>
        <w:tc>
          <w:tcPr>
            <w:tcW w:w="1627" w:type="dxa"/>
            <w:shd w:val="clear" w:color="auto" w:fill="auto"/>
          </w:tcPr>
          <w:p w14:paraId="463FF3E4" w14:textId="77777777" w:rsidR="003E174E" w:rsidRPr="003658D2" w:rsidRDefault="003E174E" w:rsidP="00D748F5">
            <w:pPr>
              <w:jc w:val="center"/>
              <w:rPr>
                <w:rFonts w:eastAsia="Calibri"/>
                <w:sz w:val="20"/>
                <w:szCs w:val="20"/>
              </w:rPr>
            </w:pPr>
            <w:r w:rsidRPr="003658D2">
              <w:rPr>
                <w:rFonts w:eastAsia="Calibri"/>
                <w:sz w:val="20"/>
                <w:szCs w:val="20"/>
              </w:rPr>
              <w:t>3  households</w:t>
            </w:r>
          </w:p>
        </w:tc>
        <w:tc>
          <w:tcPr>
            <w:tcW w:w="1354" w:type="dxa"/>
            <w:shd w:val="clear" w:color="auto" w:fill="auto"/>
          </w:tcPr>
          <w:p w14:paraId="1E7C3FAE" w14:textId="26A91C1B" w:rsidR="003E174E" w:rsidRPr="003658D2" w:rsidRDefault="003E174E" w:rsidP="00D748F5">
            <w:pPr>
              <w:jc w:val="center"/>
              <w:rPr>
                <w:rFonts w:eastAsia="Calibri"/>
                <w:sz w:val="20"/>
                <w:szCs w:val="20"/>
              </w:rPr>
            </w:pPr>
          </w:p>
        </w:tc>
        <w:tc>
          <w:tcPr>
            <w:tcW w:w="1440" w:type="dxa"/>
            <w:shd w:val="clear" w:color="auto" w:fill="auto"/>
          </w:tcPr>
          <w:p w14:paraId="1FA3C57D" w14:textId="642CD570" w:rsidR="003E174E" w:rsidRPr="003658D2" w:rsidRDefault="003E174E" w:rsidP="00D748F5">
            <w:pPr>
              <w:jc w:val="center"/>
              <w:rPr>
                <w:rFonts w:eastAsia="Calibri"/>
                <w:sz w:val="20"/>
                <w:szCs w:val="20"/>
              </w:rPr>
            </w:pPr>
          </w:p>
        </w:tc>
      </w:tr>
      <w:tr w:rsidR="003658D2" w:rsidRPr="003658D2" w14:paraId="4B549A70" w14:textId="77777777" w:rsidTr="00666672">
        <w:trPr>
          <w:trHeight w:val="288"/>
        </w:trPr>
        <w:tc>
          <w:tcPr>
            <w:tcW w:w="1440" w:type="dxa"/>
            <w:gridSpan w:val="5"/>
            <w:shd w:val="clear" w:color="auto" w:fill="auto"/>
          </w:tcPr>
          <w:p w14:paraId="28F1479A" w14:textId="4674CEF8" w:rsidR="003658D2" w:rsidRPr="00E003BD" w:rsidRDefault="00E003BD" w:rsidP="00765271">
            <w:pPr>
              <w:rPr>
                <w:rFonts w:eastAsia="Calibri"/>
                <w:i/>
                <w:sz w:val="20"/>
                <w:szCs w:val="20"/>
              </w:rPr>
            </w:pPr>
            <w:r w:rsidRPr="00E003BD">
              <w:rPr>
                <w:rFonts w:eastAsia="Calibri"/>
                <w:i/>
                <w:sz w:val="20"/>
                <w:szCs w:val="20"/>
              </w:rPr>
              <w:t>*Self-sufficiency is defin</w:t>
            </w:r>
            <w:r w:rsidR="000215D6">
              <w:rPr>
                <w:rFonts w:eastAsia="Calibri"/>
                <w:i/>
                <w:sz w:val="20"/>
                <w:szCs w:val="20"/>
              </w:rPr>
              <w:t>ed as graduation from the YTTS P</w:t>
            </w:r>
            <w:r w:rsidRPr="00E003BD">
              <w:rPr>
                <w:rFonts w:eastAsia="Calibri"/>
                <w:i/>
                <w:sz w:val="20"/>
                <w:szCs w:val="20"/>
              </w:rPr>
              <w:t>rogram.</w:t>
            </w:r>
          </w:p>
        </w:tc>
      </w:tr>
      <w:tr w:rsidR="004E079C" w:rsidRPr="003658D2" w14:paraId="34994744" w14:textId="77777777" w:rsidTr="00666672">
        <w:trPr>
          <w:trHeight w:hRule="exact" w:val="317"/>
        </w:trPr>
        <w:tc>
          <w:tcPr>
            <w:tcW w:w="1440" w:type="dxa"/>
            <w:gridSpan w:val="5"/>
            <w:shd w:val="clear" w:color="auto" w:fill="C6D9F1" w:themeFill="text2" w:themeFillTint="33"/>
          </w:tcPr>
          <w:p w14:paraId="5BF72D7F" w14:textId="77777777" w:rsidR="004E079C" w:rsidRPr="003658D2" w:rsidRDefault="004E079C" w:rsidP="004E079C">
            <w:pPr>
              <w:jc w:val="center"/>
              <w:rPr>
                <w:rFonts w:eastAsia="Calibri"/>
                <w:b/>
                <w:i/>
                <w:sz w:val="20"/>
                <w:szCs w:val="20"/>
              </w:rPr>
            </w:pPr>
            <w:r w:rsidRPr="003658D2">
              <w:rPr>
                <w:rFonts w:eastAsia="Calibri"/>
                <w:b/>
                <w:i/>
                <w:sz w:val="20"/>
                <w:szCs w:val="20"/>
              </w:rPr>
              <w:t>HC #7: Households Assisted by Services that Increase Housing Choice</w:t>
            </w:r>
          </w:p>
        </w:tc>
      </w:tr>
      <w:tr w:rsidR="004E079C" w:rsidRPr="003658D2" w14:paraId="072E5432" w14:textId="77777777" w:rsidTr="00666672">
        <w:trPr>
          <w:trHeight w:val="710"/>
        </w:trPr>
        <w:tc>
          <w:tcPr>
            <w:tcW w:w="3240" w:type="dxa"/>
            <w:shd w:val="clear" w:color="auto" w:fill="D9D9D9" w:themeFill="background1" w:themeFillShade="D9"/>
          </w:tcPr>
          <w:p w14:paraId="774FC548" w14:textId="77777777" w:rsidR="004E079C" w:rsidRPr="003658D2" w:rsidRDefault="004E079C" w:rsidP="004E079C">
            <w:pPr>
              <w:jc w:val="center"/>
              <w:rPr>
                <w:rFonts w:eastAsia="Calibri"/>
                <w:sz w:val="20"/>
                <w:szCs w:val="20"/>
              </w:rPr>
            </w:pPr>
            <w:r w:rsidRPr="003658D2">
              <w:rPr>
                <w:rFonts w:eastAsia="Calibri"/>
                <w:b/>
                <w:bCs/>
                <w:sz w:val="20"/>
                <w:szCs w:val="20"/>
              </w:rPr>
              <w:t>Unit of Measurement</w:t>
            </w:r>
          </w:p>
        </w:tc>
        <w:tc>
          <w:tcPr>
            <w:tcW w:w="1714" w:type="dxa"/>
            <w:shd w:val="clear" w:color="auto" w:fill="D9D9D9" w:themeFill="background1" w:themeFillShade="D9"/>
          </w:tcPr>
          <w:p w14:paraId="4A50433B" w14:textId="77777777" w:rsidR="004E079C" w:rsidRPr="003658D2" w:rsidRDefault="004E079C" w:rsidP="004E079C">
            <w:pPr>
              <w:jc w:val="center"/>
              <w:rPr>
                <w:rFonts w:eastAsia="Calibri"/>
                <w:sz w:val="20"/>
                <w:szCs w:val="20"/>
              </w:rPr>
            </w:pPr>
            <w:r w:rsidRPr="003658D2">
              <w:rPr>
                <w:rFonts w:eastAsia="Calibri"/>
                <w:b/>
                <w:bCs/>
                <w:sz w:val="20"/>
                <w:szCs w:val="20"/>
              </w:rPr>
              <w:t>Baseline</w:t>
            </w:r>
          </w:p>
        </w:tc>
        <w:tc>
          <w:tcPr>
            <w:tcW w:w="1627" w:type="dxa"/>
            <w:shd w:val="clear" w:color="auto" w:fill="D9D9D9" w:themeFill="background1" w:themeFillShade="D9"/>
          </w:tcPr>
          <w:p w14:paraId="043013D1" w14:textId="77777777" w:rsidR="004E079C" w:rsidRPr="003658D2" w:rsidRDefault="004E079C" w:rsidP="004E079C">
            <w:pPr>
              <w:jc w:val="center"/>
              <w:rPr>
                <w:rFonts w:eastAsia="Calibri"/>
                <w:sz w:val="20"/>
                <w:szCs w:val="20"/>
              </w:rPr>
            </w:pPr>
            <w:r w:rsidRPr="003658D2">
              <w:rPr>
                <w:rFonts w:eastAsia="Calibri"/>
                <w:b/>
                <w:bCs/>
                <w:sz w:val="20"/>
                <w:szCs w:val="20"/>
              </w:rPr>
              <w:t>Benchmark</w:t>
            </w:r>
          </w:p>
        </w:tc>
        <w:tc>
          <w:tcPr>
            <w:tcW w:w="1354" w:type="dxa"/>
            <w:shd w:val="clear" w:color="auto" w:fill="D9D9D9" w:themeFill="background1" w:themeFillShade="D9"/>
          </w:tcPr>
          <w:p w14:paraId="4374E32F" w14:textId="77777777" w:rsidR="004E079C" w:rsidRPr="003658D2" w:rsidRDefault="004E079C" w:rsidP="004E079C">
            <w:pPr>
              <w:jc w:val="center"/>
              <w:rPr>
                <w:rFonts w:eastAsia="Calibri"/>
                <w:sz w:val="20"/>
                <w:szCs w:val="20"/>
              </w:rPr>
            </w:pPr>
            <w:r w:rsidRPr="003658D2">
              <w:rPr>
                <w:rFonts w:eastAsia="Calibri"/>
                <w:b/>
                <w:bCs/>
                <w:sz w:val="20"/>
                <w:szCs w:val="20"/>
              </w:rPr>
              <w:t>Outcome</w:t>
            </w:r>
          </w:p>
        </w:tc>
        <w:tc>
          <w:tcPr>
            <w:tcW w:w="1440" w:type="dxa"/>
            <w:shd w:val="clear" w:color="auto" w:fill="D9D9D9" w:themeFill="background1" w:themeFillShade="D9"/>
          </w:tcPr>
          <w:p w14:paraId="763C6CFE" w14:textId="77777777" w:rsidR="004E079C" w:rsidRPr="003658D2" w:rsidRDefault="004E079C" w:rsidP="004E079C">
            <w:pPr>
              <w:jc w:val="center"/>
              <w:rPr>
                <w:rFonts w:eastAsia="Calibri"/>
                <w:sz w:val="20"/>
                <w:szCs w:val="20"/>
              </w:rPr>
            </w:pPr>
            <w:r w:rsidRPr="003658D2">
              <w:rPr>
                <w:rFonts w:eastAsia="Calibri"/>
                <w:b/>
                <w:bCs/>
                <w:sz w:val="20"/>
                <w:szCs w:val="20"/>
              </w:rPr>
              <w:t>Benchmark Achieved?</w:t>
            </w:r>
          </w:p>
        </w:tc>
      </w:tr>
      <w:tr w:rsidR="004E079C" w:rsidRPr="003658D2" w14:paraId="7549DFC5" w14:textId="77777777" w:rsidTr="00666672">
        <w:trPr>
          <w:trHeight w:val="710"/>
        </w:trPr>
        <w:tc>
          <w:tcPr>
            <w:tcW w:w="3240" w:type="dxa"/>
            <w:shd w:val="clear" w:color="auto" w:fill="auto"/>
          </w:tcPr>
          <w:p w14:paraId="1760C8D3" w14:textId="106C22E2" w:rsidR="004E079C" w:rsidRPr="003658D2" w:rsidRDefault="004E079C" w:rsidP="004E079C">
            <w:pPr>
              <w:rPr>
                <w:rFonts w:eastAsia="Calibri"/>
                <w:sz w:val="20"/>
                <w:szCs w:val="20"/>
              </w:rPr>
            </w:pPr>
            <w:r w:rsidRPr="003658D2">
              <w:rPr>
                <w:rFonts w:eastAsia="Calibri"/>
                <w:sz w:val="20"/>
                <w:szCs w:val="20"/>
              </w:rPr>
              <w:t xml:space="preserve">Number of households receiving services aimed to increase housing choice </w:t>
            </w:r>
            <w:r w:rsidR="003169BF">
              <w:rPr>
                <w:rFonts w:eastAsia="Calibri"/>
                <w:sz w:val="20"/>
                <w:szCs w:val="20"/>
              </w:rPr>
              <w:t>(increase).</w:t>
            </w:r>
          </w:p>
        </w:tc>
        <w:tc>
          <w:tcPr>
            <w:tcW w:w="1714" w:type="dxa"/>
            <w:shd w:val="clear" w:color="auto" w:fill="auto"/>
          </w:tcPr>
          <w:p w14:paraId="77050524" w14:textId="77777777" w:rsidR="004E079C" w:rsidRPr="003658D2" w:rsidRDefault="004E079C" w:rsidP="00D748F5">
            <w:pPr>
              <w:jc w:val="center"/>
              <w:rPr>
                <w:rFonts w:eastAsia="Calibri"/>
                <w:sz w:val="20"/>
                <w:szCs w:val="20"/>
              </w:rPr>
            </w:pPr>
            <w:r w:rsidRPr="003658D2">
              <w:rPr>
                <w:rFonts w:eastAsia="Calibri"/>
                <w:sz w:val="20"/>
                <w:szCs w:val="20"/>
              </w:rPr>
              <w:t>0</w:t>
            </w:r>
          </w:p>
        </w:tc>
        <w:tc>
          <w:tcPr>
            <w:tcW w:w="1627" w:type="dxa"/>
            <w:shd w:val="clear" w:color="auto" w:fill="auto"/>
          </w:tcPr>
          <w:p w14:paraId="16A322A7" w14:textId="6BCB61E6" w:rsidR="004E079C" w:rsidRPr="003658D2" w:rsidRDefault="00484B0A" w:rsidP="00D748F5">
            <w:pPr>
              <w:jc w:val="center"/>
              <w:rPr>
                <w:rFonts w:eastAsia="Calibri"/>
                <w:sz w:val="20"/>
                <w:szCs w:val="20"/>
              </w:rPr>
            </w:pPr>
            <w:r w:rsidRPr="003658D2">
              <w:rPr>
                <w:rFonts w:eastAsia="Calibri"/>
                <w:sz w:val="20"/>
                <w:szCs w:val="20"/>
              </w:rPr>
              <w:t>57</w:t>
            </w:r>
          </w:p>
        </w:tc>
        <w:tc>
          <w:tcPr>
            <w:tcW w:w="1354" w:type="dxa"/>
            <w:shd w:val="clear" w:color="auto" w:fill="auto"/>
          </w:tcPr>
          <w:p w14:paraId="0B751BCA" w14:textId="671FB18A" w:rsidR="004E079C" w:rsidRPr="003658D2" w:rsidRDefault="004E079C" w:rsidP="00D748F5">
            <w:pPr>
              <w:jc w:val="center"/>
              <w:rPr>
                <w:rFonts w:eastAsia="Calibri"/>
                <w:sz w:val="20"/>
                <w:szCs w:val="20"/>
              </w:rPr>
            </w:pPr>
          </w:p>
        </w:tc>
        <w:tc>
          <w:tcPr>
            <w:tcW w:w="1440" w:type="dxa"/>
            <w:shd w:val="clear" w:color="auto" w:fill="auto"/>
          </w:tcPr>
          <w:p w14:paraId="26B7D3ED" w14:textId="4407C3E3" w:rsidR="004E079C" w:rsidRPr="003658D2" w:rsidRDefault="004E079C" w:rsidP="00D748F5">
            <w:pPr>
              <w:jc w:val="center"/>
              <w:rPr>
                <w:rFonts w:eastAsia="Calibri"/>
                <w:sz w:val="20"/>
                <w:szCs w:val="20"/>
              </w:rPr>
            </w:pPr>
          </w:p>
        </w:tc>
      </w:tr>
    </w:tbl>
    <w:p w14:paraId="2E1A7D02" w14:textId="77777777" w:rsidR="004E079C" w:rsidRPr="00C26707" w:rsidRDefault="004E079C" w:rsidP="004E079C">
      <w:pPr>
        <w:rPr>
          <w:color w:val="000000"/>
          <w:sz w:val="22"/>
          <w:szCs w:val="22"/>
        </w:rPr>
      </w:pPr>
    </w:p>
    <w:p w14:paraId="7B41549C" w14:textId="77777777" w:rsidR="005A4716" w:rsidRPr="00C26707" w:rsidRDefault="005A4716" w:rsidP="005A4716">
      <w:pPr>
        <w:jc w:val="both"/>
        <w:rPr>
          <w:b/>
          <w:color w:val="000000"/>
          <w:sz w:val="22"/>
          <w:szCs w:val="22"/>
        </w:rPr>
      </w:pPr>
      <w:r w:rsidRPr="00C26707">
        <w:rPr>
          <w:b/>
          <w:color w:val="000000"/>
          <w:sz w:val="22"/>
          <w:szCs w:val="22"/>
        </w:rPr>
        <w:t>Planned Significant Changes</w:t>
      </w:r>
    </w:p>
    <w:p w14:paraId="493A73B1" w14:textId="5463DBCA" w:rsidR="004E079C" w:rsidRPr="00E94B9C" w:rsidRDefault="005A4716" w:rsidP="006522E9">
      <w:pPr>
        <w:jc w:val="both"/>
        <w:rPr>
          <w:color w:val="000000"/>
        </w:rPr>
      </w:pPr>
      <w:r w:rsidRPr="00C26707">
        <w:rPr>
          <w:color w:val="000000" w:themeColor="text1"/>
          <w:sz w:val="22"/>
          <w:szCs w:val="22"/>
        </w:rPr>
        <w:t>No significant changes are planned.</w:t>
      </w:r>
      <w:r w:rsidR="004E079C" w:rsidRPr="00E94B9C">
        <w:rPr>
          <w:color w:val="000000"/>
        </w:rPr>
        <w:br w:type="page"/>
      </w:r>
    </w:p>
    <w:p w14:paraId="26BD4504" w14:textId="77777777" w:rsidR="00E003BD" w:rsidRDefault="00E003BD" w:rsidP="001F2A56">
      <w:pPr>
        <w:pStyle w:val="Heading3"/>
        <w:sectPr w:rsidR="00E003BD" w:rsidSect="00F61294">
          <w:pgSz w:w="12240" w:h="15840"/>
          <w:pgMar w:top="1440" w:right="1440" w:bottom="1152" w:left="1440" w:header="720" w:footer="720" w:gutter="0"/>
          <w:cols w:space="720"/>
          <w:docGrid w:linePitch="360"/>
        </w:sectPr>
      </w:pPr>
    </w:p>
    <w:p w14:paraId="5A19C600" w14:textId="4E978B06" w:rsidR="005E3062" w:rsidRPr="0004176C" w:rsidRDefault="00B037C4" w:rsidP="001F2A56">
      <w:pPr>
        <w:pStyle w:val="Heading3"/>
      </w:pPr>
      <w:bookmarkStart w:id="57" w:name="_Toc33016940"/>
      <w:r w:rsidRPr="0004176C">
        <w:t xml:space="preserve">Activity 2012-1: </w:t>
      </w:r>
      <w:r w:rsidR="005E3062" w:rsidRPr="0004176C">
        <w:t>MTW Utility Allowances</w:t>
      </w:r>
      <w:bookmarkEnd w:id="57"/>
    </w:p>
    <w:p w14:paraId="29CDE5D0" w14:textId="77777777" w:rsidR="005E3062" w:rsidRPr="0004176C" w:rsidRDefault="005E3062" w:rsidP="005E3062">
      <w:pPr>
        <w:rPr>
          <w:b/>
          <w:color w:val="000000"/>
          <w:sz w:val="22"/>
          <w:szCs w:val="22"/>
          <w:u w:val="single"/>
        </w:rPr>
      </w:pPr>
    </w:p>
    <w:p w14:paraId="285618FC" w14:textId="77777777" w:rsidR="008A751B" w:rsidRPr="0004176C" w:rsidRDefault="008A751B" w:rsidP="008A751B">
      <w:pPr>
        <w:jc w:val="both"/>
        <w:rPr>
          <w:color w:val="000000"/>
          <w:sz w:val="22"/>
          <w:szCs w:val="22"/>
        </w:rPr>
      </w:pPr>
      <w:r w:rsidRPr="0004176C">
        <w:rPr>
          <w:b/>
          <w:color w:val="000000"/>
          <w:sz w:val="22"/>
          <w:szCs w:val="22"/>
        </w:rPr>
        <w:t>Plan Year Approved, Implemented, Amended</w:t>
      </w:r>
      <w:r w:rsidRPr="0004176C">
        <w:rPr>
          <w:color w:val="000000"/>
          <w:sz w:val="22"/>
          <w:szCs w:val="22"/>
        </w:rPr>
        <w:t xml:space="preserve"> </w:t>
      </w:r>
    </w:p>
    <w:p w14:paraId="0A094AAD" w14:textId="77777777" w:rsidR="008A751B" w:rsidRPr="0004176C" w:rsidRDefault="008A751B" w:rsidP="008A751B">
      <w:pPr>
        <w:pStyle w:val="ListParagraph"/>
        <w:numPr>
          <w:ilvl w:val="0"/>
          <w:numId w:val="10"/>
        </w:numPr>
      </w:pPr>
      <w:r w:rsidRPr="0004176C">
        <w:t xml:space="preserve">UAP $25 or less </w:t>
      </w:r>
    </w:p>
    <w:p w14:paraId="21827B22" w14:textId="77777777" w:rsidR="008A751B" w:rsidRPr="0004176C" w:rsidRDefault="008A751B" w:rsidP="008A751B">
      <w:pPr>
        <w:pStyle w:val="ListParagraph"/>
        <w:numPr>
          <w:ilvl w:val="0"/>
          <w:numId w:val="12"/>
        </w:numPr>
      </w:pPr>
      <w:r w:rsidRPr="0004176C">
        <w:t xml:space="preserve">Approved FY 2012 </w:t>
      </w:r>
    </w:p>
    <w:p w14:paraId="25BA883E" w14:textId="77777777" w:rsidR="008A751B" w:rsidRPr="0004176C" w:rsidRDefault="008A751B" w:rsidP="008A751B">
      <w:pPr>
        <w:pStyle w:val="ListParagraph"/>
        <w:numPr>
          <w:ilvl w:val="0"/>
          <w:numId w:val="12"/>
        </w:numPr>
      </w:pPr>
      <w:r w:rsidRPr="0004176C">
        <w:t xml:space="preserve">Implemented FY 2012 </w:t>
      </w:r>
    </w:p>
    <w:p w14:paraId="0009718B" w14:textId="77777777" w:rsidR="008A751B" w:rsidRPr="0004176C" w:rsidRDefault="008A751B" w:rsidP="008A751B">
      <w:pPr>
        <w:jc w:val="both"/>
        <w:rPr>
          <w:color w:val="000000"/>
          <w:sz w:val="22"/>
          <w:szCs w:val="22"/>
        </w:rPr>
      </w:pPr>
    </w:p>
    <w:p w14:paraId="05558BC2" w14:textId="77777777" w:rsidR="008A751B" w:rsidRPr="0004176C" w:rsidRDefault="008A751B" w:rsidP="008A751B">
      <w:pPr>
        <w:pStyle w:val="ListParagraph"/>
        <w:numPr>
          <w:ilvl w:val="0"/>
          <w:numId w:val="10"/>
        </w:numPr>
      </w:pPr>
      <w:r w:rsidRPr="0004176C">
        <w:t xml:space="preserve">Simplified UA Schedule – Heat only </w:t>
      </w:r>
    </w:p>
    <w:p w14:paraId="3DDF560A" w14:textId="77777777" w:rsidR="008A751B" w:rsidRPr="0004176C" w:rsidRDefault="008A751B" w:rsidP="008A751B">
      <w:pPr>
        <w:pStyle w:val="ListParagraph"/>
        <w:numPr>
          <w:ilvl w:val="0"/>
          <w:numId w:val="12"/>
        </w:numPr>
      </w:pPr>
      <w:r w:rsidRPr="0004176C">
        <w:t xml:space="preserve">Approved FY 2014 </w:t>
      </w:r>
    </w:p>
    <w:p w14:paraId="3BF4867B" w14:textId="77777777" w:rsidR="008A751B" w:rsidRPr="0004176C" w:rsidRDefault="008A751B" w:rsidP="008A751B">
      <w:pPr>
        <w:pStyle w:val="ListParagraph"/>
        <w:numPr>
          <w:ilvl w:val="0"/>
          <w:numId w:val="12"/>
        </w:numPr>
      </w:pPr>
      <w:r w:rsidRPr="0004176C">
        <w:t>Implemented FY 2014</w:t>
      </w:r>
    </w:p>
    <w:p w14:paraId="2ED803F0" w14:textId="77777777" w:rsidR="008A751B" w:rsidRPr="0004176C" w:rsidRDefault="008A751B" w:rsidP="008A751B">
      <w:pPr>
        <w:jc w:val="both"/>
        <w:rPr>
          <w:color w:val="000000"/>
          <w:sz w:val="22"/>
          <w:szCs w:val="22"/>
        </w:rPr>
      </w:pPr>
    </w:p>
    <w:p w14:paraId="301BCD34" w14:textId="77777777" w:rsidR="008A751B" w:rsidRPr="0004176C" w:rsidRDefault="008A751B" w:rsidP="008A751B">
      <w:pPr>
        <w:pStyle w:val="ListParagraph"/>
        <w:numPr>
          <w:ilvl w:val="0"/>
          <w:numId w:val="10"/>
        </w:numPr>
      </w:pPr>
      <w:r w:rsidRPr="0004176C">
        <w:t>Other Electricity</w:t>
      </w:r>
    </w:p>
    <w:p w14:paraId="359C1484" w14:textId="77777777" w:rsidR="008A751B" w:rsidRPr="0004176C" w:rsidRDefault="008A751B" w:rsidP="008A751B">
      <w:pPr>
        <w:pStyle w:val="ListParagraph"/>
        <w:numPr>
          <w:ilvl w:val="0"/>
          <w:numId w:val="11"/>
        </w:numPr>
      </w:pPr>
      <w:r w:rsidRPr="0004176C">
        <w:t>Approved FY 2016</w:t>
      </w:r>
    </w:p>
    <w:p w14:paraId="3FCBD083" w14:textId="77777777" w:rsidR="008A751B" w:rsidRPr="0004176C" w:rsidRDefault="008A751B" w:rsidP="008A751B">
      <w:pPr>
        <w:pStyle w:val="ListParagraph"/>
        <w:numPr>
          <w:ilvl w:val="0"/>
          <w:numId w:val="11"/>
        </w:numPr>
      </w:pPr>
      <w:r w:rsidRPr="0004176C">
        <w:t xml:space="preserve">Implemented FY 2017 </w:t>
      </w:r>
    </w:p>
    <w:p w14:paraId="090B1326" w14:textId="77777777" w:rsidR="008A751B" w:rsidRPr="0004176C" w:rsidRDefault="008A751B" w:rsidP="008A751B">
      <w:pPr>
        <w:rPr>
          <w:sz w:val="22"/>
          <w:szCs w:val="22"/>
        </w:rPr>
      </w:pPr>
    </w:p>
    <w:p w14:paraId="08EA5F51" w14:textId="77777777" w:rsidR="008A751B" w:rsidRPr="0004176C" w:rsidRDefault="008A751B" w:rsidP="008A751B">
      <w:pPr>
        <w:pStyle w:val="ListParagraph"/>
        <w:numPr>
          <w:ilvl w:val="0"/>
          <w:numId w:val="36"/>
        </w:numPr>
      </w:pPr>
      <w:r w:rsidRPr="0004176C">
        <w:t>Discretionary Periodic UA Review</w:t>
      </w:r>
    </w:p>
    <w:p w14:paraId="225756FB" w14:textId="77777777" w:rsidR="008A751B" w:rsidRPr="0004176C" w:rsidRDefault="008A751B" w:rsidP="008A751B">
      <w:pPr>
        <w:pStyle w:val="ListParagraph"/>
        <w:numPr>
          <w:ilvl w:val="1"/>
          <w:numId w:val="36"/>
        </w:numPr>
        <w:ind w:left="720"/>
      </w:pPr>
      <w:r w:rsidRPr="0004176C">
        <w:t>Approved FY 2019</w:t>
      </w:r>
    </w:p>
    <w:p w14:paraId="0BB0A9A3" w14:textId="77777777" w:rsidR="008A751B" w:rsidRPr="0004176C" w:rsidRDefault="008A751B" w:rsidP="008A751B">
      <w:pPr>
        <w:pStyle w:val="ListParagraph"/>
        <w:numPr>
          <w:ilvl w:val="1"/>
          <w:numId w:val="36"/>
        </w:numPr>
        <w:ind w:left="720"/>
      </w:pPr>
      <w:r w:rsidRPr="0004176C">
        <w:t>Implemented FY 2019</w:t>
      </w:r>
    </w:p>
    <w:p w14:paraId="13688C83" w14:textId="77777777" w:rsidR="008A751B" w:rsidRPr="0004176C" w:rsidRDefault="008A751B" w:rsidP="008A751B">
      <w:pPr>
        <w:jc w:val="both"/>
        <w:rPr>
          <w:sz w:val="22"/>
          <w:szCs w:val="22"/>
        </w:rPr>
      </w:pPr>
    </w:p>
    <w:p w14:paraId="5AF6210C" w14:textId="77777777" w:rsidR="00B037C4" w:rsidRPr="0004176C" w:rsidRDefault="005E3062" w:rsidP="00B037C4">
      <w:pPr>
        <w:rPr>
          <w:b/>
          <w:color w:val="000000"/>
          <w:sz w:val="22"/>
          <w:szCs w:val="22"/>
        </w:rPr>
      </w:pPr>
      <w:r w:rsidRPr="0004176C">
        <w:rPr>
          <w:b/>
          <w:color w:val="000000"/>
          <w:sz w:val="22"/>
          <w:szCs w:val="22"/>
        </w:rPr>
        <w:t>Description</w:t>
      </w:r>
      <w:r w:rsidR="00D313D5" w:rsidRPr="0004176C">
        <w:rPr>
          <w:b/>
          <w:color w:val="000000"/>
          <w:sz w:val="22"/>
          <w:szCs w:val="22"/>
        </w:rPr>
        <w:t>/Update</w:t>
      </w:r>
    </w:p>
    <w:p w14:paraId="766C79D2" w14:textId="4F216637" w:rsidR="00B037C4" w:rsidRPr="0004176C" w:rsidRDefault="005E3062" w:rsidP="00180B60">
      <w:pPr>
        <w:jc w:val="both"/>
        <w:rPr>
          <w:sz w:val="22"/>
          <w:szCs w:val="22"/>
        </w:rPr>
      </w:pPr>
      <w:r w:rsidRPr="0004176C">
        <w:rPr>
          <w:sz w:val="22"/>
          <w:szCs w:val="22"/>
        </w:rPr>
        <w:t xml:space="preserve">Under this initiative, </w:t>
      </w:r>
      <w:r w:rsidR="00EF442B" w:rsidRPr="0004176C">
        <w:rPr>
          <w:sz w:val="22"/>
          <w:szCs w:val="22"/>
        </w:rPr>
        <w:t>DHCD</w:t>
      </w:r>
      <w:r w:rsidRPr="0004176C">
        <w:rPr>
          <w:sz w:val="22"/>
          <w:szCs w:val="22"/>
        </w:rPr>
        <w:t xml:space="preserve"> establish</w:t>
      </w:r>
      <w:r w:rsidR="00CD47BD" w:rsidRPr="0004176C">
        <w:rPr>
          <w:sz w:val="22"/>
          <w:szCs w:val="22"/>
        </w:rPr>
        <w:t>ed</w:t>
      </w:r>
      <w:r w:rsidRPr="0004176C">
        <w:rPr>
          <w:sz w:val="22"/>
          <w:szCs w:val="22"/>
        </w:rPr>
        <w:t xml:space="preserve"> a simplified Utility Allowance </w:t>
      </w:r>
      <w:r w:rsidR="00CD47BD" w:rsidRPr="0004176C">
        <w:rPr>
          <w:sz w:val="22"/>
          <w:szCs w:val="22"/>
        </w:rPr>
        <w:t xml:space="preserve">(UA) </w:t>
      </w:r>
      <w:r w:rsidRPr="0004176C">
        <w:rPr>
          <w:sz w:val="22"/>
          <w:szCs w:val="22"/>
        </w:rPr>
        <w:t>schedule</w:t>
      </w:r>
      <w:r w:rsidR="00CD47BD" w:rsidRPr="0004176C">
        <w:rPr>
          <w:sz w:val="22"/>
          <w:szCs w:val="22"/>
        </w:rPr>
        <w:t xml:space="preserve"> and eliminated Utility Allowance Payments under $25</w:t>
      </w:r>
      <w:r w:rsidRPr="0004176C">
        <w:rPr>
          <w:sz w:val="22"/>
          <w:szCs w:val="22"/>
        </w:rPr>
        <w:t>. In FY 2014</w:t>
      </w:r>
      <w:r w:rsidR="00F85A23" w:rsidRPr="0004176C">
        <w:rPr>
          <w:sz w:val="22"/>
          <w:szCs w:val="22"/>
        </w:rPr>
        <w:t>,</w:t>
      </w:r>
      <w:r w:rsidRPr="0004176C">
        <w:rPr>
          <w:sz w:val="22"/>
          <w:szCs w:val="22"/>
        </w:rPr>
        <w:t xml:space="preserve"> DHCD designed a UA model that eliminated all utility allowances except for heat. </w:t>
      </w:r>
      <w:r w:rsidR="00881DD5" w:rsidRPr="0004176C">
        <w:rPr>
          <w:sz w:val="22"/>
          <w:szCs w:val="22"/>
        </w:rPr>
        <w:t>However, i</w:t>
      </w:r>
      <w:r w:rsidR="00B037C4" w:rsidRPr="0004176C">
        <w:rPr>
          <w:sz w:val="22"/>
          <w:szCs w:val="22"/>
        </w:rPr>
        <w:t xml:space="preserve">n FY 2017, </w:t>
      </w:r>
      <w:r w:rsidR="00B037C4" w:rsidRPr="0004176C">
        <w:rPr>
          <w:color w:val="000000"/>
          <w:sz w:val="22"/>
          <w:szCs w:val="22"/>
        </w:rPr>
        <w:t>i</w:t>
      </w:r>
      <w:r w:rsidR="00E327E5" w:rsidRPr="0004176C">
        <w:rPr>
          <w:color w:val="000000"/>
          <w:sz w:val="22"/>
          <w:szCs w:val="22"/>
        </w:rPr>
        <w:t xml:space="preserve">n response to concerns about rising electricity costs, </w:t>
      </w:r>
      <w:r w:rsidR="003155FA" w:rsidRPr="0004176C">
        <w:rPr>
          <w:color w:val="000000"/>
          <w:sz w:val="22"/>
          <w:szCs w:val="22"/>
        </w:rPr>
        <w:t xml:space="preserve">DHCD </w:t>
      </w:r>
      <w:r w:rsidR="005F6480" w:rsidRPr="0004176C">
        <w:rPr>
          <w:color w:val="000000"/>
          <w:sz w:val="22"/>
          <w:szCs w:val="22"/>
        </w:rPr>
        <w:t>implemented</w:t>
      </w:r>
      <w:r w:rsidR="00B037C4" w:rsidRPr="0004176C">
        <w:rPr>
          <w:color w:val="000000"/>
          <w:sz w:val="22"/>
          <w:szCs w:val="22"/>
        </w:rPr>
        <w:t xml:space="preserve"> a revision to </w:t>
      </w:r>
      <w:r w:rsidR="003155FA" w:rsidRPr="0004176C">
        <w:rPr>
          <w:color w:val="000000"/>
          <w:sz w:val="22"/>
          <w:szCs w:val="22"/>
        </w:rPr>
        <w:t>the UA model to include a utility allowance for other electricity</w:t>
      </w:r>
      <w:r w:rsidR="00FE24EF" w:rsidRPr="0004176C">
        <w:rPr>
          <w:sz w:val="22"/>
          <w:szCs w:val="22"/>
        </w:rPr>
        <w:t xml:space="preserve">. </w:t>
      </w:r>
      <w:r w:rsidR="006B7A53" w:rsidRPr="0004176C">
        <w:rPr>
          <w:sz w:val="22"/>
          <w:szCs w:val="22"/>
        </w:rPr>
        <w:t xml:space="preserve"> Finally, under this activity, DHCD modified its UA policy to reflect discretionary periodic review of HCV utility allowance schedules to determine if adjustments are required. Annual updates are no longer required. DHCD maintains UA schedules for tenant-paid heat and other electricity</w:t>
      </w:r>
      <w:r w:rsidR="00511231" w:rsidRPr="0004176C">
        <w:rPr>
          <w:sz w:val="22"/>
          <w:szCs w:val="22"/>
        </w:rPr>
        <w:t xml:space="preserve"> that are</w:t>
      </w:r>
      <w:r w:rsidR="006B7A53" w:rsidRPr="0004176C">
        <w:rPr>
          <w:sz w:val="22"/>
          <w:szCs w:val="22"/>
        </w:rPr>
        <w:t xml:space="preserve"> base</w:t>
      </w:r>
      <w:r w:rsidR="00511231" w:rsidRPr="0004176C">
        <w:rPr>
          <w:sz w:val="22"/>
          <w:szCs w:val="22"/>
        </w:rPr>
        <w:t xml:space="preserve">d upon normal consumption by </w:t>
      </w:r>
      <w:r w:rsidR="006B7A53" w:rsidRPr="0004176C">
        <w:rPr>
          <w:sz w:val="22"/>
          <w:szCs w:val="22"/>
        </w:rPr>
        <w:t>energy-consc</w:t>
      </w:r>
      <w:r w:rsidR="00511231" w:rsidRPr="0004176C">
        <w:rPr>
          <w:sz w:val="22"/>
          <w:szCs w:val="22"/>
        </w:rPr>
        <w:t>ious households as well as by unit size.</w:t>
      </w:r>
      <w:r w:rsidR="006B7A53" w:rsidRPr="0004176C">
        <w:rPr>
          <w:sz w:val="22"/>
          <w:szCs w:val="22"/>
        </w:rPr>
        <w:t xml:space="preserve">  DHCD’s UA schedules</w:t>
      </w:r>
      <w:r w:rsidR="00511231" w:rsidRPr="0004176C">
        <w:rPr>
          <w:sz w:val="22"/>
          <w:szCs w:val="22"/>
        </w:rPr>
        <w:t xml:space="preserve"> do</w:t>
      </w:r>
      <w:r w:rsidR="003155FA" w:rsidRPr="0004176C">
        <w:rPr>
          <w:sz w:val="22"/>
          <w:szCs w:val="22"/>
        </w:rPr>
        <w:t xml:space="preserve"> not vary by geographi</w:t>
      </w:r>
      <w:r w:rsidR="00511231" w:rsidRPr="0004176C">
        <w:rPr>
          <w:sz w:val="22"/>
          <w:szCs w:val="22"/>
        </w:rPr>
        <w:t>cal area and/or building type</w:t>
      </w:r>
      <w:r w:rsidR="006B7A53" w:rsidRPr="0004176C">
        <w:rPr>
          <w:sz w:val="22"/>
          <w:szCs w:val="22"/>
        </w:rPr>
        <w:t xml:space="preserve">. </w:t>
      </w:r>
      <w:r w:rsidR="003155FA" w:rsidRPr="0004176C">
        <w:rPr>
          <w:sz w:val="22"/>
          <w:szCs w:val="22"/>
        </w:rPr>
        <w:t>Utility allowances for a</w:t>
      </w:r>
      <w:r w:rsidR="006B7A53" w:rsidRPr="0004176C">
        <w:rPr>
          <w:sz w:val="22"/>
          <w:szCs w:val="22"/>
        </w:rPr>
        <w:t>ny other tenant paid utilitie</w:t>
      </w:r>
      <w:r w:rsidR="00511231" w:rsidRPr="0004176C">
        <w:rPr>
          <w:sz w:val="22"/>
          <w:szCs w:val="22"/>
        </w:rPr>
        <w:t>s</w:t>
      </w:r>
      <w:r w:rsidR="00881DD5" w:rsidRPr="0004176C">
        <w:rPr>
          <w:sz w:val="22"/>
          <w:szCs w:val="22"/>
        </w:rPr>
        <w:t xml:space="preserve"> </w:t>
      </w:r>
      <w:r w:rsidR="00266EF2" w:rsidRPr="0004176C">
        <w:rPr>
          <w:sz w:val="22"/>
          <w:szCs w:val="22"/>
        </w:rPr>
        <w:t>are not</w:t>
      </w:r>
      <w:r w:rsidR="006B7A53" w:rsidRPr="0004176C">
        <w:rPr>
          <w:sz w:val="22"/>
          <w:szCs w:val="22"/>
        </w:rPr>
        <w:t xml:space="preserve"> provided</w:t>
      </w:r>
      <w:r w:rsidR="00B037C4" w:rsidRPr="0004176C">
        <w:rPr>
          <w:sz w:val="22"/>
          <w:szCs w:val="22"/>
        </w:rPr>
        <w:t xml:space="preserve">. DHCD </w:t>
      </w:r>
      <w:r w:rsidR="00B77235" w:rsidRPr="0004176C">
        <w:rPr>
          <w:sz w:val="22"/>
          <w:szCs w:val="22"/>
        </w:rPr>
        <w:t>determines</w:t>
      </w:r>
      <w:r w:rsidR="00B037C4" w:rsidRPr="0004176C">
        <w:rPr>
          <w:sz w:val="22"/>
          <w:szCs w:val="22"/>
        </w:rPr>
        <w:t xml:space="preserve"> rea</w:t>
      </w:r>
      <w:r w:rsidR="00F92B4B" w:rsidRPr="0004176C">
        <w:rPr>
          <w:sz w:val="22"/>
          <w:szCs w:val="22"/>
        </w:rPr>
        <w:t>sonable accommodations for</w:t>
      </w:r>
      <w:r w:rsidR="00266EF2" w:rsidRPr="0004176C">
        <w:rPr>
          <w:sz w:val="22"/>
          <w:szCs w:val="22"/>
        </w:rPr>
        <w:t xml:space="preserve"> utilities on a case-by-</w:t>
      </w:r>
      <w:r w:rsidR="00B037C4" w:rsidRPr="0004176C">
        <w:rPr>
          <w:sz w:val="22"/>
          <w:szCs w:val="22"/>
        </w:rPr>
        <w:t>case basis.</w:t>
      </w:r>
    </w:p>
    <w:p w14:paraId="3A8A65A0" w14:textId="50DFF86F" w:rsidR="00B037C4" w:rsidRPr="0004176C" w:rsidRDefault="00B037C4" w:rsidP="00B037C4">
      <w:pPr>
        <w:rPr>
          <w:sz w:val="22"/>
          <w:szCs w:val="22"/>
        </w:rPr>
      </w:pPr>
    </w:p>
    <w:p w14:paraId="3B4A89AD" w14:textId="61EFD746" w:rsidR="00ED1922" w:rsidRPr="0004176C" w:rsidRDefault="007061E5" w:rsidP="00ED1922">
      <w:pPr>
        <w:jc w:val="both"/>
        <w:rPr>
          <w:sz w:val="22"/>
          <w:szCs w:val="22"/>
        </w:rPr>
      </w:pPr>
      <w:r w:rsidRPr="0004176C">
        <w:rPr>
          <w:sz w:val="22"/>
          <w:szCs w:val="22"/>
        </w:rPr>
        <w:t xml:space="preserve">In FY 2020 DHCD reviewed the rates for heat and found the existing rates do not warrant an update to the utility schedule for heat.  In FY 2021, DHCD will review electricity rates and make a determination as to whether </w:t>
      </w:r>
      <w:r w:rsidR="006B7A53" w:rsidRPr="0004176C">
        <w:rPr>
          <w:sz w:val="22"/>
          <w:szCs w:val="22"/>
        </w:rPr>
        <w:t xml:space="preserve">update </w:t>
      </w:r>
      <w:r w:rsidRPr="0004176C">
        <w:rPr>
          <w:sz w:val="22"/>
          <w:szCs w:val="22"/>
        </w:rPr>
        <w:t>of the UA schedule is needed.</w:t>
      </w:r>
    </w:p>
    <w:p w14:paraId="76690E7D" w14:textId="77777777" w:rsidR="00ED1922" w:rsidRPr="0004176C" w:rsidRDefault="00ED1922" w:rsidP="00B037C4">
      <w:pPr>
        <w:rPr>
          <w:sz w:val="22"/>
          <w:szCs w:val="22"/>
        </w:rPr>
      </w:pPr>
    </w:p>
    <w:p w14:paraId="593355DA" w14:textId="77777777" w:rsidR="005A4716" w:rsidRPr="0004176C" w:rsidRDefault="005A4716" w:rsidP="005A4716">
      <w:pPr>
        <w:jc w:val="both"/>
        <w:rPr>
          <w:b/>
          <w:color w:val="000000"/>
          <w:sz w:val="22"/>
          <w:szCs w:val="22"/>
        </w:rPr>
      </w:pPr>
      <w:r w:rsidRPr="0004176C">
        <w:rPr>
          <w:b/>
          <w:color w:val="000000"/>
          <w:sz w:val="22"/>
          <w:szCs w:val="22"/>
        </w:rPr>
        <w:t>Planned Non-Significant Changes</w:t>
      </w:r>
    </w:p>
    <w:p w14:paraId="21717087" w14:textId="77777777" w:rsidR="005A4716" w:rsidRPr="0004176C" w:rsidRDefault="005A4716" w:rsidP="005A4716">
      <w:pPr>
        <w:jc w:val="both"/>
        <w:rPr>
          <w:b/>
          <w:strike/>
          <w:color w:val="FF0000"/>
          <w:sz w:val="22"/>
          <w:szCs w:val="22"/>
        </w:rPr>
      </w:pPr>
      <w:r w:rsidRPr="0004176C">
        <w:rPr>
          <w:color w:val="000000" w:themeColor="text1"/>
          <w:sz w:val="22"/>
          <w:szCs w:val="22"/>
        </w:rPr>
        <w:t xml:space="preserve">No non-significant changes are planned. </w:t>
      </w:r>
    </w:p>
    <w:p w14:paraId="17F6A6D7" w14:textId="77777777" w:rsidR="005A4716" w:rsidRPr="0004176C" w:rsidRDefault="005A4716" w:rsidP="005A4716">
      <w:pPr>
        <w:pStyle w:val="ListParagraph"/>
        <w:numPr>
          <w:ilvl w:val="0"/>
          <w:numId w:val="0"/>
        </w:numPr>
        <w:ind w:left="360"/>
        <w:jc w:val="both"/>
        <w:rPr>
          <w:color w:val="000000" w:themeColor="text1"/>
        </w:rPr>
      </w:pPr>
    </w:p>
    <w:p w14:paraId="6C6B37A1" w14:textId="77777777" w:rsidR="005A4716" w:rsidRPr="0004176C" w:rsidRDefault="005A4716" w:rsidP="005A4716">
      <w:pPr>
        <w:jc w:val="both"/>
        <w:rPr>
          <w:b/>
          <w:sz w:val="22"/>
          <w:szCs w:val="22"/>
        </w:rPr>
      </w:pPr>
      <w:r w:rsidRPr="0004176C">
        <w:rPr>
          <w:b/>
          <w:sz w:val="22"/>
          <w:szCs w:val="22"/>
        </w:rPr>
        <w:t>Planned Changes to Metrics/Data Collection</w:t>
      </w:r>
    </w:p>
    <w:p w14:paraId="68421E29" w14:textId="77777777" w:rsidR="005A4716" w:rsidRPr="0004176C" w:rsidRDefault="005A4716" w:rsidP="005A4716">
      <w:pPr>
        <w:jc w:val="both"/>
        <w:rPr>
          <w:bCs/>
          <w:sz w:val="22"/>
          <w:szCs w:val="22"/>
        </w:rPr>
      </w:pPr>
      <w:r w:rsidRPr="0004176C">
        <w:rPr>
          <w:bCs/>
          <w:sz w:val="22"/>
          <w:szCs w:val="22"/>
        </w:rPr>
        <w:t xml:space="preserve">No changes to metrics or data collection methods are planned. </w:t>
      </w:r>
    </w:p>
    <w:p w14:paraId="4B8C02B4" w14:textId="77777777" w:rsidR="005A4716" w:rsidRPr="0004176C" w:rsidRDefault="005A4716" w:rsidP="005A4716">
      <w:pPr>
        <w:pStyle w:val="ListParagraph"/>
        <w:numPr>
          <w:ilvl w:val="0"/>
          <w:numId w:val="0"/>
        </w:numPr>
        <w:ind w:left="360"/>
        <w:jc w:val="both"/>
      </w:pPr>
    </w:p>
    <w:p w14:paraId="55509E3D" w14:textId="77777777" w:rsidR="005A4716" w:rsidRPr="0004176C" w:rsidRDefault="005A4716" w:rsidP="005A4716">
      <w:pPr>
        <w:autoSpaceDE w:val="0"/>
        <w:autoSpaceDN w:val="0"/>
        <w:adjustRightInd w:val="0"/>
        <w:jc w:val="both"/>
        <w:rPr>
          <w:b/>
          <w:color w:val="000000"/>
          <w:sz w:val="22"/>
          <w:szCs w:val="22"/>
        </w:rPr>
      </w:pPr>
      <w:r w:rsidRPr="0004176C">
        <w:rPr>
          <w:b/>
          <w:color w:val="000000"/>
          <w:sz w:val="22"/>
          <w:szCs w:val="22"/>
        </w:rPr>
        <w:t>Metrics</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14"/>
        <w:gridCol w:w="1627"/>
        <w:gridCol w:w="1354"/>
        <w:gridCol w:w="1440"/>
      </w:tblGrid>
      <w:tr w:rsidR="003E174E" w:rsidRPr="0004176C" w14:paraId="1D37C000" w14:textId="77777777" w:rsidTr="007A23B3">
        <w:trPr>
          <w:trHeight w:hRule="exact" w:val="317"/>
        </w:trPr>
        <w:tc>
          <w:tcPr>
            <w:tcW w:w="9375" w:type="dxa"/>
            <w:gridSpan w:val="5"/>
            <w:shd w:val="clear" w:color="auto" w:fill="C6D9F1" w:themeFill="text2" w:themeFillTint="33"/>
            <w:hideMark/>
          </w:tcPr>
          <w:bookmarkEnd w:id="55"/>
          <w:bookmarkEnd w:id="56"/>
          <w:p w14:paraId="681C355B" w14:textId="58E88AFD" w:rsidR="003E174E" w:rsidRPr="0004176C" w:rsidRDefault="003E174E" w:rsidP="00655474">
            <w:pPr>
              <w:jc w:val="center"/>
              <w:rPr>
                <w:rFonts w:eastAsia="Calibri"/>
                <w:b/>
                <w:bCs/>
                <w:i/>
                <w:iCs/>
                <w:sz w:val="20"/>
                <w:szCs w:val="20"/>
              </w:rPr>
            </w:pPr>
            <w:r w:rsidRPr="0004176C">
              <w:rPr>
                <w:rFonts w:eastAsia="Calibri"/>
                <w:b/>
                <w:bCs/>
                <w:i/>
                <w:iCs/>
                <w:sz w:val="20"/>
                <w:szCs w:val="20"/>
              </w:rPr>
              <w:t>CE #1: Agency Cost Savings</w:t>
            </w:r>
            <w:r w:rsidR="007A23B3" w:rsidRPr="0004176C">
              <w:rPr>
                <w:rFonts w:eastAsia="Calibri"/>
                <w:b/>
                <w:bCs/>
                <w:i/>
                <w:iCs/>
                <w:sz w:val="20"/>
                <w:szCs w:val="20"/>
              </w:rPr>
              <w:t>*</w:t>
            </w:r>
          </w:p>
        </w:tc>
      </w:tr>
      <w:tr w:rsidR="003E174E" w:rsidRPr="0004176C" w14:paraId="3A9EC83C" w14:textId="77777777" w:rsidTr="007A23B3">
        <w:trPr>
          <w:trHeight w:hRule="exact" w:val="576"/>
        </w:trPr>
        <w:tc>
          <w:tcPr>
            <w:tcW w:w="3240" w:type="dxa"/>
            <w:shd w:val="clear" w:color="auto" w:fill="D9D9D9" w:themeFill="background1" w:themeFillShade="D9"/>
            <w:hideMark/>
          </w:tcPr>
          <w:p w14:paraId="7ECD6E9A" w14:textId="77777777" w:rsidR="003E174E" w:rsidRPr="0004176C" w:rsidRDefault="003E174E" w:rsidP="00655474">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hideMark/>
          </w:tcPr>
          <w:p w14:paraId="2A190966" w14:textId="77777777" w:rsidR="003E174E" w:rsidRPr="0004176C" w:rsidRDefault="003E174E" w:rsidP="00655474">
            <w:pPr>
              <w:jc w:val="center"/>
              <w:rPr>
                <w:rFonts w:eastAsia="Calibri"/>
                <w:b/>
                <w:bCs/>
                <w:sz w:val="20"/>
                <w:szCs w:val="20"/>
              </w:rPr>
            </w:pPr>
            <w:r w:rsidRPr="0004176C">
              <w:rPr>
                <w:rFonts w:eastAsia="Calibri"/>
                <w:b/>
                <w:bCs/>
                <w:sz w:val="20"/>
                <w:szCs w:val="20"/>
              </w:rPr>
              <w:t>Baseline</w:t>
            </w:r>
          </w:p>
        </w:tc>
        <w:tc>
          <w:tcPr>
            <w:tcW w:w="1627" w:type="dxa"/>
            <w:shd w:val="clear" w:color="auto" w:fill="D9D9D9" w:themeFill="background1" w:themeFillShade="D9"/>
            <w:hideMark/>
          </w:tcPr>
          <w:p w14:paraId="1D8A66D9" w14:textId="77777777" w:rsidR="003E174E" w:rsidRPr="0004176C" w:rsidRDefault="003E174E" w:rsidP="00655474">
            <w:pPr>
              <w:jc w:val="center"/>
              <w:rPr>
                <w:rFonts w:eastAsia="Calibri"/>
                <w:b/>
                <w:bCs/>
                <w:sz w:val="20"/>
                <w:szCs w:val="20"/>
              </w:rPr>
            </w:pPr>
            <w:r w:rsidRPr="0004176C">
              <w:rPr>
                <w:rFonts w:eastAsia="Calibri"/>
                <w:b/>
                <w:bCs/>
                <w:sz w:val="20"/>
                <w:szCs w:val="20"/>
              </w:rPr>
              <w:t>Benchmark</w:t>
            </w:r>
          </w:p>
        </w:tc>
        <w:tc>
          <w:tcPr>
            <w:tcW w:w="1354" w:type="dxa"/>
            <w:shd w:val="clear" w:color="auto" w:fill="D9D9D9" w:themeFill="background1" w:themeFillShade="D9"/>
            <w:hideMark/>
          </w:tcPr>
          <w:p w14:paraId="61984FAC" w14:textId="77777777" w:rsidR="003E174E" w:rsidRPr="0004176C" w:rsidRDefault="003E174E" w:rsidP="00655474">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hideMark/>
          </w:tcPr>
          <w:p w14:paraId="2B356635" w14:textId="77777777" w:rsidR="003E174E" w:rsidRPr="0004176C" w:rsidRDefault="003E174E" w:rsidP="00655474">
            <w:pPr>
              <w:jc w:val="center"/>
              <w:rPr>
                <w:rFonts w:eastAsia="Calibri"/>
                <w:b/>
                <w:bCs/>
                <w:sz w:val="20"/>
                <w:szCs w:val="20"/>
              </w:rPr>
            </w:pPr>
            <w:r w:rsidRPr="0004176C">
              <w:rPr>
                <w:rFonts w:eastAsia="Calibri"/>
                <w:b/>
                <w:bCs/>
                <w:sz w:val="20"/>
                <w:szCs w:val="20"/>
              </w:rPr>
              <w:t>Benchmark Achieved?</w:t>
            </w:r>
          </w:p>
        </w:tc>
      </w:tr>
      <w:tr w:rsidR="003E174E" w:rsidRPr="0004176C" w14:paraId="31F4D8D7" w14:textId="77777777" w:rsidTr="007A23B3">
        <w:trPr>
          <w:trHeight w:val="494"/>
        </w:trPr>
        <w:tc>
          <w:tcPr>
            <w:tcW w:w="3240" w:type="dxa"/>
            <w:shd w:val="clear" w:color="auto" w:fill="auto"/>
            <w:hideMark/>
          </w:tcPr>
          <w:p w14:paraId="78747C7C" w14:textId="77777777" w:rsidR="003E174E" w:rsidRPr="0004176C" w:rsidRDefault="003E174E" w:rsidP="003E174E">
            <w:pPr>
              <w:rPr>
                <w:rFonts w:eastAsia="Calibri"/>
                <w:sz w:val="20"/>
                <w:szCs w:val="20"/>
              </w:rPr>
            </w:pPr>
            <w:r w:rsidRPr="0004176C">
              <w:rPr>
                <w:rFonts w:eastAsia="Calibri"/>
                <w:sz w:val="20"/>
                <w:szCs w:val="20"/>
              </w:rPr>
              <w:t>Total cost of task in dollars (decrease).</w:t>
            </w:r>
          </w:p>
        </w:tc>
        <w:tc>
          <w:tcPr>
            <w:tcW w:w="1714" w:type="dxa"/>
            <w:shd w:val="clear" w:color="auto" w:fill="auto"/>
          </w:tcPr>
          <w:p w14:paraId="27D8A752" w14:textId="77777777" w:rsidR="003E174E" w:rsidRPr="0004176C" w:rsidRDefault="003E174E" w:rsidP="00D748F5">
            <w:pPr>
              <w:jc w:val="center"/>
              <w:rPr>
                <w:rFonts w:eastAsia="Calibri"/>
                <w:sz w:val="20"/>
                <w:szCs w:val="20"/>
              </w:rPr>
            </w:pPr>
            <w:r w:rsidRPr="0004176C">
              <w:rPr>
                <w:color w:val="000000"/>
                <w:sz w:val="20"/>
                <w:szCs w:val="20"/>
              </w:rPr>
              <w:t>$31,476,912</w:t>
            </w:r>
          </w:p>
        </w:tc>
        <w:tc>
          <w:tcPr>
            <w:tcW w:w="1627" w:type="dxa"/>
            <w:shd w:val="clear" w:color="auto" w:fill="auto"/>
          </w:tcPr>
          <w:p w14:paraId="3D97BB72" w14:textId="77777777" w:rsidR="003E174E" w:rsidRPr="0004176C" w:rsidRDefault="003E174E" w:rsidP="00D748F5">
            <w:pPr>
              <w:jc w:val="center"/>
              <w:rPr>
                <w:rFonts w:eastAsia="Calibri"/>
                <w:sz w:val="20"/>
                <w:szCs w:val="20"/>
              </w:rPr>
            </w:pPr>
            <w:r w:rsidRPr="0004176C">
              <w:rPr>
                <w:color w:val="000000"/>
                <w:sz w:val="20"/>
                <w:szCs w:val="20"/>
              </w:rPr>
              <w:t>$22,547,940</w:t>
            </w:r>
          </w:p>
        </w:tc>
        <w:tc>
          <w:tcPr>
            <w:tcW w:w="1354" w:type="dxa"/>
            <w:shd w:val="clear" w:color="auto" w:fill="auto"/>
          </w:tcPr>
          <w:p w14:paraId="00FEE946" w14:textId="402F2D7F" w:rsidR="003E174E" w:rsidRPr="0004176C" w:rsidRDefault="003E174E" w:rsidP="00D748F5">
            <w:pPr>
              <w:jc w:val="center"/>
              <w:rPr>
                <w:rFonts w:eastAsia="Calibri"/>
                <w:sz w:val="20"/>
                <w:szCs w:val="20"/>
              </w:rPr>
            </w:pPr>
          </w:p>
        </w:tc>
        <w:tc>
          <w:tcPr>
            <w:tcW w:w="1440" w:type="dxa"/>
            <w:shd w:val="clear" w:color="auto" w:fill="auto"/>
          </w:tcPr>
          <w:p w14:paraId="4E47C246" w14:textId="450E511B" w:rsidR="003E174E" w:rsidRPr="0004176C" w:rsidRDefault="003E174E" w:rsidP="00D748F5">
            <w:pPr>
              <w:jc w:val="center"/>
              <w:rPr>
                <w:rFonts w:eastAsia="Calibri"/>
                <w:sz w:val="20"/>
                <w:szCs w:val="20"/>
              </w:rPr>
            </w:pPr>
          </w:p>
        </w:tc>
      </w:tr>
      <w:tr w:rsidR="007A23B3" w:rsidRPr="0004176C" w14:paraId="6692B034" w14:textId="77777777" w:rsidTr="007A23B3">
        <w:trPr>
          <w:trHeight w:val="494"/>
        </w:trPr>
        <w:tc>
          <w:tcPr>
            <w:tcW w:w="9375" w:type="dxa"/>
            <w:gridSpan w:val="5"/>
            <w:shd w:val="clear" w:color="auto" w:fill="auto"/>
          </w:tcPr>
          <w:p w14:paraId="19477CFD" w14:textId="208BCE3A" w:rsidR="007A23B3" w:rsidRPr="0004176C" w:rsidRDefault="007A23B3" w:rsidP="007A23B3">
            <w:pPr>
              <w:rPr>
                <w:rFonts w:eastAsia="Calibri"/>
                <w:i/>
                <w:sz w:val="20"/>
                <w:szCs w:val="20"/>
              </w:rPr>
            </w:pPr>
            <w:r w:rsidRPr="0004176C">
              <w:rPr>
                <w:rFonts w:eastAsia="Calibri"/>
                <w:i/>
                <w:sz w:val="20"/>
                <w:szCs w:val="20"/>
              </w:rPr>
              <w:t>*Represents total utility allowances.</w:t>
            </w:r>
          </w:p>
        </w:tc>
      </w:tr>
      <w:tr w:rsidR="003E174E" w:rsidRPr="0004176C" w14:paraId="4C876038" w14:textId="77777777" w:rsidTr="007A23B3">
        <w:trPr>
          <w:trHeight w:hRule="exact" w:val="317"/>
        </w:trPr>
        <w:tc>
          <w:tcPr>
            <w:tcW w:w="9375" w:type="dxa"/>
            <w:gridSpan w:val="5"/>
            <w:shd w:val="clear" w:color="auto" w:fill="C6D9F1" w:themeFill="text2" w:themeFillTint="33"/>
            <w:hideMark/>
          </w:tcPr>
          <w:p w14:paraId="192F7425" w14:textId="77777777" w:rsidR="003E174E" w:rsidRPr="0004176C" w:rsidRDefault="003E174E" w:rsidP="003E174E">
            <w:pPr>
              <w:jc w:val="center"/>
              <w:rPr>
                <w:b/>
                <w:bCs/>
                <w:i/>
                <w:iCs/>
                <w:sz w:val="20"/>
                <w:szCs w:val="20"/>
              </w:rPr>
            </w:pPr>
            <w:r w:rsidRPr="0004176C">
              <w:rPr>
                <w:b/>
                <w:bCs/>
                <w:i/>
                <w:iCs/>
                <w:sz w:val="20"/>
                <w:szCs w:val="20"/>
              </w:rPr>
              <w:t>CE #2: Staff Time Savings</w:t>
            </w:r>
          </w:p>
        </w:tc>
      </w:tr>
      <w:tr w:rsidR="003E174E" w:rsidRPr="0004176C" w14:paraId="66ABE4FB" w14:textId="77777777" w:rsidTr="007A23B3">
        <w:trPr>
          <w:trHeight w:hRule="exact" w:val="576"/>
        </w:trPr>
        <w:tc>
          <w:tcPr>
            <w:tcW w:w="3240" w:type="dxa"/>
            <w:shd w:val="clear" w:color="auto" w:fill="D9D9D9" w:themeFill="background1" w:themeFillShade="D9"/>
            <w:hideMark/>
          </w:tcPr>
          <w:p w14:paraId="008327B4" w14:textId="77777777" w:rsidR="003E174E" w:rsidRPr="0004176C" w:rsidRDefault="003E174E" w:rsidP="003E174E">
            <w:pPr>
              <w:jc w:val="center"/>
              <w:rPr>
                <w:b/>
                <w:bCs/>
                <w:sz w:val="20"/>
                <w:szCs w:val="20"/>
              </w:rPr>
            </w:pPr>
            <w:r w:rsidRPr="0004176C">
              <w:rPr>
                <w:b/>
                <w:bCs/>
                <w:sz w:val="20"/>
                <w:szCs w:val="20"/>
              </w:rPr>
              <w:t>Unit of Measurement</w:t>
            </w:r>
          </w:p>
        </w:tc>
        <w:tc>
          <w:tcPr>
            <w:tcW w:w="1714" w:type="dxa"/>
            <w:shd w:val="clear" w:color="auto" w:fill="D9D9D9" w:themeFill="background1" w:themeFillShade="D9"/>
            <w:hideMark/>
          </w:tcPr>
          <w:p w14:paraId="4296D252" w14:textId="77777777" w:rsidR="003E174E" w:rsidRPr="0004176C" w:rsidRDefault="003E174E" w:rsidP="003E174E">
            <w:pPr>
              <w:jc w:val="center"/>
              <w:rPr>
                <w:b/>
                <w:bCs/>
                <w:sz w:val="20"/>
                <w:szCs w:val="20"/>
              </w:rPr>
            </w:pPr>
            <w:r w:rsidRPr="0004176C">
              <w:rPr>
                <w:b/>
                <w:bCs/>
                <w:sz w:val="20"/>
                <w:szCs w:val="20"/>
              </w:rPr>
              <w:t>Baseline</w:t>
            </w:r>
          </w:p>
        </w:tc>
        <w:tc>
          <w:tcPr>
            <w:tcW w:w="1627" w:type="dxa"/>
            <w:shd w:val="clear" w:color="auto" w:fill="D9D9D9" w:themeFill="background1" w:themeFillShade="D9"/>
            <w:hideMark/>
          </w:tcPr>
          <w:p w14:paraId="2F0F7AE5" w14:textId="77777777" w:rsidR="003E174E" w:rsidRPr="0004176C" w:rsidRDefault="003E174E" w:rsidP="003E174E">
            <w:pPr>
              <w:jc w:val="center"/>
              <w:rPr>
                <w:b/>
                <w:bCs/>
                <w:sz w:val="20"/>
                <w:szCs w:val="20"/>
              </w:rPr>
            </w:pPr>
            <w:r w:rsidRPr="0004176C">
              <w:rPr>
                <w:b/>
                <w:bCs/>
                <w:sz w:val="20"/>
                <w:szCs w:val="20"/>
              </w:rPr>
              <w:t>Benchmark</w:t>
            </w:r>
          </w:p>
        </w:tc>
        <w:tc>
          <w:tcPr>
            <w:tcW w:w="1354" w:type="dxa"/>
            <w:shd w:val="clear" w:color="auto" w:fill="D9D9D9" w:themeFill="background1" w:themeFillShade="D9"/>
            <w:hideMark/>
          </w:tcPr>
          <w:p w14:paraId="7FEA5FBB" w14:textId="77777777" w:rsidR="003E174E" w:rsidRPr="0004176C" w:rsidRDefault="003E174E" w:rsidP="003E174E">
            <w:pPr>
              <w:jc w:val="center"/>
              <w:rPr>
                <w:b/>
                <w:bCs/>
                <w:sz w:val="20"/>
                <w:szCs w:val="20"/>
              </w:rPr>
            </w:pPr>
            <w:r w:rsidRPr="0004176C">
              <w:rPr>
                <w:b/>
                <w:bCs/>
                <w:sz w:val="20"/>
                <w:szCs w:val="20"/>
              </w:rPr>
              <w:t>Outcome</w:t>
            </w:r>
          </w:p>
        </w:tc>
        <w:tc>
          <w:tcPr>
            <w:tcW w:w="1440" w:type="dxa"/>
            <w:shd w:val="clear" w:color="auto" w:fill="D9D9D9" w:themeFill="background1" w:themeFillShade="D9"/>
            <w:hideMark/>
          </w:tcPr>
          <w:p w14:paraId="5D678025" w14:textId="77777777" w:rsidR="003E174E" w:rsidRPr="0004176C" w:rsidRDefault="003E174E" w:rsidP="003E174E">
            <w:pPr>
              <w:jc w:val="center"/>
              <w:rPr>
                <w:b/>
                <w:bCs/>
                <w:sz w:val="20"/>
                <w:szCs w:val="20"/>
              </w:rPr>
            </w:pPr>
            <w:r w:rsidRPr="0004176C">
              <w:rPr>
                <w:b/>
                <w:bCs/>
                <w:sz w:val="20"/>
                <w:szCs w:val="20"/>
              </w:rPr>
              <w:t>Benchmark Achieved?</w:t>
            </w:r>
          </w:p>
        </w:tc>
      </w:tr>
      <w:tr w:rsidR="003E174E" w:rsidRPr="0004176C" w14:paraId="07D3F46F" w14:textId="77777777" w:rsidTr="007A23B3">
        <w:trPr>
          <w:trHeight w:val="1515"/>
        </w:trPr>
        <w:tc>
          <w:tcPr>
            <w:tcW w:w="3240" w:type="dxa"/>
            <w:hideMark/>
          </w:tcPr>
          <w:p w14:paraId="6B7C4D58" w14:textId="77777777" w:rsidR="003E174E" w:rsidRPr="0004176C" w:rsidRDefault="003E174E" w:rsidP="003E174E">
            <w:pPr>
              <w:rPr>
                <w:sz w:val="20"/>
                <w:szCs w:val="20"/>
              </w:rPr>
            </w:pPr>
            <w:r w:rsidRPr="0004176C">
              <w:rPr>
                <w:sz w:val="20"/>
                <w:szCs w:val="20"/>
              </w:rPr>
              <w:t>Total time to complete the task in staff hours (decrease).</w:t>
            </w:r>
          </w:p>
        </w:tc>
        <w:tc>
          <w:tcPr>
            <w:tcW w:w="1714" w:type="dxa"/>
            <w:hideMark/>
          </w:tcPr>
          <w:p w14:paraId="65FF98C3" w14:textId="7069DC7B" w:rsidR="008D7DC4" w:rsidRPr="0004176C" w:rsidRDefault="008D7DC4" w:rsidP="003E174E">
            <w:pPr>
              <w:jc w:val="center"/>
              <w:rPr>
                <w:sz w:val="20"/>
                <w:szCs w:val="20"/>
              </w:rPr>
            </w:pPr>
            <w:r w:rsidRPr="0004176C">
              <w:rPr>
                <w:b/>
                <w:sz w:val="20"/>
                <w:szCs w:val="20"/>
              </w:rPr>
              <w:t>Total staff time prior to implementation</w:t>
            </w:r>
            <w:r w:rsidRPr="0004176C">
              <w:rPr>
                <w:sz w:val="20"/>
                <w:szCs w:val="20"/>
              </w:rPr>
              <w:t>: 2,256 hours</w:t>
            </w:r>
          </w:p>
          <w:p w14:paraId="283C45AF" w14:textId="77777777" w:rsidR="008D7DC4" w:rsidRPr="0004176C" w:rsidRDefault="008D7DC4" w:rsidP="003E174E">
            <w:pPr>
              <w:jc w:val="center"/>
              <w:rPr>
                <w:b/>
                <w:sz w:val="20"/>
                <w:szCs w:val="20"/>
              </w:rPr>
            </w:pPr>
          </w:p>
          <w:p w14:paraId="5E3D0009" w14:textId="7028BDA0" w:rsidR="00BB5C97" w:rsidRPr="0004176C" w:rsidRDefault="003E174E" w:rsidP="003E174E">
            <w:pPr>
              <w:jc w:val="center"/>
              <w:rPr>
                <w:sz w:val="20"/>
                <w:szCs w:val="20"/>
              </w:rPr>
            </w:pPr>
            <w:r w:rsidRPr="0004176C">
              <w:rPr>
                <w:b/>
                <w:sz w:val="20"/>
                <w:szCs w:val="20"/>
              </w:rPr>
              <w:t>Time required to calculate UA</w:t>
            </w:r>
            <w:r w:rsidRPr="0004176C">
              <w:rPr>
                <w:sz w:val="20"/>
                <w:szCs w:val="20"/>
              </w:rPr>
              <w:t xml:space="preserve">: </w:t>
            </w:r>
          </w:p>
          <w:p w14:paraId="1AB012D8" w14:textId="204DA844" w:rsidR="003E174E" w:rsidRPr="0004176C" w:rsidRDefault="003E174E" w:rsidP="003E174E">
            <w:pPr>
              <w:jc w:val="center"/>
              <w:rPr>
                <w:sz w:val="20"/>
                <w:szCs w:val="20"/>
              </w:rPr>
            </w:pPr>
            <w:r w:rsidRPr="0004176C">
              <w:rPr>
                <w:sz w:val="20"/>
                <w:szCs w:val="20"/>
              </w:rPr>
              <w:t>8 minutes</w:t>
            </w:r>
          </w:p>
          <w:p w14:paraId="6FCFB545" w14:textId="77777777" w:rsidR="003E174E" w:rsidRPr="0004176C" w:rsidRDefault="003E174E" w:rsidP="003E174E">
            <w:pPr>
              <w:jc w:val="center"/>
              <w:rPr>
                <w:sz w:val="20"/>
                <w:szCs w:val="20"/>
              </w:rPr>
            </w:pPr>
          </w:p>
          <w:p w14:paraId="0E69F8E1" w14:textId="14CD9A8E" w:rsidR="003E174E" w:rsidRPr="0004176C" w:rsidRDefault="003E174E" w:rsidP="008D7DC4">
            <w:pPr>
              <w:jc w:val="center"/>
              <w:rPr>
                <w:sz w:val="20"/>
                <w:szCs w:val="20"/>
              </w:rPr>
            </w:pPr>
            <w:r w:rsidRPr="0004176C">
              <w:rPr>
                <w:b/>
                <w:sz w:val="20"/>
                <w:szCs w:val="20"/>
              </w:rPr>
              <w:t>Number of UA calculated in FY 13</w:t>
            </w:r>
            <w:r w:rsidRPr="0004176C">
              <w:rPr>
                <w:sz w:val="20"/>
                <w:szCs w:val="20"/>
              </w:rPr>
              <w:t>: 16,919</w:t>
            </w:r>
          </w:p>
          <w:p w14:paraId="72483BDC" w14:textId="786362FD" w:rsidR="003E174E" w:rsidRPr="0004176C" w:rsidRDefault="003E174E" w:rsidP="00666672">
            <w:pPr>
              <w:rPr>
                <w:sz w:val="20"/>
                <w:szCs w:val="20"/>
              </w:rPr>
            </w:pPr>
          </w:p>
        </w:tc>
        <w:tc>
          <w:tcPr>
            <w:tcW w:w="1627" w:type="dxa"/>
            <w:hideMark/>
          </w:tcPr>
          <w:p w14:paraId="5860A8C3" w14:textId="47BB6CEE" w:rsidR="008D7DC4" w:rsidRPr="0004176C" w:rsidRDefault="008D7DC4" w:rsidP="008D7DC4">
            <w:pPr>
              <w:jc w:val="center"/>
              <w:rPr>
                <w:sz w:val="20"/>
                <w:szCs w:val="20"/>
              </w:rPr>
            </w:pPr>
            <w:r w:rsidRPr="0004176C">
              <w:rPr>
                <w:b/>
                <w:sz w:val="20"/>
                <w:szCs w:val="20"/>
              </w:rPr>
              <w:t>Anticipated total staff time after implementation</w:t>
            </w:r>
            <w:r w:rsidRPr="0004176C">
              <w:rPr>
                <w:sz w:val="20"/>
                <w:szCs w:val="20"/>
              </w:rPr>
              <w:t>: 1,491</w:t>
            </w:r>
            <w:r w:rsidR="002800CE" w:rsidRPr="0004176C">
              <w:rPr>
                <w:sz w:val="20"/>
                <w:szCs w:val="20"/>
              </w:rPr>
              <w:t xml:space="preserve"> hours</w:t>
            </w:r>
          </w:p>
          <w:p w14:paraId="46BED7F8" w14:textId="77777777" w:rsidR="008D7DC4" w:rsidRPr="0004176C" w:rsidRDefault="008D7DC4" w:rsidP="008D7DC4">
            <w:pPr>
              <w:jc w:val="center"/>
              <w:rPr>
                <w:b/>
                <w:sz w:val="20"/>
                <w:szCs w:val="20"/>
              </w:rPr>
            </w:pPr>
          </w:p>
          <w:p w14:paraId="54630DE1" w14:textId="77782CEE" w:rsidR="00BB5C97" w:rsidRPr="0004176C" w:rsidRDefault="003E174E" w:rsidP="008D7DC4">
            <w:pPr>
              <w:jc w:val="center"/>
              <w:rPr>
                <w:sz w:val="20"/>
                <w:szCs w:val="20"/>
              </w:rPr>
            </w:pPr>
            <w:r w:rsidRPr="0004176C">
              <w:rPr>
                <w:b/>
                <w:sz w:val="20"/>
                <w:szCs w:val="20"/>
              </w:rPr>
              <w:t>Time required to calculate UA</w:t>
            </w:r>
            <w:r w:rsidRPr="0004176C">
              <w:rPr>
                <w:sz w:val="20"/>
                <w:szCs w:val="20"/>
              </w:rPr>
              <w:t>:</w:t>
            </w:r>
          </w:p>
          <w:p w14:paraId="582D57FD" w14:textId="4E5B2A0C" w:rsidR="003E174E" w:rsidRPr="0004176C" w:rsidRDefault="003E174E" w:rsidP="008D7DC4">
            <w:pPr>
              <w:jc w:val="center"/>
              <w:rPr>
                <w:sz w:val="20"/>
                <w:szCs w:val="20"/>
              </w:rPr>
            </w:pPr>
            <w:r w:rsidRPr="0004176C">
              <w:rPr>
                <w:sz w:val="20"/>
                <w:szCs w:val="20"/>
              </w:rPr>
              <w:t>5 minutes</w:t>
            </w:r>
          </w:p>
          <w:p w14:paraId="5E95627E" w14:textId="77777777" w:rsidR="003E174E" w:rsidRPr="0004176C" w:rsidRDefault="003E174E" w:rsidP="008D7DC4">
            <w:pPr>
              <w:jc w:val="center"/>
              <w:rPr>
                <w:sz w:val="20"/>
                <w:szCs w:val="20"/>
              </w:rPr>
            </w:pPr>
          </w:p>
          <w:p w14:paraId="1E45BF7E" w14:textId="1D61F374" w:rsidR="003E174E" w:rsidRPr="0004176C" w:rsidRDefault="003E174E" w:rsidP="00666672">
            <w:pPr>
              <w:jc w:val="center"/>
              <w:rPr>
                <w:sz w:val="20"/>
                <w:szCs w:val="20"/>
              </w:rPr>
            </w:pPr>
            <w:r w:rsidRPr="0004176C">
              <w:rPr>
                <w:b/>
                <w:sz w:val="20"/>
                <w:szCs w:val="20"/>
              </w:rPr>
              <w:t>Anticipated number of UA</w:t>
            </w:r>
            <w:r w:rsidR="00511231" w:rsidRPr="0004176C">
              <w:rPr>
                <w:b/>
                <w:sz w:val="20"/>
                <w:szCs w:val="20"/>
              </w:rPr>
              <w:t>s</w:t>
            </w:r>
            <w:r w:rsidRPr="0004176C">
              <w:rPr>
                <w:sz w:val="20"/>
                <w:szCs w:val="20"/>
              </w:rPr>
              <w:t>: 17,894</w:t>
            </w:r>
          </w:p>
        </w:tc>
        <w:tc>
          <w:tcPr>
            <w:tcW w:w="1354" w:type="dxa"/>
            <w:hideMark/>
          </w:tcPr>
          <w:p w14:paraId="1AE1A9C4" w14:textId="77777777" w:rsidR="003E174E" w:rsidRPr="0004176C" w:rsidRDefault="003E174E" w:rsidP="00511231">
            <w:pPr>
              <w:jc w:val="center"/>
              <w:rPr>
                <w:sz w:val="20"/>
                <w:szCs w:val="20"/>
              </w:rPr>
            </w:pPr>
          </w:p>
        </w:tc>
        <w:tc>
          <w:tcPr>
            <w:tcW w:w="1440" w:type="dxa"/>
            <w:hideMark/>
          </w:tcPr>
          <w:p w14:paraId="5E3A90DA" w14:textId="36792656" w:rsidR="003E174E" w:rsidRPr="0004176C" w:rsidRDefault="003E174E" w:rsidP="003E174E">
            <w:pPr>
              <w:jc w:val="center"/>
              <w:rPr>
                <w:sz w:val="20"/>
                <w:szCs w:val="20"/>
              </w:rPr>
            </w:pPr>
          </w:p>
        </w:tc>
      </w:tr>
      <w:tr w:rsidR="003E174E" w:rsidRPr="0004176C" w14:paraId="7B64C620" w14:textId="77777777" w:rsidTr="007A23B3">
        <w:trPr>
          <w:trHeight w:hRule="exact" w:val="317"/>
        </w:trPr>
        <w:tc>
          <w:tcPr>
            <w:tcW w:w="9375" w:type="dxa"/>
            <w:gridSpan w:val="5"/>
            <w:shd w:val="clear" w:color="auto" w:fill="C6D9F1" w:themeFill="text2" w:themeFillTint="33"/>
          </w:tcPr>
          <w:p w14:paraId="6954F5C0" w14:textId="77777777" w:rsidR="003E174E" w:rsidRPr="0004176C" w:rsidRDefault="003E174E" w:rsidP="007A23B3">
            <w:pPr>
              <w:jc w:val="center"/>
              <w:rPr>
                <w:sz w:val="20"/>
                <w:szCs w:val="20"/>
              </w:rPr>
            </w:pPr>
            <w:r w:rsidRPr="0004176C">
              <w:rPr>
                <w:b/>
                <w:bCs/>
                <w:i/>
                <w:iCs/>
                <w:sz w:val="20"/>
                <w:szCs w:val="20"/>
              </w:rPr>
              <w:t>CE #3: Decrease in Error Rate of Task Execution</w:t>
            </w:r>
          </w:p>
        </w:tc>
      </w:tr>
      <w:tr w:rsidR="003E174E" w:rsidRPr="0004176C" w14:paraId="23D14BBF" w14:textId="77777777" w:rsidTr="007A23B3">
        <w:trPr>
          <w:trHeight w:hRule="exact" w:val="576"/>
        </w:trPr>
        <w:tc>
          <w:tcPr>
            <w:tcW w:w="3240" w:type="dxa"/>
            <w:shd w:val="clear" w:color="auto" w:fill="D9D9D9" w:themeFill="background1" w:themeFillShade="D9"/>
          </w:tcPr>
          <w:p w14:paraId="6411B1BC" w14:textId="77777777" w:rsidR="003E174E" w:rsidRPr="0004176C" w:rsidRDefault="003E174E" w:rsidP="003E174E">
            <w:pPr>
              <w:jc w:val="center"/>
              <w:rPr>
                <w:b/>
                <w:bCs/>
                <w:sz w:val="20"/>
                <w:szCs w:val="20"/>
              </w:rPr>
            </w:pPr>
            <w:r w:rsidRPr="0004176C">
              <w:rPr>
                <w:b/>
                <w:bCs/>
                <w:sz w:val="20"/>
                <w:szCs w:val="20"/>
              </w:rPr>
              <w:t>Unit of Measurement</w:t>
            </w:r>
          </w:p>
        </w:tc>
        <w:tc>
          <w:tcPr>
            <w:tcW w:w="1714" w:type="dxa"/>
            <w:shd w:val="clear" w:color="auto" w:fill="D9D9D9" w:themeFill="background1" w:themeFillShade="D9"/>
          </w:tcPr>
          <w:p w14:paraId="15DC59BC" w14:textId="77777777" w:rsidR="003E174E" w:rsidRPr="0004176C" w:rsidRDefault="003E174E" w:rsidP="003E174E">
            <w:pPr>
              <w:jc w:val="center"/>
              <w:rPr>
                <w:b/>
                <w:bCs/>
                <w:sz w:val="20"/>
                <w:szCs w:val="20"/>
              </w:rPr>
            </w:pPr>
            <w:r w:rsidRPr="0004176C">
              <w:rPr>
                <w:b/>
                <w:bCs/>
                <w:sz w:val="20"/>
                <w:szCs w:val="20"/>
              </w:rPr>
              <w:t>Baseline</w:t>
            </w:r>
          </w:p>
        </w:tc>
        <w:tc>
          <w:tcPr>
            <w:tcW w:w="1627" w:type="dxa"/>
            <w:shd w:val="clear" w:color="auto" w:fill="D9D9D9" w:themeFill="background1" w:themeFillShade="D9"/>
          </w:tcPr>
          <w:p w14:paraId="416B2C02" w14:textId="77777777" w:rsidR="003E174E" w:rsidRPr="0004176C" w:rsidRDefault="003E174E" w:rsidP="003E174E">
            <w:pPr>
              <w:jc w:val="center"/>
              <w:rPr>
                <w:b/>
                <w:bCs/>
                <w:sz w:val="20"/>
                <w:szCs w:val="20"/>
              </w:rPr>
            </w:pPr>
            <w:r w:rsidRPr="0004176C">
              <w:rPr>
                <w:b/>
                <w:bCs/>
                <w:sz w:val="20"/>
                <w:szCs w:val="20"/>
              </w:rPr>
              <w:t>Benchmark</w:t>
            </w:r>
          </w:p>
        </w:tc>
        <w:tc>
          <w:tcPr>
            <w:tcW w:w="1354" w:type="dxa"/>
            <w:shd w:val="clear" w:color="auto" w:fill="D9D9D9" w:themeFill="background1" w:themeFillShade="D9"/>
          </w:tcPr>
          <w:p w14:paraId="478410BC" w14:textId="77777777" w:rsidR="003E174E" w:rsidRPr="0004176C" w:rsidRDefault="003E174E" w:rsidP="003E174E">
            <w:pPr>
              <w:jc w:val="center"/>
              <w:rPr>
                <w:b/>
                <w:bCs/>
                <w:sz w:val="20"/>
                <w:szCs w:val="20"/>
              </w:rPr>
            </w:pPr>
            <w:r w:rsidRPr="0004176C">
              <w:rPr>
                <w:b/>
                <w:bCs/>
                <w:sz w:val="20"/>
                <w:szCs w:val="20"/>
              </w:rPr>
              <w:t>Outcome</w:t>
            </w:r>
          </w:p>
        </w:tc>
        <w:tc>
          <w:tcPr>
            <w:tcW w:w="1440" w:type="dxa"/>
            <w:shd w:val="clear" w:color="auto" w:fill="D9D9D9" w:themeFill="background1" w:themeFillShade="D9"/>
          </w:tcPr>
          <w:p w14:paraId="3082C521" w14:textId="77777777" w:rsidR="003E174E" w:rsidRPr="0004176C" w:rsidRDefault="003E174E" w:rsidP="003E174E">
            <w:pPr>
              <w:jc w:val="center"/>
              <w:rPr>
                <w:b/>
                <w:bCs/>
                <w:sz w:val="20"/>
                <w:szCs w:val="20"/>
              </w:rPr>
            </w:pPr>
            <w:r w:rsidRPr="0004176C">
              <w:rPr>
                <w:b/>
                <w:bCs/>
                <w:sz w:val="20"/>
                <w:szCs w:val="20"/>
              </w:rPr>
              <w:t>Benchmark Achieved?</w:t>
            </w:r>
          </w:p>
        </w:tc>
      </w:tr>
      <w:tr w:rsidR="003E174E" w:rsidRPr="0004176C" w14:paraId="525A35BB" w14:textId="77777777" w:rsidTr="007A23B3">
        <w:trPr>
          <w:trHeight w:val="350"/>
        </w:trPr>
        <w:tc>
          <w:tcPr>
            <w:tcW w:w="3240" w:type="dxa"/>
          </w:tcPr>
          <w:p w14:paraId="2F53A02D" w14:textId="77777777" w:rsidR="003E174E" w:rsidRPr="0004176C" w:rsidRDefault="003E174E" w:rsidP="003E174E">
            <w:pPr>
              <w:rPr>
                <w:sz w:val="20"/>
                <w:szCs w:val="20"/>
              </w:rPr>
            </w:pPr>
            <w:r w:rsidRPr="0004176C">
              <w:rPr>
                <w:sz w:val="20"/>
                <w:szCs w:val="20"/>
              </w:rPr>
              <w:t>Average error rate in completing a task as a percentage (decrease).</w:t>
            </w:r>
          </w:p>
        </w:tc>
        <w:tc>
          <w:tcPr>
            <w:tcW w:w="1714" w:type="dxa"/>
          </w:tcPr>
          <w:p w14:paraId="3634A442" w14:textId="77777777" w:rsidR="003E174E" w:rsidRPr="0004176C" w:rsidRDefault="003E174E" w:rsidP="00D748F5">
            <w:pPr>
              <w:jc w:val="center"/>
              <w:rPr>
                <w:sz w:val="20"/>
                <w:szCs w:val="20"/>
              </w:rPr>
            </w:pPr>
            <w:r w:rsidRPr="0004176C">
              <w:rPr>
                <w:rFonts w:eastAsia="Calibri"/>
                <w:bCs/>
                <w:iCs/>
                <w:sz w:val="20"/>
                <w:szCs w:val="20"/>
              </w:rPr>
              <w:t>10%</w:t>
            </w:r>
          </w:p>
        </w:tc>
        <w:tc>
          <w:tcPr>
            <w:tcW w:w="1627" w:type="dxa"/>
          </w:tcPr>
          <w:p w14:paraId="1C8E3D83" w14:textId="77777777" w:rsidR="003E174E" w:rsidRPr="0004176C" w:rsidRDefault="003E174E" w:rsidP="00D748F5">
            <w:pPr>
              <w:jc w:val="center"/>
              <w:rPr>
                <w:sz w:val="20"/>
                <w:szCs w:val="20"/>
              </w:rPr>
            </w:pPr>
            <w:r w:rsidRPr="0004176C">
              <w:rPr>
                <w:rFonts w:eastAsia="Calibri"/>
                <w:bCs/>
                <w:iCs/>
                <w:sz w:val="20"/>
                <w:szCs w:val="20"/>
              </w:rPr>
              <w:t>4%</w:t>
            </w:r>
          </w:p>
        </w:tc>
        <w:tc>
          <w:tcPr>
            <w:tcW w:w="1354" w:type="dxa"/>
          </w:tcPr>
          <w:p w14:paraId="17DA93A6" w14:textId="0F5D249C" w:rsidR="003E174E" w:rsidRPr="0004176C" w:rsidRDefault="003E174E" w:rsidP="00D748F5">
            <w:pPr>
              <w:jc w:val="center"/>
              <w:rPr>
                <w:b/>
                <w:sz w:val="20"/>
                <w:szCs w:val="20"/>
              </w:rPr>
            </w:pPr>
          </w:p>
        </w:tc>
        <w:tc>
          <w:tcPr>
            <w:tcW w:w="1440" w:type="dxa"/>
          </w:tcPr>
          <w:p w14:paraId="375EFE9A" w14:textId="4D05D968" w:rsidR="003E174E" w:rsidRPr="0004176C" w:rsidRDefault="003E174E" w:rsidP="00D748F5">
            <w:pPr>
              <w:jc w:val="center"/>
              <w:rPr>
                <w:sz w:val="20"/>
                <w:szCs w:val="20"/>
              </w:rPr>
            </w:pPr>
          </w:p>
        </w:tc>
      </w:tr>
      <w:tr w:rsidR="003E174E" w:rsidRPr="0004176C" w14:paraId="5A005BD9" w14:textId="77777777" w:rsidTr="007A23B3">
        <w:trPr>
          <w:trHeight w:hRule="exact" w:val="317"/>
        </w:trPr>
        <w:tc>
          <w:tcPr>
            <w:tcW w:w="9375" w:type="dxa"/>
            <w:gridSpan w:val="5"/>
            <w:shd w:val="clear" w:color="auto" w:fill="C6D9F1" w:themeFill="text2" w:themeFillTint="33"/>
          </w:tcPr>
          <w:p w14:paraId="69CC3454" w14:textId="77777777" w:rsidR="003E174E" w:rsidRPr="0004176C" w:rsidRDefault="003E174E" w:rsidP="003E174E">
            <w:pPr>
              <w:jc w:val="center"/>
              <w:rPr>
                <w:sz w:val="20"/>
                <w:szCs w:val="20"/>
              </w:rPr>
            </w:pPr>
            <w:r w:rsidRPr="0004176C">
              <w:rPr>
                <w:b/>
                <w:bCs/>
                <w:i/>
                <w:iCs/>
                <w:sz w:val="20"/>
                <w:szCs w:val="20"/>
              </w:rPr>
              <w:t>CE #5: Increase in Agency Rental Revenue*</w:t>
            </w:r>
          </w:p>
        </w:tc>
      </w:tr>
      <w:tr w:rsidR="003E174E" w:rsidRPr="0004176C" w14:paraId="25CA2473" w14:textId="77777777" w:rsidTr="007A23B3">
        <w:trPr>
          <w:trHeight w:hRule="exact" w:val="576"/>
        </w:trPr>
        <w:tc>
          <w:tcPr>
            <w:tcW w:w="3240" w:type="dxa"/>
            <w:shd w:val="clear" w:color="auto" w:fill="D9D9D9" w:themeFill="background1" w:themeFillShade="D9"/>
          </w:tcPr>
          <w:p w14:paraId="5AD06BCC" w14:textId="77777777" w:rsidR="003E174E" w:rsidRPr="0004176C" w:rsidRDefault="003E174E" w:rsidP="003E174E">
            <w:pPr>
              <w:jc w:val="center"/>
              <w:rPr>
                <w:sz w:val="20"/>
                <w:szCs w:val="20"/>
              </w:rPr>
            </w:pPr>
            <w:r w:rsidRPr="0004176C">
              <w:rPr>
                <w:b/>
                <w:bCs/>
                <w:sz w:val="20"/>
                <w:szCs w:val="20"/>
              </w:rPr>
              <w:t>Unit of Measurement</w:t>
            </w:r>
          </w:p>
        </w:tc>
        <w:tc>
          <w:tcPr>
            <w:tcW w:w="1714" w:type="dxa"/>
            <w:shd w:val="clear" w:color="auto" w:fill="D9D9D9" w:themeFill="background1" w:themeFillShade="D9"/>
          </w:tcPr>
          <w:p w14:paraId="08C45465" w14:textId="77777777" w:rsidR="003E174E" w:rsidRPr="0004176C" w:rsidRDefault="003E174E" w:rsidP="003E174E">
            <w:pPr>
              <w:jc w:val="center"/>
              <w:rPr>
                <w:rFonts w:eastAsia="Calibri"/>
                <w:bCs/>
                <w:iCs/>
                <w:sz w:val="20"/>
                <w:szCs w:val="20"/>
              </w:rPr>
            </w:pPr>
            <w:r w:rsidRPr="0004176C">
              <w:rPr>
                <w:b/>
                <w:bCs/>
                <w:sz w:val="20"/>
                <w:szCs w:val="20"/>
              </w:rPr>
              <w:t>Baseline</w:t>
            </w:r>
          </w:p>
        </w:tc>
        <w:tc>
          <w:tcPr>
            <w:tcW w:w="1627" w:type="dxa"/>
            <w:shd w:val="clear" w:color="auto" w:fill="D9D9D9" w:themeFill="background1" w:themeFillShade="D9"/>
          </w:tcPr>
          <w:p w14:paraId="6EE64DA7" w14:textId="77777777" w:rsidR="003E174E" w:rsidRPr="0004176C" w:rsidRDefault="003E174E" w:rsidP="003E174E">
            <w:pPr>
              <w:jc w:val="center"/>
              <w:rPr>
                <w:rFonts w:eastAsia="Calibri"/>
                <w:bCs/>
                <w:iCs/>
                <w:sz w:val="20"/>
                <w:szCs w:val="20"/>
              </w:rPr>
            </w:pPr>
            <w:r w:rsidRPr="0004176C">
              <w:rPr>
                <w:b/>
                <w:bCs/>
                <w:sz w:val="20"/>
                <w:szCs w:val="20"/>
              </w:rPr>
              <w:t>Benchmark</w:t>
            </w:r>
          </w:p>
        </w:tc>
        <w:tc>
          <w:tcPr>
            <w:tcW w:w="1354" w:type="dxa"/>
            <w:shd w:val="clear" w:color="auto" w:fill="D9D9D9" w:themeFill="background1" w:themeFillShade="D9"/>
          </w:tcPr>
          <w:p w14:paraId="143DEAE5" w14:textId="77777777" w:rsidR="003E174E" w:rsidRPr="0004176C" w:rsidRDefault="003E174E" w:rsidP="003E174E">
            <w:pPr>
              <w:jc w:val="center"/>
              <w:rPr>
                <w:b/>
                <w:sz w:val="20"/>
                <w:szCs w:val="20"/>
              </w:rPr>
            </w:pPr>
            <w:r w:rsidRPr="0004176C">
              <w:rPr>
                <w:b/>
                <w:bCs/>
                <w:sz w:val="20"/>
                <w:szCs w:val="20"/>
              </w:rPr>
              <w:t>Outcome</w:t>
            </w:r>
          </w:p>
        </w:tc>
        <w:tc>
          <w:tcPr>
            <w:tcW w:w="1440" w:type="dxa"/>
            <w:shd w:val="clear" w:color="auto" w:fill="D9D9D9" w:themeFill="background1" w:themeFillShade="D9"/>
          </w:tcPr>
          <w:p w14:paraId="266903F9" w14:textId="77777777" w:rsidR="003E174E" w:rsidRPr="0004176C" w:rsidRDefault="003E174E" w:rsidP="003E174E">
            <w:pPr>
              <w:jc w:val="center"/>
              <w:rPr>
                <w:sz w:val="20"/>
                <w:szCs w:val="20"/>
              </w:rPr>
            </w:pPr>
            <w:r w:rsidRPr="0004176C">
              <w:rPr>
                <w:b/>
                <w:bCs/>
                <w:sz w:val="20"/>
                <w:szCs w:val="20"/>
              </w:rPr>
              <w:t>Benchmark Achieved?</w:t>
            </w:r>
          </w:p>
        </w:tc>
      </w:tr>
      <w:tr w:rsidR="00655474" w:rsidRPr="0004176C" w14:paraId="13E84435" w14:textId="77777777" w:rsidTr="007A23B3">
        <w:trPr>
          <w:trHeight w:val="350"/>
        </w:trPr>
        <w:tc>
          <w:tcPr>
            <w:tcW w:w="3240" w:type="dxa"/>
          </w:tcPr>
          <w:p w14:paraId="56E52412" w14:textId="77777777" w:rsidR="00655474" w:rsidRPr="0004176C" w:rsidRDefault="00655474" w:rsidP="00655474">
            <w:pPr>
              <w:rPr>
                <w:sz w:val="20"/>
                <w:szCs w:val="20"/>
              </w:rPr>
            </w:pPr>
            <w:r w:rsidRPr="0004176C">
              <w:rPr>
                <w:sz w:val="20"/>
                <w:szCs w:val="20"/>
              </w:rPr>
              <w:t>Average Tenant Rent Share (increase).</w:t>
            </w:r>
          </w:p>
        </w:tc>
        <w:tc>
          <w:tcPr>
            <w:tcW w:w="1714" w:type="dxa"/>
          </w:tcPr>
          <w:p w14:paraId="2FA5ADA4" w14:textId="77777777" w:rsidR="00655474" w:rsidRPr="0004176C" w:rsidRDefault="00655474" w:rsidP="00D748F5">
            <w:pPr>
              <w:jc w:val="center"/>
              <w:rPr>
                <w:rFonts w:eastAsia="Calibri"/>
                <w:bCs/>
                <w:iCs/>
                <w:sz w:val="20"/>
                <w:szCs w:val="20"/>
              </w:rPr>
            </w:pPr>
            <w:r w:rsidRPr="0004176C">
              <w:rPr>
                <w:sz w:val="20"/>
                <w:szCs w:val="20"/>
              </w:rPr>
              <w:t>$382 per household in FY 2014</w:t>
            </w:r>
          </w:p>
        </w:tc>
        <w:tc>
          <w:tcPr>
            <w:tcW w:w="1627" w:type="dxa"/>
          </w:tcPr>
          <w:p w14:paraId="02034406" w14:textId="77777777" w:rsidR="00655474" w:rsidRPr="0004176C" w:rsidRDefault="00655474" w:rsidP="00D748F5">
            <w:pPr>
              <w:jc w:val="center"/>
              <w:rPr>
                <w:rFonts w:eastAsia="Calibri"/>
                <w:bCs/>
                <w:iCs/>
                <w:sz w:val="20"/>
                <w:szCs w:val="20"/>
              </w:rPr>
            </w:pPr>
            <w:r w:rsidRPr="0004176C">
              <w:rPr>
                <w:sz w:val="20"/>
                <w:szCs w:val="20"/>
              </w:rPr>
              <w:t>$326 per household</w:t>
            </w:r>
          </w:p>
        </w:tc>
        <w:tc>
          <w:tcPr>
            <w:tcW w:w="1354" w:type="dxa"/>
          </w:tcPr>
          <w:p w14:paraId="52554CAE" w14:textId="45C472D9" w:rsidR="00655474" w:rsidRPr="0004176C" w:rsidRDefault="00655474" w:rsidP="00D748F5">
            <w:pPr>
              <w:jc w:val="center"/>
              <w:rPr>
                <w:b/>
                <w:sz w:val="20"/>
                <w:szCs w:val="20"/>
              </w:rPr>
            </w:pPr>
          </w:p>
        </w:tc>
        <w:tc>
          <w:tcPr>
            <w:tcW w:w="1440" w:type="dxa"/>
          </w:tcPr>
          <w:p w14:paraId="2D6B9963" w14:textId="4F9D837C" w:rsidR="00655474" w:rsidRPr="0004176C" w:rsidRDefault="00655474" w:rsidP="00D748F5">
            <w:pPr>
              <w:jc w:val="center"/>
              <w:rPr>
                <w:sz w:val="20"/>
                <w:szCs w:val="20"/>
              </w:rPr>
            </w:pPr>
          </w:p>
        </w:tc>
      </w:tr>
      <w:tr w:rsidR="003E174E" w:rsidRPr="0004176C" w14:paraId="5B7D597D" w14:textId="77777777" w:rsidTr="007A23B3">
        <w:trPr>
          <w:trHeight w:val="206"/>
        </w:trPr>
        <w:tc>
          <w:tcPr>
            <w:tcW w:w="9375" w:type="dxa"/>
            <w:gridSpan w:val="5"/>
          </w:tcPr>
          <w:p w14:paraId="508D658B" w14:textId="77777777" w:rsidR="003E174E" w:rsidRPr="0004176C" w:rsidRDefault="003E174E" w:rsidP="003E174E">
            <w:pPr>
              <w:rPr>
                <w:i/>
                <w:sz w:val="20"/>
                <w:szCs w:val="20"/>
              </w:rPr>
            </w:pPr>
            <w:r w:rsidRPr="0004176C">
              <w:rPr>
                <w:i/>
                <w:sz w:val="20"/>
                <w:szCs w:val="20"/>
              </w:rPr>
              <w:t>*DHCD does not have any rental revenue and has been instructed by HUD to report on Average Tenant Rent to Owner.</w:t>
            </w:r>
          </w:p>
        </w:tc>
      </w:tr>
    </w:tbl>
    <w:p w14:paraId="72DF0200" w14:textId="77777777" w:rsidR="003E174E" w:rsidRPr="0004176C" w:rsidRDefault="003E174E" w:rsidP="00F4777A">
      <w:pPr>
        <w:jc w:val="both"/>
        <w:rPr>
          <w:b/>
          <w:color w:val="000000"/>
          <w:sz w:val="22"/>
          <w:szCs w:val="22"/>
        </w:rPr>
      </w:pPr>
    </w:p>
    <w:p w14:paraId="2851A68B" w14:textId="77777777" w:rsidR="0098594D" w:rsidRPr="0004176C" w:rsidRDefault="0098594D" w:rsidP="0098594D">
      <w:pPr>
        <w:jc w:val="both"/>
        <w:rPr>
          <w:b/>
          <w:color w:val="000000"/>
          <w:sz w:val="22"/>
          <w:szCs w:val="22"/>
        </w:rPr>
      </w:pPr>
      <w:r w:rsidRPr="0004176C">
        <w:rPr>
          <w:b/>
          <w:color w:val="000000"/>
          <w:sz w:val="22"/>
          <w:szCs w:val="22"/>
        </w:rPr>
        <w:t>Planned Significant Changes</w:t>
      </w:r>
    </w:p>
    <w:p w14:paraId="5F6EF165" w14:textId="77777777" w:rsidR="0098594D" w:rsidRPr="0004176C" w:rsidRDefault="0098594D" w:rsidP="0098594D">
      <w:pPr>
        <w:jc w:val="both"/>
        <w:rPr>
          <w:color w:val="000000" w:themeColor="text1"/>
          <w:sz w:val="22"/>
          <w:szCs w:val="22"/>
        </w:rPr>
      </w:pPr>
      <w:r w:rsidRPr="0004176C">
        <w:rPr>
          <w:color w:val="000000" w:themeColor="text1"/>
          <w:sz w:val="22"/>
          <w:szCs w:val="22"/>
        </w:rPr>
        <w:t>No significant changes are planned.</w:t>
      </w:r>
    </w:p>
    <w:p w14:paraId="705CA1EC" w14:textId="77777777" w:rsidR="003E174E" w:rsidRPr="0004176C" w:rsidRDefault="003E174E" w:rsidP="00F4777A">
      <w:pPr>
        <w:jc w:val="both"/>
        <w:rPr>
          <w:color w:val="000000"/>
          <w:sz w:val="22"/>
          <w:szCs w:val="22"/>
        </w:rPr>
      </w:pPr>
    </w:p>
    <w:p w14:paraId="2CBCD88A" w14:textId="77777777" w:rsidR="008573AB" w:rsidRPr="0004176C" w:rsidRDefault="008573AB" w:rsidP="005E3062">
      <w:pPr>
        <w:rPr>
          <w:color w:val="000000"/>
          <w:sz w:val="14"/>
          <w:u w:val="single"/>
        </w:rPr>
      </w:pPr>
    </w:p>
    <w:p w14:paraId="63CBFF12" w14:textId="77777777" w:rsidR="00DE3860" w:rsidRPr="0004176C" w:rsidRDefault="00DE3860" w:rsidP="00510108">
      <w:pPr>
        <w:pStyle w:val="Heading4"/>
        <w:sectPr w:rsidR="00DE3860" w:rsidRPr="0004176C" w:rsidSect="00F61294">
          <w:pgSz w:w="12240" w:h="15840"/>
          <w:pgMar w:top="1440" w:right="1440" w:bottom="1152" w:left="1440" w:header="720" w:footer="720" w:gutter="0"/>
          <w:cols w:space="720"/>
          <w:docGrid w:linePitch="360"/>
        </w:sectPr>
      </w:pPr>
    </w:p>
    <w:p w14:paraId="797565B0" w14:textId="77777777" w:rsidR="005E3062" w:rsidRPr="0004176C" w:rsidRDefault="0093552D" w:rsidP="001F2A56">
      <w:pPr>
        <w:pStyle w:val="Heading3"/>
      </w:pPr>
      <w:bookmarkStart w:id="58" w:name="_Toc33016941"/>
      <w:r w:rsidRPr="0004176C">
        <w:t xml:space="preserve">Activity 2012-4: </w:t>
      </w:r>
      <w:r w:rsidR="005E3062" w:rsidRPr="0004176C">
        <w:t>Expiring Use Preservation Initiative</w:t>
      </w:r>
      <w:bookmarkEnd w:id="58"/>
    </w:p>
    <w:p w14:paraId="27CB0108" w14:textId="77777777" w:rsidR="005E3062" w:rsidRPr="0004176C" w:rsidRDefault="005E3062" w:rsidP="005E3062">
      <w:pPr>
        <w:rPr>
          <w:b/>
          <w:color w:val="000000"/>
          <w:sz w:val="22"/>
          <w:szCs w:val="22"/>
          <w:u w:val="single"/>
        </w:rPr>
      </w:pPr>
    </w:p>
    <w:p w14:paraId="4C572667" w14:textId="77777777" w:rsidR="008A751B" w:rsidRPr="0004176C" w:rsidRDefault="008A751B" w:rsidP="008A751B">
      <w:pPr>
        <w:jc w:val="both"/>
        <w:rPr>
          <w:color w:val="000000"/>
          <w:sz w:val="22"/>
          <w:szCs w:val="22"/>
        </w:rPr>
      </w:pPr>
      <w:r w:rsidRPr="0004176C">
        <w:rPr>
          <w:b/>
          <w:color w:val="000000"/>
          <w:sz w:val="22"/>
          <w:szCs w:val="22"/>
        </w:rPr>
        <w:t>Plan Year Approved, Implemented, Amended</w:t>
      </w:r>
      <w:r w:rsidRPr="0004176C">
        <w:rPr>
          <w:color w:val="000000"/>
          <w:sz w:val="22"/>
          <w:szCs w:val="22"/>
        </w:rPr>
        <w:t xml:space="preserve"> </w:t>
      </w:r>
    </w:p>
    <w:p w14:paraId="4669165C" w14:textId="77777777" w:rsidR="008A751B" w:rsidRPr="0004176C" w:rsidRDefault="008A751B" w:rsidP="008A751B">
      <w:pPr>
        <w:jc w:val="both"/>
        <w:rPr>
          <w:sz w:val="22"/>
          <w:szCs w:val="22"/>
        </w:rPr>
      </w:pPr>
      <w:r w:rsidRPr="0004176C">
        <w:rPr>
          <w:sz w:val="22"/>
          <w:szCs w:val="22"/>
        </w:rPr>
        <w:t>Approved FY 2012 and implemented FY 2013.</w:t>
      </w:r>
    </w:p>
    <w:p w14:paraId="488B9233" w14:textId="77777777" w:rsidR="008A751B" w:rsidRPr="0004176C" w:rsidRDefault="008A751B" w:rsidP="008A751B">
      <w:pPr>
        <w:jc w:val="both"/>
        <w:rPr>
          <w:color w:val="000000"/>
          <w:sz w:val="22"/>
          <w:szCs w:val="22"/>
        </w:rPr>
      </w:pPr>
    </w:p>
    <w:p w14:paraId="31F35F8E" w14:textId="77777777" w:rsidR="009C7F55" w:rsidRPr="0004176C" w:rsidRDefault="005E3062" w:rsidP="008C0380">
      <w:pPr>
        <w:jc w:val="both"/>
        <w:rPr>
          <w:b/>
          <w:color w:val="000000"/>
          <w:sz w:val="22"/>
          <w:szCs w:val="22"/>
        </w:rPr>
      </w:pPr>
      <w:r w:rsidRPr="0004176C">
        <w:rPr>
          <w:b/>
          <w:color w:val="000000"/>
          <w:sz w:val="22"/>
          <w:szCs w:val="22"/>
        </w:rPr>
        <w:t>Description</w:t>
      </w:r>
      <w:r w:rsidR="00655474" w:rsidRPr="0004176C">
        <w:rPr>
          <w:b/>
          <w:color w:val="000000"/>
          <w:sz w:val="22"/>
          <w:szCs w:val="22"/>
        </w:rPr>
        <w:t>/Update</w:t>
      </w:r>
    </w:p>
    <w:p w14:paraId="60A5A7A5" w14:textId="77777777" w:rsidR="005E3062" w:rsidRPr="0004176C" w:rsidRDefault="005E3062" w:rsidP="008C0380">
      <w:pPr>
        <w:jc w:val="both"/>
        <w:rPr>
          <w:color w:val="000000"/>
          <w:sz w:val="22"/>
          <w:szCs w:val="22"/>
        </w:rPr>
      </w:pPr>
      <w:r w:rsidRPr="0004176C">
        <w:rPr>
          <w:color w:val="000000"/>
          <w:sz w:val="22"/>
          <w:szCs w:val="22"/>
        </w:rPr>
        <w:t>This initiative was designed to preserve the long-term affordabili</w:t>
      </w:r>
      <w:r w:rsidR="00C33EAE" w:rsidRPr="0004176C">
        <w:rPr>
          <w:color w:val="000000"/>
          <w:sz w:val="22"/>
          <w:szCs w:val="22"/>
        </w:rPr>
        <w:t xml:space="preserve">ty of expiring use properties. </w:t>
      </w:r>
      <w:r w:rsidR="0061549B" w:rsidRPr="0004176C">
        <w:rPr>
          <w:color w:val="000000"/>
          <w:sz w:val="22"/>
          <w:szCs w:val="22"/>
        </w:rPr>
        <w:t>DHCD will make</w:t>
      </w:r>
      <w:r w:rsidRPr="0004176C">
        <w:rPr>
          <w:color w:val="000000"/>
          <w:sz w:val="22"/>
          <w:szCs w:val="22"/>
        </w:rPr>
        <w:t xml:space="preserve"> use of the resources provided by HUD in the form of Enhanced and Tenant Protection Vouchers to continue the affordability of the units in these projects by converting eligible units immediately to Project-Based Units with a </w:t>
      </w:r>
      <w:r w:rsidR="003222FE" w:rsidRPr="0004176C">
        <w:rPr>
          <w:color w:val="000000"/>
          <w:sz w:val="22"/>
          <w:szCs w:val="22"/>
        </w:rPr>
        <w:t>15-year</w:t>
      </w:r>
      <w:r w:rsidRPr="0004176C">
        <w:rPr>
          <w:color w:val="000000"/>
          <w:sz w:val="22"/>
          <w:szCs w:val="22"/>
        </w:rPr>
        <w:t xml:space="preserve"> affordability period. </w:t>
      </w:r>
    </w:p>
    <w:p w14:paraId="4E1D55B5" w14:textId="77777777" w:rsidR="007B675E" w:rsidRPr="0004176C" w:rsidRDefault="007B675E" w:rsidP="008C0380">
      <w:pPr>
        <w:jc w:val="both"/>
        <w:rPr>
          <w:color w:val="000000"/>
          <w:sz w:val="22"/>
          <w:szCs w:val="22"/>
        </w:rPr>
      </w:pPr>
    </w:p>
    <w:p w14:paraId="566DE8C1" w14:textId="69D81320" w:rsidR="001D0BB4" w:rsidRPr="0004176C" w:rsidRDefault="00C7013A" w:rsidP="009E6224">
      <w:pPr>
        <w:jc w:val="both"/>
        <w:rPr>
          <w:color w:val="000000"/>
          <w:sz w:val="22"/>
          <w:szCs w:val="22"/>
        </w:rPr>
      </w:pPr>
      <w:r w:rsidRPr="0004176C">
        <w:rPr>
          <w:color w:val="000000"/>
          <w:sz w:val="22"/>
          <w:szCs w:val="22"/>
        </w:rPr>
        <w:t xml:space="preserve">Since its approval, this initiative has been modified so that MTW flexibilities may extend to units converted to PBV under RAD. Additionally, DHCD modified the income eligibility requirements for tenants who occupy units at the time of a RAD conversion to the PBV program. </w:t>
      </w:r>
    </w:p>
    <w:p w14:paraId="2162AB1D" w14:textId="0AC59D8A" w:rsidR="0098594D" w:rsidRPr="0004176C" w:rsidRDefault="0098594D" w:rsidP="009E6224">
      <w:pPr>
        <w:jc w:val="both"/>
        <w:rPr>
          <w:color w:val="000000"/>
          <w:sz w:val="22"/>
          <w:szCs w:val="22"/>
        </w:rPr>
      </w:pPr>
    </w:p>
    <w:p w14:paraId="5A397792" w14:textId="00987B4C" w:rsidR="0098594D" w:rsidRPr="0004176C" w:rsidRDefault="00F161F2" w:rsidP="009E6224">
      <w:pPr>
        <w:jc w:val="both"/>
        <w:rPr>
          <w:sz w:val="22"/>
          <w:szCs w:val="22"/>
        </w:rPr>
      </w:pPr>
      <w:r w:rsidRPr="0004176C">
        <w:rPr>
          <w:sz w:val="22"/>
          <w:szCs w:val="22"/>
        </w:rPr>
        <w:t xml:space="preserve">In </w:t>
      </w:r>
      <w:r w:rsidR="006D6331" w:rsidRPr="0004176C">
        <w:rPr>
          <w:sz w:val="22"/>
          <w:szCs w:val="22"/>
        </w:rPr>
        <w:t>FY 2021</w:t>
      </w:r>
      <w:r w:rsidR="0098594D" w:rsidRPr="0004176C">
        <w:rPr>
          <w:sz w:val="22"/>
          <w:szCs w:val="22"/>
        </w:rPr>
        <w:t xml:space="preserve">, DHCD </w:t>
      </w:r>
      <w:r w:rsidRPr="0004176C">
        <w:rPr>
          <w:sz w:val="22"/>
          <w:szCs w:val="22"/>
        </w:rPr>
        <w:t>does not anticipate any additional developments will be added</w:t>
      </w:r>
      <w:r w:rsidR="0098594D" w:rsidRPr="0004176C">
        <w:rPr>
          <w:sz w:val="22"/>
          <w:szCs w:val="22"/>
        </w:rPr>
        <w:t xml:space="preserve"> </w:t>
      </w:r>
      <w:r w:rsidR="005F6480" w:rsidRPr="0004176C">
        <w:rPr>
          <w:sz w:val="22"/>
          <w:szCs w:val="22"/>
        </w:rPr>
        <w:t xml:space="preserve">to </w:t>
      </w:r>
      <w:r w:rsidR="0098594D" w:rsidRPr="0004176C">
        <w:rPr>
          <w:sz w:val="22"/>
          <w:szCs w:val="22"/>
        </w:rPr>
        <w:t>its expiring use or RAD in</w:t>
      </w:r>
      <w:r w:rsidR="00B33C32" w:rsidRPr="0004176C">
        <w:rPr>
          <w:sz w:val="22"/>
          <w:szCs w:val="22"/>
        </w:rPr>
        <w:t xml:space="preserve">ventory. </w:t>
      </w:r>
      <w:r w:rsidR="00580C1A" w:rsidRPr="0004176C">
        <w:rPr>
          <w:sz w:val="22"/>
          <w:szCs w:val="22"/>
        </w:rPr>
        <w:t xml:space="preserve">To date, </w:t>
      </w:r>
      <w:r w:rsidR="005F6480" w:rsidRPr="0004176C">
        <w:rPr>
          <w:sz w:val="22"/>
          <w:szCs w:val="22"/>
        </w:rPr>
        <w:t>DHCD has</w:t>
      </w:r>
      <w:r w:rsidR="00B33C32" w:rsidRPr="0004176C">
        <w:rPr>
          <w:sz w:val="22"/>
          <w:szCs w:val="22"/>
        </w:rPr>
        <w:t xml:space="preserve"> 9</w:t>
      </w:r>
      <w:r w:rsidR="0098594D" w:rsidRPr="0004176C">
        <w:rPr>
          <w:sz w:val="22"/>
          <w:szCs w:val="22"/>
        </w:rPr>
        <w:t xml:space="preserve"> expiring u</w:t>
      </w:r>
      <w:r w:rsidR="00511231" w:rsidRPr="0004176C">
        <w:rPr>
          <w:sz w:val="22"/>
          <w:szCs w:val="22"/>
        </w:rPr>
        <w:t xml:space="preserve">se contracts with a total of </w:t>
      </w:r>
      <w:r w:rsidR="00B33C32" w:rsidRPr="0004176C">
        <w:rPr>
          <w:sz w:val="22"/>
          <w:szCs w:val="22"/>
        </w:rPr>
        <w:t xml:space="preserve">546 </w:t>
      </w:r>
      <w:r w:rsidR="0098594D" w:rsidRPr="0004176C">
        <w:rPr>
          <w:sz w:val="22"/>
          <w:szCs w:val="22"/>
        </w:rPr>
        <w:t>units under HAP contract. Additionally, DHCD has completed 8 Rental Assistance Demonstration (RAD) conversion projects and currently provides a subsidy for 825 units under this program.</w:t>
      </w:r>
    </w:p>
    <w:p w14:paraId="51871272" w14:textId="77777777" w:rsidR="005E3062" w:rsidRPr="0004176C" w:rsidRDefault="005E3062" w:rsidP="009E6224">
      <w:pPr>
        <w:jc w:val="both"/>
        <w:rPr>
          <w:color w:val="000000"/>
          <w:sz w:val="22"/>
          <w:szCs w:val="22"/>
        </w:rPr>
      </w:pPr>
    </w:p>
    <w:p w14:paraId="77EE953D" w14:textId="77777777" w:rsidR="0098594D" w:rsidRPr="0004176C" w:rsidRDefault="0098594D" w:rsidP="0098594D">
      <w:pPr>
        <w:jc w:val="both"/>
        <w:rPr>
          <w:b/>
          <w:color w:val="000000"/>
          <w:sz w:val="22"/>
          <w:szCs w:val="22"/>
        </w:rPr>
      </w:pPr>
      <w:r w:rsidRPr="0004176C">
        <w:rPr>
          <w:b/>
          <w:color w:val="000000"/>
          <w:sz w:val="22"/>
          <w:szCs w:val="22"/>
        </w:rPr>
        <w:t>Planned Non-Significant Changes</w:t>
      </w:r>
    </w:p>
    <w:p w14:paraId="16E03089" w14:textId="77777777" w:rsidR="0098594D" w:rsidRPr="0004176C" w:rsidRDefault="0098594D" w:rsidP="0098594D">
      <w:pPr>
        <w:jc w:val="both"/>
        <w:rPr>
          <w:b/>
          <w:strike/>
          <w:color w:val="FF0000"/>
          <w:sz w:val="22"/>
          <w:szCs w:val="22"/>
        </w:rPr>
      </w:pPr>
      <w:r w:rsidRPr="0004176C">
        <w:rPr>
          <w:color w:val="000000" w:themeColor="text1"/>
          <w:sz w:val="22"/>
          <w:szCs w:val="22"/>
        </w:rPr>
        <w:t xml:space="preserve">No non-significant changes are planned. </w:t>
      </w:r>
    </w:p>
    <w:p w14:paraId="31B2B67C" w14:textId="77777777" w:rsidR="0098594D" w:rsidRPr="0004176C" w:rsidRDefault="0098594D" w:rsidP="0098594D">
      <w:pPr>
        <w:pStyle w:val="ListParagraph"/>
        <w:numPr>
          <w:ilvl w:val="0"/>
          <w:numId w:val="0"/>
        </w:numPr>
        <w:ind w:left="360"/>
        <w:jc w:val="both"/>
        <w:rPr>
          <w:color w:val="000000" w:themeColor="text1"/>
        </w:rPr>
      </w:pPr>
    </w:p>
    <w:p w14:paraId="300F8E29" w14:textId="77777777" w:rsidR="0098594D" w:rsidRPr="0004176C" w:rsidRDefault="0098594D" w:rsidP="0098594D">
      <w:pPr>
        <w:jc w:val="both"/>
        <w:rPr>
          <w:b/>
          <w:sz w:val="22"/>
          <w:szCs w:val="22"/>
        </w:rPr>
      </w:pPr>
      <w:r w:rsidRPr="0004176C">
        <w:rPr>
          <w:b/>
          <w:sz w:val="22"/>
          <w:szCs w:val="22"/>
        </w:rPr>
        <w:t>Planned Changes to Metrics/Data Collection</w:t>
      </w:r>
    </w:p>
    <w:p w14:paraId="35F1B05E" w14:textId="77777777" w:rsidR="0098594D" w:rsidRPr="0004176C" w:rsidRDefault="0098594D" w:rsidP="0098594D">
      <w:pPr>
        <w:jc w:val="both"/>
        <w:rPr>
          <w:bCs/>
          <w:sz w:val="22"/>
          <w:szCs w:val="22"/>
        </w:rPr>
      </w:pPr>
      <w:r w:rsidRPr="0004176C">
        <w:rPr>
          <w:bCs/>
          <w:sz w:val="22"/>
          <w:szCs w:val="22"/>
        </w:rPr>
        <w:t>No changes to metrics or data collection methods are planned.</w:t>
      </w:r>
    </w:p>
    <w:p w14:paraId="5FCD8FF0" w14:textId="669D2718" w:rsidR="0098594D" w:rsidRPr="0004176C" w:rsidRDefault="0098594D" w:rsidP="0098594D">
      <w:pPr>
        <w:jc w:val="both"/>
        <w:rPr>
          <w:bCs/>
          <w:sz w:val="22"/>
          <w:szCs w:val="22"/>
        </w:rPr>
      </w:pPr>
      <w:r w:rsidRPr="0004176C">
        <w:rPr>
          <w:bCs/>
          <w:sz w:val="22"/>
          <w:szCs w:val="22"/>
        </w:rPr>
        <w:t xml:space="preserve"> </w:t>
      </w:r>
    </w:p>
    <w:p w14:paraId="7F0ED9D6" w14:textId="2F0F0DC1" w:rsidR="00655474" w:rsidRPr="0004176C" w:rsidRDefault="0098594D" w:rsidP="000D3B04">
      <w:pPr>
        <w:jc w:val="both"/>
        <w:rPr>
          <w:color w:val="000000"/>
          <w:sz w:val="22"/>
          <w:szCs w:val="22"/>
        </w:rPr>
      </w:pPr>
      <w:r w:rsidRPr="0004176C">
        <w:rPr>
          <w:b/>
          <w:sz w:val="22"/>
          <w:szCs w:val="22"/>
        </w:rPr>
        <w:t>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14"/>
        <w:gridCol w:w="1627"/>
        <w:gridCol w:w="1354"/>
        <w:gridCol w:w="1440"/>
      </w:tblGrid>
      <w:tr w:rsidR="00655474" w:rsidRPr="0004176C" w14:paraId="485E8168" w14:textId="77777777" w:rsidTr="00EE4FEB">
        <w:trPr>
          <w:trHeight w:hRule="exact" w:val="317"/>
        </w:trPr>
        <w:tc>
          <w:tcPr>
            <w:tcW w:w="1440" w:type="dxa"/>
            <w:gridSpan w:val="5"/>
            <w:shd w:val="clear" w:color="auto" w:fill="C6D9F1" w:themeFill="text2" w:themeFillTint="33"/>
            <w:hideMark/>
          </w:tcPr>
          <w:p w14:paraId="77C7D5B5" w14:textId="77777777" w:rsidR="00655474" w:rsidRPr="0004176C" w:rsidRDefault="00655474" w:rsidP="00655474">
            <w:pPr>
              <w:jc w:val="center"/>
              <w:rPr>
                <w:rFonts w:eastAsia="Calibri"/>
                <w:b/>
                <w:bCs/>
                <w:i/>
                <w:iCs/>
                <w:sz w:val="20"/>
                <w:szCs w:val="20"/>
              </w:rPr>
            </w:pPr>
            <w:r w:rsidRPr="0004176C">
              <w:rPr>
                <w:rFonts w:eastAsia="Calibri"/>
                <w:b/>
                <w:bCs/>
                <w:i/>
                <w:iCs/>
                <w:sz w:val="20"/>
                <w:szCs w:val="20"/>
              </w:rPr>
              <w:t>HC #2: Units of Housing Preserved</w:t>
            </w:r>
          </w:p>
        </w:tc>
      </w:tr>
      <w:tr w:rsidR="00655474" w:rsidRPr="0004176C" w14:paraId="6F72EC4D" w14:textId="77777777" w:rsidTr="00EE4FEB">
        <w:trPr>
          <w:trHeight w:hRule="exact" w:val="576"/>
        </w:trPr>
        <w:tc>
          <w:tcPr>
            <w:tcW w:w="1882" w:type="dxa"/>
            <w:shd w:val="clear" w:color="auto" w:fill="D9D9D9" w:themeFill="background1" w:themeFillShade="D9"/>
            <w:hideMark/>
          </w:tcPr>
          <w:p w14:paraId="6C9747F9" w14:textId="77777777" w:rsidR="00655474" w:rsidRPr="0004176C" w:rsidRDefault="00655474" w:rsidP="00655474">
            <w:pPr>
              <w:jc w:val="center"/>
              <w:rPr>
                <w:rFonts w:eastAsia="Calibri"/>
                <w:b/>
                <w:bCs/>
                <w:sz w:val="20"/>
                <w:szCs w:val="20"/>
              </w:rPr>
            </w:pPr>
            <w:r w:rsidRPr="0004176C">
              <w:rPr>
                <w:rFonts w:eastAsia="Calibri"/>
                <w:b/>
                <w:bCs/>
                <w:sz w:val="20"/>
                <w:szCs w:val="20"/>
              </w:rPr>
              <w:t>Unit of Measurement</w:t>
            </w:r>
          </w:p>
        </w:tc>
        <w:tc>
          <w:tcPr>
            <w:tcW w:w="1714" w:type="dxa"/>
            <w:shd w:val="clear" w:color="auto" w:fill="D9D9D9" w:themeFill="background1" w:themeFillShade="D9"/>
            <w:hideMark/>
          </w:tcPr>
          <w:p w14:paraId="02B10975" w14:textId="77777777" w:rsidR="00655474" w:rsidRPr="0004176C" w:rsidRDefault="00655474" w:rsidP="00655474">
            <w:pPr>
              <w:jc w:val="center"/>
              <w:rPr>
                <w:rFonts w:eastAsia="Calibri"/>
                <w:b/>
                <w:bCs/>
                <w:sz w:val="20"/>
                <w:szCs w:val="20"/>
              </w:rPr>
            </w:pPr>
            <w:r w:rsidRPr="0004176C">
              <w:rPr>
                <w:rFonts w:eastAsia="Calibri"/>
                <w:b/>
                <w:bCs/>
                <w:sz w:val="20"/>
                <w:szCs w:val="20"/>
              </w:rPr>
              <w:t>Baseline</w:t>
            </w:r>
          </w:p>
        </w:tc>
        <w:tc>
          <w:tcPr>
            <w:tcW w:w="1627" w:type="dxa"/>
            <w:shd w:val="clear" w:color="auto" w:fill="D9D9D9" w:themeFill="background1" w:themeFillShade="D9"/>
            <w:hideMark/>
          </w:tcPr>
          <w:p w14:paraId="5CC4737E" w14:textId="77777777" w:rsidR="00655474" w:rsidRPr="0004176C" w:rsidRDefault="00655474" w:rsidP="00655474">
            <w:pPr>
              <w:jc w:val="center"/>
              <w:rPr>
                <w:rFonts w:eastAsia="Calibri"/>
                <w:b/>
                <w:bCs/>
                <w:sz w:val="20"/>
                <w:szCs w:val="20"/>
              </w:rPr>
            </w:pPr>
            <w:r w:rsidRPr="0004176C">
              <w:rPr>
                <w:rFonts w:eastAsia="Calibri"/>
                <w:b/>
                <w:bCs/>
                <w:sz w:val="20"/>
                <w:szCs w:val="20"/>
              </w:rPr>
              <w:t>Benchmark</w:t>
            </w:r>
          </w:p>
        </w:tc>
        <w:tc>
          <w:tcPr>
            <w:tcW w:w="1354" w:type="dxa"/>
            <w:shd w:val="clear" w:color="auto" w:fill="D9D9D9" w:themeFill="background1" w:themeFillShade="D9"/>
            <w:hideMark/>
          </w:tcPr>
          <w:p w14:paraId="778F8622" w14:textId="77777777" w:rsidR="00655474" w:rsidRPr="0004176C" w:rsidRDefault="00655474" w:rsidP="00655474">
            <w:pPr>
              <w:jc w:val="center"/>
              <w:rPr>
                <w:rFonts w:eastAsia="Calibri"/>
                <w:b/>
                <w:bCs/>
                <w:sz w:val="20"/>
                <w:szCs w:val="20"/>
              </w:rPr>
            </w:pPr>
            <w:r w:rsidRPr="0004176C">
              <w:rPr>
                <w:rFonts w:eastAsia="Calibri"/>
                <w:b/>
                <w:bCs/>
                <w:sz w:val="20"/>
                <w:szCs w:val="20"/>
              </w:rPr>
              <w:t>Outcome</w:t>
            </w:r>
          </w:p>
        </w:tc>
        <w:tc>
          <w:tcPr>
            <w:tcW w:w="1440" w:type="dxa"/>
            <w:shd w:val="clear" w:color="auto" w:fill="D9D9D9" w:themeFill="background1" w:themeFillShade="D9"/>
            <w:hideMark/>
          </w:tcPr>
          <w:p w14:paraId="5819C3A1" w14:textId="77777777" w:rsidR="00655474" w:rsidRPr="0004176C" w:rsidRDefault="00655474" w:rsidP="00655474">
            <w:pPr>
              <w:jc w:val="center"/>
              <w:rPr>
                <w:rFonts w:eastAsia="Calibri"/>
                <w:b/>
                <w:bCs/>
                <w:sz w:val="20"/>
                <w:szCs w:val="20"/>
              </w:rPr>
            </w:pPr>
            <w:r w:rsidRPr="0004176C">
              <w:rPr>
                <w:rFonts w:eastAsia="Calibri"/>
                <w:b/>
                <w:bCs/>
                <w:sz w:val="20"/>
                <w:szCs w:val="20"/>
              </w:rPr>
              <w:t>Benchmark Achieved?</w:t>
            </w:r>
          </w:p>
        </w:tc>
      </w:tr>
      <w:tr w:rsidR="00655474" w:rsidRPr="0004176C" w14:paraId="2D5986F6" w14:textId="77777777" w:rsidTr="00EE4FEB">
        <w:trPr>
          <w:trHeight w:val="315"/>
        </w:trPr>
        <w:tc>
          <w:tcPr>
            <w:tcW w:w="3240" w:type="dxa"/>
            <w:shd w:val="clear" w:color="auto" w:fill="auto"/>
          </w:tcPr>
          <w:p w14:paraId="26E026A2" w14:textId="77777777" w:rsidR="00655474" w:rsidRPr="0004176C" w:rsidRDefault="00655474" w:rsidP="00655474">
            <w:pPr>
              <w:rPr>
                <w:rFonts w:eastAsia="Calibri"/>
                <w:sz w:val="20"/>
                <w:szCs w:val="20"/>
              </w:rPr>
            </w:pPr>
            <w:r w:rsidRPr="0004176C">
              <w:rPr>
                <w:rFonts w:eastAsia="Calibri"/>
                <w:sz w:val="20"/>
                <w:szCs w:val="20"/>
              </w:rPr>
              <w:t xml:space="preserve">Number of housing units preserved for households at or below 80% AMI that would otherwise not be available (increase). </w:t>
            </w:r>
          </w:p>
        </w:tc>
        <w:tc>
          <w:tcPr>
            <w:tcW w:w="1714" w:type="dxa"/>
            <w:shd w:val="clear" w:color="auto" w:fill="auto"/>
          </w:tcPr>
          <w:p w14:paraId="0036D49F" w14:textId="77777777" w:rsidR="00655474" w:rsidRPr="0004176C" w:rsidRDefault="00655474" w:rsidP="00D748F5">
            <w:pPr>
              <w:jc w:val="center"/>
              <w:rPr>
                <w:rFonts w:eastAsia="Calibri"/>
                <w:sz w:val="20"/>
                <w:szCs w:val="20"/>
              </w:rPr>
            </w:pPr>
            <w:r w:rsidRPr="0004176C">
              <w:rPr>
                <w:rFonts w:eastAsia="Calibri"/>
                <w:sz w:val="20"/>
                <w:szCs w:val="20"/>
              </w:rPr>
              <w:t>0 housing units</w:t>
            </w:r>
          </w:p>
        </w:tc>
        <w:tc>
          <w:tcPr>
            <w:tcW w:w="1627" w:type="dxa"/>
            <w:shd w:val="clear" w:color="auto" w:fill="auto"/>
          </w:tcPr>
          <w:p w14:paraId="52877AFA" w14:textId="77777777" w:rsidR="00655474" w:rsidRPr="0004176C" w:rsidRDefault="00655474" w:rsidP="00D748F5">
            <w:pPr>
              <w:jc w:val="center"/>
              <w:rPr>
                <w:rFonts w:eastAsia="Calibri"/>
                <w:sz w:val="20"/>
                <w:szCs w:val="20"/>
              </w:rPr>
            </w:pPr>
            <w:r w:rsidRPr="0004176C">
              <w:rPr>
                <w:rFonts w:eastAsia="Calibri"/>
                <w:sz w:val="20"/>
                <w:szCs w:val="20"/>
              </w:rPr>
              <w:t>1,371 housing units*</w:t>
            </w:r>
          </w:p>
        </w:tc>
        <w:tc>
          <w:tcPr>
            <w:tcW w:w="1354" w:type="dxa"/>
            <w:shd w:val="clear" w:color="auto" w:fill="auto"/>
          </w:tcPr>
          <w:p w14:paraId="3285B0E6" w14:textId="775CB481" w:rsidR="00655474" w:rsidRPr="0004176C" w:rsidRDefault="00655474" w:rsidP="00D748F5">
            <w:pPr>
              <w:jc w:val="center"/>
              <w:rPr>
                <w:rFonts w:eastAsia="Calibri"/>
                <w:sz w:val="20"/>
                <w:szCs w:val="20"/>
              </w:rPr>
            </w:pPr>
          </w:p>
        </w:tc>
        <w:tc>
          <w:tcPr>
            <w:tcW w:w="1440" w:type="dxa"/>
            <w:shd w:val="clear" w:color="auto" w:fill="auto"/>
          </w:tcPr>
          <w:p w14:paraId="4DE034E1" w14:textId="7A4CACF1" w:rsidR="00655474" w:rsidRPr="0004176C" w:rsidRDefault="00655474" w:rsidP="00D748F5">
            <w:pPr>
              <w:jc w:val="center"/>
              <w:rPr>
                <w:rFonts w:eastAsia="Calibri"/>
                <w:sz w:val="20"/>
                <w:szCs w:val="20"/>
              </w:rPr>
            </w:pPr>
          </w:p>
        </w:tc>
      </w:tr>
      <w:tr w:rsidR="00655474" w:rsidRPr="0004176C" w14:paraId="0A1C18B7" w14:textId="77777777" w:rsidTr="00EE4FEB">
        <w:trPr>
          <w:trHeight w:val="296"/>
        </w:trPr>
        <w:tc>
          <w:tcPr>
            <w:tcW w:w="1440" w:type="dxa"/>
            <w:gridSpan w:val="5"/>
            <w:shd w:val="clear" w:color="auto" w:fill="auto"/>
            <w:hideMark/>
          </w:tcPr>
          <w:p w14:paraId="5E9B626F" w14:textId="66162AEA" w:rsidR="00655474" w:rsidRPr="0004176C" w:rsidRDefault="00655474" w:rsidP="00655474">
            <w:pPr>
              <w:rPr>
                <w:i/>
                <w:color w:val="000000"/>
                <w:sz w:val="20"/>
                <w:szCs w:val="20"/>
              </w:rPr>
            </w:pPr>
            <w:r w:rsidRPr="0004176C">
              <w:rPr>
                <w:i/>
                <w:color w:val="000000"/>
                <w:sz w:val="20"/>
                <w:szCs w:val="20"/>
              </w:rPr>
              <w:t xml:space="preserve">*Previously DHCD has included only Expiring Use units when setting benchmarks and determining outcomes for this metric.  This figure includes all RAD and Expiring Use units and DHCD will continue to use this methodology going forward and does not include any additional units for </w:t>
            </w:r>
            <w:r w:rsidR="006D6331" w:rsidRPr="0004176C">
              <w:rPr>
                <w:i/>
                <w:color w:val="000000"/>
                <w:sz w:val="20"/>
                <w:szCs w:val="20"/>
              </w:rPr>
              <w:t>FY 2021</w:t>
            </w:r>
            <w:r w:rsidR="00574D3C" w:rsidRPr="0004176C">
              <w:rPr>
                <w:i/>
                <w:color w:val="000000"/>
                <w:sz w:val="20"/>
                <w:szCs w:val="20"/>
              </w:rPr>
              <w:t>.</w:t>
            </w:r>
          </w:p>
        </w:tc>
      </w:tr>
    </w:tbl>
    <w:p w14:paraId="3BDCBE33" w14:textId="2C96351D" w:rsidR="0098594D" w:rsidRPr="0004176C" w:rsidRDefault="0098594D" w:rsidP="00125653">
      <w:pPr>
        <w:rPr>
          <w:i/>
          <w:color w:val="000000"/>
          <w:sz w:val="22"/>
          <w:szCs w:val="22"/>
        </w:rPr>
      </w:pPr>
    </w:p>
    <w:p w14:paraId="4FC9E3A9" w14:textId="77777777" w:rsidR="0098594D" w:rsidRPr="0004176C" w:rsidRDefault="0098594D" w:rsidP="0098594D">
      <w:pPr>
        <w:jc w:val="both"/>
        <w:rPr>
          <w:b/>
          <w:color w:val="000000"/>
          <w:sz w:val="22"/>
          <w:szCs w:val="22"/>
        </w:rPr>
      </w:pPr>
      <w:r w:rsidRPr="0004176C">
        <w:rPr>
          <w:b/>
          <w:color w:val="000000"/>
          <w:sz w:val="22"/>
          <w:szCs w:val="22"/>
        </w:rPr>
        <w:t>Planned Significant Changes</w:t>
      </w:r>
    </w:p>
    <w:p w14:paraId="0F2FBD90" w14:textId="77777777" w:rsidR="0098594D" w:rsidRPr="0004176C" w:rsidRDefault="0098594D" w:rsidP="0098594D">
      <w:pPr>
        <w:jc w:val="both"/>
        <w:rPr>
          <w:color w:val="000000" w:themeColor="text1"/>
          <w:sz w:val="22"/>
          <w:szCs w:val="22"/>
        </w:rPr>
      </w:pPr>
      <w:r w:rsidRPr="0004176C">
        <w:rPr>
          <w:color w:val="000000" w:themeColor="text1"/>
          <w:sz w:val="22"/>
          <w:szCs w:val="22"/>
        </w:rPr>
        <w:t>No significant changes are planned.</w:t>
      </w:r>
    </w:p>
    <w:p w14:paraId="1B1FA9B1" w14:textId="77777777" w:rsidR="0098594D" w:rsidRPr="0004176C" w:rsidRDefault="0098594D" w:rsidP="00125653">
      <w:pPr>
        <w:rPr>
          <w:i/>
          <w:color w:val="000000"/>
          <w:sz w:val="22"/>
          <w:szCs w:val="22"/>
        </w:rPr>
        <w:sectPr w:rsidR="0098594D" w:rsidRPr="0004176C" w:rsidSect="00F61294">
          <w:pgSz w:w="12240" w:h="15840"/>
          <w:pgMar w:top="1440" w:right="1440" w:bottom="1152" w:left="1440" w:header="720" w:footer="720" w:gutter="0"/>
          <w:cols w:space="720"/>
          <w:docGrid w:linePitch="360"/>
        </w:sectPr>
      </w:pPr>
    </w:p>
    <w:p w14:paraId="59CCC768" w14:textId="77777777" w:rsidR="005E3062" w:rsidRPr="0004176C" w:rsidRDefault="000C341C" w:rsidP="001F2A56">
      <w:pPr>
        <w:pStyle w:val="Heading3"/>
      </w:pPr>
      <w:bookmarkStart w:id="59" w:name="_Toc33016942"/>
      <w:r w:rsidRPr="0004176C">
        <w:t xml:space="preserve">Activity 2012-5: </w:t>
      </w:r>
      <w:r w:rsidR="005E3062" w:rsidRPr="0004176C">
        <w:t>Family Self Sufficiency Program Enhancements</w:t>
      </w:r>
      <w:bookmarkEnd w:id="59"/>
    </w:p>
    <w:p w14:paraId="200AB59A" w14:textId="77777777" w:rsidR="005E3062" w:rsidRPr="0004176C" w:rsidRDefault="005E3062" w:rsidP="005E3062">
      <w:pPr>
        <w:rPr>
          <w:b/>
          <w:color w:val="000000"/>
          <w:sz w:val="22"/>
          <w:szCs w:val="22"/>
          <w:u w:val="single"/>
        </w:rPr>
      </w:pPr>
    </w:p>
    <w:p w14:paraId="786B0B41" w14:textId="77777777" w:rsidR="00C73902" w:rsidRPr="0004176C" w:rsidRDefault="00C73902" w:rsidP="00C73902">
      <w:pPr>
        <w:jc w:val="both"/>
        <w:rPr>
          <w:color w:val="000000"/>
          <w:sz w:val="22"/>
          <w:szCs w:val="22"/>
        </w:rPr>
      </w:pPr>
      <w:r w:rsidRPr="0004176C">
        <w:rPr>
          <w:b/>
          <w:color w:val="000000"/>
          <w:sz w:val="22"/>
          <w:szCs w:val="22"/>
        </w:rPr>
        <w:t>Plan Year Approved, Implemented, Amended</w:t>
      </w:r>
      <w:r w:rsidRPr="0004176C">
        <w:rPr>
          <w:color w:val="000000"/>
          <w:sz w:val="22"/>
          <w:szCs w:val="22"/>
        </w:rPr>
        <w:t xml:space="preserve"> </w:t>
      </w:r>
    </w:p>
    <w:p w14:paraId="3D9BAB22" w14:textId="77777777" w:rsidR="00C73902" w:rsidRPr="0004176C" w:rsidRDefault="00C73902" w:rsidP="00C73902">
      <w:pPr>
        <w:jc w:val="both"/>
        <w:rPr>
          <w:sz w:val="22"/>
          <w:szCs w:val="22"/>
        </w:rPr>
      </w:pPr>
      <w:r w:rsidRPr="0004176C">
        <w:rPr>
          <w:sz w:val="22"/>
          <w:szCs w:val="22"/>
        </w:rPr>
        <w:t>Approved FY 2012 and implemented FY 2013.</w:t>
      </w:r>
    </w:p>
    <w:p w14:paraId="18010E32" w14:textId="77777777" w:rsidR="00C73902" w:rsidRPr="0004176C" w:rsidRDefault="00C73902" w:rsidP="00C73902">
      <w:pPr>
        <w:jc w:val="both"/>
        <w:rPr>
          <w:color w:val="000000"/>
          <w:sz w:val="22"/>
          <w:szCs w:val="22"/>
        </w:rPr>
      </w:pPr>
    </w:p>
    <w:p w14:paraId="55E5A019" w14:textId="77777777" w:rsidR="000C341C" w:rsidRPr="0004176C" w:rsidRDefault="004C79DF" w:rsidP="004C79DF">
      <w:pPr>
        <w:jc w:val="both"/>
        <w:rPr>
          <w:b/>
          <w:color w:val="000000"/>
          <w:sz w:val="22"/>
          <w:szCs w:val="22"/>
        </w:rPr>
      </w:pPr>
      <w:r w:rsidRPr="0004176C">
        <w:rPr>
          <w:b/>
          <w:color w:val="000000"/>
          <w:sz w:val="22"/>
          <w:szCs w:val="22"/>
        </w:rPr>
        <w:t>Description</w:t>
      </w:r>
      <w:r w:rsidR="00655474" w:rsidRPr="0004176C">
        <w:rPr>
          <w:b/>
          <w:color w:val="000000"/>
          <w:sz w:val="22"/>
          <w:szCs w:val="22"/>
        </w:rPr>
        <w:t>/Update</w:t>
      </w:r>
    </w:p>
    <w:p w14:paraId="653BC00A" w14:textId="293FE7D2" w:rsidR="004C79DF" w:rsidRPr="0004176C" w:rsidRDefault="004C79DF" w:rsidP="004C79DF">
      <w:pPr>
        <w:jc w:val="both"/>
        <w:rPr>
          <w:sz w:val="22"/>
          <w:szCs w:val="22"/>
        </w:rPr>
      </w:pPr>
      <w:r w:rsidRPr="0004176C">
        <w:rPr>
          <w:sz w:val="22"/>
          <w:szCs w:val="22"/>
        </w:rPr>
        <w:t>DHCD uses MTW funds to enhance the existing Family Self-Suff</w:t>
      </w:r>
      <w:r w:rsidR="001E7A7F" w:rsidRPr="0004176C">
        <w:rPr>
          <w:sz w:val="22"/>
          <w:szCs w:val="22"/>
        </w:rPr>
        <w:t>iciency (FSS) Program. These</w:t>
      </w:r>
      <w:r w:rsidRPr="0004176C">
        <w:rPr>
          <w:sz w:val="22"/>
          <w:szCs w:val="22"/>
        </w:rPr>
        <w:t xml:space="preserve"> features will encourage participation and succes</w:t>
      </w:r>
      <w:r w:rsidR="00255F98" w:rsidRPr="0004176C">
        <w:rPr>
          <w:sz w:val="22"/>
          <w:szCs w:val="22"/>
        </w:rPr>
        <w:t>sful completion of the program.</w:t>
      </w:r>
      <w:r w:rsidR="000C341C" w:rsidRPr="0004176C">
        <w:rPr>
          <w:sz w:val="22"/>
          <w:szCs w:val="22"/>
        </w:rPr>
        <w:t xml:space="preserve"> Features include, but are not limited to: </w:t>
      </w:r>
    </w:p>
    <w:p w14:paraId="40431B1F" w14:textId="77777777" w:rsidR="004C79DF" w:rsidRPr="0004176C" w:rsidRDefault="004C79DF" w:rsidP="004C79DF">
      <w:pPr>
        <w:jc w:val="both"/>
        <w:rPr>
          <w:sz w:val="22"/>
          <w:szCs w:val="22"/>
        </w:rPr>
      </w:pPr>
    </w:p>
    <w:p w14:paraId="697445C8" w14:textId="41F1549E" w:rsidR="004C79DF" w:rsidRPr="0004176C" w:rsidRDefault="00373F9A" w:rsidP="007D2258">
      <w:pPr>
        <w:numPr>
          <w:ilvl w:val="0"/>
          <w:numId w:val="3"/>
        </w:numPr>
        <w:jc w:val="both"/>
        <w:rPr>
          <w:sz w:val="22"/>
          <w:szCs w:val="22"/>
        </w:rPr>
      </w:pPr>
      <w:r w:rsidRPr="0004176C">
        <w:rPr>
          <w:sz w:val="22"/>
          <w:szCs w:val="22"/>
        </w:rPr>
        <w:t>Providing</w:t>
      </w:r>
      <w:r w:rsidR="004C79DF" w:rsidRPr="0004176C">
        <w:rPr>
          <w:sz w:val="22"/>
          <w:szCs w:val="22"/>
        </w:rPr>
        <w:t xml:space="preserve"> </w:t>
      </w:r>
      <w:r w:rsidR="004169F0" w:rsidRPr="0004176C">
        <w:rPr>
          <w:sz w:val="22"/>
          <w:szCs w:val="22"/>
        </w:rPr>
        <w:t>matched savings</w:t>
      </w:r>
      <w:r w:rsidR="004C79DF" w:rsidRPr="0004176C">
        <w:rPr>
          <w:sz w:val="22"/>
          <w:szCs w:val="22"/>
        </w:rPr>
        <w:t xml:space="preserve"> for clients who would otherwise be ineligible for the escrow component of the FSS due to their level of earned income at </w:t>
      </w:r>
      <w:r w:rsidR="00DE052F" w:rsidRPr="0004176C">
        <w:rPr>
          <w:sz w:val="22"/>
          <w:szCs w:val="22"/>
        </w:rPr>
        <w:t>the time they join the program;</w:t>
      </w:r>
    </w:p>
    <w:p w14:paraId="2CA5FB79" w14:textId="77777777" w:rsidR="00373F9A" w:rsidRPr="0004176C" w:rsidRDefault="00373F9A" w:rsidP="00373F9A">
      <w:pPr>
        <w:jc w:val="both"/>
        <w:rPr>
          <w:sz w:val="22"/>
          <w:szCs w:val="22"/>
        </w:rPr>
      </w:pPr>
    </w:p>
    <w:p w14:paraId="76AD276C" w14:textId="5941F7A2" w:rsidR="00A846B4" w:rsidRPr="0004176C" w:rsidRDefault="00C27126" w:rsidP="007D2258">
      <w:pPr>
        <w:numPr>
          <w:ilvl w:val="0"/>
          <w:numId w:val="3"/>
        </w:numPr>
        <w:jc w:val="both"/>
        <w:rPr>
          <w:sz w:val="22"/>
          <w:szCs w:val="22"/>
        </w:rPr>
      </w:pPr>
      <w:r w:rsidRPr="0004176C">
        <w:rPr>
          <w:sz w:val="22"/>
          <w:szCs w:val="22"/>
        </w:rPr>
        <w:t>Providing flexible funds for expenses that which would otherwise present barriers and thus prevent participants from maintaining or starting employment and/or enrolling in education or job training</w:t>
      </w:r>
      <w:r w:rsidR="00DE052F" w:rsidRPr="0004176C">
        <w:rPr>
          <w:sz w:val="22"/>
          <w:szCs w:val="22"/>
        </w:rPr>
        <w:t>.); and,</w:t>
      </w:r>
    </w:p>
    <w:p w14:paraId="6BCE4B99" w14:textId="77777777" w:rsidR="00A846B4" w:rsidRPr="0004176C" w:rsidRDefault="00A846B4" w:rsidP="00A846B4">
      <w:pPr>
        <w:ind w:left="360"/>
        <w:jc w:val="both"/>
        <w:rPr>
          <w:sz w:val="22"/>
          <w:szCs w:val="22"/>
        </w:rPr>
      </w:pPr>
    </w:p>
    <w:p w14:paraId="6437260A" w14:textId="29A01910" w:rsidR="00A846B4" w:rsidRPr="0004176C" w:rsidRDefault="006D7E7A" w:rsidP="007D2258">
      <w:pPr>
        <w:numPr>
          <w:ilvl w:val="0"/>
          <w:numId w:val="3"/>
        </w:numPr>
        <w:jc w:val="both"/>
        <w:rPr>
          <w:sz w:val="22"/>
          <w:szCs w:val="22"/>
        </w:rPr>
      </w:pPr>
      <w:r w:rsidRPr="0004176C">
        <w:rPr>
          <w:sz w:val="22"/>
          <w:szCs w:val="22"/>
        </w:rPr>
        <w:t>Establishing a $5,000 incentive payment for FSS graduates that c</w:t>
      </w:r>
      <w:r w:rsidR="00574D3C" w:rsidRPr="0004176C">
        <w:rPr>
          <w:sz w:val="22"/>
          <w:szCs w:val="22"/>
        </w:rPr>
        <w:t>hoose to withdraw from the HCV P</w:t>
      </w:r>
      <w:r w:rsidRPr="0004176C">
        <w:rPr>
          <w:sz w:val="22"/>
          <w:szCs w:val="22"/>
        </w:rPr>
        <w:t xml:space="preserve">rogram within 2 </w:t>
      </w:r>
      <w:r w:rsidR="00574D3C" w:rsidRPr="0004176C">
        <w:rPr>
          <w:sz w:val="22"/>
          <w:szCs w:val="22"/>
        </w:rPr>
        <w:t>years of completion of the FSS P</w:t>
      </w:r>
      <w:r w:rsidRPr="0004176C">
        <w:rPr>
          <w:sz w:val="22"/>
          <w:szCs w:val="22"/>
        </w:rPr>
        <w:t xml:space="preserve">rogram and who apply and are approved for homeownership.  </w:t>
      </w:r>
    </w:p>
    <w:p w14:paraId="32BB3868" w14:textId="77777777" w:rsidR="006D7E7A" w:rsidRPr="0004176C" w:rsidRDefault="006D7E7A" w:rsidP="006D7E7A">
      <w:pPr>
        <w:jc w:val="both"/>
        <w:rPr>
          <w:sz w:val="22"/>
          <w:szCs w:val="22"/>
        </w:rPr>
      </w:pPr>
    </w:p>
    <w:p w14:paraId="536FC166" w14:textId="77777777" w:rsidR="001C5AD2" w:rsidRPr="0004176C" w:rsidRDefault="001C5AD2" w:rsidP="006D7E7A">
      <w:pPr>
        <w:jc w:val="both"/>
        <w:rPr>
          <w:sz w:val="22"/>
          <w:szCs w:val="22"/>
        </w:rPr>
      </w:pPr>
      <w:r w:rsidRPr="0004176C">
        <w:rPr>
          <w:sz w:val="22"/>
          <w:szCs w:val="22"/>
        </w:rPr>
        <w:t xml:space="preserve">In November of 2013, DHCD also began providing “gap” funding to address financial barriers to employment, and increase long-term economic capacity by providing participants with incentives to complete education and training programs before entering the workforce.  </w:t>
      </w:r>
    </w:p>
    <w:p w14:paraId="015B5B2C" w14:textId="77777777" w:rsidR="001C5AD2" w:rsidRPr="0004176C" w:rsidRDefault="001C5AD2" w:rsidP="006D7E7A">
      <w:pPr>
        <w:jc w:val="both"/>
        <w:rPr>
          <w:sz w:val="22"/>
          <w:szCs w:val="22"/>
        </w:rPr>
      </w:pPr>
    </w:p>
    <w:p w14:paraId="28C556CA" w14:textId="77777777" w:rsidR="004C79DF" w:rsidRPr="0004176C" w:rsidRDefault="004C79DF" w:rsidP="006D7E7A">
      <w:pPr>
        <w:jc w:val="both"/>
        <w:rPr>
          <w:sz w:val="22"/>
          <w:szCs w:val="22"/>
        </w:rPr>
      </w:pPr>
      <w:r w:rsidRPr="0004176C">
        <w:rPr>
          <w:sz w:val="22"/>
          <w:szCs w:val="22"/>
        </w:rPr>
        <w:t xml:space="preserve">In January 2014, DHCD implemented the revisions to the enhanced FSS program including:  </w:t>
      </w:r>
    </w:p>
    <w:p w14:paraId="359F58E1" w14:textId="77777777" w:rsidR="0093598B" w:rsidRPr="0004176C" w:rsidRDefault="0093598B" w:rsidP="004C79DF">
      <w:pPr>
        <w:jc w:val="both"/>
        <w:rPr>
          <w:color w:val="000000"/>
          <w:sz w:val="22"/>
          <w:szCs w:val="22"/>
        </w:rPr>
      </w:pPr>
    </w:p>
    <w:p w14:paraId="3D217862" w14:textId="1AA6CB79" w:rsidR="004C79DF" w:rsidRPr="0004176C" w:rsidRDefault="004C79DF" w:rsidP="007D2258">
      <w:pPr>
        <w:numPr>
          <w:ilvl w:val="0"/>
          <w:numId w:val="3"/>
        </w:numPr>
        <w:jc w:val="both"/>
        <w:rPr>
          <w:sz w:val="22"/>
          <w:szCs w:val="22"/>
        </w:rPr>
      </w:pPr>
      <w:r w:rsidRPr="0004176C">
        <w:rPr>
          <w:sz w:val="22"/>
          <w:szCs w:val="22"/>
        </w:rPr>
        <w:t>Placement of an absolute cap on the amount of escrow regardless of prior FSS participation a</w:t>
      </w:r>
      <w:r w:rsidR="00A846B4" w:rsidRPr="0004176C">
        <w:rPr>
          <w:sz w:val="22"/>
          <w:szCs w:val="22"/>
        </w:rPr>
        <w:t>t any of DHCD’s RAAs statewide.</w:t>
      </w:r>
      <w:r w:rsidRPr="0004176C">
        <w:rPr>
          <w:sz w:val="22"/>
          <w:szCs w:val="22"/>
        </w:rPr>
        <w:t xml:space="preserve"> The cap, which may be periodically reviewed and updated at DHCD’s discretion, will be set at $25,000 per household;</w:t>
      </w:r>
      <w:r w:rsidR="00373F9A" w:rsidRPr="0004176C">
        <w:rPr>
          <w:sz w:val="22"/>
          <w:szCs w:val="22"/>
        </w:rPr>
        <w:t xml:space="preserve"> and</w:t>
      </w:r>
      <w:r w:rsidR="007C3D43" w:rsidRPr="0004176C">
        <w:rPr>
          <w:sz w:val="22"/>
          <w:szCs w:val="22"/>
        </w:rPr>
        <w:t>,</w:t>
      </w:r>
    </w:p>
    <w:p w14:paraId="48141215" w14:textId="77777777" w:rsidR="00373F9A" w:rsidRPr="0004176C" w:rsidRDefault="00373F9A" w:rsidP="00373F9A">
      <w:pPr>
        <w:ind w:left="360"/>
        <w:jc w:val="both"/>
        <w:rPr>
          <w:sz w:val="22"/>
          <w:szCs w:val="22"/>
        </w:rPr>
      </w:pPr>
    </w:p>
    <w:p w14:paraId="4506783C" w14:textId="45502608" w:rsidR="004C79DF" w:rsidRPr="0004176C" w:rsidRDefault="004C79DF" w:rsidP="007D2258">
      <w:pPr>
        <w:numPr>
          <w:ilvl w:val="0"/>
          <w:numId w:val="3"/>
        </w:numPr>
        <w:jc w:val="both"/>
        <w:rPr>
          <w:sz w:val="22"/>
          <w:szCs w:val="22"/>
        </w:rPr>
      </w:pPr>
      <w:r w:rsidRPr="0004176C">
        <w:rPr>
          <w:sz w:val="22"/>
          <w:szCs w:val="22"/>
        </w:rPr>
        <w:t>Modification to the requirement that an FSS applicant must have an interim or annual recertification within 120 days pr</w:t>
      </w:r>
      <w:r w:rsidR="00565889" w:rsidRPr="0004176C">
        <w:rPr>
          <w:sz w:val="22"/>
          <w:szCs w:val="22"/>
        </w:rPr>
        <w:t>ior to FSS enrollment.</w:t>
      </w:r>
      <w:r w:rsidRPr="0004176C">
        <w:rPr>
          <w:sz w:val="22"/>
          <w:szCs w:val="22"/>
        </w:rPr>
        <w:t xml:space="preserve"> </w:t>
      </w:r>
    </w:p>
    <w:p w14:paraId="243F7003" w14:textId="77777777" w:rsidR="002D30F9" w:rsidRPr="0004176C" w:rsidRDefault="002D30F9" w:rsidP="002D30F9">
      <w:pPr>
        <w:jc w:val="both"/>
        <w:rPr>
          <w:color w:val="000000"/>
          <w:sz w:val="22"/>
          <w:szCs w:val="22"/>
        </w:rPr>
      </w:pPr>
    </w:p>
    <w:p w14:paraId="30B8F13E" w14:textId="531863F7" w:rsidR="00E327E5" w:rsidRPr="0004176C" w:rsidRDefault="00E327E5" w:rsidP="002D30F9">
      <w:pPr>
        <w:jc w:val="both"/>
        <w:rPr>
          <w:color w:val="000000"/>
          <w:sz w:val="22"/>
          <w:szCs w:val="22"/>
        </w:rPr>
      </w:pPr>
      <w:r w:rsidRPr="0004176C">
        <w:rPr>
          <w:color w:val="000000"/>
          <w:sz w:val="22"/>
          <w:szCs w:val="22"/>
        </w:rPr>
        <w:t>T</w:t>
      </w:r>
      <w:r w:rsidR="002D30F9" w:rsidRPr="0004176C">
        <w:rPr>
          <w:color w:val="000000"/>
          <w:sz w:val="22"/>
          <w:szCs w:val="22"/>
        </w:rPr>
        <w:t>o encourage the goal of homeownership for applicable househo</w:t>
      </w:r>
      <w:r w:rsidR="00574D3C" w:rsidRPr="0004176C">
        <w:rPr>
          <w:color w:val="000000"/>
          <w:sz w:val="22"/>
          <w:szCs w:val="22"/>
        </w:rPr>
        <w:t>lds in the FSS P</w:t>
      </w:r>
      <w:r w:rsidR="002D30F9" w:rsidRPr="0004176C">
        <w:rPr>
          <w:color w:val="000000"/>
          <w:sz w:val="22"/>
          <w:szCs w:val="22"/>
        </w:rPr>
        <w:t>rogram, DHCD obtained appr</w:t>
      </w:r>
      <w:r w:rsidR="00574D3C" w:rsidRPr="0004176C">
        <w:rPr>
          <w:color w:val="000000"/>
          <w:sz w:val="22"/>
          <w:szCs w:val="22"/>
        </w:rPr>
        <w:t>oval to modify its current FSS P</w:t>
      </w:r>
      <w:r w:rsidR="002D30F9" w:rsidRPr="0004176C">
        <w:rPr>
          <w:color w:val="000000"/>
          <w:sz w:val="22"/>
          <w:szCs w:val="22"/>
        </w:rPr>
        <w:t>rogram to allow certain households to define a path to homeownership by utilizing individualized homeownership education, financial coaching and a modified savings/escrow component. </w:t>
      </w:r>
      <w:r w:rsidR="00A846B4" w:rsidRPr="0004176C">
        <w:rPr>
          <w:color w:val="000000"/>
          <w:sz w:val="22"/>
          <w:szCs w:val="22"/>
        </w:rPr>
        <w:t>DHCD has not</w:t>
      </w:r>
      <w:r w:rsidR="00B33C32" w:rsidRPr="0004176C">
        <w:rPr>
          <w:color w:val="000000"/>
          <w:sz w:val="22"/>
          <w:szCs w:val="22"/>
        </w:rPr>
        <w:t xml:space="preserve"> yet</w:t>
      </w:r>
      <w:r w:rsidR="00A846B4" w:rsidRPr="0004176C">
        <w:rPr>
          <w:color w:val="000000"/>
          <w:sz w:val="22"/>
          <w:szCs w:val="22"/>
        </w:rPr>
        <w:t xml:space="preserve"> implemented this enhancement</w:t>
      </w:r>
      <w:r w:rsidR="00B33C32" w:rsidRPr="0004176C">
        <w:rPr>
          <w:color w:val="000000"/>
          <w:sz w:val="22"/>
          <w:szCs w:val="22"/>
        </w:rPr>
        <w:t>; however</w:t>
      </w:r>
      <w:r w:rsidR="00565889" w:rsidRPr="0004176C">
        <w:rPr>
          <w:color w:val="000000"/>
          <w:sz w:val="22"/>
          <w:szCs w:val="22"/>
        </w:rPr>
        <w:t>,</w:t>
      </w:r>
      <w:r w:rsidR="00B33C32" w:rsidRPr="0004176C">
        <w:rPr>
          <w:color w:val="000000"/>
          <w:sz w:val="22"/>
          <w:szCs w:val="22"/>
        </w:rPr>
        <w:t xml:space="preserve"> plans are underway for implementation in </w:t>
      </w:r>
      <w:r w:rsidR="006D6331" w:rsidRPr="0004176C">
        <w:rPr>
          <w:color w:val="000000"/>
          <w:sz w:val="22"/>
          <w:szCs w:val="22"/>
        </w:rPr>
        <w:t>FY 2021</w:t>
      </w:r>
      <w:r w:rsidR="008F36F6" w:rsidRPr="0004176C">
        <w:rPr>
          <w:color w:val="000000"/>
          <w:sz w:val="22"/>
          <w:szCs w:val="22"/>
        </w:rPr>
        <w:t>.</w:t>
      </w:r>
      <w:r w:rsidR="00A846B4" w:rsidRPr="0004176C">
        <w:rPr>
          <w:color w:val="000000"/>
          <w:sz w:val="22"/>
          <w:szCs w:val="22"/>
        </w:rPr>
        <w:t xml:space="preserve"> </w:t>
      </w:r>
    </w:p>
    <w:p w14:paraId="51731BFD" w14:textId="4F7BE0EA" w:rsidR="00A65251" w:rsidRPr="0004176C" w:rsidRDefault="00A65251" w:rsidP="002D30F9">
      <w:pPr>
        <w:jc w:val="both"/>
        <w:rPr>
          <w:color w:val="000000"/>
          <w:sz w:val="22"/>
          <w:szCs w:val="22"/>
        </w:rPr>
      </w:pPr>
    </w:p>
    <w:p w14:paraId="759A4E27" w14:textId="3ABF56EB" w:rsidR="00A65251" w:rsidRPr="00C26707" w:rsidRDefault="00A65251" w:rsidP="00A65251">
      <w:pPr>
        <w:jc w:val="both"/>
        <w:rPr>
          <w:color w:val="000000"/>
          <w:sz w:val="22"/>
          <w:szCs w:val="22"/>
        </w:rPr>
      </w:pPr>
      <w:r w:rsidRPr="0004176C">
        <w:rPr>
          <w:color w:val="000000"/>
          <w:sz w:val="22"/>
          <w:szCs w:val="22"/>
        </w:rPr>
        <w:t xml:space="preserve">DHCD implemented local versions of the FSS Contract of Participation (COP) and Individual Training and Services Plan (ITSP). The local versions of the COP and ITSP allow DHCD to more accurately reflect program requirements and incentives for FSS participants. DHCD will continue to </w:t>
      </w:r>
      <w:r w:rsidR="000F485C" w:rsidRPr="0004176C">
        <w:rPr>
          <w:color w:val="000000"/>
          <w:sz w:val="22"/>
          <w:szCs w:val="22"/>
        </w:rPr>
        <w:t>offer</w:t>
      </w:r>
      <w:r w:rsidRPr="0004176C">
        <w:rPr>
          <w:color w:val="000000"/>
          <w:sz w:val="22"/>
          <w:szCs w:val="22"/>
        </w:rPr>
        <w:t xml:space="preserve"> the previously approved goal</w:t>
      </w:r>
      <w:r w:rsidRPr="00C26707">
        <w:rPr>
          <w:color w:val="000000"/>
          <w:sz w:val="22"/>
          <w:szCs w:val="22"/>
        </w:rPr>
        <w:t xml:space="preserve">-specific incentive payments as well </w:t>
      </w:r>
      <w:r w:rsidR="000F485C">
        <w:rPr>
          <w:color w:val="000000"/>
          <w:sz w:val="22"/>
          <w:szCs w:val="22"/>
        </w:rPr>
        <w:t>as</w:t>
      </w:r>
      <w:r w:rsidRPr="00C26707">
        <w:rPr>
          <w:color w:val="000000"/>
          <w:sz w:val="22"/>
          <w:szCs w:val="22"/>
        </w:rPr>
        <w:t xml:space="preserve"> the matched savings homeownership incentive. DHCD a</w:t>
      </w:r>
      <w:r w:rsidR="00B33C32" w:rsidRPr="00C26707">
        <w:rPr>
          <w:color w:val="000000"/>
          <w:sz w:val="22"/>
          <w:szCs w:val="22"/>
        </w:rPr>
        <w:t xml:space="preserve">nticipates that approximately </w:t>
      </w:r>
      <w:r w:rsidR="00574D3C">
        <w:rPr>
          <w:color w:val="000000"/>
          <w:sz w:val="22"/>
          <w:szCs w:val="22"/>
        </w:rPr>
        <w:t xml:space="preserve">75 </w:t>
      </w:r>
      <w:r w:rsidR="00DD50A5">
        <w:rPr>
          <w:color w:val="000000"/>
          <w:sz w:val="22"/>
          <w:szCs w:val="22"/>
        </w:rPr>
        <w:t xml:space="preserve">to </w:t>
      </w:r>
      <w:r w:rsidR="00B33C32" w:rsidRPr="00C26707">
        <w:rPr>
          <w:color w:val="000000"/>
          <w:sz w:val="22"/>
          <w:szCs w:val="22"/>
        </w:rPr>
        <w:t>100</w:t>
      </w:r>
      <w:r w:rsidRPr="00C26707">
        <w:rPr>
          <w:color w:val="000000"/>
          <w:sz w:val="22"/>
          <w:szCs w:val="22"/>
        </w:rPr>
        <w:t xml:space="preserve"> new participants will join the FSS Program </w:t>
      </w:r>
      <w:r w:rsidR="00E273B1">
        <w:rPr>
          <w:color w:val="000000"/>
          <w:sz w:val="22"/>
          <w:szCs w:val="22"/>
        </w:rPr>
        <w:t>with a total anticipated participation of 900 in FY 2021.</w:t>
      </w:r>
    </w:p>
    <w:p w14:paraId="420B9C4F" w14:textId="77777777" w:rsidR="00A83B93" w:rsidRPr="00C26707" w:rsidRDefault="00A83B93" w:rsidP="004C79DF">
      <w:pPr>
        <w:jc w:val="both"/>
        <w:rPr>
          <w:color w:val="000000"/>
          <w:sz w:val="22"/>
          <w:szCs w:val="22"/>
        </w:rPr>
      </w:pPr>
    </w:p>
    <w:p w14:paraId="2842C069" w14:textId="77777777" w:rsidR="00A65251" w:rsidRPr="00C26707" w:rsidRDefault="00A65251" w:rsidP="00A65251">
      <w:pPr>
        <w:jc w:val="both"/>
        <w:rPr>
          <w:b/>
          <w:color w:val="000000"/>
          <w:sz w:val="22"/>
          <w:szCs w:val="22"/>
        </w:rPr>
      </w:pPr>
      <w:r w:rsidRPr="00C26707">
        <w:rPr>
          <w:b/>
          <w:color w:val="000000"/>
          <w:sz w:val="22"/>
          <w:szCs w:val="22"/>
        </w:rPr>
        <w:t>Planned Non-Significant Changes</w:t>
      </w:r>
    </w:p>
    <w:p w14:paraId="23DC5696" w14:textId="77777777" w:rsidR="00A65251" w:rsidRPr="00C26707" w:rsidRDefault="00A65251" w:rsidP="00A65251">
      <w:pPr>
        <w:jc w:val="both"/>
        <w:rPr>
          <w:b/>
          <w:strike/>
          <w:color w:val="FF0000"/>
          <w:sz w:val="22"/>
          <w:szCs w:val="22"/>
        </w:rPr>
      </w:pPr>
      <w:r w:rsidRPr="00C26707">
        <w:rPr>
          <w:color w:val="000000" w:themeColor="text1"/>
          <w:sz w:val="22"/>
          <w:szCs w:val="22"/>
        </w:rPr>
        <w:t xml:space="preserve">No non-significant changes are planned. </w:t>
      </w:r>
    </w:p>
    <w:p w14:paraId="56F2752F" w14:textId="77777777" w:rsidR="00A65251" w:rsidRPr="00C26707" w:rsidRDefault="00A65251" w:rsidP="00A65251">
      <w:pPr>
        <w:pStyle w:val="ListParagraph"/>
        <w:numPr>
          <w:ilvl w:val="0"/>
          <w:numId w:val="0"/>
        </w:numPr>
        <w:ind w:left="360"/>
        <w:jc w:val="both"/>
        <w:rPr>
          <w:color w:val="000000" w:themeColor="text1"/>
        </w:rPr>
      </w:pPr>
    </w:p>
    <w:p w14:paraId="2E866ADC" w14:textId="77777777" w:rsidR="00A65251" w:rsidRPr="00C26707" w:rsidRDefault="00A65251" w:rsidP="00A65251">
      <w:pPr>
        <w:jc w:val="both"/>
        <w:rPr>
          <w:b/>
          <w:sz w:val="22"/>
          <w:szCs w:val="22"/>
        </w:rPr>
      </w:pPr>
      <w:r w:rsidRPr="00C26707">
        <w:rPr>
          <w:b/>
          <w:sz w:val="22"/>
          <w:szCs w:val="22"/>
        </w:rPr>
        <w:t>Planned Changes to Metrics/Data Collection</w:t>
      </w:r>
    </w:p>
    <w:p w14:paraId="75BE4B24" w14:textId="5B71A22D" w:rsidR="00A65251" w:rsidRPr="00C26707" w:rsidRDefault="005B7B20" w:rsidP="00A65251">
      <w:pPr>
        <w:jc w:val="both"/>
        <w:rPr>
          <w:bCs/>
          <w:sz w:val="22"/>
          <w:szCs w:val="22"/>
        </w:rPr>
      </w:pPr>
      <w:r>
        <w:rPr>
          <w:bCs/>
          <w:sz w:val="22"/>
          <w:szCs w:val="22"/>
        </w:rPr>
        <w:t>Benchmarks have been updated to reflect anticipated participation in FY 2021 including an influx of new families participating in FSS</w:t>
      </w:r>
      <w:r w:rsidR="00A65251" w:rsidRPr="00C26707">
        <w:rPr>
          <w:bCs/>
          <w:sz w:val="22"/>
          <w:szCs w:val="22"/>
        </w:rPr>
        <w:t>.</w:t>
      </w:r>
    </w:p>
    <w:p w14:paraId="2055A063" w14:textId="77777777" w:rsidR="00A65251" w:rsidRPr="00C26707" w:rsidRDefault="00A65251" w:rsidP="00A65251">
      <w:pPr>
        <w:jc w:val="both"/>
        <w:rPr>
          <w:bCs/>
          <w:sz w:val="22"/>
          <w:szCs w:val="22"/>
        </w:rPr>
      </w:pPr>
      <w:r w:rsidRPr="00C26707">
        <w:rPr>
          <w:bCs/>
          <w:sz w:val="22"/>
          <w:szCs w:val="22"/>
        </w:rPr>
        <w:t xml:space="preserve"> </w:t>
      </w:r>
    </w:p>
    <w:p w14:paraId="5BF48542" w14:textId="6D1EB106" w:rsidR="003F3820" w:rsidRPr="00C26707" w:rsidRDefault="00A65251" w:rsidP="003F3820">
      <w:pPr>
        <w:jc w:val="both"/>
        <w:rPr>
          <w:color w:val="000000"/>
          <w:sz w:val="22"/>
          <w:szCs w:val="22"/>
        </w:rPr>
      </w:pPr>
      <w:r w:rsidRPr="00C26707">
        <w:rPr>
          <w:b/>
          <w:sz w:val="22"/>
          <w:szCs w:val="22"/>
        </w:rPr>
        <w:t>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14"/>
        <w:gridCol w:w="1627"/>
        <w:gridCol w:w="1354"/>
        <w:gridCol w:w="1440"/>
      </w:tblGrid>
      <w:tr w:rsidR="003F3820" w:rsidRPr="007D5069" w14:paraId="47793049" w14:textId="77777777" w:rsidTr="00EE4FEB">
        <w:trPr>
          <w:trHeight w:hRule="exact" w:val="317"/>
        </w:trPr>
        <w:tc>
          <w:tcPr>
            <w:tcW w:w="1440" w:type="dxa"/>
            <w:gridSpan w:val="5"/>
            <w:shd w:val="clear" w:color="auto" w:fill="C6D9F1" w:themeFill="text2" w:themeFillTint="33"/>
          </w:tcPr>
          <w:p w14:paraId="4EA91436" w14:textId="77777777" w:rsidR="003F3820" w:rsidRPr="007D5069" w:rsidRDefault="003F3820" w:rsidP="007131A6">
            <w:pPr>
              <w:jc w:val="center"/>
              <w:rPr>
                <w:rFonts w:eastAsia="Calibri"/>
                <w:b/>
                <w:bCs/>
                <w:i/>
                <w:iCs/>
                <w:sz w:val="20"/>
                <w:szCs w:val="20"/>
              </w:rPr>
            </w:pPr>
            <w:r w:rsidRPr="007D5069">
              <w:rPr>
                <w:rFonts w:eastAsia="Calibri"/>
                <w:b/>
                <w:bCs/>
                <w:i/>
                <w:iCs/>
                <w:sz w:val="20"/>
                <w:szCs w:val="20"/>
              </w:rPr>
              <w:t>SS #1: Increase in Household Income</w:t>
            </w:r>
          </w:p>
        </w:tc>
      </w:tr>
      <w:tr w:rsidR="003F3820" w:rsidRPr="007D5069" w14:paraId="77498603" w14:textId="77777777" w:rsidTr="00EE4FEB">
        <w:trPr>
          <w:trHeight w:hRule="exact" w:val="576"/>
        </w:trPr>
        <w:tc>
          <w:tcPr>
            <w:tcW w:w="1879" w:type="dxa"/>
            <w:shd w:val="clear" w:color="auto" w:fill="D9D9D9" w:themeFill="background1" w:themeFillShade="D9"/>
          </w:tcPr>
          <w:p w14:paraId="0F3E441A" w14:textId="77777777" w:rsidR="003F3820" w:rsidRPr="007D5069" w:rsidRDefault="003F3820" w:rsidP="007131A6">
            <w:pPr>
              <w:jc w:val="center"/>
              <w:rPr>
                <w:rFonts w:eastAsia="Calibri"/>
                <w:b/>
                <w:bCs/>
                <w:sz w:val="20"/>
                <w:szCs w:val="20"/>
              </w:rPr>
            </w:pPr>
            <w:r w:rsidRPr="007D5069">
              <w:rPr>
                <w:rFonts w:eastAsia="Calibri"/>
                <w:b/>
                <w:bCs/>
                <w:sz w:val="20"/>
                <w:szCs w:val="20"/>
              </w:rPr>
              <w:t>Unit of Measurement</w:t>
            </w:r>
          </w:p>
        </w:tc>
        <w:tc>
          <w:tcPr>
            <w:tcW w:w="1714" w:type="dxa"/>
            <w:shd w:val="clear" w:color="auto" w:fill="D9D9D9" w:themeFill="background1" w:themeFillShade="D9"/>
          </w:tcPr>
          <w:p w14:paraId="62C75C48" w14:textId="77777777" w:rsidR="003F3820" w:rsidRPr="007D5069" w:rsidRDefault="003F3820" w:rsidP="007131A6">
            <w:pPr>
              <w:jc w:val="center"/>
              <w:rPr>
                <w:rFonts w:eastAsia="Calibri"/>
                <w:b/>
                <w:bCs/>
                <w:sz w:val="20"/>
                <w:szCs w:val="20"/>
              </w:rPr>
            </w:pPr>
            <w:r w:rsidRPr="007D5069">
              <w:rPr>
                <w:rFonts w:eastAsia="Calibri"/>
                <w:b/>
                <w:bCs/>
                <w:sz w:val="20"/>
                <w:szCs w:val="20"/>
              </w:rPr>
              <w:t>Baseline</w:t>
            </w:r>
          </w:p>
        </w:tc>
        <w:tc>
          <w:tcPr>
            <w:tcW w:w="1627" w:type="dxa"/>
            <w:shd w:val="clear" w:color="auto" w:fill="D9D9D9" w:themeFill="background1" w:themeFillShade="D9"/>
          </w:tcPr>
          <w:p w14:paraId="152C10E6" w14:textId="77777777" w:rsidR="003F3820" w:rsidRPr="007D5069" w:rsidRDefault="003F3820" w:rsidP="007131A6">
            <w:pPr>
              <w:jc w:val="center"/>
              <w:rPr>
                <w:rFonts w:eastAsia="Calibri"/>
                <w:b/>
                <w:bCs/>
                <w:sz w:val="20"/>
                <w:szCs w:val="20"/>
              </w:rPr>
            </w:pPr>
            <w:r w:rsidRPr="007D5069">
              <w:rPr>
                <w:rFonts w:eastAsia="Calibri"/>
                <w:b/>
                <w:bCs/>
                <w:sz w:val="20"/>
                <w:szCs w:val="20"/>
              </w:rPr>
              <w:t>Benchmark</w:t>
            </w:r>
          </w:p>
        </w:tc>
        <w:tc>
          <w:tcPr>
            <w:tcW w:w="1354" w:type="dxa"/>
            <w:shd w:val="clear" w:color="auto" w:fill="D9D9D9" w:themeFill="background1" w:themeFillShade="D9"/>
          </w:tcPr>
          <w:p w14:paraId="5690F9C1" w14:textId="77777777" w:rsidR="003F3820" w:rsidRPr="007D5069" w:rsidRDefault="003F3820" w:rsidP="007131A6">
            <w:pPr>
              <w:jc w:val="center"/>
              <w:rPr>
                <w:rFonts w:eastAsia="Calibri"/>
                <w:b/>
                <w:bCs/>
                <w:sz w:val="20"/>
                <w:szCs w:val="20"/>
              </w:rPr>
            </w:pPr>
            <w:r w:rsidRPr="007D5069">
              <w:rPr>
                <w:rFonts w:eastAsia="Calibri"/>
                <w:b/>
                <w:bCs/>
                <w:sz w:val="20"/>
                <w:szCs w:val="20"/>
              </w:rPr>
              <w:t>Outcome</w:t>
            </w:r>
          </w:p>
        </w:tc>
        <w:tc>
          <w:tcPr>
            <w:tcW w:w="1440" w:type="dxa"/>
            <w:shd w:val="clear" w:color="auto" w:fill="D9D9D9" w:themeFill="background1" w:themeFillShade="D9"/>
          </w:tcPr>
          <w:p w14:paraId="12CA55C8" w14:textId="77777777" w:rsidR="003F3820" w:rsidRPr="007D5069" w:rsidRDefault="003F3820" w:rsidP="007131A6">
            <w:pPr>
              <w:jc w:val="center"/>
              <w:rPr>
                <w:rFonts w:eastAsia="Calibri"/>
                <w:b/>
                <w:bCs/>
                <w:sz w:val="20"/>
                <w:szCs w:val="20"/>
              </w:rPr>
            </w:pPr>
            <w:r w:rsidRPr="007D5069">
              <w:rPr>
                <w:rFonts w:eastAsia="Calibri"/>
                <w:b/>
                <w:bCs/>
                <w:sz w:val="20"/>
                <w:szCs w:val="20"/>
              </w:rPr>
              <w:t>Benchmark Achieved?</w:t>
            </w:r>
          </w:p>
        </w:tc>
      </w:tr>
      <w:tr w:rsidR="003F3820" w:rsidRPr="007D5069" w14:paraId="5944F943" w14:textId="77777777" w:rsidTr="00EE4FEB">
        <w:trPr>
          <w:trHeight w:val="764"/>
        </w:trPr>
        <w:tc>
          <w:tcPr>
            <w:tcW w:w="3240" w:type="dxa"/>
            <w:shd w:val="clear" w:color="auto" w:fill="auto"/>
          </w:tcPr>
          <w:p w14:paraId="5AA70F4F" w14:textId="77777777" w:rsidR="003F3820" w:rsidRPr="007D5069" w:rsidRDefault="003F3820" w:rsidP="003F3820">
            <w:pPr>
              <w:rPr>
                <w:rFonts w:eastAsia="Calibri"/>
                <w:sz w:val="20"/>
                <w:szCs w:val="20"/>
              </w:rPr>
            </w:pPr>
            <w:r w:rsidRPr="007D5069">
              <w:rPr>
                <w:rFonts w:eastAsia="Calibri"/>
                <w:sz w:val="20"/>
                <w:szCs w:val="20"/>
              </w:rPr>
              <w:t>Average earned income of households affected by this policy in dollars (increase).</w:t>
            </w:r>
          </w:p>
        </w:tc>
        <w:tc>
          <w:tcPr>
            <w:tcW w:w="1714" w:type="dxa"/>
            <w:shd w:val="clear" w:color="auto" w:fill="auto"/>
          </w:tcPr>
          <w:p w14:paraId="56032B08" w14:textId="77777777" w:rsidR="003F3820" w:rsidRPr="007D5069" w:rsidRDefault="003F3820" w:rsidP="00D748F5">
            <w:pPr>
              <w:jc w:val="center"/>
              <w:rPr>
                <w:rFonts w:eastAsia="Calibri"/>
                <w:sz w:val="20"/>
                <w:szCs w:val="20"/>
              </w:rPr>
            </w:pPr>
            <w:r w:rsidRPr="007D5069">
              <w:rPr>
                <w:rFonts w:eastAsia="Calibri"/>
                <w:sz w:val="20"/>
                <w:szCs w:val="20"/>
              </w:rPr>
              <w:t>$20,554</w:t>
            </w:r>
          </w:p>
        </w:tc>
        <w:tc>
          <w:tcPr>
            <w:tcW w:w="1627" w:type="dxa"/>
            <w:shd w:val="clear" w:color="auto" w:fill="auto"/>
          </w:tcPr>
          <w:p w14:paraId="5296A9DF" w14:textId="77777777" w:rsidR="003F3820" w:rsidRPr="007D5069" w:rsidRDefault="003F3820" w:rsidP="00D748F5">
            <w:pPr>
              <w:jc w:val="center"/>
              <w:rPr>
                <w:rFonts w:eastAsia="Calibri"/>
                <w:bCs/>
                <w:sz w:val="20"/>
                <w:szCs w:val="20"/>
              </w:rPr>
            </w:pPr>
            <w:r w:rsidRPr="007D5069">
              <w:rPr>
                <w:rFonts w:eastAsia="Calibri"/>
                <w:bCs/>
                <w:sz w:val="20"/>
                <w:szCs w:val="20"/>
              </w:rPr>
              <w:t>$24,478</w:t>
            </w:r>
          </w:p>
        </w:tc>
        <w:tc>
          <w:tcPr>
            <w:tcW w:w="1354" w:type="dxa"/>
            <w:shd w:val="clear" w:color="auto" w:fill="auto"/>
          </w:tcPr>
          <w:p w14:paraId="78FFB34A" w14:textId="6A57813B" w:rsidR="003F3820" w:rsidRPr="007D5069" w:rsidRDefault="003F3820" w:rsidP="00D748F5">
            <w:pPr>
              <w:jc w:val="center"/>
              <w:rPr>
                <w:rFonts w:eastAsia="Calibri"/>
                <w:bCs/>
                <w:sz w:val="20"/>
                <w:szCs w:val="20"/>
              </w:rPr>
            </w:pPr>
          </w:p>
        </w:tc>
        <w:tc>
          <w:tcPr>
            <w:tcW w:w="1440" w:type="dxa"/>
            <w:shd w:val="clear" w:color="auto" w:fill="auto"/>
          </w:tcPr>
          <w:p w14:paraId="048E1193" w14:textId="6A1E3B45" w:rsidR="003F3820" w:rsidRPr="007D5069" w:rsidRDefault="003F3820" w:rsidP="00D748F5">
            <w:pPr>
              <w:jc w:val="center"/>
              <w:rPr>
                <w:rFonts w:eastAsia="Calibri"/>
                <w:b/>
                <w:bCs/>
                <w:sz w:val="20"/>
                <w:szCs w:val="20"/>
              </w:rPr>
            </w:pPr>
          </w:p>
        </w:tc>
      </w:tr>
      <w:tr w:rsidR="003F3820" w:rsidRPr="007D5069" w14:paraId="21CEB02C" w14:textId="77777777" w:rsidTr="00EE4FEB">
        <w:trPr>
          <w:trHeight w:hRule="exact" w:val="317"/>
        </w:trPr>
        <w:tc>
          <w:tcPr>
            <w:tcW w:w="1440" w:type="dxa"/>
            <w:gridSpan w:val="5"/>
            <w:shd w:val="clear" w:color="auto" w:fill="C6D9F1" w:themeFill="text2" w:themeFillTint="33"/>
            <w:hideMark/>
          </w:tcPr>
          <w:p w14:paraId="461B5668" w14:textId="77777777" w:rsidR="003F3820" w:rsidRPr="007D5069" w:rsidRDefault="003F3820" w:rsidP="007131A6">
            <w:pPr>
              <w:jc w:val="center"/>
              <w:rPr>
                <w:rFonts w:eastAsia="Calibri"/>
                <w:b/>
                <w:bCs/>
                <w:i/>
                <w:iCs/>
                <w:sz w:val="20"/>
                <w:szCs w:val="20"/>
              </w:rPr>
            </w:pPr>
            <w:r w:rsidRPr="007D5069">
              <w:rPr>
                <w:rFonts w:eastAsia="Calibri"/>
                <w:b/>
                <w:bCs/>
                <w:i/>
                <w:iCs/>
                <w:sz w:val="20"/>
                <w:szCs w:val="20"/>
              </w:rPr>
              <w:t>SS #2: Increase in Household Savings</w:t>
            </w:r>
          </w:p>
        </w:tc>
      </w:tr>
      <w:tr w:rsidR="003F3820" w:rsidRPr="007D5069" w14:paraId="267291E6" w14:textId="77777777" w:rsidTr="00EE4FEB">
        <w:trPr>
          <w:trHeight w:hRule="exact" w:val="576"/>
        </w:trPr>
        <w:tc>
          <w:tcPr>
            <w:tcW w:w="3240" w:type="dxa"/>
            <w:shd w:val="clear" w:color="auto" w:fill="D9D9D9" w:themeFill="background1" w:themeFillShade="D9"/>
            <w:hideMark/>
          </w:tcPr>
          <w:p w14:paraId="11493A0A" w14:textId="77777777" w:rsidR="003F3820" w:rsidRPr="007D5069" w:rsidRDefault="003F3820" w:rsidP="007131A6">
            <w:pPr>
              <w:jc w:val="center"/>
              <w:rPr>
                <w:rFonts w:eastAsia="Calibri"/>
                <w:b/>
                <w:bCs/>
                <w:sz w:val="20"/>
                <w:szCs w:val="20"/>
              </w:rPr>
            </w:pPr>
            <w:r w:rsidRPr="007D5069">
              <w:rPr>
                <w:rFonts w:eastAsia="Calibri"/>
                <w:b/>
                <w:bCs/>
                <w:sz w:val="20"/>
                <w:szCs w:val="20"/>
              </w:rPr>
              <w:t>Unit of Measurement</w:t>
            </w:r>
          </w:p>
        </w:tc>
        <w:tc>
          <w:tcPr>
            <w:tcW w:w="1714" w:type="dxa"/>
            <w:shd w:val="clear" w:color="auto" w:fill="D9D9D9" w:themeFill="background1" w:themeFillShade="D9"/>
            <w:hideMark/>
          </w:tcPr>
          <w:p w14:paraId="414451FF" w14:textId="77777777" w:rsidR="003F3820" w:rsidRPr="007D5069" w:rsidRDefault="003F3820" w:rsidP="007131A6">
            <w:pPr>
              <w:jc w:val="center"/>
              <w:rPr>
                <w:rFonts w:eastAsia="Calibri"/>
                <w:b/>
                <w:bCs/>
                <w:sz w:val="20"/>
                <w:szCs w:val="20"/>
              </w:rPr>
            </w:pPr>
            <w:r w:rsidRPr="007D5069">
              <w:rPr>
                <w:rFonts w:eastAsia="Calibri"/>
                <w:b/>
                <w:bCs/>
                <w:sz w:val="20"/>
                <w:szCs w:val="20"/>
              </w:rPr>
              <w:t>Baseline</w:t>
            </w:r>
          </w:p>
        </w:tc>
        <w:tc>
          <w:tcPr>
            <w:tcW w:w="1627" w:type="dxa"/>
            <w:shd w:val="clear" w:color="auto" w:fill="D9D9D9" w:themeFill="background1" w:themeFillShade="D9"/>
            <w:hideMark/>
          </w:tcPr>
          <w:p w14:paraId="750A7E99" w14:textId="77777777" w:rsidR="003F3820" w:rsidRPr="007D5069" w:rsidRDefault="003F3820" w:rsidP="007131A6">
            <w:pPr>
              <w:jc w:val="center"/>
              <w:rPr>
                <w:rFonts w:eastAsia="Calibri"/>
                <w:b/>
                <w:bCs/>
                <w:sz w:val="20"/>
                <w:szCs w:val="20"/>
              </w:rPr>
            </w:pPr>
            <w:r w:rsidRPr="007D5069">
              <w:rPr>
                <w:rFonts w:eastAsia="Calibri"/>
                <w:b/>
                <w:bCs/>
                <w:sz w:val="20"/>
                <w:szCs w:val="20"/>
              </w:rPr>
              <w:t>Benchmark</w:t>
            </w:r>
          </w:p>
        </w:tc>
        <w:tc>
          <w:tcPr>
            <w:tcW w:w="1354" w:type="dxa"/>
            <w:shd w:val="clear" w:color="auto" w:fill="D9D9D9" w:themeFill="background1" w:themeFillShade="D9"/>
            <w:hideMark/>
          </w:tcPr>
          <w:p w14:paraId="2EA7A10E" w14:textId="77777777" w:rsidR="003F3820" w:rsidRPr="007D5069" w:rsidRDefault="003F3820" w:rsidP="007131A6">
            <w:pPr>
              <w:jc w:val="center"/>
              <w:rPr>
                <w:rFonts w:eastAsia="Calibri"/>
                <w:b/>
                <w:bCs/>
                <w:sz w:val="20"/>
                <w:szCs w:val="20"/>
              </w:rPr>
            </w:pPr>
            <w:r w:rsidRPr="007D5069">
              <w:rPr>
                <w:rFonts w:eastAsia="Calibri"/>
                <w:b/>
                <w:bCs/>
                <w:sz w:val="20"/>
                <w:szCs w:val="20"/>
              </w:rPr>
              <w:t>Outcome</w:t>
            </w:r>
          </w:p>
        </w:tc>
        <w:tc>
          <w:tcPr>
            <w:tcW w:w="1440" w:type="dxa"/>
            <w:shd w:val="clear" w:color="auto" w:fill="D9D9D9" w:themeFill="background1" w:themeFillShade="D9"/>
            <w:hideMark/>
          </w:tcPr>
          <w:p w14:paraId="6FDA5818" w14:textId="77777777" w:rsidR="003F3820" w:rsidRPr="007D5069" w:rsidRDefault="003F3820" w:rsidP="007131A6">
            <w:pPr>
              <w:jc w:val="center"/>
              <w:rPr>
                <w:rFonts w:eastAsia="Calibri"/>
                <w:b/>
                <w:bCs/>
                <w:sz w:val="20"/>
                <w:szCs w:val="20"/>
              </w:rPr>
            </w:pPr>
            <w:r w:rsidRPr="007D5069">
              <w:rPr>
                <w:rFonts w:eastAsia="Calibri"/>
                <w:b/>
                <w:bCs/>
                <w:sz w:val="20"/>
                <w:szCs w:val="20"/>
              </w:rPr>
              <w:t>Benchmark Achieved?</w:t>
            </w:r>
          </w:p>
        </w:tc>
      </w:tr>
      <w:tr w:rsidR="003F3820" w:rsidRPr="007D5069" w14:paraId="0BB31B32" w14:textId="77777777" w:rsidTr="00EE4FEB">
        <w:trPr>
          <w:trHeight w:val="260"/>
        </w:trPr>
        <w:tc>
          <w:tcPr>
            <w:tcW w:w="3240" w:type="dxa"/>
            <w:shd w:val="clear" w:color="auto" w:fill="auto"/>
            <w:hideMark/>
          </w:tcPr>
          <w:p w14:paraId="1453DDBA" w14:textId="77777777" w:rsidR="003F3820" w:rsidRPr="007D5069" w:rsidRDefault="003F3820" w:rsidP="003F3820">
            <w:pPr>
              <w:rPr>
                <w:rFonts w:eastAsia="Calibri"/>
                <w:sz w:val="20"/>
                <w:szCs w:val="20"/>
              </w:rPr>
            </w:pPr>
            <w:r w:rsidRPr="007D5069">
              <w:rPr>
                <w:rFonts w:eastAsia="Calibri"/>
                <w:sz w:val="20"/>
                <w:szCs w:val="20"/>
              </w:rPr>
              <w:t xml:space="preserve">Average amount of </w:t>
            </w:r>
            <w:r w:rsidRPr="007D5069">
              <w:rPr>
                <w:rFonts w:eastAsia="Calibri"/>
                <w:b/>
                <w:sz w:val="20"/>
                <w:szCs w:val="20"/>
              </w:rPr>
              <w:t>escrow</w:t>
            </w:r>
            <w:r w:rsidRPr="007D5069">
              <w:rPr>
                <w:rFonts w:eastAsia="Calibri"/>
                <w:sz w:val="20"/>
                <w:szCs w:val="20"/>
              </w:rPr>
              <w:t xml:space="preserve"> of households affected by this policy in dollars (increase).</w:t>
            </w:r>
          </w:p>
        </w:tc>
        <w:tc>
          <w:tcPr>
            <w:tcW w:w="1714" w:type="dxa"/>
            <w:shd w:val="clear" w:color="auto" w:fill="auto"/>
            <w:hideMark/>
          </w:tcPr>
          <w:p w14:paraId="706DF2BF" w14:textId="77777777" w:rsidR="003F3820" w:rsidRPr="007D5069" w:rsidRDefault="003F3820" w:rsidP="00D748F5">
            <w:pPr>
              <w:jc w:val="center"/>
              <w:rPr>
                <w:rFonts w:eastAsia="Calibri"/>
                <w:sz w:val="20"/>
                <w:szCs w:val="20"/>
              </w:rPr>
            </w:pPr>
            <w:r w:rsidRPr="007D5069">
              <w:rPr>
                <w:rFonts w:eastAsia="Calibri"/>
                <w:sz w:val="20"/>
                <w:szCs w:val="20"/>
              </w:rPr>
              <w:t>$0.00</w:t>
            </w:r>
          </w:p>
        </w:tc>
        <w:tc>
          <w:tcPr>
            <w:tcW w:w="1627" w:type="dxa"/>
            <w:shd w:val="clear" w:color="auto" w:fill="auto"/>
            <w:hideMark/>
          </w:tcPr>
          <w:p w14:paraId="450682D8" w14:textId="071EB05D" w:rsidR="003F3820" w:rsidRPr="007D5069" w:rsidRDefault="003F3820" w:rsidP="00D748F5">
            <w:pPr>
              <w:jc w:val="center"/>
              <w:rPr>
                <w:rFonts w:eastAsia="Calibri"/>
                <w:sz w:val="20"/>
                <w:szCs w:val="20"/>
              </w:rPr>
            </w:pPr>
            <w:r w:rsidRPr="007D5069">
              <w:rPr>
                <w:rFonts w:eastAsia="Calibri"/>
                <w:sz w:val="20"/>
                <w:szCs w:val="20"/>
              </w:rPr>
              <w:t>$</w:t>
            </w:r>
            <w:r w:rsidR="00ED1956" w:rsidRPr="007D5069">
              <w:rPr>
                <w:rFonts w:eastAsia="Calibri"/>
                <w:sz w:val="20"/>
                <w:szCs w:val="20"/>
              </w:rPr>
              <w:t>3,915</w:t>
            </w:r>
          </w:p>
        </w:tc>
        <w:tc>
          <w:tcPr>
            <w:tcW w:w="1354" w:type="dxa"/>
            <w:shd w:val="clear" w:color="auto" w:fill="auto"/>
          </w:tcPr>
          <w:p w14:paraId="25D6833E" w14:textId="702AD93C" w:rsidR="003F3820" w:rsidRPr="007D5069" w:rsidRDefault="003F3820" w:rsidP="00D748F5">
            <w:pPr>
              <w:jc w:val="center"/>
              <w:rPr>
                <w:rFonts w:eastAsia="Calibri"/>
                <w:sz w:val="20"/>
                <w:szCs w:val="20"/>
              </w:rPr>
            </w:pPr>
          </w:p>
        </w:tc>
        <w:tc>
          <w:tcPr>
            <w:tcW w:w="1440" w:type="dxa"/>
            <w:shd w:val="clear" w:color="auto" w:fill="auto"/>
          </w:tcPr>
          <w:p w14:paraId="3175B525" w14:textId="27E24D78" w:rsidR="003F3820" w:rsidRPr="007D5069" w:rsidRDefault="003F3820" w:rsidP="00D748F5">
            <w:pPr>
              <w:jc w:val="center"/>
              <w:rPr>
                <w:rFonts w:eastAsia="Calibri"/>
                <w:sz w:val="20"/>
                <w:szCs w:val="20"/>
              </w:rPr>
            </w:pPr>
          </w:p>
        </w:tc>
      </w:tr>
      <w:tr w:rsidR="003F3820" w:rsidRPr="007D5069" w14:paraId="7FC38B95" w14:textId="77777777" w:rsidTr="00EE4FEB">
        <w:trPr>
          <w:trHeight w:hRule="exact" w:val="317"/>
        </w:trPr>
        <w:tc>
          <w:tcPr>
            <w:tcW w:w="1440" w:type="dxa"/>
            <w:gridSpan w:val="5"/>
            <w:tcBorders>
              <w:bottom w:val="single" w:sz="4" w:space="0" w:color="auto"/>
            </w:tcBorders>
            <w:shd w:val="clear" w:color="auto" w:fill="C6D9F1" w:themeFill="text2" w:themeFillTint="33"/>
            <w:hideMark/>
          </w:tcPr>
          <w:p w14:paraId="7126FCF7" w14:textId="77777777" w:rsidR="003F3820" w:rsidRPr="007D5069" w:rsidRDefault="003F3820" w:rsidP="007131A6">
            <w:pPr>
              <w:jc w:val="center"/>
              <w:rPr>
                <w:rFonts w:eastAsia="Calibri"/>
                <w:b/>
                <w:bCs/>
                <w:i/>
                <w:iCs/>
                <w:sz w:val="20"/>
                <w:szCs w:val="20"/>
              </w:rPr>
            </w:pPr>
            <w:r w:rsidRPr="007D5069">
              <w:rPr>
                <w:rFonts w:eastAsia="Calibri"/>
                <w:b/>
                <w:bCs/>
                <w:i/>
                <w:iCs/>
                <w:sz w:val="20"/>
                <w:szCs w:val="20"/>
              </w:rPr>
              <w:t>SS #3: Increase in Positive Outcomes in Employment Status</w:t>
            </w:r>
          </w:p>
        </w:tc>
      </w:tr>
      <w:tr w:rsidR="003F3820" w:rsidRPr="007D5069" w14:paraId="325CD80E" w14:textId="77777777" w:rsidTr="00EE4FEB">
        <w:trPr>
          <w:trHeight w:hRule="exact" w:val="576"/>
        </w:trPr>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CEDD13" w14:textId="77777777" w:rsidR="003F3820" w:rsidRPr="007D5069" w:rsidRDefault="003F3820" w:rsidP="007131A6">
            <w:pPr>
              <w:jc w:val="center"/>
              <w:rPr>
                <w:rFonts w:eastAsia="Calibri"/>
                <w:b/>
                <w:bCs/>
                <w:sz w:val="20"/>
                <w:szCs w:val="20"/>
              </w:rPr>
            </w:pPr>
            <w:r w:rsidRPr="007D5069">
              <w:rPr>
                <w:rFonts w:eastAsia="Calibri"/>
                <w:b/>
                <w:bCs/>
                <w:sz w:val="20"/>
                <w:szCs w:val="20"/>
              </w:rPr>
              <w:t>Unit of Measurement</w:t>
            </w:r>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03E4D1" w14:textId="77777777" w:rsidR="003F3820" w:rsidRPr="007D5069" w:rsidRDefault="003F3820" w:rsidP="007131A6">
            <w:pPr>
              <w:jc w:val="center"/>
              <w:rPr>
                <w:rFonts w:eastAsia="Calibri"/>
                <w:b/>
                <w:bCs/>
                <w:sz w:val="20"/>
                <w:szCs w:val="20"/>
              </w:rPr>
            </w:pPr>
            <w:r w:rsidRPr="007D5069">
              <w:rPr>
                <w:rFonts w:eastAsia="Calibri"/>
                <w:b/>
                <w:bCs/>
                <w:sz w:val="20"/>
                <w:szCs w:val="20"/>
              </w:rPr>
              <w:t>Baseline</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DE145" w14:textId="77777777" w:rsidR="003F3820" w:rsidRPr="007D5069" w:rsidRDefault="003F3820" w:rsidP="007131A6">
            <w:pPr>
              <w:jc w:val="center"/>
              <w:rPr>
                <w:rFonts w:eastAsia="Calibri"/>
                <w:b/>
                <w:bCs/>
                <w:sz w:val="20"/>
                <w:szCs w:val="20"/>
              </w:rPr>
            </w:pPr>
            <w:r w:rsidRPr="007D5069">
              <w:rPr>
                <w:rFonts w:eastAsia="Calibri"/>
                <w:b/>
                <w:bCs/>
                <w:sz w:val="20"/>
                <w:szCs w:val="20"/>
              </w:rPr>
              <w:t>Benchmark</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67E882" w14:textId="77777777" w:rsidR="003F3820" w:rsidRPr="007D5069" w:rsidRDefault="003F3820" w:rsidP="007131A6">
            <w:pPr>
              <w:jc w:val="center"/>
              <w:rPr>
                <w:rFonts w:eastAsia="Calibri"/>
                <w:b/>
                <w:bCs/>
                <w:sz w:val="20"/>
                <w:szCs w:val="20"/>
              </w:rPr>
            </w:pPr>
            <w:r w:rsidRPr="007D5069">
              <w:rPr>
                <w:rFonts w:eastAsia="Calibri"/>
                <w:b/>
                <w:bCs/>
                <w:sz w:val="20"/>
                <w:szCs w:val="20"/>
              </w:rPr>
              <w:t>Outcome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4FB843" w14:textId="77777777" w:rsidR="003F3820" w:rsidRPr="007D5069" w:rsidRDefault="003F3820" w:rsidP="007131A6">
            <w:pPr>
              <w:jc w:val="center"/>
              <w:rPr>
                <w:rFonts w:eastAsia="Calibri"/>
                <w:b/>
                <w:bCs/>
                <w:sz w:val="20"/>
                <w:szCs w:val="20"/>
              </w:rPr>
            </w:pPr>
            <w:r w:rsidRPr="007D5069">
              <w:rPr>
                <w:rFonts w:eastAsia="Calibri"/>
                <w:b/>
                <w:bCs/>
                <w:sz w:val="20"/>
                <w:szCs w:val="20"/>
              </w:rPr>
              <w:t>Benchmark Achieved?</w:t>
            </w:r>
          </w:p>
        </w:tc>
      </w:tr>
      <w:tr w:rsidR="003F3820" w:rsidRPr="007D5069" w14:paraId="35D40232" w14:textId="77777777" w:rsidTr="00EE4FEB">
        <w:trPr>
          <w:trHeight w:val="315"/>
        </w:trPr>
        <w:tc>
          <w:tcPr>
            <w:tcW w:w="3240" w:type="dxa"/>
            <w:vMerge w:val="restart"/>
            <w:tcBorders>
              <w:top w:val="single" w:sz="4" w:space="0" w:color="auto"/>
              <w:left w:val="single" w:sz="4" w:space="0" w:color="auto"/>
              <w:right w:val="single" w:sz="4" w:space="0" w:color="auto"/>
            </w:tcBorders>
            <w:shd w:val="clear" w:color="auto" w:fill="auto"/>
            <w:hideMark/>
          </w:tcPr>
          <w:p w14:paraId="2ED95246" w14:textId="77777777" w:rsidR="003F3820" w:rsidRPr="007D5069" w:rsidRDefault="003F3820" w:rsidP="003F3820">
            <w:pPr>
              <w:rPr>
                <w:rFonts w:eastAsia="Calibri"/>
                <w:sz w:val="20"/>
                <w:szCs w:val="20"/>
              </w:rPr>
            </w:pPr>
            <w:r w:rsidRPr="007D5069">
              <w:rPr>
                <w:rFonts w:eastAsia="Calibri"/>
                <w:sz w:val="20"/>
                <w:szCs w:val="20"/>
              </w:rPr>
              <w:t>Unemployed</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62362251" w14:textId="77777777" w:rsidR="003F3820" w:rsidRPr="007D5069" w:rsidRDefault="003F3820" w:rsidP="00D748F5">
            <w:pPr>
              <w:jc w:val="center"/>
              <w:rPr>
                <w:rFonts w:eastAsia="Calibri"/>
                <w:sz w:val="20"/>
                <w:szCs w:val="20"/>
              </w:rPr>
            </w:pPr>
            <w:r w:rsidRPr="007D5069">
              <w:rPr>
                <w:rFonts w:eastAsia="Calibri"/>
                <w:sz w:val="20"/>
                <w:szCs w:val="20"/>
              </w:rPr>
              <w:t>501 participants</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51CF63ED" w14:textId="5D100961" w:rsidR="003F3820" w:rsidRPr="007D5069" w:rsidRDefault="00AF1794" w:rsidP="00D748F5">
            <w:pPr>
              <w:jc w:val="center"/>
              <w:rPr>
                <w:rFonts w:eastAsia="Calibri"/>
                <w:sz w:val="20"/>
                <w:szCs w:val="20"/>
              </w:rPr>
            </w:pPr>
            <w:r>
              <w:rPr>
                <w:rFonts w:eastAsia="Calibri"/>
                <w:sz w:val="20"/>
                <w:szCs w:val="20"/>
              </w:rPr>
              <w:t>234</w:t>
            </w:r>
            <w:r w:rsidR="003F3820" w:rsidRPr="007D5069">
              <w:rPr>
                <w:rFonts w:eastAsia="Calibri"/>
                <w:sz w:val="20"/>
                <w:szCs w:val="20"/>
              </w:rPr>
              <w:t xml:space="preserve"> participants</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C396785" w14:textId="6B74BC67" w:rsidR="003F3820" w:rsidRPr="007D5069" w:rsidRDefault="003F3820" w:rsidP="00D748F5">
            <w:pPr>
              <w:jc w:val="center"/>
              <w:rPr>
                <w:rFonts w:eastAsia="Calibri"/>
                <w:sz w:val="20"/>
                <w:szCs w:val="20"/>
              </w:rPr>
            </w:pPr>
          </w:p>
        </w:tc>
        <w:tc>
          <w:tcPr>
            <w:tcW w:w="1440" w:type="dxa"/>
            <w:tcBorders>
              <w:top w:val="single" w:sz="4" w:space="0" w:color="auto"/>
              <w:left w:val="single" w:sz="4" w:space="0" w:color="auto"/>
              <w:right w:val="single" w:sz="4" w:space="0" w:color="auto"/>
            </w:tcBorders>
            <w:shd w:val="clear" w:color="auto" w:fill="auto"/>
          </w:tcPr>
          <w:p w14:paraId="61452CC9" w14:textId="63F108EC" w:rsidR="003F3820" w:rsidRPr="007D5069" w:rsidRDefault="003F3820" w:rsidP="00D748F5">
            <w:pPr>
              <w:jc w:val="center"/>
              <w:rPr>
                <w:rFonts w:eastAsia="Calibri"/>
                <w:sz w:val="20"/>
                <w:szCs w:val="20"/>
              </w:rPr>
            </w:pPr>
          </w:p>
        </w:tc>
      </w:tr>
      <w:tr w:rsidR="003F3820" w:rsidRPr="007D5069" w14:paraId="3F324D39" w14:textId="77777777" w:rsidTr="00EE4FEB">
        <w:trPr>
          <w:trHeight w:val="315"/>
        </w:trPr>
        <w:tc>
          <w:tcPr>
            <w:tcW w:w="3240" w:type="dxa"/>
            <w:vMerge/>
            <w:tcBorders>
              <w:left w:val="single" w:sz="4" w:space="0" w:color="auto"/>
              <w:bottom w:val="single" w:sz="4" w:space="0" w:color="auto"/>
              <w:right w:val="single" w:sz="4" w:space="0" w:color="auto"/>
            </w:tcBorders>
            <w:shd w:val="clear" w:color="auto" w:fill="auto"/>
            <w:hideMark/>
          </w:tcPr>
          <w:p w14:paraId="21651693" w14:textId="77777777" w:rsidR="003F3820" w:rsidRPr="007D5069" w:rsidRDefault="003F3820" w:rsidP="003F3820">
            <w:pPr>
              <w:rPr>
                <w:rFonts w:eastAsia="Calibri"/>
                <w:sz w:val="20"/>
                <w:szCs w:val="20"/>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3E1FDA26" w14:textId="77777777" w:rsidR="003F3820" w:rsidRPr="007D5069" w:rsidRDefault="003F3820" w:rsidP="00D748F5">
            <w:pPr>
              <w:jc w:val="center"/>
              <w:rPr>
                <w:rFonts w:eastAsia="Calibri"/>
                <w:sz w:val="20"/>
                <w:szCs w:val="20"/>
              </w:rPr>
            </w:pPr>
            <w:r w:rsidRPr="007D5069">
              <w:rPr>
                <w:rFonts w:eastAsia="Calibri"/>
                <w:sz w:val="20"/>
                <w:szCs w:val="20"/>
              </w:rPr>
              <w:t>57% of participants</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6700A7FD" w14:textId="61AB9875" w:rsidR="003F3820" w:rsidRPr="007D5069" w:rsidRDefault="00AF1794" w:rsidP="00D748F5">
            <w:pPr>
              <w:jc w:val="center"/>
              <w:rPr>
                <w:rFonts w:eastAsia="Calibri"/>
                <w:sz w:val="20"/>
                <w:szCs w:val="20"/>
              </w:rPr>
            </w:pPr>
            <w:r>
              <w:rPr>
                <w:rFonts w:eastAsia="Calibri"/>
                <w:sz w:val="20"/>
                <w:szCs w:val="20"/>
              </w:rPr>
              <w:t>26</w:t>
            </w:r>
            <w:r w:rsidR="003F3820" w:rsidRPr="007D5069">
              <w:rPr>
                <w:rFonts w:eastAsia="Calibri"/>
                <w:sz w:val="20"/>
                <w:szCs w:val="20"/>
              </w:rPr>
              <w:t>% of participants</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F3979FE" w14:textId="2B0DBF4C" w:rsidR="003F3820" w:rsidRPr="007D5069" w:rsidRDefault="003F3820" w:rsidP="00D748F5">
            <w:pPr>
              <w:jc w:val="center"/>
              <w:rPr>
                <w:rFonts w:eastAsia="Calibri"/>
                <w:sz w:val="20"/>
                <w:szCs w:val="20"/>
              </w:rPr>
            </w:pPr>
          </w:p>
        </w:tc>
        <w:tc>
          <w:tcPr>
            <w:tcW w:w="1440" w:type="dxa"/>
            <w:tcBorders>
              <w:left w:val="single" w:sz="4" w:space="0" w:color="auto"/>
              <w:bottom w:val="single" w:sz="4" w:space="0" w:color="auto"/>
              <w:right w:val="single" w:sz="4" w:space="0" w:color="auto"/>
            </w:tcBorders>
            <w:shd w:val="clear" w:color="auto" w:fill="auto"/>
          </w:tcPr>
          <w:p w14:paraId="7B09BA05" w14:textId="77777777" w:rsidR="003F3820" w:rsidRPr="007D5069" w:rsidRDefault="003F3820" w:rsidP="00D748F5">
            <w:pPr>
              <w:jc w:val="center"/>
              <w:rPr>
                <w:rFonts w:eastAsia="Calibri"/>
                <w:sz w:val="20"/>
                <w:szCs w:val="20"/>
              </w:rPr>
            </w:pPr>
          </w:p>
        </w:tc>
      </w:tr>
      <w:tr w:rsidR="003F3820" w:rsidRPr="007D5069" w14:paraId="563053C1" w14:textId="77777777" w:rsidTr="00EE4FEB">
        <w:trPr>
          <w:trHeight w:val="315"/>
        </w:trPr>
        <w:tc>
          <w:tcPr>
            <w:tcW w:w="3240" w:type="dxa"/>
            <w:vMerge w:val="restart"/>
            <w:tcBorders>
              <w:top w:val="single" w:sz="4" w:space="0" w:color="auto"/>
              <w:left w:val="single" w:sz="4" w:space="0" w:color="auto"/>
              <w:right w:val="single" w:sz="4" w:space="0" w:color="auto"/>
            </w:tcBorders>
            <w:shd w:val="clear" w:color="auto" w:fill="auto"/>
            <w:hideMark/>
          </w:tcPr>
          <w:p w14:paraId="07C963D8" w14:textId="66DF1C13" w:rsidR="003F3820" w:rsidRPr="007D5069" w:rsidRDefault="001E7A7F" w:rsidP="003F3820">
            <w:pPr>
              <w:rPr>
                <w:rFonts w:eastAsia="Calibri"/>
                <w:sz w:val="20"/>
                <w:szCs w:val="20"/>
              </w:rPr>
            </w:pPr>
            <w:r w:rsidRPr="003658D2">
              <w:rPr>
                <w:rFonts w:eastAsia="Calibri"/>
                <w:sz w:val="20"/>
                <w:szCs w:val="20"/>
              </w:rPr>
              <w:t>Employed</w:t>
            </w:r>
            <w:r>
              <w:rPr>
                <w:rFonts w:eastAsia="Calibri"/>
                <w:sz w:val="20"/>
                <w:szCs w:val="20"/>
              </w:rPr>
              <w:t xml:space="preserve"> Part-Time or Full-Time</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54080AAB" w14:textId="7BDFFE59" w:rsidR="003F3820" w:rsidRPr="007D5069" w:rsidRDefault="003F3820" w:rsidP="00D748F5">
            <w:pPr>
              <w:jc w:val="center"/>
              <w:rPr>
                <w:rFonts w:eastAsia="Calibri"/>
                <w:sz w:val="20"/>
                <w:szCs w:val="20"/>
              </w:rPr>
            </w:pPr>
            <w:r w:rsidRPr="007D5069">
              <w:rPr>
                <w:rFonts w:eastAsia="Calibri"/>
                <w:sz w:val="20"/>
                <w:szCs w:val="20"/>
              </w:rPr>
              <w:t>372 participants</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538E1A9C" w14:textId="0D2105EE" w:rsidR="003F3820" w:rsidRPr="007D5069" w:rsidRDefault="00AF1794" w:rsidP="00D748F5">
            <w:pPr>
              <w:jc w:val="center"/>
              <w:rPr>
                <w:rFonts w:eastAsia="Calibri"/>
                <w:sz w:val="20"/>
                <w:szCs w:val="20"/>
              </w:rPr>
            </w:pPr>
            <w:r>
              <w:rPr>
                <w:rFonts w:eastAsia="Calibri"/>
                <w:sz w:val="20"/>
                <w:szCs w:val="20"/>
              </w:rPr>
              <w:t>666</w:t>
            </w:r>
            <w:r w:rsidR="003F3820" w:rsidRPr="007D5069">
              <w:rPr>
                <w:rFonts w:eastAsia="Calibri"/>
                <w:sz w:val="20"/>
                <w:szCs w:val="20"/>
              </w:rPr>
              <w:t xml:space="preserve"> participants</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D9FC05F" w14:textId="1BA33730" w:rsidR="003F3820" w:rsidRPr="007D5069" w:rsidRDefault="003F3820" w:rsidP="00D748F5">
            <w:pPr>
              <w:jc w:val="center"/>
              <w:rPr>
                <w:rFonts w:eastAsia="Calibri"/>
                <w:sz w:val="20"/>
                <w:szCs w:val="20"/>
              </w:rPr>
            </w:pPr>
          </w:p>
        </w:tc>
        <w:tc>
          <w:tcPr>
            <w:tcW w:w="1440" w:type="dxa"/>
            <w:tcBorders>
              <w:top w:val="single" w:sz="4" w:space="0" w:color="auto"/>
              <w:left w:val="single" w:sz="4" w:space="0" w:color="auto"/>
              <w:right w:val="single" w:sz="4" w:space="0" w:color="auto"/>
            </w:tcBorders>
            <w:shd w:val="clear" w:color="auto" w:fill="auto"/>
          </w:tcPr>
          <w:p w14:paraId="44A3ACFE" w14:textId="30F037C7" w:rsidR="003F3820" w:rsidRPr="007D5069" w:rsidRDefault="003F3820" w:rsidP="00D748F5">
            <w:pPr>
              <w:jc w:val="center"/>
              <w:rPr>
                <w:rFonts w:eastAsia="Calibri"/>
                <w:sz w:val="20"/>
                <w:szCs w:val="20"/>
              </w:rPr>
            </w:pPr>
          </w:p>
        </w:tc>
      </w:tr>
      <w:tr w:rsidR="003F3820" w:rsidRPr="007D5069" w14:paraId="36001521" w14:textId="77777777" w:rsidTr="00EE4FEB">
        <w:trPr>
          <w:trHeight w:val="315"/>
        </w:trPr>
        <w:tc>
          <w:tcPr>
            <w:tcW w:w="3240" w:type="dxa"/>
            <w:vMerge/>
            <w:tcBorders>
              <w:left w:val="single" w:sz="4" w:space="0" w:color="auto"/>
              <w:bottom w:val="single" w:sz="4" w:space="0" w:color="auto"/>
              <w:right w:val="single" w:sz="4" w:space="0" w:color="auto"/>
            </w:tcBorders>
            <w:shd w:val="clear" w:color="auto" w:fill="auto"/>
            <w:hideMark/>
          </w:tcPr>
          <w:p w14:paraId="1709F7E5" w14:textId="77777777" w:rsidR="003F3820" w:rsidRPr="007D5069" w:rsidRDefault="003F3820" w:rsidP="003F3820">
            <w:pPr>
              <w:rPr>
                <w:rFonts w:eastAsia="Calibri"/>
                <w:sz w:val="20"/>
                <w:szCs w:val="20"/>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7477CB6E" w14:textId="77777777" w:rsidR="003F3820" w:rsidRPr="007D5069" w:rsidRDefault="003F3820" w:rsidP="00D748F5">
            <w:pPr>
              <w:jc w:val="center"/>
              <w:rPr>
                <w:rFonts w:eastAsia="Calibri"/>
                <w:sz w:val="20"/>
                <w:szCs w:val="20"/>
              </w:rPr>
            </w:pPr>
            <w:r w:rsidRPr="007D5069">
              <w:rPr>
                <w:rFonts w:eastAsia="Calibri"/>
                <w:sz w:val="20"/>
                <w:szCs w:val="20"/>
              </w:rPr>
              <w:t>43% of participants</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32C4207D" w14:textId="0F915F06" w:rsidR="003F3820" w:rsidRPr="007D5069" w:rsidRDefault="00AF1794" w:rsidP="00D748F5">
            <w:pPr>
              <w:jc w:val="center"/>
              <w:rPr>
                <w:rFonts w:eastAsia="Calibri"/>
                <w:sz w:val="20"/>
                <w:szCs w:val="20"/>
              </w:rPr>
            </w:pPr>
            <w:r>
              <w:rPr>
                <w:rFonts w:eastAsia="Calibri"/>
                <w:sz w:val="20"/>
                <w:szCs w:val="20"/>
              </w:rPr>
              <w:t>74</w:t>
            </w:r>
            <w:r w:rsidR="003F3820" w:rsidRPr="007D5069">
              <w:rPr>
                <w:rFonts w:eastAsia="Calibri"/>
                <w:sz w:val="20"/>
                <w:szCs w:val="20"/>
              </w:rPr>
              <w:t>% of participants</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91F3A0C" w14:textId="15E8EC57" w:rsidR="003F3820" w:rsidRPr="007D5069" w:rsidRDefault="003F3820" w:rsidP="00D748F5">
            <w:pPr>
              <w:jc w:val="center"/>
              <w:rPr>
                <w:rFonts w:eastAsia="Calibri"/>
                <w:sz w:val="20"/>
                <w:szCs w:val="20"/>
              </w:rPr>
            </w:pPr>
          </w:p>
        </w:tc>
        <w:tc>
          <w:tcPr>
            <w:tcW w:w="1440" w:type="dxa"/>
            <w:tcBorders>
              <w:left w:val="single" w:sz="4" w:space="0" w:color="auto"/>
              <w:bottom w:val="single" w:sz="4" w:space="0" w:color="auto"/>
              <w:right w:val="single" w:sz="4" w:space="0" w:color="auto"/>
            </w:tcBorders>
            <w:shd w:val="clear" w:color="auto" w:fill="auto"/>
          </w:tcPr>
          <w:p w14:paraId="2E02A1A5" w14:textId="77777777" w:rsidR="003F3820" w:rsidRPr="007D5069" w:rsidRDefault="003F3820" w:rsidP="00D748F5">
            <w:pPr>
              <w:jc w:val="center"/>
              <w:rPr>
                <w:rFonts w:eastAsia="Calibri"/>
                <w:sz w:val="20"/>
                <w:szCs w:val="20"/>
              </w:rPr>
            </w:pPr>
          </w:p>
        </w:tc>
      </w:tr>
      <w:tr w:rsidR="003F3820" w:rsidRPr="007D5069" w14:paraId="31715F91" w14:textId="77777777" w:rsidTr="00EE4FEB">
        <w:trPr>
          <w:trHeight w:hRule="exact" w:val="317"/>
        </w:trPr>
        <w:tc>
          <w:tcPr>
            <w:tcW w:w="1440" w:type="dxa"/>
            <w:gridSpan w:val="5"/>
            <w:tcBorders>
              <w:top w:val="single" w:sz="4" w:space="0" w:color="auto"/>
            </w:tcBorders>
            <w:shd w:val="clear" w:color="auto" w:fill="C6D9F1" w:themeFill="text2" w:themeFillTint="33"/>
            <w:hideMark/>
          </w:tcPr>
          <w:p w14:paraId="3C3752D4" w14:textId="77777777" w:rsidR="003F3820" w:rsidRPr="007D5069" w:rsidRDefault="003F3820" w:rsidP="003F3820">
            <w:pPr>
              <w:jc w:val="center"/>
              <w:rPr>
                <w:rFonts w:eastAsia="Calibri"/>
                <w:b/>
                <w:bCs/>
                <w:i/>
                <w:iCs/>
                <w:sz w:val="20"/>
                <w:szCs w:val="20"/>
              </w:rPr>
            </w:pPr>
            <w:r w:rsidRPr="007D5069">
              <w:rPr>
                <w:rFonts w:eastAsia="Calibri"/>
                <w:b/>
                <w:bCs/>
                <w:i/>
                <w:iCs/>
                <w:sz w:val="20"/>
                <w:szCs w:val="20"/>
              </w:rPr>
              <w:t>SS #4: Households Removed from Temporary Assistance for Needy Families (TANF)</w:t>
            </w:r>
          </w:p>
        </w:tc>
      </w:tr>
      <w:tr w:rsidR="003F3820" w:rsidRPr="007D5069" w14:paraId="04D5026E" w14:textId="77777777" w:rsidTr="00EE4FEB">
        <w:trPr>
          <w:trHeight w:hRule="exact" w:val="576"/>
        </w:trPr>
        <w:tc>
          <w:tcPr>
            <w:tcW w:w="3240" w:type="dxa"/>
            <w:shd w:val="clear" w:color="auto" w:fill="D9D9D9" w:themeFill="background1" w:themeFillShade="D9"/>
            <w:hideMark/>
          </w:tcPr>
          <w:p w14:paraId="656BFB44" w14:textId="77777777" w:rsidR="003F3820" w:rsidRPr="007D5069" w:rsidRDefault="003F3820" w:rsidP="003F3820">
            <w:pPr>
              <w:jc w:val="center"/>
              <w:rPr>
                <w:rFonts w:eastAsia="Calibri"/>
                <w:b/>
                <w:bCs/>
                <w:sz w:val="20"/>
                <w:szCs w:val="20"/>
              </w:rPr>
            </w:pPr>
            <w:r w:rsidRPr="007D5069">
              <w:rPr>
                <w:rFonts w:eastAsia="Calibri"/>
                <w:b/>
                <w:bCs/>
                <w:sz w:val="20"/>
                <w:szCs w:val="20"/>
              </w:rPr>
              <w:t>Unit of Measurement</w:t>
            </w:r>
          </w:p>
        </w:tc>
        <w:tc>
          <w:tcPr>
            <w:tcW w:w="1714" w:type="dxa"/>
            <w:shd w:val="clear" w:color="auto" w:fill="D9D9D9" w:themeFill="background1" w:themeFillShade="D9"/>
            <w:hideMark/>
          </w:tcPr>
          <w:p w14:paraId="7A934561" w14:textId="77777777" w:rsidR="003F3820" w:rsidRPr="007D5069" w:rsidRDefault="003F3820" w:rsidP="003F3820">
            <w:pPr>
              <w:jc w:val="center"/>
              <w:rPr>
                <w:rFonts w:eastAsia="Calibri"/>
                <w:b/>
                <w:bCs/>
                <w:sz w:val="20"/>
                <w:szCs w:val="20"/>
              </w:rPr>
            </w:pPr>
            <w:r w:rsidRPr="007D5069">
              <w:rPr>
                <w:rFonts w:eastAsia="Calibri"/>
                <w:b/>
                <w:bCs/>
                <w:sz w:val="20"/>
                <w:szCs w:val="20"/>
              </w:rPr>
              <w:t>Baseline</w:t>
            </w:r>
          </w:p>
        </w:tc>
        <w:tc>
          <w:tcPr>
            <w:tcW w:w="1627" w:type="dxa"/>
            <w:shd w:val="clear" w:color="auto" w:fill="D9D9D9" w:themeFill="background1" w:themeFillShade="D9"/>
            <w:hideMark/>
          </w:tcPr>
          <w:p w14:paraId="7ED986BB" w14:textId="77777777" w:rsidR="003F3820" w:rsidRPr="007D5069" w:rsidRDefault="003F3820" w:rsidP="003F3820">
            <w:pPr>
              <w:jc w:val="center"/>
              <w:rPr>
                <w:rFonts w:eastAsia="Calibri"/>
                <w:b/>
                <w:bCs/>
                <w:sz w:val="20"/>
                <w:szCs w:val="20"/>
              </w:rPr>
            </w:pPr>
            <w:r w:rsidRPr="007D5069">
              <w:rPr>
                <w:rFonts w:eastAsia="Calibri"/>
                <w:b/>
                <w:bCs/>
                <w:sz w:val="20"/>
                <w:szCs w:val="20"/>
              </w:rPr>
              <w:t>Benchmark</w:t>
            </w:r>
          </w:p>
        </w:tc>
        <w:tc>
          <w:tcPr>
            <w:tcW w:w="1354" w:type="dxa"/>
            <w:shd w:val="clear" w:color="auto" w:fill="D9D9D9" w:themeFill="background1" w:themeFillShade="D9"/>
            <w:hideMark/>
          </w:tcPr>
          <w:p w14:paraId="7A12B4BB" w14:textId="77777777" w:rsidR="003F3820" w:rsidRPr="007D5069" w:rsidRDefault="003F3820" w:rsidP="003F3820">
            <w:pPr>
              <w:jc w:val="center"/>
              <w:rPr>
                <w:rFonts w:eastAsia="Calibri"/>
                <w:b/>
                <w:bCs/>
                <w:sz w:val="20"/>
                <w:szCs w:val="20"/>
              </w:rPr>
            </w:pPr>
            <w:r w:rsidRPr="007D5069">
              <w:rPr>
                <w:rFonts w:eastAsia="Calibri"/>
                <w:b/>
                <w:bCs/>
                <w:sz w:val="20"/>
                <w:szCs w:val="20"/>
              </w:rPr>
              <w:t>Outcome</w:t>
            </w:r>
          </w:p>
        </w:tc>
        <w:tc>
          <w:tcPr>
            <w:tcW w:w="1440" w:type="dxa"/>
            <w:shd w:val="clear" w:color="auto" w:fill="D9D9D9" w:themeFill="background1" w:themeFillShade="D9"/>
            <w:hideMark/>
          </w:tcPr>
          <w:p w14:paraId="3AAC736D" w14:textId="77777777" w:rsidR="003F3820" w:rsidRPr="007D5069" w:rsidRDefault="003F3820" w:rsidP="003F3820">
            <w:pPr>
              <w:jc w:val="center"/>
              <w:rPr>
                <w:rFonts w:eastAsia="Calibri"/>
                <w:b/>
                <w:bCs/>
                <w:sz w:val="20"/>
                <w:szCs w:val="20"/>
              </w:rPr>
            </w:pPr>
            <w:r w:rsidRPr="007D5069">
              <w:rPr>
                <w:rFonts w:eastAsia="Calibri"/>
                <w:b/>
                <w:bCs/>
                <w:sz w:val="20"/>
                <w:szCs w:val="20"/>
              </w:rPr>
              <w:t>Benchmark Achieved?</w:t>
            </w:r>
          </w:p>
        </w:tc>
      </w:tr>
      <w:tr w:rsidR="00C26F36" w:rsidRPr="007D5069" w14:paraId="654E822C" w14:textId="77777777" w:rsidTr="00EE4FEB">
        <w:trPr>
          <w:trHeight w:val="512"/>
        </w:trPr>
        <w:tc>
          <w:tcPr>
            <w:tcW w:w="3240" w:type="dxa"/>
            <w:shd w:val="clear" w:color="auto" w:fill="auto"/>
            <w:hideMark/>
          </w:tcPr>
          <w:p w14:paraId="7ACAE3AA" w14:textId="77777777" w:rsidR="00C26F36" w:rsidRPr="007D5069" w:rsidRDefault="00C26F36" w:rsidP="00C26F36">
            <w:pPr>
              <w:rPr>
                <w:rFonts w:eastAsia="Calibri"/>
                <w:sz w:val="20"/>
                <w:szCs w:val="20"/>
              </w:rPr>
            </w:pPr>
            <w:r w:rsidRPr="007D5069">
              <w:rPr>
                <w:rFonts w:eastAsia="Calibri"/>
                <w:sz w:val="20"/>
                <w:szCs w:val="20"/>
              </w:rPr>
              <w:t>Number of households receiving TANF assistance (decrease).</w:t>
            </w:r>
          </w:p>
        </w:tc>
        <w:tc>
          <w:tcPr>
            <w:tcW w:w="1714" w:type="dxa"/>
            <w:shd w:val="clear" w:color="auto" w:fill="auto"/>
            <w:hideMark/>
          </w:tcPr>
          <w:p w14:paraId="548CE951" w14:textId="77777777" w:rsidR="00C26F36" w:rsidRPr="007D5069" w:rsidRDefault="00C26F36" w:rsidP="00D748F5">
            <w:pPr>
              <w:jc w:val="center"/>
              <w:rPr>
                <w:rFonts w:eastAsia="Calibri"/>
                <w:sz w:val="20"/>
                <w:szCs w:val="20"/>
              </w:rPr>
            </w:pPr>
            <w:r w:rsidRPr="007D5069">
              <w:rPr>
                <w:rFonts w:eastAsia="Calibri"/>
                <w:sz w:val="20"/>
                <w:szCs w:val="20"/>
              </w:rPr>
              <w:t>162 households</w:t>
            </w:r>
          </w:p>
        </w:tc>
        <w:tc>
          <w:tcPr>
            <w:tcW w:w="1627" w:type="dxa"/>
            <w:shd w:val="clear" w:color="auto" w:fill="auto"/>
          </w:tcPr>
          <w:p w14:paraId="3CDFAC4E" w14:textId="77777777" w:rsidR="00C26F36" w:rsidRPr="007D5069" w:rsidRDefault="00C26F36" w:rsidP="00D748F5">
            <w:pPr>
              <w:jc w:val="center"/>
              <w:rPr>
                <w:rFonts w:eastAsia="Calibri"/>
                <w:sz w:val="20"/>
                <w:szCs w:val="20"/>
              </w:rPr>
            </w:pPr>
            <w:r w:rsidRPr="007D5069">
              <w:rPr>
                <w:rFonts w:eastAsia="Calibri"/>
                <w:sz w:val="20"/>
                <w:szCs w:val="20"/>
              </w:rPr>
              <w:t>75 households</w:t>
            </w:r>
          </w:p>
        </w:tc>
        <w:tc>
          <w:tcPr>
            <w:tcW w:w="1354" w:type="dxa"/>
            <w:shd w:val="clear" w:color="auto" w:fill="auto"/>
          </w:tcPr>
          <w:p w14:paraId="6BE20B0B" w14:textId="1E9B8325" w:rsidR="00C26F36" w:rsidRPr="007D5069" w:rsidRDefault="00C26F36" w:rsidP="00D748F5">
            <w:pPr>
              <w:jc w:val="center"/>
              <w:rPr>
                <w:rFonts w:eastAsia="Calibri"/>
                <w:sz w:val="20"/>
                <w:szCs w:val="20"/>
              </w:rPr>
            </w:pPr>
          </w:p>
        </w:tc>
        <w:tc>
          <w:tcPr>
            <w:tcW w:w="1440" w:type="dxa"/>
            <w:shd w:val="clear" w:color="auto" w:fill="auto"/>
          </w:tcPr>
          <w:p w14:paraId="59CE959D" w14:textId="2CD285AB" w:rsidR="00C26F36" w:rsidRPr="007D5069" w:rsidRDefault="00C26F36" w:rsidP="00D748F5">
            <w:pPr>
              <w:jc w:val="center"/>
              <w:rPr>
                <w:rFonts w:eastAsia="Calibri"/>
                <w:sz w:val="20"/>
                <w:szCs w:val="20"/>
              </w:rPr>
            </w:pPr>
          </w:p>
        </w:tc>
      </w:tr>
      <w:tr w:rsidR="00ED1956" w:rsidRPr="007D5069" w14:paraId="18677694" w14:textId="77777777" w:rsidTr="00EE4FEB">
        <w:trPr>
          <w:trHeight w:val="314"/>
        </w:trPr>
        <w:tc>
          <w:tcPr>
            <w:tcW w:w="1440" w:type="dxa"/>
            <w:gridSpan w:val="5"/>
            <w:shd w:val="clear" w:color="auto" w:fill="C6D9F1" w:themeFill="text2" w:themeFillTint="33"/>
          </w:tcPr>
          <w:p w14:paraId="6CDA93DD" w14:textId="53D58310" w:rsidR="00ED1956" w:rsidRPr="007D5069" w:rsidRDefault="00ED1956" w:rsidP="00C26F36">
            <w:pPr>
              <w:jc w:val="center"/>
              <w:rPr>
                <w:rFonts w:eastAsia="Calibri"/>
                <w:b/>
                <w:i/>
                <w:sz w:val="20"/>
                <w:szCs w:val="20"/>
              </w:rPr>
            </w:pPr>
            <w:r w:rsidRPr="007D5069">
              <w:rPr>
                <w:rFonts w:eastAsia="Calibri"/>
                <w:b/>
                <w:i/>
                <w:sz w:val="20"/>
                <w:szCs w:val="20"/>
              </w:rPr>
              <w:t xml:space="preserve">SS #5: Households Assisted by Services that Increase Self-Sufficiency </w:t>
            </w:r>
          </w:p>
        </w:tc>
      </w:tr>
      <w:tr w:rsidR="00ED1956" w:rsidRPr="007D5069" w14:paraId="733459B7" w14:textId="77777777" w:rsidTr="00EE4FEB">
        <w:trPr>
          <w:trHeight w:val="746"/>
        </w:trPr>
        <w:tc>
          <w:tcPr>
            <w:tcW w:w="3240" w:type="dxa"/>
            <w:shd w:val="clear" w:color="auto" w:fill="D9D9D9" w:themeFill="background1" w:themeFillShade="D9"/>
          </w:tcPr>
          <w:p w14:paraId="543CD7D1" w14:textId="43586BBB" w:rsidR="00ED1956" w:rsidRPr="007D5069" w:rsidRDefault="00ED1956" w:rsidP="00ED1956">
            <w:pPr>
              <w:rPr>
                <w:rFonts w:eastAsia="Calibri"/>
                <w:sz w:val="20"/>
                <w:szCs w:val="20"/>
              </w:rPr>
            </w:pPr>
            <w:r w:rsidRPr="007D5069">
              <w:rPr>
                <w:rFonts w:eastAsia="Calibri"/>
                <w:b/>
                <w:bCs/>
                <w:sz w:val="20"/>
                <w:szCs w:val="20"/>
              </w:rPr>
              <w:t>Unit of Measurement</w:t>
            </w:r>
          </w:p>
        </w:tc>
        <w:tc>
          <w:tcPr>
            <w:tcW w:w="1714" w:type="dxa"/>
            <w:shd w:val="clear" w:color="auto" w:fill="D9D9D9" w:themeFill="background1" w:themeFillShade="D9"/>
          </w:tcPr>
          <w:p w14:paraId="3D3054C7" w14:textId="2764D615" w:rsidR="00ED1956" w:rsidRPr="007D5069" w:rsidRDefault="00ED1956" w:rsidP="00ED1956">
            <w:pPr>
              <w:jc w:val="center"/>
              <w:rPr>
                <w:rFonts w:eastAsia="Calibri"/>
                <w:sz w:val="20"/>
                <w:szCs w:val="20"/>
              </w:rPr>
            </w:pPr>
            <w:r w:rsidRPr="007D5069">
              <w:rPr>
                <w:rFonts w:eastAsia="Calibri"/>
                <w:b/>
                <w:bCs/>
                <w:sz w:val="20"/>
                <w:szCs w:val="20"/>
              </w:rPr>
              <w:t>Baseline</w:t>
            </w:r>
          </w:p>
        </w:tc>
        <w:tc>
          <w:tcPr>
            <w:tcW w:w="1627" w:type="dxa"/>
            <w:shd w:val="clear" w:color="auto" w:fill="D9D9D9" w:themeFill="background1" w:themeFillShade="D9"/>
          </w:tcPr>
          <w:p w14:paraId="023126B2" w14:textId="068B637A" w:rsidR="00ED1956" w:rsidRPr="007D5069" w:rsidRDefault="00ED1956" w:rsidP="00ED1956">
            <w:pPr>
              <w:jc w:val="center"/>
              <w:rPr>
                <w:rFonts w:eastAsia="Calibri"/>
                <w:sz w:val="20"/>
                <w:szCs w:val="20"/>
              </w:rPr>
            </w:pPr>
            <w:r w:rsidRPr="007D5069">
              <w:rPr>
                <w:rFonts w:eastAsia="Calibri"/>
                <w:b/>
                <w:bCs/>
                <w:sz w:val="20"/>
                <w:szCs w:val="20"/>
              </w:rPr>
              <w:t>Benchmark</w:t>
            </w:r>
          </w:p>
        </w:tc>
        <w:tc>
          <w:tcPr>
            <w:tcW w:w="1354" w:type="dxa"/>
            <w:shd w:val="clear" w:color="auto" w:fill="D9D9D9" w:themeFill="background1" w:themeFillShade="D9"/>
          </w:tcPr>
          <w:p w14:paraId="32A62A52" w14:textId="2C73EE3A" w:rsidR="00ED1956" w:rsidRPr="007D5069" w:rsidRDefault="00ED1956" w:rsidP="00ED1956">
            <w:pPr>
              <w:jc w:val="center"/>
              <w:rPr>
                <w:rFonts w:eastAsia="Calibri"/>
                <w:sz w:val="20"/>
                <w:szCs w:val="20"/>
              </w:rPr>
            </w:pPr>
            <w:r w:rsidRPr="007D5069">
              <w:rPr>
                <w:rFonts w:eastAsia="Calibri"/>
                <w:b/>
                <w:bCs/>
                <w:sz w:val="20"/>
                <w:szCs w:val="20"/>
              </w:rPr>
              <w:t>Outcome</w:t>
            </w:r>
          </w:p>
        </w:tc>
        <w:tc>
          <w:tcPr>
            <w:tcW w:w="1440" w:type="dxa"/>
            <w:shd w:val="clear" w:color="auto" w:fill="D9D9D9" w:themeFill="background1" w:themeFillShade="D9"/>
          </w:tcPr>
          <w:p w14:paraId="2BB25359" w14:textId="7686F5AB" w:rsidR="00ED1956" w:rsidRPr="007D5069" w:rsidRDefault="00ED1956" w:rsidP="00ED1956">
            <w:pPr>
              <w:jc w:val="center"/>
              <w:rPr>
                <w:rFonts w:eastAsia="Calibri"/>
                <w:sz w:val="20"/>
                <w:szCs w:val="20"/>
              </w:rPr>
            </w:pPr>
            <w:r w:rsidRPr="007D5069">
              <w:rPr>
                <w:rFonts w:eastAsia="Calibri"/>
                <w:b/>
                <w:bCs/>
                <w:sz w:val="20"/>
                <w:szCs w:val="20"/>
              </w:rPr>
              <w:t>Benchmark Achieved?</w:t>
            </w:r>
          </w:p>
        </w:tc>
      </w:tr>
      <w:tr w:rsidR="00ED1956" w:rsidRPr="007D5069" w14:paraId="01EDA494" w14:textId="77777777" w:rsidTr="00EE4FEB">
        <w:trPr>
          <w:trHeight w:val="530"/>
        </w:trPr>
        <w:tc>
          <w:tcPr>
            <w:tcW w:w="3240" w:type="dxa"/>
            <w:shd w:val="clear" w:color="auto" w:fill="auto"/>
          </w:tcPr>
          <w:p w14:paraId="3A62C043" w14:textId="3FDB2391" w:rsidR="00ED1956" w:rsidRPr="007D5069" w:rsidRDefault="00ED1956" w:rsidP="00C26F36">
            <w:pPr>
              <w:rPr>
                <w:rFonts w:eastAsia="Calibri"/>
                <w:sz w:val="20"/>
                <w:szCs w:val="20"/>
              </w:rPr>
            </w:pPr>
            <w:r w:rsidRPr="007D5069">
              <w:rPr>
                <w:rFonts w:eastAsia="Calibri"/>
                <w:sz w:val="20"/>
                <w:szCs w:val="20"/>
              </w:rPr>
              <w:t>Number of households receiving services aimed to increase self-sufficiency</w:t>
            </w:r>
            <w:r w:rsidR="007C3D43">
              <w:rPr>
                <w:rFonts w:eastAsia="Calibri"/>
                <w:sz w:val="20"/>
                <w:szCs w:val="20"/>
              </w:rPr>
              <w:t xml:space="preserve"> (increase).</w:t>
            </w:r>
          </w:p>
        </w:tc>
        <w:tc>
          <w:tcPr>
            <w:tcW w:w="1714" w:type="dxa"/>
            <w:shd w:val="clear" w:color="auto" w:fill="auto"/>
          </w:tcPr>
          <w:p w14:paraId="79768AB3" w14:textId="5121DAAA" w:rsidR="00ED1956" w:rsidRPr="007D5069" w:rsidRDefault="00ED1956" w:rsidP="00D748F5">
            <w:pPr>
              <w:jc w:val="center"/>
              <w:rPr>
                <w:rFonts w:eastAsia="Calibri"/>
                <w:sz w:val="20"/>
                <w:szCs w:val="20"/>
              </w:rPr>
            </w:pPr>
            <w:r w:rsidRPr="007D5069">
              <w:rPr>
                <w:rFonts w:eastAsia="Calibri"/>
                <w:sz w:val="20"/>
                <w:szCs w:val="20"/>
              </w:rPr>
              <w:t>0</w:t>
            </w:r>
          </w:p>
        </w:tc>
        <w:tc>
          <w:tcPr>
            <w:tcW w:w="1627" w:type="dxa"/>
            <w:shd w:val="clear" w:color="auto" w:fill="auto"/>
          </w:tcPr>
          <w:p w14:paraId="53B3F65A" w14:textId="473BD568" w:rsidR="00ED1956" w:rsidRPr="007D5069" w:rsidRDefault="005B7B20" w:rsidP="00D748F5">
            <w:pPr>
              <w:jc w:val="center"/>
              <w:rPr>
                <w:rFonts w:eastAsia="Calibri"/>
                <w:sz w:val="20"/>
                <w:szCs w:val="20"/>
              </w:rPr>
            </w:pPr>
            <w:r>
              <w:rPr>
                <w:rFonts w:eastAsia="Calibri"/>
                <w:sz w:val="20"/>
                <w:szCs w:val="20"/>
              </w:rPr>
              <w:t>900</w:t>
            </w:r>
          </w:p>
        </w:tc>
        <w:tc>
          <w:tcPr>
            <w:tcW w:w="1354" w:type="dxa"/>
            <w:shd w:val="clear" w:color="auto" w:fill="auto"/>
          </w:tcPr>
          <w:p w14:paraId="39FEC851" w14:textId="77777777" w:rsidR="00ED1956" w:rsidRPr="007D5069" w:rsidRDefault="00ED1956" w:rsidP="00D748F5">
            <w:pPr>
              <w:jc w:val="center"/>
              <w:rPr>
                <w:rFonts w:eastAsia="Calibri"/>
                <w:sz w:val="20"/>
                <w:szCs w:val="20"/>
              </w:rPr>
            </w:pPr>
          </w:p>
        </w:tc>
        <w:tc>
          <w:tcPr>
            <w:tcW w:w="1440" w:type="dxa"/>
            <w:shd w:val="clear" w:color="auto" w:fill="auto"/>
          </w:tcPr>
          <w:p w14:paraId="7E579B4C" w14:textId="77777777" w:rsidR="00ED1956" w:rsidRPr="007D5069" w:rsidRDefault="00ED1956" w:rsidP="00D748F5">
            <w:pPr>
              <w:jc w:val="center"/>
              <w:rPr>
                <w:rFonts w:eastAsia="Calibri"/>
                <w:sz w:val="20"/>
                <w:szCs w:val="20"/>
              </w:rPr>
            </w:pPr>
          </w:p>
        </w:tc>
      </w:tr>
      <w:tr w:rsidR="003F3820" w:rsidRPr="007D5069" w14:paraId="55948D4F" w14:textId="77777777" w:rsidTr="00EE4FEB">
        <w:trPr>
          <w:trHeight w:hRule="exact" w:val="317"/>
        </w:trPr>
        <w:tc>
          <w:tcPr>
            <w:tcW w:w="1440" w:type="dxa"/>
            <w:gridSpan w:val="5"/>
            <w:shd w:val="clear" w:color="auto" w:fill="C6D9F1" w:themeFill="text2" w:themeFillTint="33"/>
          </w:tcPr>
          <w:p w14:paraId="0FE4BF88" w14:textId="77777777" w:rsidR="003F3820" w:rsidRPr="007D5069" w:rsidRDefault="003F3820" w:rsidP="003F3820">
            <w:pPr>
              <w:jc w:val="center"/>
              <w:rPr>
                <w:rFonts w:eastAsia="Calibri"/>
                <w:sz w:val="20"/>
                <w:szCs w:val="20"/>
              </w:rPr>
            </w:pPr>
            <w:r w:rsidRPr="007D5069">
              <w:rPr>
                <w:b/>
                <w:bCs/>
                <w:i/>
                <w:iCs/>
                <w:sz w:val="20"/>
                <w:szCs w:val="20"/>
              </w:rPr>
              <w:t>SS #6: Reducing Per Unit Subsidy Costs for Participating Households</w:t>
            </w:r>
          </w:p>
        </w:tc>
      </w:tr>
      <w:tr w:rsidR="003F3820" w:rsidRPr="007D5069" w14:paraId="0A53097F" w14:textId="77777777" w:rsidTr="00EE4FEB">
        <w:trPr>
          <w:trHeight w:hRule="exact" w:val="576"/>
        </w:trPr>
        <w:tc>
          <w:tcPr>
            <w:tcW w:w="3240" w:type="dxa"/>
            <w:shd w:val="clear" w:color="auto" w:fill="D9D9D9" w:themeFill="background1" w:themeFillShade="D9"/>
          </w:tcPr>
          <w:p w14:paraId="3EFE05C9" w14:textId="77777777" w:rsidR="003F3820" w:rsidRPr="007D5069" w:rsidRDefault="003F3820" w:rsidP="003F3820">
            <w:pPr>
              <w:jc w:val="center"/>
              <w:rPr>
                <w:rFonts w:eastAsia="Calibri"/>
                <w:b/>
                <w:bCs/>
                <w:sz w:val="20"/>
                <w:szCs w:val="20"/>
              </w:rPr>
            </w:pPr>
            <w:r w:rsidRPr="007D5069">
              <w:rPr>
                <w:rFonts w:eastAsia="Calibri"/>
                <w:b/>
                <w:bCs/>
                <w:sz w:val="20"/>
                <w:szCs w:val="20"/>
              </w:rPr>
              <w:t>Unit of Measurement</w:t>
            </w:r>
          </w:p>
        </w:tc>
        <w:tc>
          <w:tcPr>
            <w:tcW w:w="1714" w:type="dxa"/>
            <w:shd w:val="clear" w:color="auto" w:fill="D9D9D9" w:themeFill="background1" w:themeFillShade="D9"/>
          </w:tcPr>
          <w:p w14:paraId="3230D40D" w14:textId="77777777" w:rsidR="003F3820" w:rsidRPr="007D5069" w:rsidRDefault="003F3820" w:rsidP="003F3820">
            <w:pPr>
              <w:jc w:val="center"/>
              <w:rPr>
                <w:rFonts w:eastAsia="Calibri"/>
                <w:b/>
                <w:bCs/>
                <w:sz w:val="20"/>
                <w:szCs w:val="20"/>
              </w:rPr>
            </w:pPr>
            <w:r w:rsidRPr="007D5069">
              <w:rPr>
                <w:rFonts w:eastAsia="Calibri"/>
                <w:b/>
                <w:bCs/>
                <w:sz w:val="20"/>
                <w:szCs w:val="20"/>
              </w:rPr>
              <w:t>Baseline</w:t>
            </w:r>
          </w:p>
        </w:tc>
        <w:tc>
          <w:tcPr>
            <w:tcW w:w="1627" w:type="dxa"/>
            <w:shd w:val="clear" w:color="auto" w:fill="D9D9D9" w:themeFill="background1" w:themeFillShade="D9"/>
          </w:tcPr>
          <w:p w14:paraId="1643BD02" w14:textId="77777777" w:rsidR="003F3820" w:rsidRPr="007D5069" w:rsidRDefault="003F3820" w:rsidP="003F3820">
            <w:pPr>
              <w:jc w:val="center"/>
              <w:rPr>
                <w:rFonts w:eastAsia="Calibri"/>
                <w:b/>
                <w:bCs/>
                <w:sz w:val="20"/>
                <w:szCs w:val="20"/>
              </w:rPr>
            </w:pPr>
            <w:r w:rsidRPr="007D5069">
              <w:rPr>
                <w:rFonts w:eastAsia="Calibri"/>
                <w:b/>
                <w:bCs/>
                <w:sz w:val="20"/>
                <w:szCs w:val="20"/>
              </w:rPr>
              <w:t>Benchmark</w:t>
            </w:r>
          </w:p>
        </w:tc>
        <w:tc>
          <w:tcPr>
            <w:tcW w:w="1354" w:type="dxa"/>
            <w:shd w:val="clear" w:color="auto" w:fill="D9D9D9" w:themeFill="background1" w:themeFillShade="D9"/>
          </w:tcPr>
          <w:p w14:paraId="3FB6B7BD" w14:textId="77777777" w:rsidR="003F3820" w:rsidRPr="007D5069" w:rsidRDefault="003F3820" w:rsidP="003F3820">
            <w:pPr>
              <w:jc w:val="center"/>
              <w:rPr>
                <w:rFonts w:eastAsia="Calibri"/>
                <w:b/>
                <w:bCs/>
                <w:sz w:val="20"/>
                <w:szCs w:val="20"/>
              </w:rPr>
            </w:pPr>
            <w:r w:rsidRPr="007D5069">
              <w:rPr>
                <w:rFonts w:eastAsia="Calibri"/>
                <w:b/>
                <w:bCs/>
                <w:sz w:val="20"/>
                <w:szCs w:val="20"/>
              </w:rPr>
              <w:t>Outcome</w:t>
            </w:r>
          </w:p>
        </w:tc>
        <w:tc>
          <w:tcPr>
            <w:tcW w:w="1440" w:type="dxa"/>
            <w:shd w:val="clear" w:color="auto" w:fill="D9D9D9" w:themeFill="background1" w:themeFillShade="D9"/>
          </w:tcPr>
          <w:p w14:paraId="5FB3A879" w14:textId="77777777" w:rsidR="003F3820" w:rsidRPr="007D5069" w:rsidRDefault="003F3820" w:rsidP="003F3820">
            <w:pPr>
              <w:jc w:val="center"/>
              <w:rPr>
                <w:rFonts w:eastAsia="Calibri"/>
                <w:b/>
                <w:bCs/>
                <w:sz w:val="20"/>
                <w:szCs w:val="20"/>
              </w:rPr>
            </w:pPr>
            <w:r w:rsidRPr="007D5069">
              <w:rPr>
                <w:rFonts w:eastAsia="Calibri"/>
                <w:b/>
                <w:bCs/>
                <w:sz w:val="20"/>
                <w:szCs w:val="20"/>
              </w:rPr>
              <w:t>Benchmark Achieved?</w:t>
            </w:r>
          </w:p>
        </w:tc>
      </w:tr>
      <w:tr w:rsidR="00C26F36" w:rsidRPr="007D5069" w14:paraId="3429330F" w14:textId="77777777" w:rsidTr="00EE4FEB">
        <w:trPr>
          <w:trHeight w:val="737"/>
        </w:trPr>
        <w:tc>
          <w:tcPr>
            <w:tcW w:w="3240" w:type="dxa"/>
            <w:shd w:val="clear" w:color="auto" w:fill="auto"/>
          </w:tcPr>
          <w:p w14:paraId="2E9FF0F4" w14:textId="77777777" w:rsidR="00C26F36" w:rsidRPr="007D5069" w:rsidRDefault="00C26F36" w:rsidP="00C26F36">
            <w:pPr>
              <w:rPr>
                <w:rFonts w:eastAsia="Calibri"/>
                <w:sz w:val="20"/>
                <w:szCs w:val="20"/>
              </w:rPr>
            </w:pPr>
            <w:r w:rsidRPr="007D5069">
              <w:rPr>
                <w:sz w:val="20"/>
                <w:szCs w:val="20"/>
              </w:rPr>
              <w:t>Average amount of Section 8 subsidy per household affected by this policy in dollars (decrease).</w:t>
            </w:r>
          </w:p>
        </w:tc>
        <w:tc>
          <w:tcPr>
            <w:tcW w:w="1714" w:type="dxa"/>
            <w:shd w:val="clear" w:color="auto" w:fill="auto"/>
          </w:tcPr>
          <w:p w14:paraId="48EB93BC" w14:textId="77777777" w:rsidR="00C26F36" w:rsidRPr="007D5069" w:rsidRDefault="00C26F36" w:rsidP="00D748F5">
            <w:pPr>
              <w:jc w:val="center"/>
              <w:rPr>
                <w:rFonts w:eastAsia="Calibri"/>
                <w:sz w:val="20"/>
                <w:szCs w:val="20"/>
              </w:rPr>
            </w:pPr>
            <w:r w:rsidRPr="007D5069">
              <w:rPr>
                <w:rFonts w:eastAsia="Calibri"/>
                <w:bCs/>
                <w:iCs/>
                <w:sz w:val="20"/>
                <w:szCs w:val="20"/>
              </w:rPr>
              <w:t>$931 in FY 2014</w:t>
            </w:r>
          </w:p>
        </w:tc>
        <w:tc>
          <w:tcPr>
            <w:tcW w:w="1627" w:type="dxa"/>
            <w:shd w:val="clear" w:color="auto" w:fill="auto"/>
          </w:tcPr>
          <w:p w14:paraId="108F7DFF" w14:textId="1D45813B" w:rsidR="00C26F36" w:rsidRPr="007D5069" w:rsidRDefault="00C26F36" w:rsidP="00D748F5">
            <w:pPr>
              <w:jc w:val="center"/>
              <w:rPr>
                <w:rFonts w:eastAsia="Calibri"/>
                <w:sz w:val="20"/>
                <w:szCs w:val="20"/>
              </w:rPr>
            </w:pPr>
            <w:r w:rsidRPr="007D5069">
              <w:rPr>
                <w:rFonts w:eastAsia="Calibri"/>
                <w:bCs/>
                <w:iCs/>
                <w:sz w:val="20"/>
                <w:szCs w:val="20"/>
              </w:rPr>
              <w:t>$</w:t>
            </w:r>
            <w:r w:rsidR="005B7B20">
              <w:rPr>
                <w:rFonts w:eastAsia="Calibri"/>
                <w:bCs/>
                <w:iCs/>
                <w:sz w:val="20"/>
                <w:szCs w:val="20"/>
              </w:rPr>
              <w:t>1,000</w:t>
            </w:r>
          </w:p>
        </w:tc>
        <w:tc>
          <w:tcPr>
            <w:tcW w:w="1354" w:type="dxa"/>
            <w:shd w:val="clear" w:color="auto" w:fill="auto"/>
          </w:tcPr>
          <w:p w14:paraId="6BE16C49" w14:textId="3FA7061F" w:rsidR="00C26F36" w:rsidRPr="007D5069" w:rsidRDefault="00C26F36" w:rsidP="00D748F5">
            <w:pPr>
              <w:jc w:val="center"/>
              <w:rPr>
                <w:rFonts w:eastAsia="Calibri"/>
                <w:sz w:val="20"/>
                <w:szCs w:val="20"/>
              </w:rPr>
            </w:pPr>
          </w:p>
        </w:tc>
        <w:tc>
          <w:tcPr>
            <w:tcW w:w="1440" w:type="dxa"/>
            <w:shd w:val="clear" w:color="auto" w:fill="auto"/>
          </w:tcPr>
          <w:p w14:paraId="420425C1" w14:textId="0FD6D84A" w:rsidR="00C26F36" w:rsidRPr="007D5069" w:rsidRDefault="00C26F36" w:rsidP="00D748F5">
            <w:pPr>
              <w:jc w:val="center"/>
              <w:rPr>
                <w:rFonts w:eastAsia="Calibri"/>
                <w:sz w:val="20"/>
                <w:szCs w:val="20"/>
              </w:rPr>
            </w:pPr>
          </w:p>
        </w:tc>
      </w:tr>
      <w:tr w:rsidR="003F3820" w:rsidRPr="007D5069" w14:paraId="15815424" w14:textId="77777777" w:rsidTr="00EE4FEB">
        <w:trPr>
          <w:trHeight w:hRule="exact" w:val="317"/>
        </w:trPr>
        <w:tc>
          <w:tcPr>
            <w:tcW w:w="1440" w:type="dxa"/>
            <w:gridSpan w:val="5"/>
            <w:shd w:val="clear" w:color="auto" w:fill="C6D9F1" w:themeFill="text2" w:themeFillTint="33"/>
          </w:tcPr>
          <w:p w14:paraId="2B98870A" w14:textId="1CF5697D" w:rsidR="003F3820" w:rsidRPr="007D5069" w:rsidRDefault="003F3820" w:rsidP="003F3820">
            <w:pPr>
              <w:jc w:val="center"/>
              <w:rPr>
                <w:rFonts w:eastAsia="Calibri"/>
                <w:sz w:val="20"/>
                <w:szCs w:val="20"/>
              </w:rPr>
            </w:pPr>
            <w:r w:rsidRPr="007D5069">
              <w:rPr>
                <w:b/>
                <w:bCs/>
                <w:i/>
                <w:iCs/>
                <w:sz w:val="20"/>
                <w:szCs w:val="20"/>
              </w:rPr>
              <w:t>SS #7: Increase in Agency Rental Revenue</w:t>
            </w:r>
            <w:r w:rsidR="00256314">
              <w:rPr>
                <w:b/>
                <w:bCs/>
                <w:i/>
                <w:iCs/>
                <w:sz w:val="20"/>
                <w:szCs w:val="20"/>
              </w:rPr>
              <w:t>*</w:t>
            </w:r>
          </w:p>
        </w:tc>
      </w:tr>
      <w:tr w:rsidR="003F3820" w:rsidRPr="007D5069" w14:paraId="36498664" w14:textId="77777777" w:rsidTr="00EE4FEB">
        <w:trPr>
          <w:trHeight w:hRule="exact" w:val="576"/>
        </w:trPr>
        <w:tc>
          <w:tcPr>
            <w:tcW w:w="3240" w:type="dxa"/>
            <w:shd w:val="clear" w:color="auto" w:fill="D9D9D9" w:themeFill="background1" w:themeFillShade="D9"/>
          </w:tcPr>
          <w:p w14:paraId="1D85A3D3" w14:textId="77777777" w:rsidR="003F3820" w:rsidRPr="007D5069" w:rsidRDefault="003F3820" w:rsidP="003F3820">
            <w:pPr>
              <w:jc w:val="center"/>
              <w:rPr>
                <w:rFonts w:eastAsia="Calibri"/>
                <w:b/>
                <w:bCs/>
                <w:sz w:val="20"/>
                <w:szCs w:val="20"/>
              </w:rPr>
            </w:pPr>
            <w:r w:rsidRPr="007D5069">
              <w:rPr>
                <w:rFonts w:eastAsia="Calibri"/>
                <w:b/>
                <w:bCs/>
                <w:sz w:val="20"/>
                <w:szCs w:val="20"/>
              </w:rPr>
              <w:t>Unit of Measurement</w:t>
            </w:r>
          </w:p>
        </w:tc>
        <w:tc>
          <w:tcPr>
            <w:tcW w:w="1714" w:type="dxa"/>
            <w:shd w:val="clear" w:color="auto" w:fill="D9D9D9" w:themeFill="background1" w:themeFillShade="D9"/>
          </w:tcPr>
          <w:p w14:paraId="2AEA98B7" w14:textId="77777777" w:rsidR="003F3820" w:rsidRPr="007D5069" w:rsidRDefault="003F3820" w:rsidP="003F3820">
            <w:pPr>
              <w:jc w:val="center"/>
              <w:rPr>
                <w:rFonts w:eastAsia="Calibri"/>
                <w:b/>
                <w:bCs/>
                <w:sz w:val="20"/>
                <w:szCs w:val="20"/>
              </w:rPr>
            </w:pPr>
            <w:r w:rsidRPr="007D5069">
              <w:rPr>
                <w:rFonts w:eastAsia="Calibri"/>
                <w:b/>
                <w:bCs/>
                <w:sz w:val="20"/>
                <w:szCs w:val="20"/>
              </w:rPr>
              <w:t>Baseline</w:t>
            </w:r>
          </w:p>
        </w:tc>
        <w:tc>
          <w:tcPr>
            <w:tcW w:w="1627" w:type="dxa"/>
            <w:shd w:val="clear" w:color="auto" w:fill="D9D9D9" w:themeFill="background1" w:themeFillShade="D9"/>
          </w:tcPr>
          <w:p w14:paraId="04F16DC4" w14:textId="77777777" w:rsidR="003F3820" w:rsidRPr="007D5069" w:rsidRDefault="003F3820" w:rsidP="003F3820">
            <w:pPr>
              <w:jc w:val="center"/>
              <w:rPr>
                <w:rFonts w:eastAsia="Calibri"/>
                <w:b/>
                <w:bCs/>
                <w:sz w:val="20"/>
                <w:szCs w:val="20"/>
              </w:rPr>
            </w:pPr>
            <w:r w:rsidRPr="007D5069">
              <w:rPr>
                <w:rFonts w:eastAsia="Calibri"/>
                <w:b/>
                <w:bCs/>
                <w:sz w:val="20"/>
                <w:szCs w:val="20"/>
              </w:rPr>
              <w:t>Benchmark</w:t>
            </w:r>
          </w:p>
        </w:tc>
        <w:tc>
          <w:tcPr>
            <w:tcW w:w="1354" w:type="dxa"/>
            <w:shd w:val="clear" w:color="auto" w:fill="D9D9D9" w:themeFill="background1" w:themeFillShade="D9"/>
          </w:tcPr>
          <w:p w14:paraId="3D0C9E0B" w14:textId="77777777" w:rsidR="003F3820" w:rsidRPr="007D5069" w:rsidRDefault="003F3820" w:rsidP="003F3820">
            <w:pPr>
              <w:jc w:val="center"/>
              <w:rPr>
                <w:rFonts w:eastAsia="Calibri"/>
                <w:b/>
                <w:bCs/>
                <w:sz w:val="20"/>
                <w:szCs w:val="20"/>
              </w:rPr>
            </w:pPr>
            <w:r w:rsidRPr="007D5069">
              <w:rPr>
                <w:rFonts w:eastAsia="Calibri"/>
                <w:b/>
                <w:bCs/>
                <w:sz w:val="20"/>
                <w:szCs w:val="20"/>
              </w:rPr>
              <w:t>Outcome</w:t>
            </w:r>
          </w:p>
        </w:tc>
        <w:tc>
          <w:tcPr>
            <w:tcW w:w="1440" w:type="dxa"/>
            <w:shd w:val="clear" w:color="auto" w:fill="D9D9D9" w:themeFill="background1" w:themeFillShade="D9"/>
          </w:tcPr>
          <w:p w14:paraId="2817DB6C" w14:textId="77777777" w:rsidR="003F3820" w:rsidRPr="007D5069" w:rsidRDefault="003F3820" w:rsidP="003F3820">
            <w:pPr>
              <w:jc w:val="center"/>
              <w:rPr>
                <w:rFonts w:eastAsia="Calibri"/>
                <w:b/>
                <w:bCs/>
                <w:sz w:val="20"/>
                <w:szCs w:val="20"/>
              </w:rPr>
            </w:pPr>
            <w:r w:rsidRPr="007D5069">
              <w:rPr>
                <w:rFonts w:eastAsia="Calibri"/>
                <w:b/>
                <w:bCs/>
                <w:sz w:val="20"/>
                <w:szCs w:val="20"/>
              </w:rPr>
              <w:t>Benchmark Achieved?</w:t>
            </w:r>
          </w:p>
        </w:tc>
      </w:tr>
      <w:tr w:rsidR="00C26F36" w:rsidRPr="007D5069" w14:paraId="65F41A1C" w14:textId="77777777" w:rsidTr="00EE4FEB">
        <w:trPr>
          <w:trHeight w:val="611"/>
        </w:trPr>
        <w:tc>
          <w:tcPr>
            <w:tcW w:w="3240" w:type="dxa"/>
            <w:shd w:val="clear" w:color="auto" w:fill="auto"/>
          </w:tcPr>
          <w:p w14:paraId="3DB58118" w14:textId="7CC6453D" w:rsidR="00C26F36" w:rsidRPr="007D5069" w:rsidRDefault="00256314" w:rsidP="00C26F36">
            <w:pPr>
              <w:rPr>
                <w:sz w:val="20"/>
                <w:szCs w:val="20"/>
              </w:rPr>
            </w:pPr>
            <w:r>
              <w:rPr>
                <w:sz w:val="20"/>
                <w:szCs w:val="20"/>
              </w:rPr>
              <w:t>Total Household contributions towards housing assistance (increase).</w:t>
            </w:r>
          </w:p>
        </w:tc>
        <w:tc>
          <w:tcPr>
            <w:tcW w:w="1714" w:type="dxa"/>
            <w:shd w:val="clear" w:color="auto" w:fill="auto"/>
          </w:tcPr>
          <w:p w14:paraId="77265C98" w14:textId="77777777" w:rsidR="00C26F36" w:rsidRPr="007D5069" w:rsidRDefault="00C26F36" w:rsidP="00D748F5">
            <w:pPr>
              <w:jc w:val="center"/>
              <w:rPr>
                <w:rFonts w:eastAsia="Calibri"/>
                <w:sz w:val="20"/>
                <w:szCs w:val="20"/>
              </w:rPr>
            </w:pPr>
            <w:r w:rsidRPr="007D5069">
              <w:rPr>
                <w:rFonts w:eastAsia="Calibri"/>
                <w:sz w:val="20"/>
                <w:szCs w:val="20"/>
              </w:rPr>
              <w:t>$388</w:t>
            </w:r>
          </w:p>
          <w:p w14:paraId="15BB1C1F" w14:textId="77777777" w:rsidR="00C26F36" w:rsidRPr="007D5069" w:rsidRDefault="00C26F36" w:rsidP="00D748F5">
            <w:pPr>
              <w:jc w:val="center"/>
              <w:rPr>
                <w:rFonts w:eastAsia="Calibri"/>
                <w:sz w:val="20"/>
                <w:szCs w:val="20"/>
              </w:rPr>
            </w:pPr>
            <w:r w:rsidRPr="007D5069">
              <w:rPr>
                <w:rFonts w:eastAsia="Calibri"/>
                <w:sz w:val="20"/>
                <w:szCs w:val="20"/>
              </w:rPr>
              <w:t>FY 2014</w:t>
            </w:r>
          </w:p>
        </w:tc>
        <w:tc>
          <w:tcPr>
            <w:tcW w:w="1627" w:type="dxa"/>
            <w:shd w:val="clear" w:color="auto" w:fill="auto"/>
          </w:tcPr>
          <w:p w14:paraId="46329020" w14:textId="670045F2" w:rsidR="00C26F36" w:rsidRPr="007D5069" w:rsidRDefault="00C26F36" w:rsidP="00D748F5">
            <w:pPr>
              <w:jc w:val="center"/>
              <w:rPr>
                <w:rFonts w:eastAsia="Calibri"/>
                <w:sz w:val="20"/>
                <w:szCs w:val="20"/>
              </w:rPr>
            </w:pPr>
            <w:r w:rsidRPr="007D5069">
              <w:rPr>
                <w:rFonts w:eastAsia="Calibri"/>
                <w:bCs/>
                <w:iCs/>
                <w:sz w:val="20"/>
                <w:szCs w:val="20"/>
              </w:rPr>
              <w:t>$5</w:t>
            </w:r>
            <w:r w:rsidR="005B7B20">
              <w:rPr>
                <w:rFonts w:eastAsia="Calibri"/>
                <w:bCs/>
                <w:iCs/>
                <w:sz w:val="20"/>
                <w:szCs w:val="20"/>
              </w:rPr>
              <w:t>10</w:t>
            </w:r>
          </w:p>
        </w:tc>
        <w:tc>
          <w:tcPr>
            <w:tcW w:w="1354" w:type="dxa"/>
            <w:shd w:val="clear" w:color="auto" w:fill="auto"/>
          </w:tcPr>
          <w:p w14:paraId="1CD004AD" w14:textId="337C063D" w:rsidR="00C26F36" w:rsidRPr="007D5069" w:rsidRDefault="00C26F36" w:rsidP="00D748F5">
            <w:pPr>
              <w:jc w:val="center"/>
              <w:rPr>
                <w:rFonts w:eastAsia="Calibri"/>
                <w:sz w:val="20"/>
                <w:szCs w:val="20"/>
              </w:rPr>
            </w:pPr>
          </w:p>
        </w:tc>
        <w:tc>
          <w:tcPr>
            <w:tcW w:w="1440" w:type="dxa"/>
            <w:shd w:val="clear" w:color="auto" w:fill="auto"/>
          </w:tcPr>
          <w:p w14:paraId="73502DA5" w14:textId="52BA7F8B" w:rsidR="00C26F36" w:rsidRPr="007D5069" w:rsidRDefault="00C26F36" w:rsidP="00D748F5">
            <w:pPr>
              <w:jc w:val="center"/>
              <w:rPr>
                <w:rFonts w:eastAsia="Calibri"/>
                <w:sz w:val="20"/>
                <w:szCs w:val="20"/>
              </w:rPr>
            </w:pPr>
          </w:p>
        </w:tc>
      </w:tr>
      <w:tr w:rsidR="007C3D43" w:rsidRPr="007D5069" w14:paraId="1250B73D" w14:textId="77777777" w:rsidTr="00256314">
        <w:trPr>
          <w:trHeight w:val="260"/>
        </w:trPr>
        <w:tc>
          <w:tcPr>
            <w:tcW w:w="1440" w:type="dxa"/>
            <w:gridSpan w:val="5"/>
            <w:shd w:val="clear" w:color="auto" w:fill="auto"/>
          </w:tcPr>
          <w:p w14:paraId="0D084BCD" w14:textId="05722F0F" w:rsidR="007C3D43" w:rsidRPr="007D5069" w:rsidRDefault="007C3D43" w:rsidP="00256314">
            <w:pPr>
              <w:rPr>
                <w:rFonts w:eastAsia="Calibri"/>
                <w:sz w:val="20"/>
                <w:szCs w:val="20"/>
              </w:rPr>
            </w:pPr>
            <w:r w:rsidRPr="00407D25">
              <w:rPr>
                <w:rFonts w:eastAsia="Calibri"/>
                <w:bCs/>
                <w:i/>
                <w:iCs/>
                <w:sz w:val="20"/>
                <w:szCs w:val="20"/>
              </w:rPr>
              <w:t>*</w:t>
            </w:r>
            <w:r w:rsidR="00256314">
              <w:rPr>
                <w:rFonts w:eastAsia="Calibri"/>
                <w:bCs/>
                <w:i/>
                <w:iCs/>
                <w:sz w:val="20"/>
                <w:szCs w:val="20"/>
              </w:rPr>
              <w:t>Represents Average Tenant Rent to Owner.</w:t>
            </w:r>
          </w:p>
        </w:tc>
      </w:tr>
      <w:tr w:rsidR="003F3820" w:rsidRPr="007D5069" w14:paraId="25C95DC2" w14:textId="77777777" w:rsidTr="00EE4FEB">
        <w:trPr>
          <w:trHeight w:hRule="exact" w:val="317"/>
        </w:trPr>
        <w:tc>
          <w:tcPr>
            <w:tcW w:w="1440" w:type="dxa"/>
            <w:gridSpan w:val="5"/>
            <w:shd w:val="clear" w:color="auto" w:fill="C6D9F1" w:themeFill="text2" w:themeFillTint="33"/>
          </w:tcPr>
          <w:p w14:paraId="609A9816" w14:textId="77777777" w:rsidR="003F3820" w:rsidRPr="007D5069" w:rsidRDefault="003F3820" w:rsidP="003F3820">
            <w:pPr>
              <w:jc w:val="center"/>
              <w:rPr>
                <w:rFonts w:eastAsia="Calibri"/>
                <w:sz w:val="20"/>
                <w:szCs w:val="20"/>
              </w:rPr>
            </w:pPr>
            <w:r w:rsidRPr="007D5069">
              <w:rPr>
                <w:rFonts w:eastAsia="Calibri"/>
                <w:b/>
                <w:bCs/>
                <w:i/>
                <w:iCs/>
                <w:sz w:val="20"/>
                <w:szCs w:val="20"/>
              </w:rPr>
              <w:t>SS #8: Households Transitioned to Self Sufficiency</w:t>
            </w:r>
            <w:r w:rsidR="00D369F0" w:rsidRPr="007D5069">
              <w:rPr>
                <w:rFonts w:eastAsia="Calibri"/>
                <w:b/>
                <w:bCs/>
                <w:i/>
                <w:iCs/>
                <w:sz w:val="20"/>
                <w:szCs w:val="20"/>
              </w:rPr>
              <w:t>*</w:t>
            </w:r>
          </w:p>
        </w:tc>
      </w:tr>
      <w:tr w:rsidR="003F3820" w:rsidRPr="007D5069" w14:paraId="794E81E4" w14:textId="77777777" w:rsidTr="00EE4FEB">
        <w:trPr>
          <w:trHeight w:hRule="exact" w:val="576"/>
        </w:trPr>
        <w:tc>
          <w:tcPr>
            <w:tcW w:w="3240" w:type="dxa"/>
            <w:shd w:val="clear" w:color="auto" w:fill="D9D9D9" w:themeFill="background1" w:themeFillShade="D9"/>
          </w:tcPr>
          <w:p w14:paraId="391EA62E" w14:textId="77777777" w:rsidR="003F3820" w:rsidRPr="007D5069" w:rsidRDefault="003F3820" w:rsidP="003F3820">
            <w:pPr>
              <w:jc w:val="center"/>
              <w:rPr>
                <w:rFonts w:eastAsia="Calibri"/>
                <w:b/>
                <w:bCs/>
                <w:sz w:val="20"/>
                <w:szCs w:val="20"/>
              </w:rPr>
            </w:pPr>
            <w:r w:rsidRPr="007D5069">
              <w:rPr>
                <w:rFonts w:eastAsia="Calibri"/>
                <w:b/>
                <w:bCs/>
                <w:sz w:val="20"/>
                <w:szCs w:val="20"/>
              </w:rPr>
              <w:t>Unit of Measurement</w:t>
            </w:r>
          </w:p>
        </w:tc>
        <w:tc>
          <w:tcPr>
            <w:tcW w:w="1714" w:type="dxa"/>
            <w:shd w:val="clear" w:color="auto" w:fill="D9D9D9" w:themeFill="background1" w:themeFillShade="D9"/>
          </w:tcPr>
          <w:p w14:paraId="67DA1038" w14:textId="77777777" w:rsidR="003F3820" w:rsidRPr="007D5069" w:rsidRDefault="003F3820" w:rsidP="003F3820">
            <w:pPr>
              <w:jc w:val="center"/>
              <w:rPr>
                <w:rFonts w:eastAsia="Calibri"/>
                <w:b/>
                <w:bCs/>
                <w:sz w:val="20"/>
                <w:szCs w:val="20"/>
              </w:rPr>
            </w:pPr>
            <w:r w:rsidRPr="007D5069">
              <w:rPr>
                <w:rFonts w:eastAsia="Calibri"/>
                <w:b/>
                <w:bCs/>
                <w:sz w:val="20"/>
                <w:szCs w:val="20"/>
              </w:rPr>
              <w:t>Baseline</w:t>
            </w:r>
          </w:p>
        </w:tc>
        <w:tc>
          <w:tcPr>
            <w:tcW w:w="1627" w:type="dxa"/>
            <w:shd w:val="clear" w:color="auto" w:fill="D9D9D9" w:themeFill="background1" w:themeFillShade="D9"/>
          </w:tcPr>
          <w:p w14:paraId="33AD288F" w14:textId="77777777" w:rsidR="003F3820" w:rsidRPr="007D5069" w:rsidRDefault="003F3820" w:rsidP="003F3820">
            <w:pPr>
              <w:jc w:val="center"/>
              <w:rPr>
                <w:rFonts w:eastAsia="Calibri"/>
                <w:b/>
                <w:bCs/>
                <w:sz w:val="20"/>
                <w:szCs w:val="20"/>
              </w:rPr>
            </w:pPr>
            <w:r w:rsidRPr="007D5069">
              <w:rPr>
                <w:rFonts w:eastAsia="Calibri"/>
                <w:b/>
                <w:bCs/>
                <w:sz w:val="20"/>
                <w:szCs w:val="20"/>
              </w:rPr>
              <w:t>Benchmark</w:t>
            </w:r>
          </w:p>
        </w:tc>
        <w:tc>
          <w:tcPr>
            <w:tcW w:w="1354" w:type="dxa"/>
            <w:shd w:val="clear" w:color="auto" w:fill="D9D9D9" w:themeFill="background1" w:themeFillShade="D9"/>
          </w:tcPr>
          <w:p w14:paraId="14F9C53A" w14:textId="77777777" w:rsidR="003F3820" w:rsidRPr="007D5069" w:rsidRDefault="003F3820" w:rsidP="003F3820">
            <w:pPr>
              <w:jc w:val="center"/>
              <w:rPr>
                <w:rFonts w:eastAsia="Calibri"/>
                <w:b/>
                <w:bCs/>
                <w:sz w:val="20"/>
                <w:szCs w:val="20"/>
              </w:rPr>
            </w:pPr>
            <w:r w:rsidRPr="007D5069">
              <w:rPr>
                <w:rFonts w:eastAsia="Calibri"/>
                <w:b/>
                <w:bCs/>
                <w:sz w:val="20"/>
                <w:szCs w:val="20"/>
              </w:rPr>
              <w:t>Outcome</w:t>
            </w:r>
          </w:p>
        </w:tc>
        <w:tc>
          <w:tcPr>
            <w:tcW w:w="1440" w:type="dxa"/>
            <w:shd w:val="clear" w:color="auto" w:fill="D9D9D9" w:themeFill="background1" w:themeFillShade="D9"/>
          </w:tcPr>
          <w:p w14:paraId="4D0FFC4A" w14:textId="77777777" w:rsidR="003F3820" w:rsidRPr="007D5069" w:rsidRDefault="003F3820" w:rsidP="003F3820">
            <w:pPr>
              <w:jc w:val="center"/>
              <w:rPr>
                <w:rFonts w:eastAsia="Calibri"/>
                <w:b/>
                <w:bCs/>
                <w:sz w:val="20"/>
                <w:szCs w:val="20"/>
              </w:rPr>
            </w:pPr>
            <w:r w:rsidRPr="007D5069">
              <w:rPr>
                <w:rFonts w:eastAsia="Calibri"/>
                <w:b/>
                <w:bCs/>
                <w:sz w:val="20"/>
                <w:szCs w:val="20"/>
              </w:rPr>
              <w:t>Benchmark Achieved?</w:t>
            </w:r>
          </w:p>
        </w:tc>
      </w:tr>
      <w:tr w:rsidR="00C26F36" w:rsidRPr="007D5069" w14:paraId="35292857" w14:textId="77777777" w:rsidTr="00EE4FEB">
        <w:trPr>
          <w:trHeight w:val="530"/>
        </w:trPr>
        <w:tc>
          <w:tcPr>
            <w:tcW w:w="3240" w:type="dxa"/>
            <w:shd w:val="clear" w:color="auto" w:fill="auto"/>
          </w:tcPr>
          <w:p w14:paraId="53D9EDF4" w14:textId="77777777" w:rsidR="00C26F36" w:rsidRPr="007D5069" w:rsidRDefault="00C26F36" w:rsidP="00C26F36">
            <w:pPr>
              <w:rPr>
                <w:rFonts w:eastAsia="Calibri"/>
                <w:sz w:val="20"/>
                <w:szCs w:val="20"/>
              </w:rPr>
            </w:pPr>
            <w:r w:rsidRPr="007D5069">
              <w:rPr>
                <w:rFonts w:eastAsia="Calibri"/>
                <w:sz w:val="20"/>
                <w:szCs w:val="20"/>
              </w:rPr>
              <w:t>Number of households transitioned to self-sufficiency (increase).</w:t>
            </w:r>
          </w:p>
        </w:tc>
        <w:tc>
          <w:tcPr>
            <w:tcW w:w="1714" w:type="dxa"/>
            <w:shd w:val="clear" w:color="auto" w:fill="auto"/>
          </w:tcPr>
          <w:p w14:paraId="6A8A99A8" w14:textId="77777777" w:rsidR="00C26F36" w:rsidRPr="007D5069" w:rsidRDefault="00C26F36" w:rsidP="00D748F5">
            <w:pPr>
              <w:jc w:val="center"/>
              <w:rPr>
                <w:rFonts w:eastAsia="Calibri"/>
                <w:sz w:val="20"/>
                <w:szCs w:val="20"/>
              </w:rPr>
            </w:pPr>
            <w:r w:rsidRPr="007D5069">
              <w:rPr>
                <w:rFonts w:eastAsia="Calibri"/>
                <w:sz w:val="20"/>
                <w:szCs w:val="20"/>
              </w:rPr>
              <w:t>0 households</w:t>
            </w:r>
          </w:p>
        </w:tc>
        <w:tc>
          <w:tcPr>
            <w:tcW w:w="1627" w:type="dxa"/>
            <w:shd w:val="clear" w:color="auto" w:fill="auto"/>
          </w:tcPr>
          <w:p w14:paraId="6235B113" w14:textId="6836CFEA" w:rsidR="00C26F36" w:rsidRPr="007D5069" w:rsidRDefault="005B7B20" w:rsidP="00D748F5">
            <w:pPr>
              <w:jc w:val="center"/>
              <w:rPr>
                <w:rFonts w:eastAsia="Calibri"/>
                <w:sz w:val="20"/>
                <w:szCs w:val="20"/>
              </w:rPr>
            </w:pPr>
            <w:r>
              <w:rPr>
                <w:rFonts w:eastAsia="Calibri"/>
                <w:sz w:val="20"/>
                <w:szCs w:val="20"/>
              </w:rPr>
              <w:t>60</w:t>
            </w:r>
            <w:r w:rsidR="00C26F36" w:rsidRPr="007D5069">
              <w:rPr>
                <w:rFonts w:eastAsia="Calibri"/>
                <w:sz w:val="20"/>
                <w:szCs w:val="20"/>
              </w:rPr>
              <w:t xml:space="preserve"> households</w:t>
            </w:r>
          </w:p>
        </w:tc>
        <w:tc>
          <w:tcPr>
            <w:tcW w:w="1354" w:type="dxa"/>
            <w:shd w:val="clear" w:color="auto" w:fill="auto"/>
          </w:tcPr>
          <w:p w14:paraId="40D70716" w14:textId="0200A728" w:rsidR="00C26F36" w:rsidRPr="007D5069" w:rsidRDefault="00C26F36" w:rsidP="00D748F5">
            <w:pPr>
              <w:jc w:val="center"/>
              <w:rPr>
                <w:rFonts w:eastAsia="Calibri"/>
                <w:sz w:val="20"/>
                <w:szCs w:val="20"/>
              </w:rPr>
            </w:pPr>
          </w:p>
        </w:tc>
        <w:tc>
          <w:tcPr>
            <w:tcW w:w="1440" w:type="dxa"/>
            <w:shd w:val="clear" w:color="auto" w:fill="auto"/>
          </w:tcPr>
          <w:p w14:paraId="1437A106" w14:textId="053916E4" w:rsidR="00C26F36" w:rsidRPr="007D5069" w:rsidRDefault="00C26F36" w:rsidP="00D748F5">
            <w:pPr>
              <w:jc w:val="center"/>
              <w:rPr>
                <w:rFonts w:eastAsia="Calibri"/>
                <w:sz w:val="20"/>
                <w:szCs w:val="20"/>
              </w:rPr>
            </w:pPr>
          </w:p>
        </w:tc>
      </w:tr>
      <w:tr w:rsidR="00D369F0" w:rsidRPr="007D5069" w14:paraId="4112FCFA" w14:textId="77777777" w:rsidTr="00EE4FEB">
        <w:trPr>
          <w:trHeight w:val="260"/>
        </w:trPr>
        <w:tc>
          <w:tcPr>
            <w:tcW w:w="1440" w:type="dxa"/>
            <w:gridSpan w:val="5"/>
            <w:shd w:val="clear" w:color="auto" w:fill="auto"/>
          </w:tcPr>
          <w:p w14:paraId="06FD5E30" w14:textId="77777777" w:rsidR="00D369F0" w:rsidRPr="007D5069" w:rsidRDefault="00D369F0" w:rsidP="00D369F0">
            <w:pPr>
              <w:rPr>
                <w:rFonts w:eastAsia="Calibri"/>
                <w:sz w:val="20"/>
                <w:szCs w:val="20"/>
              </w:rPr>
            </w:pPr>
            <w:r w:rsidRPr="007D5069">
              <w:rPr>
                <w:bCs/>
                <w:i/>
                <w:iCs/>
                <w:sz w:val="20"/>
                <w:szCs w:val="20"/>
              </w:rPr>
              <w:t>*Self-sufficiency is defined as graduation from the FSS program.</w:t>
            </w:r>
          </w:p>
        </w:tc>
      </w:tr>
    </w:tbl>
    <w:p w14:paraId="107FDCBD" w14:textId="77777777" w:rsidR="001654DF" w:rsidRPr="00C26707" w:rsidRDefault="001654DF" w:rsidP="00D06012">
      <w:pPr>
        <w:rPr>
          <w:sz w:val="22"/>
          <w:szCs w:val="22"/>
        </w:rPr>
      </w:pPr>
    </w:p>
    <w:p w14:paraId="47E86275" w14:textId="77777777" w:rsidR="0098594D" w:rsidRPr="00C26707" w:rsidRDefault="0098594D" w:rsidP="0098594D">
      <w:pPr>
        <w:jc w:val="both"/>
        <w:rPr>
          <w:b/>
          <w:color w:val="000000"/>
          <w:sz w:val="22"/>
          <w:szCs w:val="22"/>
        </w:rPr>
      </w:pPr>
      <w:r w:rsidRPr="00C26707">
        <w:rPr>
          <w:b/>
          <w:color w:val="000000"/>
          <w:sz w:val="22"/>
          <w:szCs w:val="22"/>
        </w:rPr>
        <w:t>Planned Significant Changes</w:t>
      </w:r>
    </w:p>
    <w:p w14:paraId="3915F24E" w14:textId="77777777" w:rsidR="0098594D" w:rsidRPr="00C26707" w:rsidRDefault="0098594D" w:rsidP="0098594D">
      <w:pPr>
        <w:jc w:val="both"/>
        <w:rPr>
          <w:color w:val="000000" w:themeColor="text1"/>
          <w:sz w:val="22"/>
          <w:szCs w:val="22"/>
        </w:rPr>
      </w:pPr>
      <w:r w:rsidRPr="00C26707">
        <w:rPr>
          <w:color w:val="000000" w:themeColor="text1"/>
          <w:sz w:val="22"/>
          <w:szCs w:val="22"/>
        </w:rPr>
        <w:t>No significant changes are planned.</w:t>
      </w:r>
    </w:p>
    <w:p w14:paraId="33641DC4" w14:textId="77777777" w:rsidR="0098594D" w:rsidRPr="0098594D" w:rsidRDefault="0098594D" w:rsidP="0098594D">
      <w:pPr>
        <w:sectPr w:rsidR="0098594D" w:rsidRPr="0098594D" w:rsidSect="00F61294">
          <w:pgSz w:w="12240" w:h="15840"/>
          <w:pgMar w:top="1440" w:right="1440" w:bottom="1440" w:left="1440" w:header="720" w:footer="720" w:gutter="0"/>
          <w:cols w:space="720"/>
          <w:docGrid w:linePitch="360"/>
        </w:sectPr>
      </w:pPr>
    </w:p>
    <w:p w14:paraId="0B744F34" w14:textId="77777777" w:rsidR="001B7698" w:rsidRPr="0004176C" w:rsidRDefault="002F3C7A" w:rsidP="001F2A56">
      <w:pPr>
        <w:pStyle w:val="Heading3"/>
      </w:pPr>
      <w:bookmarkStart w:id="60" w:name="_Toc33016943"/>
      <w:r w:rsidRPr="0004176C">
        <w:t>Activity 2015-1</w:t>
      </w:r>
      <w:r w:rsidR="00E264E7" w:rsidRPr="0004176C">
        <w:t xml:space="preserve">: </w:t>
      </w:r>
      <w:r w:rsidRPr="0004176C">
        <w:t>Rent Simplification</w:t>
      </w:r>
      <w:bookmarkEnd w:id="60"/>
      <w:r w:rsidR="00923C87" w:rsidRPr="0004176C">
        <w:t xml:space="preserve"> </w:t>
      </w:r>
    </w:p>
    <w:p w14:paraId="5BA7E31A" w14:textId="77777777" w:rsidR="002F3C7A" w:rsidRPr="0004176C" w:rsidRDefault="002F3C7A" w:rsidP="002F3C7A">
      <w:pPr>
        <w:rPr>
          <w:color w:val="000000"/>
          <w:sz w:val="22"/>
          <w:szCs w:val="22"/>
        </w:rPr>
      </w:pPr>
    </w:p>
    <w:p w14:paraId="19488492" w14:textId="77777777" w:rsidR="00C73902" w:rsidRPr="0004176C" w:rsidRDefault="00C73902" w:rsidP="00C73902">
      <w:pPr>
        <w:jc w:val="both"/>
        <w:rPr>
          <w:color w:val="000000"/>
          <w:sz w:val="22"/>
          <w:szCs w:val="22"/>
        </w:rPr>
      </w:pPr>
      <w:r w:rsidRPr="0004176C">
        <w:rPr>
          <w:b/>
          <w:bCs/>
          <w:color w:val="000000"/>
          <w:sz w:val="22"/>
          <w:szCs w:val="22"/>
        </w:rPr>
        <w:t>Plan Year Approved, Implemented, Amended</w:t>
      </w:r>
      <w:r w:rsidRPr="0004176C">
        <w:rPr>
          <w:color w:val="000000"/>
          <w:sz w:val="22"/>
          <w:szCs w:val="22"/>
        </w:rPr>
        <w:t xml:space="preserve"> </w:t>
      </w:r>
    </w:p>
    <w:p w14:paraId="0E1288D1" w14:textId="77777777" w:rsidR="00C73902" w:rsidRPr="0004176C" w:rsidRDefault="00C73902" w:rsidP="00C73902">
      <w:pPr>
        <w:rPr>
          <w:sz w:val="22"/>
          <w:szCs w:val="22"/>
        </w:rPr>
      </w:pPr>
      <w:r w:rsidRPr="0004176C">
        <w:rPr>
          <w:sz w:val="22"/>
          <w:szCs w:val="22"/>
        </w:rPr>
        <w:t xml:space="preserve">Approved FY 2012, implemented FY 2012 and modified FY 2016. </w:t>
      </w:r>
    </w:p>
    <w:p w14:paraId="7817811B" w14:textId="77777777" w:rsidR="00C73902" w:rsidRPr="0004176C" w:rsidRDefault="00C73902" w:rsidP="00C73902">
      <w:pPr>
        <w:jc w:val="both"/>
        <w:rPr>
          <w:b/>
          <w:bCs/>
          <w:color w:val="000000"/>
          <w:sz w:val="22"/>
          <w:szCs w:val="22"/>
        </w:rPr>
      </w:pPr>
    </w:p>
    <w:p w14:paraId="1AD92B7A" w14:textId="77777777" w:rsidR="00C73902" w:rsidRPr="0004176C" w:rsidRDefault="00C73902" w:rsidP="00C73902">
      <w:pPr>
        <w:jc w:val="both"/>
        <w:rPr>
          <w:b/>
          <w:color w:val="000000"/>
          <w:sz w:val="22"/>
          <w:szCs w:val="22"/>
        </w:rPr>
      </w:pPr>
      <w:r w:rsidRPr="0004176C">
        <w:rPr>
          <w:b/>
          <w:color w:val="000000"/>
          <w:sz w:val="22"/>
          <w:szCs w:val="22"/>
        </w:rPr>
        <w:t>Description/Update</w:t>
      </w:r>
    </w:p>
    <w:p w14:paraId="005BAD33" w14:textId="21A1C428" w:rsidR="000503C7" w:rsidRPr="0004176C" w:rsidRDefault="000503C7" w:rsidP="000503C7">
      <w:pPr>
        <w:jc w:val="both"/>
        <w:rPr>
          <w:color w:val="000000"/>
          <w:sz w:val="22"/>
          <w:szCs w:val="22"/>
        </w:rPr>
      </w:pPr>
      <w:r w:rsidRPr="0004176C">
        <w:rPr>
          <w:color w:val="000000"/>
          <w:sz w:val="22"/>
          <w:szCs w:val="22"/>
        </w:rPr>
        <w:t>In FY 2012</w:t>
      </w:r>
      <w:r w:rsidR="00EB3FB2" w:rsidRPr="0004176C">
        <w:rPr>
          <w:color w:val="000000"/>
          <w:sz w:val="22"/>
          <w:szCs w:val="22"/>
        </w:rPr>
        <w:t>,</w:t>
      </w:r>
      <w:r w:rsidRPr="0004176C">
        <w:rPr>
          <w:color w:val="000000"/>
          <w:sz w:val="22"/>
          <w:szCs w:val="22"/>
        </w:rPr>
        <w:t xml:space="preserve"> HUD approved DHCD’s Rent Simplification activity. In FY 2016, DHCD received HUD approval on changes to t</w:t>
      </w:r>
      <w:r w:rsidR="00FD3138" w:rsidRPr="0004176C">
        <w:rPr>
          <w:color w:val="000000"/>
          <w:sz w:val="22"/>
          <w:szCs w:val="22"/>
        </w:rPr>
        <w:t>he Rent Simplification activity;</w:t>
      </w:r>
      <w:r w:rsidRPr="0004176C">
        <w:rPr>
          <w:color w:val="000000"/>
          <w:sz w:val="22"/>
          <w:szCs w:val="22"/>
        </w:rPr>
        <w:t xml:space="preserve"> however, DHCD has not implemented any of the changes except for the provisions outlined below. The components of rent simplification, which are currently in effect are as follows:</w:t>
      </w:r>
    </w:p>
    <w:p w14:paraId="58101C79" w14:textId="77777777" w:rsidR="000503C7" w:rsidRPr="0004176C" w:rsidRDefault="000503C7" w:rsidP="000503C7">
      <w:pPr>
        <w:jc w:val="both"/>
        <w:rPr>
          <w:color w:val="000000"/>
          <w:sz w:val="22"/>
          <w:szCs w:val="22"/>
        </w:rPr>
      </w:pPr>
    </w:p>
    <w:p w14:paraId="7D212878" w14:textId="559608E6" w:rsidR="000503C7" w:rsidRPr="0004176C" w:rsidRDefault="000503C7" w:rsidP="00AA5A80">
      <w:pPr>
        <w:pStyle w:val="ListParagraph"/>
        <w:numPr>
          <w:ilvl w:val="0"/>
          <w:numId w:val="42"/>
        </w:numPr>
      </w:pPr>
      <w:r w:rsidRPr="0004176C">
        <w:t>Minimum Rent of $50</w:t>
      </w:r>
      <w:r w:rsidR="00FD3138" w:rsidRPr="0004176C">
        <w:t>;</w:t>
      </w:r>
    </w:p>
    <w:p w14:paraId="7C1A7C00" w14:textId="662BDA3C" w:rsidR="000503C7" w:rsidRPr="0004176C" w:rsidRDefault="000503C7" w:rsidP="00AA5A80">
      <w:pPr>
        <w:pStyle w:val="ListParagraph"/>
        <w:numPr>
          <w:ilvl w:val="0"/>
          <w:numId w:val="42"/>
        </w:numPr>
      </w:pPr>
      <w:r w:rsidRPr="0004176C">
        <w:t>Exclusion of all Full-Time Student Income</w:t>
      </w:r>
      <w:r w:rsidR="00FD3138" w:rsidRPr="0004176C">
        <w:t>;</w:t>
      </w:r>
    </w:p>
    <w:p w14:paraId="1F14084F" w14:textId="0F9FBE02" w:rsidR="000503C7" w:rsidRPr="0004176C" w:rsidRDefault="000503C7" w:rsidP="00AA5A80">
      <w:pPr>
        <w:pStyle w:val="ListParagraph"/>
        <w:numPr>
          <w:ilvl w:val="0"/>
          <w:numId w:val="42"/>
        </w:numPr>
      </w:pPr>
      <w:r w:rsidRPr="0004176C">
        <w:t>Streamlined Earned Income Disregard</w:t>
      </w:r>
      <w:r w:rsidR="00FD3138" w:rsidRPr="0004176C">
        <w:t>;</w:t>
      </w:r>
    </w:p>
    <w:p w14:paraId="5E8F7F5C" w14:textId="58521F99" w:rsidR="000503C7" w:rsidRPr="0004176C" w:rsidRDefault="000503C7" w:rsidP="00AA5A80">
      <w:pPr>
        <w:numPr>
          <w:ilvl w:val="0"/>
          <w:numId w:val="42"/>
        </w:numPr>
        <w:jc w:val="both"/>
        <w:rPr>
          <w:color w:val="000000"/>
          <w:sz w:val="22"/>
          <w:szCs w:val="22"/>
        </w:rPr>
      </w:pPr>
      <w:r w:rsidRPr="0004176C">
        <w:rPr>
          <w:sz w:val="22"/>
          <w:szCs w:val="22"/>
        </w:rPr>
        <w:t>Streamlined Asset Verification and Calculation</w:t>
      </w:r>
      <w:r w:rsidR="00FD3138" w:rsidRPr="0004176C">
        <w:rPr>
          <w:sz w:val="22"/>
          <w:szCs w:val="22"/>
        </w:rPr>
        <w:t>;</w:t>
      </w:r>
    </w:p>
    <w:p w14:paraId="4215E342" w14:textId="08A12DCC" w:rsidR="000503C7" w:rsidRPr="0004176C" w:rsidRDefault="000503C7" w:rsidP="0042239A">
      <w:pPr>
        <w:numPr>
          <w:ilvl w:val="0"/>
          <w:numId w:val="42"/>
        </w:numPr>
        <w:jc w:val="both"/>
        <w:rPr>
          <w:color w:val="000000"/>
          <w:sz w:val="22"/>
          <w:szCs w:val="22"/>
        </w:rPr>
      </w:pPr>
      <w:r w:rsidRPr="0004176C">
        <w:rPr>
          <w:sz w:val="22"/>
          <w:szCs w:val="22"/>
        </w:rPr>
        <w:t xml:space="preserve">Application of </w:t>
      </w:r>
      <w:r w:rsidRPr="0004176C">
        <w:rPr>
          <w:color w:val="000000"/>
          <w:sz w:val="22"/>
          <w:szCs w:val="22"/>
        </w:rPr>
        <w:t>the Payment Standard in effect on the effective date of the regular recertification, regardless of any change in the Pay</w:t>
      </w:r>
      <w:r w:rsidR="00FD3138" w:rsidRPr="0004176C">
        <w:rPr>
          <w:color w:val="000000"/>
          <w:sz w:val="22"/>
          <w:szCs w:val="22"/>
        </w:rPr>
        <w:t>ment Standard from year to year;</w:t>
      </w:r>
      <w:r w:rsidRPr="0004176C">
        <w:rPr>
          <w:color w:val="000000"/>
          <w:sz w:val="22"/>
          <w:szCs w:val="22"/>
        </w:rPr>
        <w:t xml:space="preserve">  </w:t>
      </w:r>
    </w:p>
    <w:p w14:paraId="5CBC37F6" w14:textId="5381DE66" w:rsidR="000503C7" w:rsidRPr="0004176C" w:rsidRDefault="00BA3848" w:rsidP="00AA5A80">
      <w:pPr>
        <w:numPr>
          <w:ilvl w:val="0"/>
          <w:numId w:val="42"/>
        </w:numPr>
        <w:jc w:val="both"/>
        <w:rPr>
          <w:color w:val="000000"/>
          <w:sz w:val="22"/>
          <w:szCs w:val="22"/>
        </w:rPr>
      </w:pPr>
      <w:r w:rsidRPr="0004176C">
        <w:rPr>
          <w:color w:val="000000"/>
          <w:sz w:val="22"/>
          <w:szCs w:val="22"/>
        </w:rPr>
        <w:t xml:space="preserve">Application of </w:t>
      </w:r>
      <w:r w:rsidR="000503C7" w:rsidRPr="0004176C">
        <w:rPr>
          <w:color w:val="000000"/>
          <w:sz w:val="22"/>
          <w:szCs w:val="22"/>
        </w:rPr>
        <w:t>the Payment Standard used at the last regular recertification during an interim recertification</w:t>
      </w:r>
      <w:r w:rsidR="00FD3138" w:rsidRPr="0004176C">
        <w:rPr>
          <w:color w:val="000000"/>
          <w:sz w:val="22"/>
          <w:szCs w:val="22"/>
        </w:rPr>
        <w:t>; and,</w:t>
      </w:r>
    </w:p>
    <w:p w14:paraId="61922A7A" w14:textId="3D599DA5" w:rsidR="00BA3848" w:rsidRPr="0004176C" w:rsidRDefault="00BA3848" w:rsidP="00AA5A80">
      <w:pPr>
        <w:numPr>
          <w:ilvl w:val="0"/>
          <w:numId w:val="42"/>
        </w:numPr>
        <w:jc w:val="both"/>
        <w:rPr>
          <w:color w:val="000000"/>
          <w:sz w:val="22"/>
          <w:szCs w:val="22"/>
        </w:rPr>
      </w:pPr>
      <w:r w:rsidRPr="0004176C">
        <w:rPr>
          <w:color w:val="000000"/>
          <w:sz w:val="22"/>
          <w:szCs w:val="22"/>
        </w:rPr>
        <w:t>Streamlined approach for calculation of unreimbursed medical expenses by using the prior year’s paid, unreimbursed medical expenses plus prospecti</w:t>
      </w:r>
      <w:r w:rsidR="00FD3138" w:rsidRPr="0004176C">
        <w:rPr>
          <w:color w:val="000000"/>
          <w:sz w:val="22"/>
          <w:szCs w:val="22"/>
        </w:rPr>
        <w:t>ve medical insurance premiums. Over-the-</w:t>
      </w:r>
      <w:r w:rsidRPr="0004176C">
        <w:rPr>
          <w:color w:val="000000"/>
          <w:sz w:val="22"/>
          <w:szCs w:val="22"/>
        </w:rPr>
        <w:t xml:space="preserve">counter medications must be accompanied by a physician’s prescription and paid receipt. </w:t>
      </w:r>
    </w:p>
    <w:p w14:paraId="3BBBC22B" w14:textId="77777777" w:rsidR="000503C7" w:rsidRPr="0004176C" w:rsidRDefault="000503C7" w:rsidP="000503C7">
      <w:pPr>
        <w:jc w:val="both"/>
        <w:rPr>
          <w:color w:val="000000"/>
          <w:sz w:val="22"/>
          <w:szCs w:val="22"/>
        </w:rPr>
      </w:pPr>
    </w:p>
    <w:p w14:paraId="2BAC7D6F" w14:textId="5B298406" w:rsidR="004A7F5D" w:rsidRPr="0004176C" w:rsidRDefault="004A7F5D" w:rsidP="004A7F5D">
      <w:pPr>
        <w:jc w:val="both"/>
        <w:rPr>
          <w:sz w:val="22"/>
          <w:szCs w:val="22"/>
        </w:rPr>
      </w:pPr>
      <w:r w:rsidRPr="0004176C">
        <w:rPr>
          <w:sz w:val="22"/>
          <w:szCs w:val="22"/>
        </w:rPr>
        <w:t xml:space="preserve">In addition to the provisions above, there are </w:t>
      </w:r>
      <w:r w:rsidR="00F94566" w:rsidRPr="0004176C">
        <w:rPr>
          <w:sz w:val="22"/>
          <w:szCs w:val="22"/>
        </w:rPr>
        <w:t xml:space="preserve">a </w:t>
      </w:r>
      <w:r w:rsidRPr="0004176C">
        <w:rPr>
          <w:sz w:val="22"/>
          <w:szCs w:val="22"/>
        </w:rPr>
        <w:t>number of rent simp</w:t>
      </w:r>
      <w:r w:rsidR="00DD50A5" w:rsidRPr="0004176C">
        <w:rPr>
          <w:sz w:val="22"/>
          <w:szCs w:val="22"/>
        </w:rPr>
        <w:t>lification</w:t>
      </w:r>
      <w:r w:rsidRPr="0004176C">
        <w:rPr>
          <w:sz w:val="22"/>
          <w:szCs w:val="22"/>
        </w:rPr>
        <w:t xml:space="preserve"> policies which HUD has approved and DHCD has not yet implemented. DHCD may implement the</w:t>
      </w:r>
      <w:r w:rsidR="00427CFD" w:rsidRPr="0004176C">
        <w:rPr>
          <w:sz w:val="22"/>
          <w:szCs w:val="22"/>
        </w:rPr>
        <w:t>se</w:t>
      </w:r>
      <w:r w:rsidRPr="0004176C">
        <w:rPr>
          <w:sz w:val="22"/>
          <w:szCs w:val="22"/>
        </w:rPr>
        <w:t xml:space="preserve"> previously approved provisions in </w:t>
      </w:r>
      <w:r w:rsidR="006D6331" w:rsidRPr="0004176C">
        <w:rPr>
          <w:sz w:val="22"/>
          <w:szCs w:val="22"/>
        </w:rPr>
        <w:t>FY 2021</w:t>
      </w:r>
      <w:r w:rsidRPr="0004176C">
        <w:rPr>
          <w:sz w:val="22"/>
          <w:szCs w:val="22"/>
        </w:rPr>
        <w:t>:</w:t>
      </w:r>
    </w:p>
    <w:p w14:paraId="1B9DE00C" w14:textId="77777777" w:rsidR="004A7F5D" w:rsidRPr="0004176C" w:rsidRDefault="004A7F5D" w:rsidP="004A7F5D">
      <w:pPr>
        <w:jc w:val="both"/>
        <w:rPr>
          <w:sz w:val="22"/>
          <w:szCs w:val="22"/>
        </w:rPr>
      </w:pPr>
    </w:p>
    <w:p w14:paraId="58B91EF1" w14:textId="75DF6F08" w:rsidR="004A7F5D" w:rsidRPr="0004176C" w:rsidRDefault="004A7F5D" w:rsidP="00A4246A">
      <w:pPr>
        <w:pStyle w:val="ListParagraph"/>
        <w:numPr>
          <w:ilvl w:val="0"/>
          <w:numId w:val="61"/>
        </w:numPr>
        <w:jc w:val="both"/>
      </w:pPr>
      <w:r w:rsidRPr="0004176C">
        <w:t>Revised Mixed Families rent formula where mixed families will pay an additional 10% of TTP regardless of the number of family members without citizenship</w:t>
      </w:r>
      <w:r w:rsidR="00CB7C4E" w:rsidRPr="0004176C">
        <w:t xml:space="preserve"> or eligible immigration status;</w:t>
      </w:r>
    </w:p>
    <w:p w14:paraId="0DE5B434" w14:textId="224EA25A" w:rsidR="000503C7" w:rsidRPr="0004176C" w:rsidRDefault="004A7F5D" w:rsidP="00A4246A">
      <w:pPr>
        <w:pStyle w:val="ListParagraph"/>
        <w:numPr>
          <w:ilvl w:val="0"/>
          <w:numId w:val="61"/>
        </w:numPr>
        <w:jc w:val="both"/>
        <w:rPr>
          <w:color w:val="000000"/>
        </w:rPr>
      </w:pPr>
      <w:r w:rsidRPr="0004176C">
        <w:t xml:space="preserve">The </w:t>
      </w:r>
      <w:r w:rsidR="000503C7" w:rsidRPr="0004176C">
        <w:t>income disregard for households with children who returned to the unit after completing two or four year post-secondary degree or accred</w:t>
      </w:r>
      <w:r w:rsidR="00F94566" w:rsidRPr="0004176C">
        <w:t>ited technical school programs.</w:t>
      </w:r>
    </w:p>
    <w:p w14:paraId="7EC3D18B" w14:textId="77777777" w:rsidR="004A7F5D" w:rsidRPr="0004176C" w:rsidRDefault="004A7F5D" w:rsidP="004A7F5D">
      <w:pPr>
        <w:pStyle w:val="ListParagraph"/>
        <w:numPr>
          <w:ilvl w:val="0"/>
          <w:numId w:val="0"/>
        </w:numPr>
        <w:ind w:left="720"/>
        <w:jc w:val="both"/>
        <w:rPr>
          <w:color w:val="000000"/>
        </w:rPr>
      </w:pPr>
    </w:p>
    <w:p w14:paraId="1251DFE9" w14:textId="77777777" w:rsidR="00212162" w:rsidRPr="0004176C" w:rsidRDefault="00212162" w:rsidP="00212162">
      <w:pPr>
        <w:jc w:val="both"/>
        <w:rPr>
          <w:b/>
          <w:bCs/>
          <w:color w:val="000000"/>
          <w:sz w:val="22"/>
          <w:szCs w:val="22"/>
        </w:rPr>
      </w:pPr>
      <w:r w:rsidRPr="0004176C">
        <w:rPr>
          <w:b/>
          <w:bCs/>
          <w:color w:val="000000"/>
          <w:sz w:val="22"/>
          <w:szCs w:val="22"/>
        </w:rPr>
        <w:t>Planned Non-Significant Changes</w:t>
      </w:r>
    </w:p>
    <w:p w14:paraId="22DB3748" w14:textId="7D42AFA0" w:rsidR="00C222AA" w:rsidRPr="0004176C" w:rsidRDefault="002467F4" w:rsidP="00C222AA">
      <w:pPr>
        <w:jc w:val="both"/>
        <w:rPr>
          <w:color w:val="000000"/>
          <w:sz w:val="22"/>
          <w:szCs w:val="22"/>
        </w:rPr>
      </w:pPr>
      <w:r w:rsidRPr="0004176C">
        <w:rPr>
          <w:color w:val="000000"/>
          <w:sz w:val="22"/>
          <w:szCs w:val="22"/>
        </w:rPr>
        <w:t xml:space="preserve">In FY </w:t>
      </w:r>
      <w:r w:rsidR="00990F72" w:rsidRPr="0004176C">
        <w:rPr>
          <w:color w:val="000000"/>
          <w:sz w:val="22"/>
          <w:szCs w:val="22"/>
        </w:rPr>
        <w:t xml:space="preserve">2020 DHCD received approval to </w:t>
      </w:r>
      <w:r w:rsidRPr="0004176C">
        <w:rPr>
          <w:color w:val="000000"/>
          <w:sz w:val="22"/>
          <w:szCs w:val="22"/>
        </w:rPr>
        <w:t>modify the rent simplification policy related to paymen</w:t>
      </w:r>
      <w:r w:rsidR="00C222AA" w:rsidRPr="0004176C">
        <w:rPr>
          <w:color w:val="000000"/>
          <w:sz w:val="22"/>
          <w:szCs w:val="22"/>
        </w:rPr>
        <w:t>t standards.  Specifically, when elderly/disabled households on triennial recertification cycles have interim recertifications related to increases in contract rents, DHCD will apply the payment standard in effect at the time of the interim recertification. Where the payment standard in effect at the time of the applicable interim recertification reflects a decrease when compared to the payment standard applied at the last regular recertification, DHCD will not update the payment standard at the interim recertification and will wait until the next regular recertification to update the payment standard.  In FY 2021, DHCD will implement this policy; however, the policy will be in effect for all households on biennial and/or triennial recertification frequencies who experience an increase in contract rent as part of an interim certification.</w:t>
      </w:r>
    </w:p>
    <w:p w14:paraId="56F8BFE2" w14:textId="67B275EC" w:rsidR="000503C7" w:rsidRPr="0004176C" w:rsidRDefault="000503C7" w:rsidP="00C222AA">
      <w:pPr>
        <w:jc w:val="both"/>
        <w:rPr>
          <w:color w:val="000000"/>
        </w:rPr>
      </w:pPr>
    </w:p>
    <w:p w14:paraId="1FE63398" w14:textId="77777777" w:rsidR="000503C7" w:rsidRPr="0004176C" w:rsidRDefault="000503C7" w:rsidP="000503C7">
      <w:pPr>
        <w:jc w:val="both"/>
        <w:rPr>
          <w:b/>
          <w:bCs/>
          <w:sz w:val="22"/>
          <w:szCs w:val="22"/>
        </w:rPr>
      </w:pPr>
      <w:r w:rsidRPr="0004176C">
        <w:rPr>
          <w:b/>
          <w:bCs/>
          <w:sz w:val="22"/>
          <w:szCs w:val="22"/>
        </w:rPr>
        <w:t>Planned Changes to Metrics/Data Collection</w:t>
      </w:r>
    </w:p>
    <w:p w14:paraId="7BAECB5F" w14:textId="77777777" w:rsidR="00BD0D9F" w:rsidRPr="0004176C" w:rsidRDefault="00BD0D9F" w:rsidP="00BD0D9F">
      <w:pPr>
        <w:jc w:val="both"/>
        <w:rPr>
          <w:sz w:val="22"/>
          <w:szCs w:val="22"/>
        </w:rPr>
      </w:pPr>
      <w:r w:rsidRPr="0004176C">
        <w:rPr>
          <w:sz w:val="22"/>
          <w:szCs w:val="22"/>
        </w:rPr>
        <w:t>DHCD has updated the benchmarks to reflect anticipated outcomes for FY 2021.</w:t>
      </w:r>
    </w:p>
    <w:p w14:paraId="30D71761" w14:textId="3EEA3B95" w:rsidR="001B7698" w:rsidRPr="0004176C" w:rsidRDefault="001B7698" w:rsidP="001B7698">
      <w:pPr>
        <w:jc w:val="both"/>
        <w:rPr>
          <w:bCs/>
          <w:sz w:val="22"/>
          <w:szCs w:val="22"/>
        </w:rPr>
      </w:pPr>
    </w:p>
    <w:p w14:paraId="6A642C1F" w14:textId="77777777" w:rsidR="001B7698" w:rsidRPr="0004176C" w:rsidRDefault="001B7698" w:rsidP="001B7698">
      <w:pPr>
        <w:jc w:val="both"/>
        <w:rPr>
          <w:color w:val="000000"/>
          <w:sz w:val="22"/>
          <w:szCs w:val="22"/>
        </w:rPr>
      </w:pPr>
      <w:r w:rsidRPr="0004176C">
        <w:rPr>
          <w:b/>
          <w:sz w:val="22"/>
          <w:szCs w:val="22"/>
        </w:rPr>
        <w:t>Metrics</w:t>
      </w:r>
    </w:p>
    <w:tbl>
      <w:tblPr>
        <w:tblW w:w="93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1713"/>
        <w:gridCol w:w="1627"/>
        <w:gridCol w:w="1351"/>
        <w:gridCol w:w="1438"/>
      </w:tblGrid>
      <w:tr w:rsidR="003D3CE5" w:rsidRPr="0004176C" w14:paraId="1B415D40" w14:textId="77777777" w:rsidTr="00256314">
        <w:trPr>
          <w:trHeight w:hRule="exact" w:val="317"/>
        </w:trPr>
        <w:tc>
          <w:tcPr>
            <w:tcW w:w="9354"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BEE97C6" w14:textId="77777777" w:rsidR="003D3CE5" w:rsidRPr="0004176C" w:rsidRDefault="003D3CE5" w:rsidP="007131A6">
            <w:pPr>
              <w:jc w:val="center"/>
              <w:rPr>
                <w:b/>
                <w:bCs/>
                <w:i/>
                <w:iCs/>
                <w:color w:val="000000"/>
                <w:sz w:val="20"/>
                <w:szCs w:val="20"/>
              </w:rPr>
            </w:pPr>
            <w:r w:rsidRPr="0004176C">
              <w:rPr>
                <w:b/>
                <w:bCs/>
                <w:i/>
                <w:iCs/>
                <w:color w:val="000000"/>
                <w:sz w:val="20"/>
                <w:szCs w:val="20"/>
              </w:rPr>
              <w:t>CE #1: Agency Cost Savings</w:t>
            </w:r>
          </w:p>
        </w:tc>
      </w:tr>
      <w:tr w:rsidR="003D3CE5" w:rsidRPr="0004176C" w14:paraId="6B6483D7" w14:textId="77777777" w:rsidTr="00256314">
        <w:trPr>
          <w:trHeight w:hRule="exact" w:val="576"/>
        </w:trPr>
        <w:tc>
          <w:tcPr>
            <w:tcW w:w="3225" w:type="dxa"/>
            <w:tcBorders>
              <w:top w:val="single" w:sz="4" w:space="0" w:color="auto"/>
              <w:left w:val="single" w:sz="4" w:space="0" w:color="auto"/>
              <w:bottom w:val="single" w:sz="4" w:space="0" w:color="auto"/>
              <w:right w:val="single" w:sz="4" w:space="0" w:color="auto"/>
            </w:tcBorders>
            <w:shd w:val="clear" w:color="auto" w:fill="DDDDDD"/>
            <w:hideMark/>
          </w:tcPr>
          <w:p w14:paraId="6AC9292E" w14:textId="77777777" w:rsidR="003D3CE5" w:rsidRPr="0004176C" w:rsidRDefault="003D3CE5" w:rsidP="007131A6">
            <w:pPr>
              <w:jc w:val="center"/>
              <w:rPr>
                <w:b/>
                <w:bCs/>
                <w:color w:val="000000"/>
                <w:sz w:val="20"/>
                <w:szCs w:val="20"/>
              </w:rPr>
            </w:pPr>
            <w:r w:rsidRPr="0004176C">
              <w:rPr>
                <w:b/>
                <w:bCs/>
                <w:color w:val="000000"/>
                <w:sz w:val="20"/>
                <w:szCs w:val="20"/>
              </w:rPr>
              <w:t>Unit of Measurement</w:t>
            </w:r>
          </w:p>
        </w:tc>
        <w:tc>
          <w:tcPr>
            <w:tcW w:w="1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3DA7D2" w14:textId="77777777" w:rsidR="003D3CE5" w:rsidRPr="0004176C" w:rsidRDefault="003D3CE5" w:rsidP="007131A6">
            <w:pPr>
              <w:jc w:val="center"/>
              <w:rPr>
                <w:b/>
                <w:bCs/>
                <w:color w:val="000000"/>
                <w:sz w:val="20"/>
                <w:szCs w:val="20"/>
              </w:rPr>
            </w:pPr>
            <w:r w:rsidRPr="0004176C">
              <w:rPr>
                <w:b/>
                <w:bCs/>
                <w:color w:val="000000"/>
                <w:sz w:val="20"/>
                <w:szCs w:val="20"/>
              </w:rPr>
              <w:t>Baseline*</w:t>
            </w:r>
          </w:p>
        </w:tc>
        <w:tc>
          <w:tcPr>
            <w:tcW w:w="1627" w:type="dxa"/>
            <w:tcBorders>
              <w:top w:val="single" w:sz="4" w:space="0" w:color="auto"/>
              <w:left w:val="single" w:sz="4" w:space="0" w:color="auto"/>
              <w:bottom w:val="single" w:sz="4" w:space="0" w:color="auto"/>
              <w:right w:val="single" w:sz="4" w:space="0" w:color="auto"/>
            </w:tcBorders>
            <w:shd w:val="clear" w:color="auto" w:fill="DDDDDD"/>
            <w:hideMark/>
          </w:tcPr>
          <w:p w14:paraId="525C0286" w14:textId="77777777" w:rsidR="003D3CE5" w:rsidRPr="0004176C" w:rsidRDefault="003D3CE5" w:rsidP="007131A6">
            <w:pPr>
              <w:jc w:val="center"/>
              <w:rPr>
                <w:b/>
                <w:bCs/>
                <w:color w:val="000000"/>
                <w:sz w:val="20"/>
                <w:szCs w:val="20"/>
              </w:rPr>
            </w:pPr>
            <w:r w:rsidRPr="0004176C">
              <w:rPr>
                <w:b/>
                <w:bCs/>
                <w:color w:val="000000"/>
                <w:sz w:val="20"/>
                <w:szCs w:val="20"/>
              </w:rPr>
              <w:t>Benchmark</w:t>
            </w:r>
          </w:p>
        </w:tc>
        <w:tc>
          <w:tcPr>
            <w:tcW w:w="1351" w:type="dxa"/>
            <w:tcBorders>
              <w:top w:val="single" w:sz="4" w:space="0" w:color="auto"/>
              <w:left w:val="single" w:sz="4" w:space="0" w:color="auto"/>
              <w:bottom w:val="single" w:sz="4" w:space="0" w:color="auto"/>
              <w:right w:val="single" w:sz="4" w:space="0" w:color="auto"/>
            </w:tcBorders>
            <w:shd w:val="clear" w:color="auto" w:fill="DDDDDD"/>
            <w:hideMark/>
          </w:tcPr>
          <w:p w14:paraId="2ED9A35A" w14:textId="77777777" w:rsidR="003D3CE5" w:rsidRPr="0004176C" w:rsidRDefault="003D3CE5" w:rsidP="007131A6">
            <w:pPr>
              <w:jc w:val="center"/>
              <w:rPr>
                <w:b/>
                <w:bCs/>
                <w:color w:val="000000"/>
                <w:sz w:val="20"/>
                <w:szCs w:val="20"/>
              </w:rPr>
            </w:pPr>
            <w:r w:rsidRPr="0004176C">
              <w:rPr>
                <w:b/>
                <w:bCs/>
                <w:color w:val="000000"/>
                <w:sz w:val="20"/>
                <w:szCs w:val="20"/>
              </w:rPr>
              <w:t>Outcome</w:t>
            </w:r>
          </w:p>
        </w:tc>
        <w:tc>
          <w:tcPr>
            <w:tcW w:w="1438" w:type="dxa"/>
            <w:tcBorders>
              <w:top w:val="single" w:sz="4" w:space="0" w:color="auto"/>
              <w:left w:val="single" w:sz="4" w:space="0" w:color="auto"/>
              <w:bottom w:val="single" w:sz="4" w:space="0" w:color="auto"/>
              <w:right w:val="single" w:sz="4" w:space="0" w:color="auto"/>
            </w:tcBorders>
            <w:shd w:val="clear" w:color="auto" w:fill="DDDDDD"/>
            <w:hideMark/>
          </w:tcPr>
          <w:p w14:paraId="6E5C70E9" w14:textId="77777777" w:rsidR="003D3CE5" w:rsidRPr="0004176C" w:rsidRDefault="003D3CE5" w:rsidP="007131A6">
            <w:pPr>
              <w:jc w:val="center"/>
              <w:rPr>
                <w:b/>
                <w:bCs/>
                <w:color w:val="000000"/>
                <w:sz w:val="20"/>
                <w:szCs w:val="20"/>
              </w:rPr>
            </w:pPr>
            <w:r w:rsidRPr="0004176C">
              <w:rPr>
                <w:b/>
                <w:bCs/>
                <w:color w:val="000000"/>
                <w:sz w:val="20"/>
                <w:szCs w:val="20"/>
              </w:rPr>
              <w:t>Benchmark Achieved?</w:t>
            </w:r>
          </w:p>
        </w:tc>
      </w:tr>
      <w:tr w:rsidR="003D3CE5" w:rsidRPr="0004176C" w14:paraId="0E9BE670" w14:textId="77777777" w:rsidTr="00256314">
        <w:trPr>
          <w:trHeight w:val="2933"/>
        </w:trPr>
        <w:tc>
          <w:tcPr>
            <w:tcW w:w="3225" w:type="dxa"/>
            <w:tcBorders>
              <w:top w:val="single" w:sz="4" w:space="0" w:color="auto"/>
            </w:tcBorders>
            <w:hideMark/>
          </w:tcPr>
          <w:p w14:paraId="0A22D036" w14:textId="77777777" w:rsidR="003D3CE5" w:rsidRPr="0004176C" w:rsidRDefault="003D3CE5" w:rsidP="003D3CE5">
            <w:pPr>
              <w:rPr>
                <w:color w:val="000000"/>
                <w:sz w:val="20"/>
                <w:szCs w:val="20"/>
              </w:rPr>
            </w:pPr>
            <w:r w:rsidRPr="0004176C">
              <w:rPr>
                <w:color w:val="000000"/>
                <w:sz w:val="20"/>
                <w:szCs w:val="20"/>
              </w:rPr>
              <w:t>Total cost of task in dollars (decrease).</w:t>
            </w:r>
          </w:p>
        </w:tc>
        <w:tc>
          <w:tcPr>
            <w:tcW w:w="1713" w:type="dxa"/>
            <w:tcBorders>
              <w:top w:val="single" w:sz="4" w:space="0" w:color="auto"/>
            </w:tcBorders>
            <w:hideMark/>
          </w:tcPr>
          <w:p w14:paraId="7D8DB850" w14:textId="6127B44E" w:rsidR="008D7DC4" w:rsidRPr="0004176C" w:rsidRDefault="008D7DC4" w:rsidP="008D7DC4">
            <w:pPr>
              <w:jc w:val="center"/>
              <w:rPr>
                <w:rFonts w:eastAsia="Calibri"/>
                <w:sz w:val="20"/>
                <w:szCs w:val="20"/>
              </w:rPr>
            </w:pPr>
            <w:r w:rsidRPr="0004176C">
              <w:rPr>
                <w:rFonts w:eastAsia="Calibri"/>
                <w:b/>
                <w:sz w:val="20"/>
                <w:szCs w:val="20"/>
              </w:rPr>
              <w:t xml:space="preserve">Total Cost of Activity Prior to Implementation: </w:t>
            </w:r>
            <w:r w:rsidRPr="0004176C">
              <w:rPr>
                <w:rFonts w:eastAsia="Calibri"/>
                <w:sz w:val="20"/>
                <w:szCs w:val="20"/>
              </w:rPr>
              <w:t>$922,037</w:t>
            </w:r>
          </w:p>
          <w:p w14:paraId="4B3CFD63" w14:textId="77777777" w:rsidR="008D7DC4" w:rsidRPr="0004176C" w:rsidRDefault="008D7DC4" w:rsidP="008D7DC4">
            <w:pPr>
              <w:jc w:val="center"/>
              <w:rPr>
                <w:rFonts w:eastAsia="Calibri"/>
                <w:b/>
                <w:sz w:val="20"/>
                <w:szCs w:val="20"/>
              </w:rPr>
            </w:pPr>
          </w:p>
          <w:p w14:paraId="749A59E4" w14:textId="67492E9A" w:rsidR="003D3CE5" w:rsidRPr="0004176C" w:rsidRDefault="003D3CE5" w:rsidP="008D7DC4">
            <w:pPr>
              <w:jc w:val="center"/>
              <w:rPr>
                <w:rFonts w:eastAsia="Calibri"/>
                <w:sz w:val="20"/>
                <w:szCs w:val="20"/>
              </w:rPr>
            </w:pPr>
            <w:r w:rsidRPr="0004176C">
              <w:rPr>
                <w:rFonts w:eastAsia="Calibri"/>
                <w:b/>
                <w:sz w:val="20"/>
                <w:szCs w:val="20"/>
              </w:rPr>
              <w:t xml:space="preserve">Number of vouchers: </w:t>
            </w:r>
            <w:r w:rsidRPr="0004176C">
              <w:rPr>
                <w:rFonts w:eastAsia="Calibri"/>
                <w:sz w:val="20"/>
                <w:szCs w:val="20"/>
              </w:rPr>
              <w:t xml:space="preserve"> 20,298</w:t>
            </w:r>
          </w:p>
          <w:p w14:paraId="60777B75" w14:textId="77777777" w:rsidR="003D3CE5" w:rsidRPr="0004176C" w:rsidRDefault="003D3CE5" w:rsidP="008D7DC4">
            <w:pPr>
              <w:jc w:val="center"/>
              <w:rPr>
                <w:rFonts w:eastAsia="Calibri"/>
                <w:sz w:val="20"/>
                <w:szCs w:val="20"/>
              </w:rPr>
            </w:pPr>
          </w:p>
          <w:p w14:paraId="62C82C9D" w14:textId="77777777" w:rsidR="003D3CE5" w:rsidRPr="0004176C" w:rsidRDefault="003D3CE5" w:rsidP="008D7DC4">
            <w:pPr>
              <w:jc w:val="center"/>
              <w:rPr>
                <w:rFonts w:eastAsia="Calibri"/>
                <w:sz w:val="20"/>
                <w:szCs w:val="20"/>
              </w:rPr>
            </w:pPr>
            <w:r w:rsidRPr="0004176C">
              <w:rPr>
                <w:rFonts w:eastAsia="Calibri"/>
                <w:b/>
                <w:sz w:val="20"/>
                <w:szCs w:val="20"/>
              </w:rPr>
              <w:t>Time per Recertification:</w:t>
            </w:r>
            <w:r w:rsidRPr="0004176C">
              <w:rPr>
                <w:rFonts w:eastAsia="Calibri"/>
                <w:sz w:val="20"/>
                <w:szCs w:val="20"/>
              </w:rPr>
              <w:t xml:space="preserve"> 2.5 hours</w:t>
            </w:r>
          </w:p>
          <w:p w14:paraId="34647F91" w14:textId="77777777" w:rsidR="003D3CE5" w:rsidRPr="0004176C" w:rsidRDefault="003D3CE5" w:rsidP="008D7DC4">
            <w:pPr>
              <w:jc w:val="center"/>
              <w:rPr>
                <w:rFonts w:eastAsia="Calibri"/>
                <w:sz w:val="20"/>
                <w:szCs w:val="20"/>
              </w:rPr>
            </w:pPr>
          </w:p>
          <w:p w14:paraId="0E7EB32C" w14:textId="77777777" w:rsidR="003D3CE5" w:rsidRPr="0004176C" w:rsidRDefault="003D3CE5" w:rsidP="008D7DC4">
            <w:pPr>
              <w:jc w:val="center"/>
              <w:rPr>
                <w:rFonts w:eastAsia="Calibri"/>
                <w:sz w:val="20"/>
                <w:szCs w:val="20"/>
              </w:rPr>
            </w:pPr>
            <w:r w:rsidRPr="0004176C">
              <w:rPr>
                <w:rFonts w:eastAsia="Calibri"/>
                <w:b/>
                <w:sz w:val="20"/>
                <w:szCs w:val="20"/>
              </w:rPr>
              <w:t>Average Hourly Staff Rate:</w:t>
            </w:r>
            <w:r w:rsidRPr="0004176C">
              <w:rPr>
                <w:rFonts w:eastAsia="Calibri"/>
                <w:sz w:val="20"/>
                <w:szCs w:val="20"/>
              </w:rPr>
              <w:t xml:space="preserve"> $18.17</w:t>
            </w:r>
          </w:p>
          <w:p w14:paraId="2DAC5C21" w14:textId="77777777" w:rsidR="003D3CE5" w:rsidRPr="0004176C" w:rsidRDefault="003D3CE5" w:rsidP="008D7DC4">
            <w:pPr>
              <w:jc w:val="center"/>
              <w:rPr>
                <w:rFonts w:eastAsia="Calibri"/>
                <w:sz w:val="20"/>
                <w:szCs w:val="20"/>
              </w:rPr>
            </w:pPr>
          </w:p>
          <w:p w14:paraId="485719DB" w14:textId="023902B2" w:rsidR="003D3CE5" w:rsidRPr="0004176C" w:rsidRDefault="003D3CE5" w:rsidP="008D7DC4">
            <w:pPr>
              <w:jc w:val="center"/>
              <w:rPr>
                <w:rFonts w:eastAsia="Calibri"/>
                <w:sz w:val="20"/>
                <w:szCs w:val="20"/>
              </w:rPr>
            </w:pPr>
          </w:p>
        </w:tc>
        <w:tc>
          <w:tcPr>
            <w:tcW w:w="1627" w:type="dxa"/>
            <w:tcBorders>
              <w:top w:val="single" w:sz="4" w:space="0" w:color="auto"/>
            </w:tcBorders>
            <w:hideMark/>
          </w:tcPr>
          <w:p w14:paraId="071017E6" w14:textId="368D0D93" w:rsidR="008D7DC4" w:rsidRPr="0004176C" w:rsidRDefault="008D7DC4" w:rsidP="000C6662">
            <w:pPr>
              <w:jc w:val="center"/>
              <w:rPr>
                <w:rFonts w:eastAsia="Calibri"/>
                <w:b/>
                <w:sz w:val="20"/>
                <w:szCs w:val="20"/>
              </w:rPr>
            </w:pPr>
            <w:r w:rsidRPr="0004176C">
              <w:rPr>
                <w:rFonts w:eastAsia="Calibri"/>
                <w:b/>
                <w:sz w:val="20"/>
                <w:szCs w:val="20"/>
              </w:rPr>
              <w:t xml:space="preserve">Anticipated Total Cost of Activity in </w:t>
            </w:r>
            <w:r w:rsidR="006D6331" w:rsidRPr="0004176C">
              <w:rPr>
                <w:rFonts w:eastAsia="Calibri"/>
                <w:b/>
                <w:sz w:val="20"/>
                <w:szCs w:val="20"/>
              </w:rPr>
              <w:t>FY 2021</w:t>
            </w:r>
            <w:r w:rsidRPr="0004176C">
              <w:rPr>
                <w:rFonts w:eastAsia="Calibri"/>
                <w:b/>
                <w:sz w:val="20"/>
                <w:szCs w:val="20"/>
              </w:rPr>
              <w:t>:</w:t>
            </w:r>
            <w:r w:rsidR="00DE01D8" w:rsidRPr="0004176C">
              <w:rPr>
                <w:rFonts w:eastAsia="Calibri"/>
                <w:sz w:val="20"/>
                <w:szCs w:val="20"/>
              </w:rPr>
              <w:t xml:space="preserve"> $391,844</w:t>
            </w:r>
            <w:r w:rsidRPr="0004176C">
              <w:rPr>
                <w:rFonts w:eastAsia="Calibri"/>
                <w:sz w:val="20"/>
                <w:szCs w:val="20"/>
              </w:rPr>
              <w:t>**</w:t>
            </w:r>
          </w:p>
          <w:p w14:paraId="398C2D6A" w14:textId="77777777" w:rsidR="008D7DC4" w:rsidRPr="0004176C" w:rsidRDefault="008D7DC4" w:rsidP="000C6662">
            <w:pPr>
              <w:jc w:val="center"/>
              <w:rPr>
                <w:rFonts w:eastAsia="Calibri"/>
                <w:b/>
                <w:sz w:val="20"/>
                <w:szCs w:val="20"/>
              </w:rPr>
            </w:pPr>
          </w:p>
          <w:p w14:paraId="5087C56B" w14:textId="5A38ACFB" w:rsidR="003D3CE5" w:rsidRPr="0004176C" w:rsidRDefault="003D3CE5" w:rsidP="000C6662">
            <w:pPr>
              <w:jc w:val="center"/>
              <w:rPr>
                <w:rFonts w:eastAsia="Calibri"/>
                <w:sz w:val="20"/>
                <w:szCs w:val="20"/>
              </w:rPr>
            </w:pPr>
            <w:r w:rsidRPr="0004176C">
              <w:rPr>
                <w:rFonts w:eastAsia="Calibri"/>
                <w:b/>
                <w:sz w:val="20"/>
                <w:szCs w:val="20"/>
              </w:rPr>
              <w:t>Anticipated Number of Recertifications</w:t>
            </w:r>
            <w:r w:rsidR="008D7DC4" w:rsidRPr="0004176C">
              <w:rPr>
                <w:rFonts w:eastAsia="Calibri"/>
                <w:sz w:val="20"/>
                <w:szCs w:val="20"/>
              </w:rPr>
              <w:t>: 8,293</w:t>
            </w:r>
          </w:p>
          <w:p w14:paraId="03AD7211" w14:textId="77777777" w:rsidR="003D3CE5" w:rsidRPr="0004176C" w:rsidRDefault="003D3CE5" w:rsidP="003D3CE5">
            <w:pPr>
              <w:jc w:val="center"/>
              <w:rPr>
                <w:rFonts w:eastAsia="Calibri"/>
                <w:sz w:val="20"/>
                <w:szCs w:val="20"/>
              </w:rPr>
            </w:pPr>
          </w:p>
          <w:p w14:paraId="2FFDA1A3" w14:textId="77777777" w:rsidR="003D3CE5" w:rsidRPr="0004176C" w:rsidRDefault="003D3CE5" w:rsidP="003D3CE5">
            <w:pPr>
              <w:jc w:val="center"/>
              <w:rPr>
                <w:rFonts w:eastAsia="Calibri"/>
                <w:sz w:val="20"/>
                <w:szCs w:val="20"/>
              </w:rPr>
            </w:pPr>
            <w:r w:rsidRPr="0004176C">
              <w:rPr>
                <w:rFonts w:eastAsia="Calibri"/>
                <w:b/>
                <w:sz w:val="20"/>
                <w:szCs w:val="20"/>
              </w:rPr>
              <w:t>Time per Recertification</w:t>
            </w:r>
            <w:r w:rsidRPr="0004176C">
              <w:rPr>
                <w:rFonts w:eastAsia="Calibri"/>
                <w:sz w:val="20"/>
                <w:szCs w:val="20"/>
              </w:rPr>
              <w:t>: 2.25 hours</w:t>
            </w:r>
          </w:p>
          <w:p w14:paraId="302EAB2E" w14:textId="77777777" w:rsidR="003D3CE5" w:rsidRPr="0004176C" w:rsidRDefault="003D3CE5" w:rsidP="003D3CE5">
            <w:pPr>
              <w:jc w:val="center"/>
              <w:rPr>
                <w:rFonts w:eastAsia="Calibri"/>
                <w:sz w:val="20"/>
                <w:szCs w:val="20"/>
              </w:rPr>
            </w:pPr>
          </w:p>
          <w:p w14:paraId="48D3FC8E" w14:textId="07F5B42A" w:rsidR="003D3CE5" w:rsidRPr="0004176C" w:rsidRDefault="003D3CE5" w:rsidP="008D7DC4">
            <w:pPr>
              <w:jc w:val="center"/>
              <w:rPr>
                <w:rFonts w:eastAsia="Calibri"/>
                <w:sz w:val="20"/>
                <w:szCs w:val="20"/>
              </w:rPr>
            </w:pPr>
            <w:r w:rsidRPr="0004176C">
              <w:rPr>
                <w:rFonts w:eastAsia="Calibri"/>
                <w:b/>
                <w:sz w:val="20"/>
                <w:szCs w:val="20"/>
              </w:rPr>
              <w:t>Average Hourly Staff Rate</w:t>
            </w:r>
            <w:r w:rsidR="008D7DC4" w:rsidRPr="0004176C">
              <w:rPr>
                <w:rFonts w:eastAsia="Calibri"/>
                <w:sz w:val="20"/>
                <w:szCs w:val="20"/>
              </w:rPr>
              <w:t>: $21.00</w:t>
            </w:r>
          </w:p>
        </w:tc>
        <w:tc>
          <w:tcPr>
            <w:tcW w:w="1351" w:type="dxa"/>
            <w:tcBorders>
              <w:top w:val="single" w:sz="4" w:space="0" w:color="auto"/>
            </w:tcBorders>
            <w:hideMark/>
          </w:tcPr>
          <w:p w14:paraId="17A390B1" w14:textId="616B558B" w:rsidR="003D3CE5" w:rsidRPr="0004176C" w:rsidRDefault="003D3CE5" w:rsidP="000C6662">
            <w:pPr>
              <w:jc w:val="center"/>
              <w:rPr>
                <w:color w:val="000000"/>
                <w:sz w:val="20"/>
                <w:szCs w:val="20"/>
              </w:rPr>
            </w:pPr>
          </w:p>
        </w:tc>
        <w:tc>
          <w:tcPr>
            <w:tcW w:w="1438" w:type="dxa"/>
            <w:tcBorders>
              <w:top w:val="single" w:sz="4" w:space="0" w:color="auto"/>
            </w:tcBorders>
            <w:hideMark/>
          </w:tcPr>
          <w:p w14:paraId="78F29DC7" w14:textId="3F8E8BCB" w:rsidR="003D3CE5" w:rsidRPr="0004176C" w:rsidRDefault="003D3CE5" w:rsidP="003D3CE5">
            <w:pPr>
              <w:jc w:val="center"/>
              <w:rPr>
                <w:color w:val="000000"/>
                <w:sz w:val="20"/>
                <w:szCs w:val="20"/>
              </w:rPr>
            </w:pPr>
          </w:p>
        </w:tc>
      </w:tr>
      <w:tr w:rsidR="003D3CE5" w:rsidRPr="0004176C" w14:paraId="022CEA80" w14:textId="77777777" w:rsidTr="00256314">
        <w:trPr>
          <w:trHeight w:val="179"/>
        </w:trPr>
        <w:tc>
          <w:tcPr>
            <w:tcW w:w="9354" w:type="dxa"/>
            <w:gridSpan w:val="5"/>
          </w:tcPr>
          <w:p w14:paraId="0DE41601" w14:textId="77777777" w:rsidR="003D3CE5" w:rsidRPr="0004176C" w:rsidRDefault="003D3CE5" w:rsidP="003D3CE5">
            <w:pPr>
              <w:rPr>
                <w:color w:val="000000"/>
                <w:sz w:val="20"/>
                <w:szCs w:val="20"/>
              </w:rPr>
            </w:pPr>
            <w:r w:rsidRPr="0004176C">
              <w:rPr>
                <w:rFonts w:eastAsia="Calibri"/>
                <w:i/>
                <w:sz w:val="20"/>
                <w:szCs w:val="20"/>
              </w:rPr>
              <w:t>*Baseline represents the metrics used when this activity was initially proposed</w:t>
            </w:r>
            <w:r w:rsidRPr="0004176C">
              <w:rPr>
                <w:rFonts w:eastAsia="Calibri"/>
                <w:sz w:val="20"/>
                <w:szCs w:val="20"/>
              </w:rPr>
              <w:t xml:space="preserve">. </w:t>
            </w:r>
          </w:p>
        </w:tc>
      </w:tr>
      <w:tr w:rsidR="003D3CE5" w:rsidRPr="0004176C" w14:paraId="2549BE76" w14:textId="77777777" w:rsidTr="00256314">
        <w:trPr>
          <w:trHeight w:val="179"/>
        </w:trPr>
        <w:tc>
          <w:tcPr>
            <w:tcW w:w="9354" w:type="dxa"/>
            <w:gridSpan w:val="5"/>
          </w:tcPr>
          <w:p w14:paraId="102CE494" w14:textId="708DF7B4" w:rsidR="003D3CE5" w:rsidRPr="0004176C" w:rsidRDefault="003D3CE5" w:rsidP="003D3CE5">
            <w:pPr>
              <w:rPr>
                <w:rFonts w:eastAsia="Calibri"/>
                <w:i/>
                <w:sz w:val="20"/>
                <w:szCs w:val="20"/>
              </w:rPr>
            </w:pPr>
            <w:r w:rsidRPr="0004176C">
              <w:rPr>
                <w:rFonts w:eastAsia="Calibri"/>
                <w:i/>
                <w:sz w:val="20"/>
                <w:szCs w:val="20"/>
              </w:rPr>
              <w:t>**Accounts for cost savings from Biennial</w:t>
            </w:r>
            <w:r w:rsidR="008D7DC4" w:rsidRPr="0004176C">
              <w:rPr>
                <w:rFonts w:eastAsia="Calibri"/>
                <w:i/>
                <w:sz w:val="20"/>
                <w:szCs w:val="20"/>
              </w:rPr>
              <w:t>/Triennial</w:t>
            </w:r>
            <w:r w:rsidRPr="0004176C">
              <w:rPr>
                <w:rFonts w:eastAsia="Calibri"/>
                <w:i/>
                <w:sz w:val="20"/>
                <w:szCs w:val="20"/>
              </w:rPr>
              <w:t xml:space="preserve"> Recertifications and Rent Simplification.</w:t>
            </w:r>
          </w:p>
        </w:tc>
      </w:tr>
      <w:tr w:rsidR="003D3CE5" w:rsidRPr="0004176C" w14:paraId="760BF966" w14:textId="77777777" w:rsidTr="00256314">
        <w:trPr>
          <w:trHeight w:hRule="exact" w:val="317"/>
        </w:trPr>
        <w:tc>
          <w:tcPr>
            <w:tcW w:w="9354" w:type="dxa"/>
            <w:gridSpan w:val="5"/>
            <w:shd w:val="clear" w:color="auto" w:fill="C6D9F1" w:themeFill="text2" w:themeFillTint="33"/>
          </w:tcPr>
          <w:p w14:paraId="191C844B" w14:textId="77777777" w:rsidR="003D3CE5" w:rsidRPr="0004176C" w:rsidRDefault="003D3CE5" w:rsidP="003D3CE5">
            <w:pPr>
              <w:jc w:val="center"/>
              <w:rPr>
                <w:color w:val="000000"/>
                <w:sz w:val="20"/>
                <w:szCs w:val="20"/>
              </w:rPr>
            </w:pPr>
            <w:r w:rsidRPr="0004176C">
              <w:rPr>
                <w:b/>
                <w:bCs/>
                <w:i/>
                <w:iCs/>
                <w:color w:val="000000"/>
                <w:sz w:val="20"/>
                <w:szCs w:val="20"/>
              </w:rPr>
              <w:t>CE #2: Staff Time Savings</w:t>
            </w:r>
          </w:p>
        </w:tc>
      </w:tr>
      <w:tr w:rsidR="003D3CE5" w:rsidRPr="0004176C" w14:paraId="391D5B76" w14:textId="77777777" w:rsidTr="00256314">
        <w:trPr>
          <w:trHeight w:hRule="exact" w:val="576"/>
        </w:trPr>
        <w:tc>
          <w:tcPr>
            <w:tcW w:w="3225" w:type="dxa"/>
            <w:shd w:val="clear" w:color="auto" w:fill="DDDDDD"/>
          </w:tcPr>
          <w:p w14:paraId="446BBB2F" w14:textId="77777777" w:rsidR="003D3CE5" w:rsidRPr="0004176C" w:rsidRDefault="003D3CE5" w:rsidP="003D3CE5">
            <w:pPr>
              <w:jc w:val="center"/>
              <w:rPr>
                <w:b/>
                <w:bCs/>
                <w:color w:val="000000"/>
                <w:sz w:val="20"/>
                <w:szCs w:val="20"/>
              </w:rPr>
            </w:pPr>
            <w:r w:rsidRPr="0004176C">
              <w:rPr>
                <w:b/>
                <w:bCs/>
                <w:color w:val="000000"/>
                <w:sz w:val="20"/>
                <w:szCs w:val="20"/>
              </w:rPr>
              <w:t>Unit of Measurement</w:t>
            </w:r>
          </w:p>
        </w:tc>
        <w:tc>
          <w:tcPr>
            <w:tcW w:w="1713" w:type="dxa"/>
            <w:shd w:val="clear" w:color="auto" w:fill="DDDDDD"/>
          </w:tcPr>
          <w:p w14:paraId="73F8E119" w14:textId="77777777" w:rsidR="003D3CE5" w:rsidRPr="0004176C" w:rsidRDefault="003D3CE5" w:rsidP="003D3CE5">
            <w:pPr>
              <w:jc w:val="center"/>
              <w:rPr>
                <w:b/>
                <w:bCs/>
                <w:color w:val="000000"/>
                <w:sz w:val="20"/>
                <w:szCs w:val="20"/>
              </w:rPr>
            </w:pPr>
            <w:r w:rsidRPr="0004176C">
              <w:rPr>
                <w:b/>
                <w:bCs/>
                <w:color w:val="000000"/>
                <w:sz w:val="20"/>
                <w:szCs w:val="20"/>
              </w:rPr>
              <w:t>Baseline*</w:t>
            </w:r>
          </w:p>
        </w:tc>
        <w:tc>
          <w:tcPr>
            <w:tcW w:w="1627" w:type="dxa"/>
            <w:shd w:val="clear" w:color="auto" w:fill="DDDDDD"/>
          </w:tcPr>
          <w:p w14:paraId="2DE072EB" w14:textId="77777777" w:rsidR="003D3CE5" w:rsidRPr="0004176C" w:rsidRDefault="003D3CE5" w:rsidP="003D3CE5">
            <w:pPr>
              <w:jc w:val="center"/>
              <w:rPr>
                <w:b/>
                <w:bCs/>
                <w:color w:val="000000"/>
                <w:sz w:val="20"/>
                <w:szCs w:val="20"/>
              </w:rPr>
            </w:pPr>
            <w:r w:rsidRPr="0004176C">
              <w:rPr>
                <w:b/>
                <w:bCs/>
                <w:color w:val="000000"/>
                <w:sz w:val="20"/>
                <w:szCs w:val="20"/>
              </w:rPr>
              <w:t>Benchmark</w:t>
            </w:r>
          </w:p>
        </w:tc>
        <w:tc>
          <w:tcPr>
            <w:tcW w:w="1351" w:type="dxa"/>
            <w:shd w:val="clear" w:color="auto" w:fill="DDDDDD"/>
          </w:tcPr>
          <w:p w14:paraId="16A57E83" w14:textId="77777777" w:rsidR="003D3CE5" w:rsidRPr="0004176C" w:rsidRDefault="003D3CE5" w:rsidP="003D3CE5">
            <w:pPr>
              <w:jc w:val="center"/>
              <w:rPr>
                <w:b/>
                <w:bCs/>
                <w:color w:val="000000"/>
                <w:sz w:val="20"/>
                <w:szCs w:val="20"/>
              </w:rPr>
            </w:pPr>
            <w:r w:rsidRPr="0004176C">
              <w:rPr>
                <w:b/>
                <w:bCs/>
                <w:color w:val="000000"/>
                <w:sz w:val="20"/>
                <w:szCs w:val="20"/>
              </w:rPr>
              <w:t>Outcome</w:t>
            </w:r>
          </w:p>
        </w:tc>
        <w:tc>
          <w:tcPr>
            <w:tcW w:w="1438" w:type="dxa"/>
            <w:shd w:val="clear" w:color="auto" w:fill="DDDDDD"/>
          </w:tcPr>
          <w:p w14:paraId="65F31299" w14:textId="77777777" w:rsidR="003D3CE5" w:rsidRPr="0004176C" w:rsidRDefault="003D3CE5" w:rsidP="003D3CE5">
            <w:pPr>
              <w:jc w:val="center"/>
              <w:rPr>
                <w:b/>
                <w:bCs/>
                <w:color w:val="000000"/>
                <w:sz w:val="20"/>
                <w:szCs w:val="20"/>
              </w:rPr>
            </w:pPr>
            <w:r w:rsidRPr="0004176C">
              <w:rPr>
                <w:b/>
                <w:bCs/>
                <w:color w:val="000000"/>
                <w:sz w:val="20"/>
                <w:szCs w:val="20"/>
              </w:rPr>
              <w:t>Benchmark Achieved?</w:t>
            </w:r>
          </w:p>
        </w:tc>
      </w:tr>
      <w:tr w:rsidR="003D3CE5" w:rsidRPr="0004176C" w14:paraId="37655205" w14:textId="77777777" w:rsidTr="00256314">
        <w:trPr>
          <w:trHeight w:val="530"/>
        </w:trPr>
        <w:tc>
          <w:tcPr>
            <w:tcW w:w="3225" w:type="dxa"/>
          </w:tcPr>
          <w:p w14:paraId="364A9C94" w14:textId="77777777" w:rsidR="003D3CE5" w:rsidRPr="0004176C" w:rsidRDefault="003D3CE5" w:rsidP="003D3CE5">
            <w:pPr>
              <w:rPr>
                <w:color w:val="000000"/>
                <w:sz w:val="20"/>
                <w:szCs w:val="20"/>
              </w:rPr>
            </w:pPr>
            <w:r w:rsidRPr="0004176C">
              <w:rPr>
                <w:color w:val="000000"/>
                <w:sz w:val="20"/>
                <w:szCs w:val="20"/>
              </w:rPr>
              <w:t>Total amount of staff time dedicated to the task prior to implementation of the activity (in hours).</w:t>
            </w:r>
          </w:p>
        </w:tc>
        <w:tc>
          <w:tcPr>
            <w:tcW w:w="1713" w:type="dxa"/>
          </w:tcPr>
          <w:p w14:paraId="00417482" w14:textId="4BE5A808" w:rsidR="008D7DC4" w:rsidRPr="0004176C" w:rsidRDefault="008D7DC4" w:rsidP="008D7DC4">
            <w:pPr>
              <w:jc w:val="center"/>
              <w:rPr>
                <w:rFonts w:eastAsia="Calibri"/>
                <w:b/>
                <w:sz w:val="20"/>
                <w:szCs w:val="20"/>
              </w:rPr>
            </w:pPr>
            <w:r w:rsidRPr="0004176C">
              <w:rPr>
                <w:rFonts w:eastAsia="Calibri"/>
                <w:b/>
                <w:sz w:val="20"/>
                <w:szCs w:val="20"/>
              </w:rPr>
              <w:t>Total Time Spent on Activity Prior to Implementation:</w:t>
            </w:r>
            <w:r w:rsidRPr="0004176C">
              <w:rPr>
                <w:rFonts w:eastAsia="Calibri"/>
                <w:sz w:val="20"/>
                <w:szCs w:val="20"/>
              </w:rPr>
              <w:t xml:space="preserve"> 50,745 hours</w:t>
            </w:r>
          </w:p>
          <w:p w14:paraId="19228472" w14:textId="77777777" w:rsidR="008D7DC4" w:rsidRPr="0004176C" w:rsidRDefault="008D7DC4" w:rsidP="008D7DC4">
            <w:pPr>
              <w:jc w:val="center"/>
              <w:rPr>
                <w:rFonts w:eastAsia="Calibri"/>
                <w:b/>
                <w:sz w:val="20"/>
                <w:szCs w:val="20"/>
              </w:rPr>
            </w:pPr>
          </w:p>
          <w:p w14:paraId="6765A404" w14:textId="4EFE9EE5" w:rsidR="003D3CE5" w:rsidRPr="0004176C" w:rsidRDefault="003D3CE5" w:rsidP="008D7DC4">
            <w:pPr>
              <w:jc w:val="center"/>
              <w:rPr>
                <w:rFonts w:eastAsia="Calibri"/>
                <w:sz w:val="20"/>
                <w:szCs w:val="20"/>
              </w:rPr>
            </w:pPr>
            <w:r w:rsidRPr="0004176C">
              <w:rPr>
                <w:rFonts w:eastAsia="Calibri"/>
                <w:b/>
                <w:sz w:val="20"/>
                <w:szCs w:val="20"/>
              </w:rPr>
              <w:t>Number of vouchers:</w:t>
            </w:r>
            <w:r w:rsidRPr="0004176C">
              <w:rPr>
                <w:rFonts w:eastAsia="Calibri"/>
                <w:sz w:val="20"/>
                <w:szCs w:val="20"/>
              </w:rPr>
              <w:t xml:space="preserve"> 20,298</w:t>
            </w:r>
          </w:p>
          <w:p w14:paraId="41522DE1" w14:textId="77777777" w:rsidR="003D3CE5" w:rsidRPr="0004176C" w:rsidRDefault="003D3CE5" w:rsidP="008D7DC4">
            <w:pPr>
              <w:jc w:val="center"/>
              <w:rPr>
                <w:rFonts w:eastAsia="Calibri"/>
                <w:sz w:val="20"/>
                <w:szCs w:val="20"/>
              </w:rPr>
            </w:pPr>
          </w:p>
          <w:p w14:paraId="08B6F752" w14:textId="77777777" w:rsidR="003D3CE5" w:rsidRPr="0004176C" w:rsidRDefault="003D3CE5" w:rsidP="008D7DC4">
            <w:pPr>
              <w:jc w:val="center"/>
              <w:rPr>
                <w:rFonts w:eastAsia="Calibri"/>
                <w:sz w:val="20"/>
                <w:szCs w:val="20"/>
              </w:rPr>
            </w:pPr>
            <w:r w:rsidRPr="0004176C">
              <w:rPr>
                <w:rFonts w:eastAsia="Calibri"/>
                <w:b/>
                <w:sz w:val="20"/>
                <w:szCs w:val="20"/>
              </w:rPr>
              <w:t>Time per Recertification:</w:t>
            </w:r>
            <w:r w:rsidRPr="0004176C">
              <w:rPr>
                <w:rFonts w:eastAsia="Calibri"/>
                <w:sz w:val="20"/>
                <w:szCs w:val="20"/>
              </w:rPr>
              <w:t xml:space="preserve"> 2.5 hours</w:t>
            </w:r>
          </w:p>
          <w:p w14:paraId="6E3AAB73" w14:textId="77777777" w:rsidR="003D3CE5" w:rsidRPr="0004176C" w:rsidRDefault="003D3CE5" w:rsidP="008D7DC4">
            <w:pPr>
              <w:jc w:val="center"/>
              <w:rPr>
                <w:rFonts w:eastAsia="Calibri"/>
                <w:sz w:val="20"/>
                <w:szCs w:val="20"/>
              </w:rPr>
            </w:pPr>
          </w:p>
          <w:p w14:paraId="5BD0507D" w14:textId="4649178E" w:rsidR="003D3CE5" w:rsidRPr="0004176C" w:rsidRDefault="003D3CE5" w:rsidP="008D7DC4">
            <w:pPr>
              <w:jc w:val="center"/>
              <w:rPr>
                <w:rFonts w:eastAsia="Calibri"/>
                <w:sz w:val="20"/>
                <w:szCs w:val="20"/>
              </w:rPr>
            </w:pPr>
          </w:p>
        </w:tc>
        <w:tc>
          <w:tcPr>
            <w:tcW w:w="1627" w:type="dxa"/>
          </w:tcPr>
          <w:p w14:paraId="4484495A" w14:textId="4B585289" w:rsidR="008D7DC4" w:rsidRPr="0004176C" w:rsidRDefault="008D7DC4" w:rsidP="003D3CE5">
            <w:pPr>
              <w:jc w:val="center"/>
              <w:rPr>
                <w:rFonts w:eastAsia="Calibri"/>
                <w:color w:val="FF0000"/>
                <w:sz w:val="20"/>
                <w:szCs w:val="20"/>
              </w:rPr>
            </w:pPr>
            <w:r w:rsidRPr="0004176C">
              <w:rPr>
                <w:rFonts w:eastAsia="Calibri"/>
                <w:b/>
                <w:sz w:val="20"/>
                <w:szCs w:val="20"/>
              </w:rPr>
              <w:t xml:space="preserve">Anticipated Total Time Spent on Activity in </w:t>
            </w:r>
            <w:r w:rsidR="006D6331" w:rsidRPr="0004176C">
              <w:rPr>
                <w:rFonts w:eastAsia="Calibri"/>
                <w:b/>
                <w:sz w:val="20"/>
                <w:szCs w:val="20"/>
              </w:rPr>
              <w:t>FY 2021</w:t>
            </w:r>
            <w:r w:rsidRPr="0004176C">
              <w:rPr>
                <w:rFonts w:eastAsia="Calibri"/>
                <w:sz w:val="20"/>
                <w:szCs w:val="20"/>
              </w:rPr>
              <w:t>:</w:t>
            </w:r>
            <w:r w:rsidRPr="0004176C">
              <w:rPr>
                <w:rFonts w:eastAsia="Calibri"/>
                <w:color w:val="FF0000"/>
                <w:sz w:val="20"/>
                <w:szCs w:val="20"/>
              </w:rPr>
              <w:t xml:space="preserve"> </w:t>
            </w:r>
          </w:p>
          <w:p w14:paraId="1CEC5A7F" w14:textId="66314646" w:rsidR="008D7DC4" w:rsidRPr="0004176C" w:rsidRDefault="00DE01D8" w:rsidP="003D3CE5">
            <w:pPr>
              <w:jc w:val="center"/>
              <w:rPr>
                <w:rFonts w:eastAsia="Calibri"/>
                <w:b/>
                <w:sz w:val="20"/>
                <w:szCs w:val="20"/>
              </w:rPr>
            </w:pPr>
            <w:r w:rsidRPr="0004176C">
              <w:rPr>
                <w:rFonts w:eastAsia="Calibri"/>
                <w:sz w:val="20"/>
                <w:szCs w:val="20"/>
              </w:rPr>
              <w:t>18,65</w:t>
            </w:r>
            <w:r w:rsidR="008D7DC4" w:rsidRPr="0004176C">
              <w:rPr>
                <w:rFonts w:eastAsia="Calibri"/>
                <w:sz w:val="20"/>
                <w:szCs w:val="20"/>
              </w:rPr>
              <w:t>9 hours**</w:t>
            </w:r>
          </w:p>
          <w:p w14:paraId="6261FC42" w14:textId="77777777" w:rsidR="008D7DC4" w:rsidRPr="0004176C" w:rsidRDefault="008D7DC4" w:rsidP="003D3CE5">
            <w:pPr>
              <w:jc w:val="center"/>
              <w:rPr>
                <w:rFonts w:eastAsia="Calibri"/>
                <w:b/>
                <w:sz w:val="20"/>
                <w:szCs w:val="20"/>
              </w:rPr>
            </w:pPr>
          </w:p>
          <w:p w14:paraId="61ACB309" w14:textId="6AD74831" w:rsidR="003D3CE5" w:rsidRPr="0004176C" w:rsidRDefault="003D3CE5" w:rsidP="003D3CE5">
            <w:pPr>
              <w:jc w:val="center"/>
              <w:rPr>
                <w:rFonts w:eastAsia="Calibri"/>
                <w:sz w:val="20"/>
                <w:szCs w:val="20"/>
              </w:rPr>
            </w:pPr>
            <w:r w:rsidRPr="0004176C">
              <w:rPr>
                <w:rFonts w:eastAsia="Calibri"/>
                <w:b/>
                <w:sz w:val="20"/>
                <w:szCs w:val="20"/>
              </w:rPr>
              <w:t>Anticipated Number of Recertifications</w:t>
            </w:r>
            <w:r w:rsidR="00CB794D" w:rsidRPr="0004176C">
              <w:rPr>
                <w:rFonts w:eastAsia="Calibri"/>
                <w:sz w:val="20"/>
                <w:szCs w:val="20"/>
              </w:rPr>
              <w:t xml:space="preserve">: </w:t>
            </w:r>
            <w:r w:rsidR="008D7DC4" w:rsidRPr="0004176C">
              <w:rPr>
                <w:rFonts w:eastAsia="Calibri"/>
                <w:sz w:val="20"/>
                <w:szCs w:val="20"/>
              </w:rPr>
              <w:t>8,293</w:t>
            </w:r>
          </w:p>
          <w:p w14:paraId="395D4220" w14:textId="77777777" w:rsidR="003D3CE5" w:rsidRPr="0004176C" w:rsidRDefault="003D3CE5" w:rsidP="003D3CE5">
            <w:pPr>
              <w:jc w:val="center"/>
              <w:rPr>
                <w:rFonts w:eastAsia="Calibri"/>
                <w:sz w:val="20"/>
                <w:szCs w:val="20"/>
              </w:rPr>
            </w:pPr>
          </w:p>
          <w:p w14:paraId="605EC3D7" w14:textId="70F7A3FC" w:rsidR="003D3CE5" w:rsidRPr="0004176C" w:rsidRDefault="003D3CE5" w:rsidP="008D7DC4">
            <w:pPr>
              <w:jc w:val="center"/>
              <w:rPr>
                <w:rFonts w:eastAsia="Calibri"/>
                <w:sz w:val="20"/>
                <w:szCs w:val="20"/>
              </w:rPr>
            </w:pPr>
            <w:r w:rsidRPr="0004176C">
              <w:rPr>
                <w:rFonts w:eastAsia="Calibri"/>
                <w:b/>
                <w:sz w:val="20"/>
                <w:szCs w:val="20"/>
              </w:rPr>
              <w:t>Time per Recertification</w:t>
            </w:r>
            <w:r w:rsidRPr="0004176C">
              <w:rPr>
                <w:rFonts w:eastAsia="Calibri"/>
                <w:sz w:val="20"/>
                <w:szCs w:val="20"/>
              </w:rPr>
              <w:t>: 2.25 hours</w:t>
            </w:r>
          </w:p>
        </w:tc>
        <w:tc>
          <w:tcPr>
            <w:tcW w:w="1351" w:type="dxa"/>
          </w:tcPr>
          <w:p w14:paraId="7143FC79" w14:textId="24DBAB04" w:rsidR="003D3CE5" w:rsidRPr="0004176C" w:rsidRDefault="003D3CE5" w:rsidP="00C01FCA">
            <w:pPr>
              <w:jc w:val="center"/>
              <w:rPr>
                <w:color w:val="000000"/>
                <w:sz w:val="20"/>
                <w:szCs w:val="20"/>
              </w:rPr>
            </w:pPr>
          </w:p>
        </w:tc>
        <w:tc>
          <w:tcPr>
            <w:tcW w:w="1438" w:type="dxa"/>
          </w:tcPr>
          <w:p w14:paraId="5839AB16" w14:textId="7AFC6347" w:rsidR="003D3CE5" w:rsidRPr="0004176C" w:rsidRDefault="003D3CE5" w:rsidP="003D3CE5">
            <w:pPr>
              <w:jc w:val="center"/>
              <w:rPr>
                <w:color w:val="000000"/>
                <w:sz w:val="20"/>
                <w:szCs w:val="20"/>
              </w:rPr>
            </w:pPr>
          </w:p>
        </w:tc>
      </w:tr>
      <w:tr w:rsidR="003D3CE5" w:rsidRPr="0004176C" w14:paraId="6C7CA5DE" w14:textId="77777777" w:rsidTr="00256314">
        <w:trPr>
          <w:trHeight w:val="134"/>
        </w:trPr>
        <w:tc>
          <w:tcPr>
            <w:tcW w:w="9354" w:type="dxa"/>
            <w:gridSpan w:val="5"/>
          </w:tcPr>
          <w:p w14:paraId="45085A4A" w14:textId="77777777" w:rsidR="003D3CE5" w:rsidRPr="0004176C" w:rsidRDefault="003D3CE5" w:rsidP="003D3CE5">
            <w:pPr>
              <w:rPr>
                <w:i/>
                <w:color w:val="000000"/>
                <w:sz w:val="20"/>
                <w:szCs w:val="20"/>
              </w:rPr>
            </w:pPr>
            <w:r w:rsidRPr="0004176C">
              <w:rPr>
                <w:rFonts w:eastAsia="Calibri"/>
                <w:i/>
                <w:sz w:val="20"/>
                <w:szCs w:val="20"/>
              </w:rPr>
              <w:t xml:space="preserve">*Baseline represents the metrics used when this activity was initially proposed. </w:t>
            </w:r>
          </w:p>
        </w:tc>
      </w:tr>
      <w:tr w:rsidR="003D3CE5" w:rsidRPr="0004176C" w14:paraId="2467448A" w14:textId="77777777" w:rsidTr="00256314">
        <w:trPr>
          <w:trHeight w:val="134"/>
        </w:trPr>
        <w:tc>
          <w:tcPr>
            <w:tcW w:w="9354" w:type="dxa"/>
            <w:gridSpan w:val="5"/>
          </w:tcPr>
          <w:p w14:paraId="04F41F73" w14:textId="40FC782A" w:rsidR="003D3CE5" w:rsidRPr="0004176C" w:rsidRDefault="003D3CE5" w:rsidP="003D3CE5">
            <w:pPr>
              <w:rPr>
                <w:i/>
                <w:color w:val="000000"/>
                <w:sz w:val="20"/>
                <w:szCs w:val="20"/>
              </w:rPr>
            </w:pPr>
            <w:r w:rsidRPr="0004176C">
              <w:rPr>
                <w:rFonts w:eastAsia="Calibri"/>
                <w:i/>
                <w:sz w:val="20"/>
                <w:szCs w:val="20"/>
              </w:rPr>
              <w:t>**Accounts for cost savings from Biennial</w:t>
            </w:r>
            <w:r w:rsidR="008D7DC4" w:rsidRPr="0004176C">
              <w:rPr>
                <w:rFonts w:eastAsia="Calibri"/>
                <w:i/>
                <w:sz w:val="20"/>
                <w:szCs w:val="20"/>
              </w:rPr>
              <w:t>/Triennial</w:t>
            </w:r>
            <w:r w:rsidRPr="0004176C">
              <w:rPr>
                <w:rFonts w:eastAsia="Calibri"/>
                <w:i/>
                <w:sz w:val="20"/>
                <w:szCs w:val="20"/>
              </w:rPr>
              <w:t xml:space="preserve"> Recertifications and Rent Simplification.</w:t>
            </w:r>
          </w:p>
        </w:tc>
      </w:tr>
      <w:tr w:rsidR="003D3CE5" w:rsidRPr="0004176C" w14:paraId="7990EC3A" w14:textId="77777777" w:rsidTr="00256314">
        <w:trPr>
          <w:trHeight w:hRule="exact" w:val="317"/>
        </w:trPr>
        <w:tc>
          <w:tcPr>
            <w:tcW w:w="9354" w:type="dxa"/>
            <w:gridSpan w:val="5"/>
            <w:shd w:val="clear" w:color="auto" w:fill="C6D9F1" w:themeFill="text2" w:themeFillTint="33"/>
          </w:tcPr>
          <w:p w14:paraId="28BD19BB" w14:textId="77777777" w:rsidR="003D3CE5" w:rsidRPr="0004176C" w:rsidRDefault="003D3CE5" w:rsidP="003D3CE5">
            <w:pPr>
              <w:jc w:val="center"/>
              <w:rPr>
                <w:color w:val="000000"/>
                <w:sz w:val="20"/>
                <w:szCs w:val="20"/>
              </w:rPr>
            </w:pPr>
            <w:r w:rsidRPr="0004176C">
              <w:rPr>
                <w:b/>
                <w:bCs/>
                <w:i/>
                <w:iCs/>
                <w:color w:val="000000"/>
                <w:sz w:val="20"/>
                <w:szCs w:val="20"/>
              </w:rPr>
              <w:t>CE #3: Decrease in Error Rate of Task Execution</w:t>
            </w:r>
          </w:p>
        </w:tc>
      </w:tr>
      <w:tr w:rsidR="003D3CE5" w:rsidRPr="0004176C" w14:paraId="757C3DF8" w14:textId="77777777" w:rsidTr="00256314">
        <w:trPr>
          <w:trHeight w:hRule="exact" w:val="576"/>
        </w:trPr>
        <w:tc>
          <w:tcPr>
            <w:tcW w:w="3225" w:type="dxa"/>
            <w:shd w:val="clear" w:color="auto" w:fill="DDDDDD"/>
          </w:tcPr>
          <w:p w14:paraId="47C37058" w14:textId="77777777" w:rsidR="003D3CE5" w:rsidRPr="0004176C" w:rsidRDefault="003D3CE5" w:rsidP="003D3CE5">
            <w:pPr>
              <w:jc w:val="center"/>
              <w:rPr>
                <w:color w:val="000000"/>
                <w:sz w:val="20"/>
                <w:szCs w:val="20"/>
              </w:rPr>
            </w:pPr>
            <w:r w:rsidRPr="0004176C">
              <w:rPr>
                <w:b/>
                <w:bCs/>
                <w:color w:val="000000"/>
                <w:sz w:val="20"/>
                <w:szCs w:val="20"/>
              </w:rPr>
              <w:t>Unit of Measurement</w:t>
            </w:r>
          </w:p>
        </w:tc>
        <w:tc>
          <w:tcPr>
            <w:tcW w:w="1713" w:type="dxa"/>
            <w:shd w:val="clear" w:color="auto" w:fill="DDDDDD"/>
          </w:tcPr>
          <w:p w14:paraId="2FB9C2CD" w14:textId="77777777" w:rsidR="003D3CE5" w:rsidRPr="0004176C" w:rsidRDefault="003D3CE5" w:rsidP="003D3CE5">
            <w:pPr>
              <w:jc w:val="center"/>
              <w:rPr>
                <w:rFonts w:eastAsia="Calibri"/>
                <w:b/>
                <w:sz w:val="20"/>
                <w:szCs w:val="20"/>
              </w:rPr>
            </w:pPr>
            <w:r w:rsidRPr="0004176C">
              <w:rPr>
                <w:b/>
                <w:bCs/>
                <w:color w:val="000000"/>
                <w:sz w:val="20"/>
                <w:szCs w:val="20"/>
              </w:rPr>
              <w:t>Baseline</w:t>
            </w:r>
          </w:p>
        </w:tc>
        <w:tc>
          <w:tcPr>
            <w:tcW w:w="1627" w:type="dxa"/>
            <w:shd w:val="clear" w:color="auto" w:fill="DDDDDD"/>
          </w:tcPr>
          <w:p w14:paraId="0472FC5B" w14:textId="77777777" w:rsidR="003D3CE5" w:rsidRPr="0004176C" w:rsidRDefault="003D3CE5" w:rsidP="003D3CE5">
            <w:pPr>
              <w:jc w:val="center"/>
              <w:rPr>
                <w:rFonts w:eastAsia="Calibri"/>
                <w:b/>
                <w:sz w:val="20"/>
                <w:szCs w:val="20"/>
              </w:rPr>
            </w:pPr>
            <w:r w:rsidRPr="0004176C">
              <w:rPr>
                <w:b/>
                <w:bCs/>
                <w:color w:val="000000"/>
                <w:sz w:val="20"/>
                <w:szCs w:val="20"/>
              </w:rPr>
              <w:t>Benchmark</w:t>
            </w:r>
          </w:p>
        </w:tc>
        <w:tc>
          <w:tcPr>
            <w:tcW w:w="1351" w:type="dxa"/>
            <w:shd w:val="clear" w:color="auto" w:fill="DDDDDD"/>
          </w:tcPr>
          <w:p w14:paraId="4A47E648" w14:textId="77777777" w:rsidR="003D3CE5" w:rsidRPr="0004176C" w:rsidRDefault="003D3CE5" w:rsidP="003D3CE5">
            <w:pPr>
              <w:jc w:val="center"/>
              <w:rPr>
                <w:color w:val="000000"/>
                <w:sz w:val="20"/>
                <w:szCs w:val="20"/>
              </w:rPr>
            </w:pPr>
            <w:r w:rsidRPr="0004176C">
              <w:rPr>
                <w:b/>
                <w:bCs/>
                <w:color w:val="000000"/>
                <w:sz w:val="20"/>
                <w:szCs w:val="20"/>
              </w:rPr>
              <w:t>Outcome</w:t>
            </w:r>
          </w:p>
        </w:tc>
        <w:tc>
          <w:tcPr>
            <w:tcW w:w="1438" w:type="dxa"/>
            <w:shd w:val="clear" w:color="auto" w:fill="DDDDDD"/>
          </w:tcPr>
          <w:p w14:paraId="435A2CFA" w14:textId="77777777" w:rsidR="003D3CE5" w:rsidRPr="0004176C" w:rsidRDefault="003D3CE5" w:rsidP="003D3CE5">
            <w:pPr>
              <w:jc w:val="center"/>
              <w:rPr>
                <w:color w:val="000000"/>
                <w:sz w:val="20"/>
                <w:szCs w:val="20"/>
              </w:rPr>
            </w:pPr>
            <w:r w:rsidRPr="0004176C">
              <w:rPr>
                <w:b/>
                <w:bCs/>
                <w:color w:val="000000"/>
                <w:sz w:val="20"/>
                <w:szCs w:val="20"/>
              </w:rPr>
              <w:t>Benchmark Achieved?</w:t>
            </w:r>
          </w:p>
        </w:tc>
      </w:tr>
      <w:tr w:rsidR="003D3CE5" w:rsidRPr="0004176C" w14:paraId="5716BF27" w14:textId="77777777" w:rsidTr="00256314">
        <w:trPr>
          <w:trHeight w:val="530"/>
        </w:trPr>
        <w:tc>
          <w:tcPr>
            <w:tcW w:w="3225" w:type="dxa"/>
          </w:tcPr>
          <w:p w14:paraId="3A625A6A" w14:textId="77777777" w:rsidR="003D3CE5" w:rsidRPr="0004176C" w:rsidRDefault="003D3CE5" w:rsidP="003D3CE5">
            <w:pPr>
              <w:rPr>
                <w:color w:val="000000"/>
                <w:sz w:val="20"/>
                <w:szCs w:val="20"/>
              </w:rPr>
            </w:pPr>
            <w:r w:rsidRPr="0004176C">
              <w:rPr>
                <w:color w:val="000000"/>
                <w:sz w:val="20"/>
                <w:szCs w:val="20"/>
              </w:rPr>
              <w:t>Average error rate in completing a task as a percentage (decrease)</w:t>
            </w:r>
          </w:p>
        </w:tc>
        <w:tc>
          <w:tcPr>
            <w:tcW w:w="1713" w:type="dxa"/>
          </w:tcPr>
          <w:p w14:paraId="6A337025" w14:textId="77777777" w:rsidR="003D3CE5" w:rsidRPr="0004176C" w:rsidRDefault="003D3CE5" w:rsidP="008D7DC4">
            <w:pPr>
              <w:jc w:val="center"/>
              <w:rPr>
                <w:rFonts w:eastAsia="Calibri"/>
                <w:sz w:val="20"/>
                <w:szCs w:val="20"/>
              </w:rPr>
            </w:pPr>
            <w:r w:rsidRPr="0004176C">
              <w:rPr>
                <w:rFonts w:eastAsia="Calibri"/>
                <w:sz w:val="20"/>
                <w:szCs w:val="20"/>
              </w:rPr>
              <w:t>21%</w:t>
            </w:r>
          </w:p>
          <w:p w14:paraId="52621AE6" w14:textId="77777777" w:rsidR="003D3CE5" w:rsidRPr="0004176C" w:rsidRDefault="003D3CE5" w:rsidP="008D7DC4">
            <w:pPr>
              <w:jc w:val="center"/>
              <w:rPr>
                <w:rFonts w:eastAsia="Calibri"/>
                <w:sz w:val="20"/>
                <w:szCs w:val="20"/>
              </w:rPr>
            </w:pPr>
            <w:r w:rsidRPr="0004176C">
              <w:rPr>
                <w:rFonts w:eastAsia="Calibri"/>
                <w:sz w:val="20"/>
                <w:szCs w:val="20"/>
              </w:rPr>
              <w:t>Average error rate for income and rent errors</w:t>
            </w:r>
          </w:p>
        </w:tc>
        <w:tc>
          <w:tcPr>
            <w:tcW w:w="1627" w:type="dxa"/>
          </w:tcPr>
          <w:p w14:paraId="18AED322" w14:textId="77777777" w:rsidR="003D3CE5" w:rsidRPr="0004176C" w:rsidRDefault="003D3CE5" w:rsidP="008D7DC4">
            <w:pPr>
              <w:jc w:val="center"/>
              <w:rPr>
                <w:rFonts w:eastAsia="Calibri"/>
                <w:sz w:val="20"/>
                <w:szCs w:val="20"/>
              </w:rPr>
            </w:pPr>
            <w:r w:rsidRPr="0004176C">
              <w:rPr>
                <w:rFonts w:eastAsia="Calibri"/>
                <w:sz w:val="20"/>
                <w:szCs w:val="20"/>
              </w:rPr>
              <w:t>19%</w:t>
            </w:r>
          </w:p>
        </w:tc>
        <w:tc>
          <w:tcPr>
            <w:tcW w:w="1351" w:type="dxa"/>
          </w:tcPr>
          <w:p w14:paraId="05E67035" w14:textId="1CF2E119" w:rsidR="003D3CE5" w:rsidRPr="0004176C" w:rsidRDefault="003D3CE5" w:rsidP="008D7DC4">
            <w:pPr>
              <w:jc w:val="center"/>
              <w:rPr>
                <w:color w:val="000000"/>
                <w:sz w:val="20"/>
                <w:szCs w:val="20"/>
              </w:rPr>
            </w:pPr>
          </w:p>
        </w:tc>
        <w:tc>
          <w:tcPr>
            <w:tcW w:w="1438" w:type="dxa"/>
          </w:tcPr>
          <w:p w14:paraId="746B6536" w14:textId="45BDA587" w:rsidR="003D3CE5" w:rsidRPr="0004176C" w:rsidRDefault="003D3CE5" w:rsidP="008D7DC4">
            <w:pPr>
              <w:jc w:val="center"/>
              <w:rPr>
                <w:color w:val="000000"/>
                <w:sz w:val="20"/>
                <w:szCs w:val="20"/>
              </w:rPr>
            </w:pPr>
          </w:p>
        </w:tc>
      </w:tr>
      <w:tr w:rsidR="003D3CE5" w:rsidRPr="0004176C" w14:paraId="6633A79A" w14:textId="77777777" w:rsidTr="00256314">
        <w:trPr>
          <w:trHeight w:hRule="exact" w:val="317"/>
        </w:trPr>
        <w:tc>
          <w:tcPr>
            <w:tcW w:w="9354" w:type="dxa"/>
            <w:gridSpan w:val="5"/>
            <w:shd w:val="clear" w:color="auto" w:fill="C6D9F1" w:themeFill="text2" w:themeFillTint="33"/>
          </w:tcPr>
          <w:p w14:paraId="1EB022CC" w14:textId="77777777" w:rsidR="003D3CE5" w:rsidRPr="0004176C" w:rsidRDefault="003D3CE5" w:rsidP="003D3CE5">
            <w:pPr>
              <w:jc w:val="center"/>
              <w:rPr>
                <w:color w:val="000000"/>
                <w:sz w:val="20"/>
                <w:szCs w:val="20"/>
              </w:rPr>
            </w:pPr>
            <w:r w:rsidRPr="0004176C">
              <w:rPr>
                <w:b/>
                <w:bCs/>
                <w:i/>
                <w:iCs/>
                <w:color w:val="000000"/>
                <w:sz w:val="20"/>
                <w:szCs w:val="20"/>
              </w:rPr>
              <w:t>CE #5: Increase  in Agency Rental Revenue*</w:t>
            </w:r>
          </w:p>
        </w:tc>
      </w:tr>
      <w:tr w:rsidR="003D3CE5" w:rsidRPr="0004176C" w14:paraId="7B21CE6B" w14:textId="77777777" w:rsidTr="00256314">
        <w:trPr>
          <w:trHeight w:hRule="exact" w:val="576"/>
        </w:trPr>
        <w:tc>
          <w:tcPr>
            <w:tcW w:w="3225" w:type="dxa"/>
            <w:shd w:val="clear" w:color="auto" w:fill="DDDDDD"/>
          </w:tcPr>
          <w:p w14:paraId="66B1A153" w14:textId="77777777" w:rsidR="003D3CE5" w:rsidRPr="0004176C" w:rsidRDefault="003D3CE5" w:rsidP="003D3CE5">
            <w:pPr>
              <w:jc w:val="center"/>
              <w:rPr>
                <w:color w:val="000000"/>
                <w:sz w:val="20"/>
                <w:szCs w:val="20"/>
              </w:rPr>
            </w:pPr>
            <w:r w:rsidRPr="0004176C">
              <w:rPr>
                <w:b/>
                <w:bCs/>
                <w:color w:val="000000"/>
                <w:sz w:val="20"/>
                <w:szCs w:val="20"/>
              </w:rPr>
              <w:t>Unit of Measurement</w:t>
            </w:r>
          </w:p>
        </w:tc>
        <w:tc>
          <w:tcPr>
            <w:tcW w:w="1713" w:type="dxa"/>
            <w:shd w:val="clear" w:color="auto" w:fill="DDDDDD"/>
          </w:tcPr>
          <w:p w14:paraId="4786D9F3" w14:textId="77777777" w:rsidR="003D3CE5" w:rsidRPr="0004176C" w:rsidRDefault="003D3CE5" w:rsidP="003D3CE5">
            <w:pPr>
              <w:jc w:val="center"/>
              <w:rPr>
                <w:rFonts w:eastAsia="Calibri"/>
                <w:sz w:val="20"/>
                <w:szCs w:val="20"/>
              </w:rPr>
            </w:pPr>
            <w:r w:rsidRPr="0004176C">
              <w:rPr>
                <w:b/>
                <w:bCs/>
                <w:color w:val="000000"/>
                <w:sz w:val="20"/>
                <w:szCs w:val="20"/>
              </w:rPr>
              <w:t>Baseline</w:t>
            </w:r>
          </w:p>
        </w:tc>
        <w:tc>
          <w:tcPr>
            <w:tcW w:w="1627" w:type="dxa"/>
            <w:shd w:val="clear" w:color="auto" w:fill="DDDDDD"/>
          </w:tcPr>
          <w:p w14:paraId="1B640F3A" w14:textId="77777777" w:rsidR="003D3CE5" w:rsidRPr="0004176C" w:rsidRDefault="003D3CE5" w:rsidP="003D3CE5">
            <w:pPr>
              <w:jc w:val="center"/>
              <w:rPr>
                <w:rFonts w:eastAsia="Calibri"/>
                <w:sz w:val="20"/>
                <w:szCs w:val="20"/>
              </w:rPr>
            </w:pPr>
            <w:r w:rsidRPr="0004176C">
              <w:rPr>
                <w:b/>
                <w:bCs/>
                <w:color w:val="000000"/>
                <w:sz w:val="20"/>
                <w:szCs w:val="20"/>
              </w:rPr>
              <w:t>Benchmark</w:t>
            </w:r>
          </w:p>
        </w:tc>
        <w:tc>
          <w:tcPr>
            <w:tcW w:w="1351" w:type="dxa"/>
            <w:shd w:val="clear" w:color="auto" w:fill="DDDDDD"/>
          </w:tcPr>
          <w:p w14:paraId="68A8F6A4" w14:textId="77777777" w:rsidR="003D3CE5" w:rsidRPr="0004176C" w:rsidRDefault="003D3CE5" w:rsidP="003D3CE5">
            <w:pPr>
              <w:jc w:val="center"/>
              <w:rPr>
                <w:color w:val="000000"/>
                <w:sz w:val="20"/>
                <w:szCs w:val="20"/>
              </w:rPr>
            </w:pPr>
            <w:r w:rsidRPr="0004176C">
              <w:rPr>
                <w:b/>
                <w:bCs/>
                <w:color w:val="000000"/>
                <w:sz w:val="20"/>
                <w:szCs w:val="20"/>
              </w:rPr>
              <w:t>Outcome</w:t>
            </w:r>
          </w:p>
        </w:tc>
        <w:tc>
          <w:tcPr>
            <w:tcW w:w="1438" w:type="dxa"/>
            <w:shd w:val="clear" w:color="auto" w:fill="DDDDDD"/>
          </w:tcPr>
          <w:p w14:paraId="350AD1DD" w14:textId="77777777" w:rsidR="003D3CE5" w:rsidRPr="0004176C" w:rsidRDefault="003D3CE5" w:rsidP="003D3CE5">
            <w:pPr>
              <w:jc w:val="center"/>
              <w:rPr>
                <w:color w:val="000000"/>
                <w:sz w:val="20"/>
                <w:szCs w:val="20"/>
              </w:rPr>
            </w:pPr>
            <w:r w:rsidRPr="0004176C">
              <w:rPr>
                <w:b/>
                <w:bCs/>
                <w:color w:val="000000"/>
                <w:sz w:val="20"/>
                <w:szCs w:val="20"/>
              </w:rPr>
              <w:t>Benchmark Achieved?</w:t>
            </w:r>
          </w:p>
        </w:tc>
      </w:tr>
      <w:tr w:rsidR="003D3CE5" w:rsidRPr="0004176C" w14:paraId="1EFDD0F1" w14:textId="77777777" w:rsidTr="00256314">
        <w:trPr>
          <w:trHeight w:val="530"/>
        </w:trPr>
        <w:tc>
          <w:tcPr>
            <w:tcW w:w="3225" w:type="dxa"/>
          </w:tcPr>
          <w:p w14:paraId="5AF8D57B" w14:textId="77777777" w:rsidR="003D3CE5" w:rsidRPr="0004176C" w:rsidRDefault="003D3CE5" w:rsidP="003D3CE5">
            <w:pPr>
              <w:rPr>
                <w:color w:val="000000"/>
                <w:sz w:val="20"/>
                <w:szCs w:val="20"/>
              </w:rPr>
            </w:pPr>
            <w:r w:rsidRPr="0004176C">
              <w:rPr>
                <w:color w:val="000000"/>
                <w:sz w:val="20"/>
                <w:szCs w:val="20"/>
              </w:rPr>
              <w:t>Increase in agency rental revenue in dollars (increase)</w:t>
            </w:r>
          </w:p>
        </w:tc>
        <w:tc>
          <w:tcPr>
            <w:tcW w:w="1713" w:type="dxa"/>
          </w:tcPr>
          <w:p w14:paraId="1722BE35" w14:textId="77777777" w:rsidR="003D3CE5" w:rsidRPr="0004176C" w:rsidRDefault="003D3CE5" w:rsidP="008D7DC4">
            <w:pPr>
              <w:jc w:val="center"/>
              <w:rPr>
                <w:rFonts w:eastAsia="Calibri"/>
                <w:sz w:val="20"/>
                <w:szCs w:val="20"/>
              </w:rPr>
            </w:pPr>
            <w:r w:rsidRPr="0004176C">
              <w:rPr>
                <w:rFonts w:eastAsia="Calibri"/>
                <w:sz w:val="20"/>
                <w:szCs w:val="20"/>
              </w:rPr>
              <w:t>$382</w:t>
            </w:r>
          </w:p>
        </w:tc>
        <w:tc>
          <w:tcPr>
            <w:tcW w:w="1627" w:type="dxa"/>
          </w:tcPr>
          <w:p w14:paraId="2AE7A7A9" w14:textId="77777777" w:rsidR="003D3CE5" w:rsidRPr="0004176C" w:rsidRDefault="003D3CE5" w:rsidP="008D7DC4">
            <w:pPr>
              <w:jc w:val="center"/>
              <w:rPr>
                <w:rFonts w:eastAsia="Calibri"/>
                <w:sz w:val="20"/>
                <w:szCs w:val="20"/>
              </w:rPr>
            </w:pPr>
            <w:r w:rsidRPr="0004176C">
              <w:rPr>
                <w:rFonts w:eastAsia="Calibri"/>
                <w:sz w:val="20"/>
                <w:szCs w:val="20"/>
              </w:rPr>
              <w:t>$326</w:t>
            </w:r>
          </w:p>
        </w:tc>
        <w:tc>
          <w:tcPr>
            <w:tcW w:w="1351" w:type="dxa"/>
          </w:tcPr>
          <w:p w14:paraId="1417BEE9" w14:textId="0463D958" w:rsidR="003D3CE5" w:rsidRPr="0004176C" w:rsidRDefault="003D3CE5" w:rsidP="008D7DC4">
            <w:pPr>
              <w:jc w:val="center"/>
              <w:rPr>
                <w:color w:val="000000"/>
                <w:sz w:val="20"/>
                <w:szCs w:val="20"/>
              </w:rPr>
            </w:pPr>
          </w:p>
        </w:tc>
        <w:tc>
          <w:tcPr>
            <w:tcW w:w="1438" w:type="dxa"/>
          </w:tcPr>
          <w:p w14:paraId="6E03B32E" w14:textId="5B05AF21" w:rsidR="003D3CE5" w:rsidRPr="0004176C" w:rsidRDefault="003D3CE5" w:rsidP="008D7DC4">
            <w:pPr>
              <w:jc w:val="center"/>
              <w:rPr>
                <w:color w:val="000000"/>
                <w:sz w:val="20"/>
                <w:szCs w:val="20"/>
              </w:rPr>
            </w:pPr>
          </w:p>
        </w:tc>
      </w:tr>
      <w:tr w:rsidR="003D3CE5" w:rsidRPr="0004176C" w14:paraId="24F280D6" w14:textId="77777777" w:rsidTr="00256314">
        <w:trPr>
          <w:trHeight w:val="179"/>
        </w:trPr>
        <w:tc>
          <w:tcPr>
            <w:tcW w:w="9354" w:type="dxa"/>
            <w:gridSpan w:val="5"/>
          </w:tcPr>
          <w:p w14:paraId="0A457051" w14:textId="77777777" w:rsidR="003D3CE5" w:rsidRPr="0004176C" w:rsidRDefault="003D3CE5" w:rsidP="003D3CE5">
            <w:pPr>
              <w:rPr>
                <w:rFonts w:eastAsia="Calibri"/>
                <w:bCs/>
                <w:i/>
                <w:iCs/>
                <w:sz w:val="20"/>
                <w:szCs w:val="20"/>
              </w:rPr>
            </w:pPr>
            <w:r w:rsidRPr="0004176C">
              <w:rPr>
                <w:rFonts w:eastAsia="Calibri"/>
                <w:bCs/>
                <w:i/>
                <w:iCs/>
                <w:sz w:val="20"/>
                <w:szCs w:val="20"/>
              </w:rPr>
              <w:t xml:space="preserve">*DHCD does not have any rental revenue and has been instructed by HUD to report on average tenant rent to owner. </w:t>
            </w:r>
          </w:p>
        </w:tc>
      </w:tr>
      <w:tr w:rsidR="003D3CE5" w:rsidRPr="0004176C" w14:paraId="2AEA821A" w14:textId="77777777" w:rsidTr="00256314">
        <w:trPr>
          <w:trHeight w:hRule="exact" w:val="317"/>
        </w:trPr>
        <w:tc>
          <w:tcPr>
            <w:tcW w:w="9354" w:type="dxa"/>
            <w:gridSpan w:val="5"/>
            <w:shd w:val="clear" w:color="auto" w:fill="C6D9F1" w:themeFill="text2" w:themeFillTint="33"/>
          </w:tcPr>
          <w:p w14:paraId="06454812" w14:textId="77777777" w:rsidR="003D3CE5" w:rsidRPr="0004176C" w:rsidRDefault="003D3CE5" w:rsidP="003D3CE5">
            <w:pPr>
              <w:jc w:val="center"/>
              <w:rPr>
                <w:color w:val="000000"/>
                <w:sz w:val="20"/>
                <w:szCs w:val="20"/>
              </w:rPr>
            </w:pPr>
            <w:r w:rsidRPr="0004176C">
              <w:rPr>
                <w:b/>
                <w:bCs/>
                <w:i/>
                <w:iCs/>
                <w:sz w:val="20"/>
                <w:szCs w:val="20"/>
              </w:rPr>
              <w:t>HC #5: Increase in Resident Mobility</w:t>
            </w:r>
          </w:p>
        </w:tc>
      </w:tr>
      <w:tr w:rsidR="003D3CE5" w:rsidRPr="0004176C" w14:paraId="5E641759" w14:textId="77777777" w:rsidTr="00256314">
        <w:trPr>
          <w:trHeight w:hRule="exact" w:val="576"/>
        </w:trPr>
        <w:tc>
          <w:tcPr>
            <w:tcW w:w="3225" w:type="dxa"/>
            <w:tcBorders>
              <w:bottom w:val="single" w:sz="4" w:space="0" w:color="auto"/>
            </w:tcBorders>
            <w:shd w:val="clear" w:color="auto" w:fill="DDDDDD"/>
          </w:tcPr>
          <w:p w14:paraId="018DF5B1" w14:textId="77777777" w:rsidR="003D3CE5" w:rsidRPr="0004176C" w:rsidRDefault="003D3CE5" w:rsidP="003D3CE5">
            <w:pPr>
              <w:jc w:val="center"/>
              <w:rPr>
                <w:b/>
                <w:bCs/>
                <w:i/>
                <w:iCs/>
                <w:sz w:val="20"/>
                <w:szCs w:val="20"/>
              </w:rPr>
            </w:pPr>
            <w:r w:rsidRPr="0004176C">
              <w:rPr>
                <w:rFonts w:eastAsia="Calibri"/>
                <w:b/>
                <w:bCs/>
                <w:sz w:val="20"/>
                <w:szCs w:val="20"/>
              </w:rPr>
              <w:t>Unit of Measurement</w:t>
            </w:r>
          </w:p>
        </w:tc>
        <w:tc>
          <w:tcPr>
            <w:tcW w:w="1713" w:type="dxa"/>
            <w:tcBorders>
              <w:bottom w:val="single" w:sz="4" w:space="0" w:color="auto"/>
            </w:tcBorders>
            <w:shd w:val="clear" w:color="auto" w:fill="DDDDDD"/>
          </w:tcPr>
          <w:p w14:paraId="3E173D66" w14:textId="77777777" w:rsidR="003D3CE5" w:rsidRPr="0004176C" w:rsidRDefault="003D3CE5" w:rsidP="003D3CE5">
            <w:pPr>
              <w:jc w:val="center"/>
              <w:rPr>
                <w:rFonts w:eastAsia="Calibri"/>
                <w:sz w:val="20"/>
                <w:szCs w:val="20"/>
              </w:rPr>
            </w:pPr>
            <w:r w:rsidRPr="0004176C">
              <w:rPr>
                <w:rFonts w:eastAsia="Calibri"/>
                <w:b/>
                <w:bCs/>
                <w:sz w:val="20"/>
                <w:szCs w:val="20"/>
              </w:rPr>
              <w:t>Baseline</w:t>
            </w:r>
          </w:p>
        </w:tc>
        <w:tc>
          <w:tcPr>
            <w:tcW w:w="1627" w:type="dxa"/>
            <w:tcBorders>
              <w:bottom w:val="single" w:sz="4" w:space="0" w:color="auto"/>
            </w:tcBorders>
            <w:shd w:val="clear" w:color="auto" w:fill="DDDDDD"/>
          </w:tcPr>
          <w:p w14:paraId="1C9B5171" w14:textId="77777777" w:rsidR="003D3CE5" w:rsidRPr="0004176C" w:rsidRDefault="003D3CE5" w:rsidP="003D3CE5">
            <w:pPr>
              <w:jc w:val="center"/>
              <w:rPr>
                <w:rFonts w:eastAsia="Calibri"/>
                <w:sz w:val="20"/>
                <w:szCs w:val="20"/>
              </w:rPr>
            </w:pPr>
            <w:r w:rsidRPr="0004176C">
              <w:rPr>
                <w:rFonts w:eastAsia="Calibri"/>
                <w:b/>
                <w:bCs/>
                <w:sz w:val="20"/>
                <w:szCs w:val="20"/>
              </w:rPr>
              <w:t>Benchmark</w:t>
            </w:r>
          </w:p>
        </w:tc>
        <w:tc>
          <w:tcPr>
            <w:tcW w:w="1351" w:type="dxa"/>
            <w:tcBorders>
              <w:bottom w:val="single" w:sz="4" w:space="0" w:color="auto"/>
            </w:tcBorders>
            <w:shd w:val="clear" w:color="auto" w:fill="DDDDDD"/>
          </w:tcPr>
          <w:p w14:paraId="0D9023C3" w14:textId="77777777" w:rsidR="003D3CE5" w:rsidRPr="0004176C" w:rsidRDefault="003D3CE5" w:rsidP="003D3CE5">
            <w:pPr>
              <w:jc w:val="center"/>
              <w:rPr>
                <w:color w:val="000000"/>
                <w:sz w:val="20"/>
                <w:szCs w:val="20"/>
              </w:rPr>
            </w:pPr>
            <w:r w:rsidRPr="0004176C">
              <w:rPr>
                <w:rFonts w:eastAsia="Calibri"/>
                <w:b/>
                <w:bCs/>
                <w:sz w:val="20"/>
                <w:szCs w:val="20"/>
              </w:rPr>
              <w:t>Outcome</w:t>
            </w:r>
          </w:p>
        </w:tc>
        <w:tc>
          <w:tcPr>
            <w:tcW w:w="1438" w:type="dxa"/>
            <w:tcBorders>
              <w:bottom w:val="single" w:sz="4" w:space="0" w:color="auto"/>
            </w:tcBorders>
            <w:shd w:val="clear" w:color="auto" w:fill="DDDDDD"/>
          </w:tcPr>
          <w:p w14:paraId="6DB89CCB" w14:textId="77777777" w:rsidR="003D3CE5" w:rsidRPr="0004176C" w:rsidRDefault="003D3CE5" w:rsidP="003D3CE5">
            <w:pPr>
              <w:jc w:val="center"/>
              <w:rPr>
                <w:color w:val="000000"/>
                <w:sz w:val="20"/>
                <w:szCs w:val="20"/>
              </w:rPr>
            </w:pPr>
            <w:r w:rsidRPr="0004176C">
              <w:rPr>
                <w:rFonts w:eastAsia="Calibri"/>
                <w:b/>
                <w:bCs/>
                <w:sz w:val="20"/>
                <w:szCs w:val="20"/>
              </w:rPr>
              <w:t>Benchmark Achieved?</w:t>
            </w:r>
          </w:p>
        </w:tc>
      </w:tr>
      <w:tr w:rsidR="003D3CE5" w:rsidRPr="0004176C" w14:paraId="3F8088F2" w14:textId="77777777" w:rsidTr="00256314">
        <w:trPr>
          <w:trHeight w:val="530"/>
        </w:trPr>
        <w:tc>
          <w:tcPr>
            <w:tcW w:w="3225" w:type="dxa"/>
            <w:tcBorders>
              <w:top w:val="single" w:sz="4" w:space="0" w:color="auto"/>
              <w:left w:val="single" w:sz="4" w:space="0" w:color="auto"/>
              <w:bottom w:val="single" w:sz="4" w:space="0" w:color="auto"/>
              <w:right w:val="single" w:sz="4" w:space="0" w:color="auto"/>
            </w:tcBorders>
          </w:tcPr>
          <w:p w14:paraId="40E0980F" w14:textId="77777777" w:rsidR="003D3CE5" w:rsidRPr="0004176C" w:rsidRDefault="003D3CE5" w:rsidP="003D3CE5">
            <w:pPr>
              <w:rPr>
                <w:rFonts w:eastAsia="Calibri"/>
                <w:b/>
                <w:bCs/>
                <w:sz w:val="20"/>
                <w:szCs w:val="20"/>
              </w:rPr>
            </w:pPr>
            <w:r w:rsidRPr="0004176C">
              <w:rPr>
                <w:sz w:val="20"/>
                <w:szCs w:val="20"/>
              </w:rPr>
              <w:t>Number of households able to move to a better unit and/or neighborhood of opportunity as a result of the activity (increase).</w:t>
            </w:r>
          </w:p>
        </w:tc>
        <w:tc>
          <w:tcPr>
            <w:tcW w:w="1713" w:type="dxa"/>
            <w:tcBorders>
              <w:top w:val="single" w:sz="4" w:space="0" w:color="auto"/>
              <w:left w:val="single" w:sz="4" w:space="0" w:color="auto"/>
              <w:bottom w:val="single" w:sz="4" w:space="0" w:color="auto"/>
              <w:right w:val="single" w:sz="4" w:space="0" w:color="auto"/>
            </w:tcBorders>
          </w:tcPr>
          <w:p w14:paraId="0336526B" w14:textId="77777777" w:rsidR="003D3CE5" w:rsidRPr="0004176C" w:rsidRDefault="003D3CE5" w:rsidP="008D7DC4">
            <w:pPr>
              <w:jc w:val="center"/>
              <w:rPr>
                <w:rFonts w:eastAsia="Calibri"/>
                <w:bCs/>
                <w:sz w:val="20"/>
                <w:szCs w:val="20"/>
              </w:rPr>
            </w:pPr>
            <w:r w:rsidRPr="0004176C">
              <w:rPr>
                <w:rFonts w:eastAsia="Calibri"/>
                <w:bCs/>
                <w:sz w:val="20"/>
                <w:szCs w:val="20"/>
              </w:rPr>
              <w:t>0</w:t>
            </w:r>
          </w:p>
        </w:tc>
        <w:tc>
          <w:tcPr>
            <w:tcW w:w="1627" w:type="dxa"/>
            <w:tcBorders>
              <w:top w:val="single" w:sz="4" w:space="0" w:color="auto"/>
              <w:left w:val="single" w:sz="4" w:space="0" w:color="auto"/>
              <w:bottom w:val="single" w:sz="4" w:space="0" w:color="auto"/>
              <w:right w:val="single" w:sz="4" w:space="0" w:color="auto"/>
            </w:tcBorders>
          </w:tcPr>
          <w:p w14:paraId="5604739D" w14:textId="182CC105" w:rsidR="003D3CE5" w:rsidRPr="0004176C" w:rsidRDefault="00CB794D" w:rsidP="008D7DC4">
            <w:pPr>
              <w:jc w:val="center"/>
              <w:rPr>
                <w:rFonts w:eastAsia="Calibri"/>
                <w:bCs/>
                <w:iCs/>
                <w:sz w:val="20"/>
                <w:szCs w:val="20"/>
              </w:rPr>
            </w:pPr>
            <w:r w:rsidRPr="0004176C">
              <w:rPr>
                <w:rFonts w:eastAsia="Calibri"/>
                <w:bCs/>
                <w:iCs/>
                <w:sz w:val="20"/>
                <w:szCs w:val="20"/>
              </w:rPr>
              <w:t>1,000</w:t>
            </w:r>
          </w:p>
        </w:tc>
        <w:tc>
          <w:tcPr>
            <w:tcW w:w="1351" w:type="dxa"/>
            <w:tcBorders>
              <w:top w:val="single" w:sz="4" w:space="0" w:color="auto"/>
              <w:left w:val="single" w:sz="4" w:space="0" w:color="auto"/>
              <w:bottom w:val="single" w:sz="4" w:space="0" w:color="auto"/>
              <w:right w:val="single" w:sz="4" w:space="0" w:color="auto"/>
            </w:tcBorders>
          </w:tcPr>
          <w:p w14:paraId="03D43657" w14:textId="2E1D2069" w:rsidR="003D3CE5" w:rsidRPr="0004176C" w:rsidRDefault="003D3CE5" w:rsidP="008D7DC4">
            <w:pPr>
              <w:jc w:val="center"/>
              <w:rPr>
                <w:rFonts w:eastAsia="Calibri"/>
                <w:b/>
                <w:bCs/>
                <w:sz w:val="20"/>
                <w:szCs w:val="20"/>
              </w:rPr>
            </w:pPr>
          </w:p>
        </w:tc>
        <w:tc>
          <w:tcPr>
            <w:tcW w:w="1438" w:type="dxa"/>
            <w:tcBorders>
              <w:top w:val="single" w:sz="4" w:space="0" w:color="auto"/>
              <w:left w:val="single" w:sz="4" w:space="0" w:color="auto"/>
              <w:bottom w:val="single" w:sz="4" w:space="0" w:color="auto"/>
              <w:right w:val="single" w:sz="4" w:space="0" w:color="auto"/>
            </w:tcBorders>
          </w:tcPr>
          <w:p w14:paraId="7F356C16" w14:textId="7CE22216" w:rsidR="003D3CE5" w:rsidRPr="0004176C" w:rsidRDefault="003D3CE5" w:rsidP="008D7DC4">
            <w:pPr>
              <w:jc w:val="center"/>
              <w:rPr>
                <w:rFonts w:eastAsia="Calibri"/>
                <w:b/>
                <w:bCs/>
                <w:sz w:val="20"/>
                <w:szCs w:val="20"/>
              </w:rPr>
            </w:pPr>
          </w:p>
        </w:tc>
      </w:tr>
      <w:tr w:rsidR="003D3CE5" w:rsidRPr="0004176C" w14:paraId="7C5D68E8" w14:textId="77777777" w:rsidTr="00256314">
        <w:trPr>
          <w:trHeight w:hRule="exact" w:val="317"/>
        </w:trPr>
        <w:tc>
          <w:tcPr>
            <w:tcW w:w="9354" w:type="dxa"/>
            <w:gridSpan w:val="5"/>
            <w:tcBorders>
              <w:top w:val="single" w:sz="4" w:space="0" w:color="auto"/>
            </w:tcBorders>
            <w:shd w:val="clear" w:color="auto" w:fill="C6D9F1" w:themeFill="text2" w:themeFillTint="33"/>
            <w:hideMark/>
          </w:tcPr>
          <w:p w14:paraId="4112769E" w14:textId="525681E7" w:rsidR="003D3CE5" w:rsidRPr="0004176C" w:rsidRDefault="003D3CE5" w:rsidP="003D3CE5">
            <w:pPr>
              <w:jc w:val="center"/>
              <w:rPr>
                <w:rFonts w:eastAsia="Calibri"/>
                <w:b/>
                <w:bCs/>
                <w:i/>
                <w:iCs/>
                <w:sz w:val="20"/>
                <w:szCs w:val="20"/>
              </w:rPr>
            </w:pPr>
            <w:r w:rsidRPr="0004176C">
              <w:rPr>
                <w:rFonts w:eastAsia="Calibri"/>
                <w:b/>
                <w:bCs/>
                <w:i/>
                <w:iCs/>
                <w:sz w:val="20"/>
                <w:szCs w:val="20"/>
              </w:rPr>
              <w:t>SS #1: Increase in Household Income</w:t>
            </w:r>
            <w:r w:rsidR="00626E12" w:rsidRPr="0004176C">
              <w:rPr>
                <w:rFonts w:eastAsia="Calibri"/>
                <w:b/>
                <w:bCs/>
                <w:i/>
                <w:iCs/>
                <w:sz w:val="20"/>
                <w:szCs w:val="20"/>
              </w:rPr>
              <w:t>*</w:t>
            </w:r>
          </w:p>
        </w:tc>
      </w:tr>
      <w:tr w:rsidR="003D3CE5" w:rsidRPr="0004176C" w14:paraId="7D7E1A23" w14:textId="77777777" w:rsidTr="00256314">
        <w:trPr>
          <w:trHeight w:hRule="exact" w:val="576"/>
        </w:trPr>
        <w:tc>
          <w:tcPr>
            <w:tcW w:w="3225" w:type="dxa"/>
            <w:tcBorders>
              <w:bottom w:val="single" w:sz="2" w:space="0" w:color="auto"/>
            </w:tcBorders>
            <w:shd w:val="clear" w:color="auto" w:fill="DDDDDD"/>
            <w:hideMark/>
          </w:tcPr>
          <w:p w14:paraId="268E807F" w14:textId="77777777" w:rsidR="003D3CE5" w:rsidRPr="0004176C" w:rsidRDefault="003D3CE5" w:rsidP="003D3CE5">
            <w:pPr>
              <w:jc w:val="center"/>
              <w:rPr>
                <w:rFonts w:eastAsia="Calibri"/>
                <w:b/>
                <w:bCs/>
                <w:sz w:val="20"/>
                <w:szCs w:val="20"/>
              </w:rPr>
            </w:pPr>
            <w:r w:rsidRPr="0004176C">
              <w:rPr>
                <w:rFonts w:eastAsia="Calibri"/>
                <w:b/>
                <w:bCs/>
                <w:sz w:val="20"/>
                <w:szCs w:val="20"/>
              </w:rPr>
              <w:t>Unit of Measurement</w:t>
            </w:r>
          </w:p>
        </w:tc>
        <w:tc>
          <w:tcPr>
            <w:tcW w:w="1713" w:type="dxa"/>
            <w:tcBorders>
              <w:bottom w:val="single" w:sz="2" w:space="0" w:color="auto"/>
            </w:tcBorders>
            <w:shd w:val="clear" w:color="auto" w:fill="DDDDDD"/>
            <w:hideMark/>
          </w:tcPr>
          <w:p w14:paraId="43E4577C" w14:textId="77777777" w:rsidR="003D3CE5" w:rsidRPr="0004176C" w:rsidRDefault="003D3CE5" w:rsidP="003D3CE5">
            <w:pPr>
              <w:jc w:val="center"/>
              <w:rPr>
                <w:rFonts w:eastAsia="Calibri"/>
                <w:b/>
                <w:bCs/>
                <w:sz w:val="20"/>
                <w:szCs w:val="20"/>
              </w:rPr>
            </w:pPr>
            <w:r w:rsidRPr="0004176C">
              <w:rPr>
                <w:rFonts w:eastAsia="Calibri"/>
                <w:b/>
                <w:bCs/>
                <w:sz w:val="20"/>
                <w:szCs w:val="20"/>
              </w:rPr>
              <w:t>Baseline</w:t>
            </w:r>
          </w:p>
        </w:tc>
        <w:tc>
          <w:tcPr>
            <w:tcW w:w="1627" w:type="dxa"/>
            <w:tcBorders>
              <w:bottom w:val="single" w:sz="2" w:space="0" w:color="auto"/>
            </w:tcBorders>
            <w:shd w:val="clear" w:color="auto" w:fill="DDDDDD"/>
            <w:hideMark/>
          </w:tcPr>
          <w:p w14:paraId="29FD1799" w14:textId="16FBDBF1" w:rsidR="003D3CE5" w:rsidRPr="0004176C" w:rsidRDefault="003D3CE5" w:rsidP="003D3CE5">
            <w:pPr>
              <w:jc w:val="center"/>
              <w:rPr>
                <w:rFonts w:eastAsia="Calibri"/>
                <w:b/>
                <w:bCs/>
                <w:sz w:val="20"/>
                <w:szCs w:val="20"/>
              </w:rPr>
            </w:pPr>
            <w:r w:rsidRPr="0004176C">
              <w:rPr>
                <w:rFonts w:eastAsia="Calibri"/>
                <w:b/>
                <w:bCs/>
                <w:sz w:val="20"/>
                <w:szCs w:val="20"/>
              </w:rPr>
              <w:t>Benchmark</w:t>
            </w:r>
            <w:r w:rsidR="00626E12" w:rsidRPr="0004176C">
              <w:rPr>
                <w:rFonts w:eastAsia="Calibri"/>
                <w:b/>
                <w:bCs/>
                <w:sz w:val="20"/>
                <w:szCs w:val="20"/>
              </w:rPr>
              <w:t>**</w:t>
            </w:r>
          </w:p>
        </w:tc>
        <w:tc>
          <w:tcPr>
            <w:tcW w:w="1351" w:type="dxa"/>
            <w:tcBorders>
              <w:bottom w:val="single" w:sz="2" w:space="0" w:color="auto"/>
            </w:tcBorders>
            <w:shd w:val="clear" w:color="auto" w:fill="DDDDDD"/>
            <w:hideMark/>
          </w:tcPr>
          <w:p w14:paraId="6D7F2378" w14:textId="77777777" w:rsidR="003D3CE5" w:rsidRPr="0004176C" w:rsidRDefault="003D3CE5" w:rsidP="003D3CE5">
            <w:pPr>
              <w:jc w:val="center"/>
              <w:rPr>
                <w:rFonts w:eastAsia="Calibri"/>
                <w:b/>
                <w:bCs/>
                <w:sz w:val="20"/>
                <w:szCs w:val="20"/>
              </w:rPr>
            </w:pPr>
            <w:r w:rsidRPr="0004176C">
              <w:rPr>
                <w:rFonts w:eastAsia="Calibri"/>
                <w:b/>
                <w:bCs/>
                <w:sz w:val="20"/>
                <w:szCs w:val="20"/>
              </w:rPr>
              <w:t>Outcome</w:t>
            </w:r>
          </w:p>
        </w:tc>
        <w:tc>
          <w:tcPr>
            <w:tcW w:w="1438" w:type="dxa"/>
            <w:tcBorders>
              <w:bottom w:val="single" w:sz="2" w:space="0" w:color="auto"/>
            </w:tcBorders>
            <w:shd w:val="clear" w:color="auto" w:fill="DDDDDD"/>
            <w:hideMark/>
          </w:tcPr>
          <w:p w14:paraId="41809919" w14:textId="77777777" w:rsidR="003D3CE5" w:rsidRPr="0004176C" w:rsidRDefault="003D3CE5" w:rsidP="003D3CE5">
            <w:pPr>
              <w:jc w:val="center"/>
              <w:rPr>
                <w:rFonts w:eastAsia="Calibri"/>
                <w:b/>
                <w:bCs/>
                <w:sz w:val="20"/>
                <w:szCs w:val="20"/>
              </w:rPr>
            </w:pPr>
            <w:r w:rsidRPr="0004176C">
              <w:rPr>
                <w:rFonts w:eastAsia="Calibri"/>
                <w:b/>
                <w:bCs/>
                <w:sz w:val="20"/>
                <w:szCs w:val="20"/>
              </w:rPr>
              <w:t>Benchmark Achieved?</w:t>
            </w:r>
          </w:p>
        </w:tc>
      </w:tr>
      <w:tr w:rsidR="003D3CE5" w:rsidRPr="0004176C" w14:paraId="7DECCA40" w14:textId="77777777" w:rsidTr="00256314">
        <w:trPr>
          <w:trHeight w:val="769"/>
        </w:trPr>
        <w:tc>
          <w:tcPr>
            <w:tcW w:w="3225" w:type="dxa"/>
            <w:tcBorders>
              <w:top w:val="single" w:sz="2" w:space="0" w:color="auto"/>
              <w:left w:val="single" w:sz="2" w:space="0" w:color="auto"/>
              <w:bottom w:val="single" w:sz="2" w:space="0" w:color="auto"/>
              <w:right w:val="single" w:sz="2" w:space="0" w:color="auto"/>
            </w:tcBorders>
            <w:shd w:val="clear" w:color="auto" w:fill="auto"/>
            <w:hideMark/>
          </w:tcPr>
          <w:p w14:paraId="69BDAA8C" w14:textId="77777777" w:rsidR="003D3CE5" w:rsidRPr="0004176C" w:rsidRDefault="003D3CE5" w:rsidP="003D3CE5">
            <w:pPr>
              <w:rPr>
                <w:rFonts w:eastAsia="Calibri"/>
                <w:sz w:val="20"/>
                <w:szCs w:val="20"/>
              </w:rPr>
            </w:pPr>
            <w:r w:rsidRPr="0004176C">
              <w:rPr>
                <w:rFonts w:eastAsia="Calibri"/>
                <w:sz w:val="20"/>
                <w:szCs w:val="20"/>
              </w:rPr>
              <w:t>Average earned income of households affected by this policy in dollars (increase).</w:t>
            </w:r>
          </w:p>
        </w:tc>
        <w:tc>
          <w:tcPr>
            <w:tcW w:w="1713" w:type="dxa"/>
            <w:tcBorders>
              <w:top w:val="single" w:sz="2" w:space="0" w:color="auto"/>
              <w:left w:val="single" w:sz="2" w:space="0" w:color="auto"/>
              <w:bottom w:val="single" w:sz="2" w:space="0" w:color="auto"/>
              <w:right w:val="single" w:sz="2" w:space="0" w:color="auto"/>
            </w:tcBorders>
            <w:shd w:val="clear" w:color="auto" w:fill="auto"/>
            <w:hideMark/>
          </w:tcPr>
          <w:p w14:paraId="2C44A430" w14:textId="77777777" w:rsidR="003D3CE5" w:rsidRPr="0004176C" w:rsidRDefault="003D3CE5" w:rsidP="008D7DC4">
            <w:pPr>
              <w:jc w:val="center"/>
              <w:rPr>
                <w:rFonts w:eastAsia="Calibri"/>
                <w:sz w:val="20"/>
                <w:szCs w:val="20"/>
              </w:rPr>
            </w:pPr>
            <w:r w:rsidRPr="0004176C">
              <w:rPr>
                <w:rFonts w:eastAsia="Calibri"/>
                <w:sz w:val="20"/>
                <w:szCs w:val="20"/>
              </w:rPr>
              <w:t>$19,058</w:t>
            </w:r>
          </w:p>
        </w:tc>
        <w:tc>
          <w:tcPr>
            <w:tcW w:w="1627" w:type="dxa"/>
            <w:tcBorders>
              <w:top w:val="single" w:sz="2" w:space="0" w:color="auto"/>
              <w:left w:val="single" w:sz="2" w:space="0" w:color="auto"/>
              <w:bottom w:val="single" w:sz="2" w:space="0" w:color="auto"/>
              <w:right w:val="single" w:sz="2" w:space="0" w:color="auto"/>
            </w:tcBorders>
            <w:shd w:val="clear" w:color="auto" w:fill="auto"/>
            <w:hideMark/>
          </w:tcPr>
          <w:p w14:paraId="605B8B6B" w14:textId="0BB1A719" w:rsidR="003D3CE5" w:rsidRPr="0004176C" w:rsidRDefault="00626E12" w:rsidP="008D7DC4">
            <w:pPr>
              <w:jc w:val="center"/>
              <w:rPr>
                <w:rFonts w:eastAsia="Calibri"/>
                <w:sz w:val="20"/>
                <w:szCs w:val="20"/>
              </w:rPr>
            </w:pPr>
            <w:r w:rsidRPr="0004176C">
              <w:rPr>
                <w:rFonts w:eastAsia="Calibri"/>
                <w:sz w:val="20"/>
                <w:szCs w:val="20"/>
              </w:rPr>
              <w:t>$21,871</w:t>
            </w:r>
          </w:p>
        </w:tc>
        <w:tc>
          <w:tcPr>
            <w:tcW w:w="1351" w:type="dxa"/>
            <w:tcBorders>
              <w:top w:val="single" w:sz="2" w:space="0" w:color="auto"/>
              <w:left w:val="single" w:sz="2" w:space="0" w:color="auto"/>
              <w:bottom w:val="single" w:sz="2" w:space="0" w:color="auto"/>
              <w:right w:val="single" w:sz="2" w:space="0" w:color="auto"/>
            </w:tcBorders>
            <w:shd w:val="clear" w:color="auto" w:fill="auto"/>
          </w:tcPr>
          <w:p w14:paraId="33007ABD" w14:textId="2BABAACE" w:rsidR="003D3CE5" w:rsidRPr="0004176C" w:rsidRDefault="003D3CE5" w:rsidP="008D7DC4">
            <w:pPr>
              <w:jc w:val="center"/>
              <w:rPr>
                <w:rFonts w:eastAsia="Calibri"/>
                <w:sz w:val="20"/>
                <w:szCs w:val="20"/>
              </w:rPr>
            </w:pPr>
          </w:p>
        </w:tc>
        <w:tc>
          <w:tcPr>
            <w:tcW w:w="1438" w:type="dxa"/>
            <w:tcBorders>
              <w:top w:val="single" w:sz="2" w:space="0" w:color="auto"/>
              <w:left w:val="single" w:sz="2" w:space="0" w:color="auto"/>
              <w:bottom w:val="single" w:sz="2" w:space="0" w:color="auto"/>
              <w:right w:val="single" w:sz="2" w:space="0" w:color="auto"/>
            </w:tcBorders>
            <w:shd w:val="clear" w:color="auto" w:fill="auto"/>
          </w:tcPr>
          <w:p w14:paraId="34716998" w14:textId="1367351B" w:rsidR="003D3CE5" w:rsidRPr="0004176C" w:rsidRDefault="003D3CE5" w:rsidP="008D7DC4">
            <w:pPr>
              <w:jc w:val="center"/>
              <w:rPr>
                <w:rFonts w:eastAsia="Calibri"/>
                <w:sz w:val="20"/>
                <w:szCs w:val="20"/>
              </w:rPr>
            </w:pPr>
          </w:p>
        </w:tc>
      </w:tr>
      <w:tr w:rsidR="003D3CE5" w:rsidRPr="0004176C" w14:paraId="328D4BAE" w14:textId="77777777" w:rsidTr="00256314">
        <w:trPr>
          <w:trHeight w:val="103"/>
        </w:trPr>
        <w:tc>
          <w:tcPr>
            <w:tcW w:w="9354" w:type="dxa"/>
            <w:gridSpan w:val="5"/>
            <w:tcBorders>
              <w:top w:val="single" w:sz="2" w:space="0" w:color="auto"/>
              <w:left w:val="single" w:sz="2" w:space="0" w:color="auto"/>
              <w:bottom w:val="single" w:sz="2" w:space="0" w:color="auto"/>
              <w:right w:val="single" w:sz="2" w:space="0" w:color="auto"/>
            </w:tcBorders>
            <w:shd w:val="clear" w:color="auto" w:fill="auto"/>
          </w:tcPr>
          <w:p w14:paraId="5DAAD410" w14:textId="0CAA4755" w:rsidR="00626E12" w:rsidRPr="0004176C" w:rsidRDefault="003D3CE5" w:rsidP="00626E12">
            <w:pPr>
              <w:rPr>
                <w:rFonts w:eastAsia="Calibri"/>
                <w:i/>
                <w:sz w:val="20"/>
                <w:szCs w:val="20"/>
              </w:rPr>
            </w:pPr>
            <w:r w:rsidRPr="0004176C">
              <w:rPr>
                <w:rFonts w:eastAsia="Calibri"/>
                <w:i/>
                <w:sz w:val="20"/>
                <w:szCs w:val="20"/>
              </w:rPr>
              <w:t>*</w:t>
            </w:r>
            <w:r w:rsidR="00626E12" w:rsidRPr="0004176C">
              <w:rPr>
                <w:rFonts w:eastAsia="Calibri"/>
                <w:i/>
                <w:sz w:val="20"/>
                <w:szCs w:val="20"/>
              </w:rPr>
              <w:t>The impact on earned income results from multi-year recertifications and rent simplification activities.</w:t>
            </w:r>
          </w:p>
          <w:p w14:paraId="0017F7E2" w14:textId="7B73AD20" w:rsidR="003D3CE5" w:rsidRPr="0004176C" w:rsidRDefault="00626E12" w:rsidP="00626E12">
            <w:pPr>
              <w:rPr>
                <w:rFonts w:eastAsia="Calibri"/>
                <w:i/>
                <w:sz w:val="20"/>
                <w:szCs w:val="20"/>
              </w:rPr>
            </w:pPr>
            <w:r w:rsidRPr="0004176C">
              <w:rPr>
                <w:rFonts w:eastAsia="Calibri"/>
                <w:i/>
                <w:sz w:val="20"/>
                <w:szCs w:val="20"/>
              </w:rPr>
              <w:t>**</w:t>
            </w:r>
            <w:r w:rsidR="003D3CE5" w:rsidRPr="0004176C">
              <w:rPr>
                <w:rFonts w:eastAsia="Calibri"/>
                <w:i/>
                <w:sz w:val="20"/>
                <w:szCs w:val="20"/>
              </w:rPr>
              <w:t xml:space="preserve">Represents </w:t>
            </w:r>
            <w:r w:rsidRPr="0004176C">
              <w:rPr>
                <w:rFonts w:eastAsia="Calibri"/>
                <w:i/>
                <w:sz w:val="20"/>
                <w:szCs w:val="20"/>
              </w:rPr>
              <w:t>average earned income for workable households.</w:t>
            </w:r>
            <w:r w:rsidR="003D3CE5" w:rsidRPr="0004176C">
              <w:rPr>
                <w:rFonts w:eastAsia="Calibri"/>
                <w:i/>
                <w:sz w:val="20"/>
                <w:szCs w:val="20"/>
              </w:rPr>
              <w:t xml:space="preserve"> </w:t>
            </w:r>
          </w:p>
        </w:tc>
      </w:tr>
      <w:tr w:rsidR="003D3CE5" w:rsidRPr="0004176C" w14:paraId="336E0807" w14:textId="77777777" w:rsidTr="00256314">
        <w:trPr>
          <w:trHeight w:hRule="exact" w:val="317"/>
        </w:trPr>
        <w:tc>
          <w:tcPr>
            <w:tcW w:w="9354" w:type="dxa"/>
            <w:gridSpan w:val="5"/>
            <w:tcBorders>
              <w:top w:val="single" w:sz="2" w:space="0" w:color="auto"/>
              <w:left w:val="single" w:sz="2" w:space="0" w:color="auto"/>
              <w:bottom w:val="single" w:sz="2" w:space="0" w:color="auto"/>
              <w:right w:val="single" w:sz="2" w:space="0" w:color="auto"/>
            </w:tcBorders>
            <w:shd w:val="clear" w:color="auto" w:fill="C6D9F1" w:themeFill="text2" w:themeFillTint="33"/>
            <w:hideMark/>
          </w:tcPr>
          <w:p w14:paraId="719D1CFD" w14:textId="12B90E91" w:rsidR="003D3CE5" w:rsidRPr="0004176C" w:rsidRDefault="003D3CE5" w:rsidP="00FA70CD">
            <w:pPr>
              <w:jc w:val="center"/>
              <w:rPr>
                <w:rFonts w:eastAsia="Calibri"/>
                <w:b/>
                <w:bCs/>
                <w:i/>
                <w:iCs/>
                <w:sz w:val="20"/>
                <w:szCs w:val="20"/>
              </w:rPr>
            </w:pPr>
            <w:r w:rsidRPr="0004176C">
              <w:rPr>
                <w:rFonts w:eastAsia="Calibri"/>
                <w:b/>
                <w:bCs/>
                <w:i/>
                <w:iCs/>
                <w:sz w:val="20"/>
                <w:szCs w:val="20"/>
              </w:rPr>
              <w:t>SS #3: Increase in Positive Outcomes in Employment Status*</w:t>
            </w:r>
          </w:p>
        </w:tc>
      </w:tr>
      <w:tr w:rsidR="003D3CE5" w:rsidRPr="0004176C" w14:paraId="21C4E6F3" w14:textId="77777777" w:rsidTr="00256314">
        <w:trPr>
          <w:trHeight w:hRule="exact" w:val="576"/>
        </w:trPr>
        <w:tc>
          <w:tcPr>
            <w:tcW w:w="3225" w:type="dxa"/>
            <w:tcBorders>
              <w:top w:val="single" w:sz="2" w:space="0" w:color="auto"/>
            </w:tcBorders>
            <w:shd w:val="clear" w:color="auto" w:fill="DDDDDD"/>
            <w:hideMark/>
          </w:tcPr>
          <w:p w14:paraId="1F36C099" w14:textId="77777777" w:rsidR="003D3CE5" w:rsidRPr="0004176C" w:rsidRDefault="003D3CE5" w:rsidP="003D3CE5">
            <w:pPr>
              <w:jc w:val="center"/>
              <w:rPr>
                <w:rFonts w:eastAsia="Calibri"/>
                <w:b/>
                <w:bCs/>
                <w:sz w:val="20"/>
                <w:szCs w:val="20"/>
              </w:rPr>
            </w:pPr>
            <w:r w:rsidRPr="0004176C">
              <w:rPr>
                <w:rFonts w:eastAsia="Calibri"/>
                <w:b/>
                <w:bCs/>
                <w:sz w:val="20"/>
                <w:szCs w:val="20"/>
              </w:rPr>
              <w:t>Unit of Measurement</w:t>
            </w:r>
          </w:p>
        </w:tc>
        <w:tc>
          <w:tcPr>
            <w:tcW w:w="1713" w:type="dxa"/>
            <w:tcBorders>
              <w:top w:val="single" w:sz="2" w:space="0" w:color="auto"/>
            </w:tcBorders>
            <w:shd w:val="clear" w:color="auto" w:fill="DDDDDD"/>
            <w:hideMark/>
          </w:tcPr>
          <w:p w14:paraId="12876F13" w14:textId="77777777" w:rsidR="003D3CE5" w:rsidRPr="0004176C" w:rsidRDefault="003D3CE5" w:rsidP="003D3CE5">
            <w:pPr>
              <w:jc w:val="center"/>
              <w:rPr>
                <w:rFonts w:eastAsia="Calibri"/>
                <w:b/>
                <w:bCs/>
                <w:sz w:val="20"/>
                <w:szCs w:val="20"/>
              </w:rPr>
            </w:pPr>
            <w:r w:rsidRPr="0004176C">
              <w:rPr>
                <w:rFonts w:eastAsia="Calibri"/>
                <w:b/>
                <w:bCs/>
                <w:sz w:val="20"/>
                <w:szCs w:val="20"/>
              </w:rPr>
              <w:t>Baseline</w:t>
            </w:r>
          </w:p>
        </w:tc>
        <w:tc>
          <w:tcPr>
            <w:tcW w:w="1627" w:type="dxa"/>
            <w:tcBorders>
              <w:top w:val="single" w:sz="2" w:space="0" w:color="auto"/>
            </w:tcBorders>
            <w:shd w:val="clear" w:color="auto" w:fill="DDDDDD"/>
            <w:hideMark/>
          </w:tcPr>
          <w:p w14:paraId="70BCD5EF" w14:textId="77777777" w:rsidR="003D3CE5" w:rsidRPr="0004176C" w:rsidRDefault="003D3CE5" w:rsidP="003D3CE5">
            <w:pPr>
              <w:jc w:val="center"/>
              <w:rPr>
                <w:rFonts w:eastAsia="Calibri"/>
                <w:b/>
                <w:bCs/>
                <w:sz w:val="20"/>
                <w:szCs w:val="20"/>
              </w:rPr>
            </w:pPr>
            <w:r w:rsidRPr="0004176C">
              <w:rPr>
                <w:rFonts w:eastAsia="Calibri"/>
                <w:b/>
                <w:bCs/>
                <w:sz w:val="20"/>
                <w:szCs w:val="20"/>
              </w:rPr>
              <w:t>Benchmark</w:t>
            </w:r>
          </w:p>
        </w:tc>
        <w:tc>
          <w:tcPr>
            <w:tcW w:w="1351" w:type="dxa"/>
            <w:tcBorders>
              <w:top w:val="single" w:sz="2" w:space="0" w:color="auto"/>
            </w:tcBorders>
            <w:shd w:val="clear" w:color="auto" w:fill="DDDDDD"/>
            <w:hideMark/>
          </w:tcPr>
          <w:p w14:paraId="17682E35" w14:textId="77777777" w:rsidR="003D3CE5" w:rsidRPr="0004176C" w:rsidRDefault="003D3CE5" w:rsidP="003D3CE5">
            <w:pPr>
              <w:jc w:val="center"/>
              <w:rPr>
                <w:rFonts w:eastAsia="Calibri"/>
                <w:b/>
                <w:bCs/>
                <w:sz w:val="20"/>
                <w:szCs w:val="20"/>
              </w:rPr>
            </w:pPr>
            <w:r w:rsidRPr="0004176C">
              <w:rPr>
                <w:rFonts w:eastAsia="Calibri"/>
                <w:b/>
                <w:bCs/>
                <w:sz w:val="20"/>
                <w:szCs w:val="20"/>
              </w:rPr>
              <w:t>Outcome</w:t>
            </w:r>
          </w:p>
        </w:tc>
        <w:tc>
          <w:tcPr>
            <w:tcW w:w="1438" w:type="dxa"/>
            <w:tcBorders>
              <w:top w:val="single" w:sz="2" w:space="0" w:color="auto"/>
            </w:tcBorders>
            <w:shd w:val="clear" w:color="auto" w:fill="DDDDDD"/>
            <w:hideMark/>
          </w:tcPr>
          <w:p w14:paraId="12C16ED0" w14:textId="77777777" w:rsidR="003D3CE5" w:rsidRPr="0004176C" w:rsidRDefault="003D3CE5" w:rsidP="003D3CE5">
            <w:pPr>
              <w:jc w:val="center"/>
              <w:rPr>
                <w:rFonts w:eastAsia="Calibri"/>
                <w:b/>
                <w:bCs/>
                <w:sz w:val="20"/>
                <w:szCs w:val="20"/>
              </w:rPr>
            </w:pPr>
            <w:r w:rsidRPr="0004176C">
              <w:rPr>
                <w:rFonts w:eastAsia="Calibri"/>
                <w:b/>
                <w:bCs/>
                <w:sz w:val="20"/>
                <w:szCs w:val="20"/>
              </w:rPr>
              <w:t>Benchmark Achieved?</w:t>
            </w:r>
          </w:p>
        </w:tc>
      </w:tr>
      <w:tr w:rsidR="003D3CE5" w:rsidRPr="0004176C" w14:paraId="73B55B22" w14:textId="77777777" w:rsidTr="00256314">
        <w:trPr>
          <w:trHeight w:val="315"/>
        </w:trPr>
        <w:tc>
          <w:tcPr>
            <w:tcW w:w="3225" w:type="dxa"/>
            <w:vMerge w:val="restart"/>
            <w:shd w:val="clear" w:color="auto" w:fill="auto"/>
          </w:tcPr>
          <w:p w14:paraId="19DCB366" w14:textId="5DBBFD7C" w:rsidR="003D3CE5" w:rsidRPr="0004176C" w:rsidRDefault="003D3CE5" w:rsidP="003D3CE5">
            <w:pPr>
              <w:rPr>
                <w:rFonts w:eastAsia="Calibri"/>
                <w:sz w:val="20"/>
                <w:szCs w:val="20"/>
              </w:rPr>
            </w:pPr>
            <w:r w:rsidRPr="0004176C">
              <w:rPr>
                <w:rFonts w:eastAsia="Calibri"/>
                <w:sz w:val="20"/>
                <w:szCs w:val="20"/>
              </w:rPr>
              <w:t>Unemployed</w:t>
            </w:r>
          </w:p>
        </w:tc>
        <w:tc>
          <w:tcPr>
            <w:tcW w:w="1713" w:type="dxa"/>
            <w:shd w:val="clear" w:color="auto" w:fill="auto"/>
          </w:tcPr>
          <w:p w14:paraId="42DB0F98" w14:textId="5E10DC68" w:rsidR="003D3CE5" w:rsidRPr="0004176C" w:rsidRDefault="00BD0D9F" w:rsidP="003D3CE5">
            <w:pPr>
              <w:jc w:val="center"/>
              <w:rPr>
                <w:rFonts w:eastAsia="Calibri"/>
                <w:sz w:val="20"/>
                <w:szCs w:val="20"/>
              </w:rPr>
            </w:pPr>
            <w:r w:rsidRPr="0004176C">
              <w:rPr>
                <w:rFonts w:eastAsia="Calibri"/>
                <w:sz w:val="20"/>
                <w:szCs w:val="20"/>
              </w:rPr>
              <w:t>3,850 h</w:t>
            </w:r>
            <w:r w:rsidR="003D3CE5" w:rsidRPr="0004176C">
              <w:rPr>
                <w:rFonts w:eastAsia="Calibri"/>
                <w:sz w:val="20"/>
                <w:szCs w:val="20"/>
              </w:rPr>
              <w:t>ouseholds**</w:t>
            </w:r>
          </w:p>
        </w:tc>
        <w:tc>
          <w:tcPr>
            <w:tcW w:w="1627" w:type="dxa"/>
            <w:shd w:val="clear" w:color="auto" w:fill="auto"/>
          </w:tcPr>
          <w:p w14:paraId="68F21541" w14:textId="586E5CDF" w:rsidR="003D3CE5" w:rsidRPr="0004176C" w:rsidRDefault="00CB794D" w:rsidP="003D3CE5">
            <w:pPr>
              <w:jc w:val="center"/>
              <w:rPr>
                <w:rFonts w:eastAsia="Calibri"/>
                <w:sz w:val="20"/>
                <w:szCs w:val="20"/>
              </w:rPr>
            </w:pPr>
            <w:r w:rsidRPr="0004176C">
              <w:rPr>
                <w:rFonts w:eastAsia="Calibri"/>
                <w:sz w:val="20"/>
                <w:szCs w:val="20"/>
              </w:rPr>
              <w:t>5,802</w:t>
            </w:r>
            <w:r w:rsidR="00BD0D9F" w:rsidRPr="0004176C">
              <w:rPr>
                <w:rFonts w:eastAsia="Calibri"/>
                <w:sz w:val="20"/>
                <w:szCs w:val="20"/>
              </w:rPr>
              <w:t xml:space="preserve"> h</w:t>
            </w:r>
            <w:r w:rsidR="003D3CE5" w:rsidRPr="0004176C">
              <w:rPr>
                <w:rFonts w:eastAsia="Calibri"/>
                <w:sz w:val="20"/>
                <w:szCs w:val="20"/>
              </w:rPr>
              <w:t>ouseholds**</w:t>
            </w:r>
          </w:p>
        </w:tc>
        <w:tc>
          <w:tcPr>
            <w:tcW w:w="1351" w:type="dxa"/>
            <w:shd w:val="clear" w:color="auto" w:fill="auto"/>
          </w:tcPr>
          <w:p w14:paraId="2A26530E" w14:textId="4BBC3233" w:rsidR="003D3CE5" w:rsidRPr="0004176C" w:rsidRDefault="003D3CE5" w:rsidP="00B33C32">
            <w:pPr>
              <w:jc w:val="center"/>
              <w:rPr>
                <w:rFonts w:eastAsia="Calibri"/>
                <w:sz w:val="20"/>
                <w:szCs w:val="20"/>
              </w:rPr>
            </w:pPr>
          </w:p>
        </w:tc>
        <w:tc>
          <w:tcPr>
            <w:tcW w:w="1438" w:type="dxa"/>
            <w:shd w:val="clear" w:color="auto" w:fill="auto"/>
          </w:tcPr>
          <w:p w14:paraId="1B4CFDE8" w14:textId="1BF11B8D" w:rsidR="003D3CE5" w:rsidRPr="0004176C" w:rsidRDefault="003D3CE5" w:rsidP="003D3CE5">
            <w:pPr>
              <w:jc w:val="center"/>
              <w:rPr>
                <w:rFonts w:eastAsia="Calibri"/>
                <w:sz w:val="20"/>
                <w:szCs w:val="20"/>
              </w:rPr>
            </w:pPr>
          </w:p>
        </w:tc>
      </w:tr>
      <w:tr w:rsidR="003D3CE5" w:rsidRPr="0004176C" w14:paraId="2B7DA6FA" w14:textId="77777777" w:rsidTr="00256314">
        <w:trPr>
          <w:trHeight w:val="315"/>
        </w:trPr>
        <w:tc>
          <w:tcPr>
            <w:tcW w:w="3225" w:type="dxa"/>
            <w:vMerge/>
            <w:shd w:val="clear" w:color="auto" w:fill="auto"/>
          </w:tcPr>
          <w:p w14:paraId="0F762DDA" w14:textId="77777777" w:rsidR="003D3CE5" w:rsidRPr="0004176C" w:rsidRDefault="003D3CE5" w:rsidP="003D3CE5">
            <w:pPr>
              <w:rPr>
                <w:rFonts w:eastAsia="Calibri"/>
                <w:sz w:val="20"/>
                <w:szCs w:val="20"/>
              </w:rPr>
            </w:pPr>
          </w:p>
        </w:tc>
        <w:tc>
          <w:tcPr>
            <w:tcW w:w="1713" w:type="dxa"/>
            <w:shd w:val="clear" w:color="auto" w:fill="auto"/>
          </w:tcPr>
          <w:p w14:paraId="43C9B978" w14:textId="39CE6D23" w:rsidR="003D3CE5" w:rsidRPr="0004176C" w:rsidRDefault="00BD0D9F" w:rsidP="003D3CE5">
            <w:pPr>
              <w:jc w:val="center"/>
              <w:rPr>
                <w:rFonts w:eastAsia="Calibri"/>
                <w:sz w:val="20"/>
                <w:szCs w:val="20"/>
              </w:rPr>
            </w:pPr>
            <w:r w:rsidRPr="0004176C">
              <w:rPr>
                <w:rFonts w:eastAsia="Calibri"/>
                <w:sz w:val="20"/>
                <w:szCs w:val="20"/>
              </w:rPr>
              <w:t>43% of h</w:t>
            </w:r>
            <w:r w:rsidR="003D3CE5" w:rsidRPr="0004176C">
              <w:rPr>
                <w:rFonts w:eastAsia="Calibri"/>
                <w:sz w:val="20"/>
                <w:szCs w:val="20"/>
              </w:rPr>
              <w:t>ouseholds</w:t>
            </w:r>
          </w:p>
        </w:tc>
        <w:tc>
          <w:tcPr>
            <w:tcW w:w="1627" w:type="dxa"/>
            <w:shd w:val="clear" w:color="auto" w:fill="auto"/>
          </w:tcPr>
          <w:p w14:paraId="2CDD100E" w14:textId="59CFE6FF" w:rsidR="003D3CE5" w:rsidRPr="0004176C" w:rsidRDefault="009645A8" w:rsidP="003D3CE5">
            <w:pPr>
              <w:jc w:val="center"/>
              <w:rPr>
                <w:rFonts w:eastAsia="Calibri"/>
                <w:sz w:val="20"/>
                <w:szCs w:val="20"/>
              </w:rPr>
            </w:pPr>
            <w:r w:rsidRPr="0004176C">
              <w:rPr>
                <w:rFonts w:eastAsia="Calibri"/>
                <w:sz w:val="20"/>
                <w:szCs w:val="20"/>
              </w:rPr>
              <w:t>60</w:t>
            </w:r>
            <w:r w:rsidR="00BD0D9F" w:rsidRPr="0004176C">
              <w:rPr>
                <w:rFonts w:eastAsia="Calibri"/>
                <w:sz w:val="20"/>
                <w:szCs w:val="20"/>
              </w:rPr>
              <w:t>% of h</w:t>
            </w:r>
            <w:r w:rsidR="003D3CE5" w:rsidRPr="0004176C">
              <w:rPr>
                <w:rFonts w:eastAsia="Calibri"/>
                <w:sz w:val="20"/>
                <w:szCs w:val="20"/>
              </w:rPr>
              <w:t>ouseholds</w:t>
            </w:r>
          </w:p>
        </w:tc>
        <w:tc>
          <w:tcPr>
            <w:tcW w:w="1351" w:type="dxa"/>
            <w:shd w:val="clear" w:color="auto" w:fill="auto"/>
          </w:tcPr>
          <w:p w14:paraId="37BDAC4C" w14:textId="61405DD6" w:rsidR="003D3CE5" w:rsidRPr="0004176C" w:rsidRDefault="003D3CE5" w:rsidP="003D3CE5">
            <w:pPr>
              <w:jc w:val="center"/>
              <w:rPr>
                <w:rFonts w:eastAsia="Calibri"/>
                <w:sz w:val="20"/>
                <w:szCs w:val="20"/>
              </w:rPr>
            </w:pPr>
          </w:p>
        </w:tc>
        <w:tc>
          <w:tcPr>
            <w:tcW w:w="1438" w:type="dxa"/>
            <w:shd w:val="clear" w:color="auto" w:fill="auto"/>
          </w:tcPr>
          <w:p w14:paraId="0287B6D4" w14:textId="77777777" w:rsidR="003D3CE5" w:rsidRPr="0004176C" w:rsidRDefault="003D3CE5" w:rsidP="003D3CE5">
            <w:pPr>
              <w:jc w:val="center"/>
              <w:rPr>
                <w:rFonts w:eastAsia="Calibri"/>
                <w:sz w:val="20"/>
                <w:szCs w:val="20"/>
              </w:rPr>
            </w:pPr>
          </w:p>
        </w:tc>
      </w:tr>
      <w:tr w:rsidR="003D3CE5" w:rsidRPr="0004176C" w14:paraId="458A82E3" w14:textId="77777777" w:rsidTr="00256314">
        <w:trPr>
          <w:trHeight w:val="315"/>
        </w:trPr>
        <w:tc>
          <w:tcPr>
            <w:tcW w:w="3225" w:type="dxa"/>
            <w:vMerge w:val="restart"/>
            <w:shd w:val="clear" w:color="auto" w:fill="auto"/>
            <w:hideMark/>
          </w:tcPr>
          <w:p w14:paraId="0E7B9500" w14:textId="0E8F54D6" w:rsidR="003D3CE5" w:rsidRPr="0004176C" w:rsidRDefault="001E7A7F" w:rsidP="003D3CE5">
            <w:pPr>
              <w:rPr>
                <w:rFonts w:eastAsia="Calibri"/>
                <w:sz w:val="20"/>
                <w:szCs w:val="20"/>
              </w:rPr>
            </w:pPr>
            <w:r w:rsidRPr="0004176C">
              <w:rPr>
                <w:rFonts w:eastAsia="Calibri"/>
                <w:sz w:val="20"/>
                <w:szCs w:val="20"/>
              </w:rPr>
              <w:t>Employed Part-Time or Full-Time</w:t>
            </w:r>
          </w:p>
        </w:tc>
        <w:tc>
          <w:tcPr>
            <w:tcW w:w="1713" w:type="dxa"/>
            <w:shd w:val="clear" w:color="auto" w:fill="auto"/>
            <w:hideMark/>
          </w:tcPr>
          <w:p w14:paraId="360FD2C1" w14:textId="53DE93A5" w:rsidR="003D3CE5" w:rsidRPr="0004176C" w:rsidRDefault="00BD0D9F" w:rsidP="003D3CE5">
            <w:pPr>
              <w:jc w:val="center"/>
              <w:rPr>
                <w:rFonts w:eastAsia="Calibri"/>
                <w:sz w:val="20"/>
                <w:szCs w:val="20"/>
              </w:rPr>
            </w:pPr>
            <w:r w:rsidRPr="0004176C">
              <w:rPr>
                <w:rFonts w:eastAsia="Calibri"/>
                <w:sz w:val="20"/>
                <w:szCs w:val="20"/>
              </w:rPr>
              <w:t>5,164 h</w:t>
            </w:r>
            <w:r w:rsidR="003D3CE5" w:rsidRPr="0004176C">
              <w:rPr>
                <w:rFonts w:eastAsia="Calibri"/>
                <w:sz w:val="20"/>
                <w:szCs w:val="20"/>
              </w:rPr>
              <w:t>ouseholds**</w:t>
            </w:r>
          </w:p>
        </w:tc>
        <w:tc>
          <w:tcPr>
            <w:tcW w:w="1627" w:type="dxa"/>
            <w:shd w:val="clear" w:color="auto" w:fill="auto"/>
            <w:hideMark/>
          </w:tcPr>
          <w:p w14:paraId="181500F8" w14:textId="6CBE5A7C" w:rsidR="003D3CE5" w:rsidRPr="0004176C" w:rsidRDefault="00A42D8C" w:rsidP="003D3CE5">
            <w:pPr>
              <w:jc w:val="center"/>
              <w:rPr>
                <w:rFonts w:eastAsia="Calibri"/>
                <w:sz w:val="20"/>
                <w:szCs w:val="20"/>
              </w:rPr>
            </w:pPr>
            <w:r w:rsidRPr="0004176C">
              <w:rPr>
                <w:rFonts w:eastAsia="Calibri"/>
                <w:sz w:val="20"/>
                <w:szCs w:val="20"/>
              </w:rPr>
              <w:t>3,868</w:t>
            </w:r>
            <w:r w:rsidR="00BD0D9F" w:rsidRPr="0004176C">
              <w:rPr>
                <w:rFonts w:eastAsia="Calibri"/>
                <w:sz w:val="20"/>
                <w:szCs w:val="20"/>
              </w:rPr>
              <w:t xml:space="preserve"> h</w:t>
            </w:r>
            <w:r w:rsidR="003D3CE5" w:rsidRPr="0004176C">
              <w:rPr>
                <w:rFonts w:eastAsia="Calibri"/>
                <w:sz w:val="20"/>
                <w:szCs w:val="20"/>
              </w:rPr>
              <w:t>ouseholds**</w:t>
            </w:r>
          </w:p>
        </w:tc>
        <w:tc>
          <w:tcPr>
            <w:tcW w:w="1351" w:type="dxa"/>
            <w:shd w:val="clear" w:color="auto" w:fill="auto"/>
          </w:tcPr>
          <w:p w14:paraId="78D2EF2D" w14:textId="7C4B46B0" w:rsidR="003D3CE5" w:rsidRPr="0004176C" w:rsidRDefault="003D3CE5" w:rsidP="003D3CE5">
            <w:pPr>
              <w:jc w:val="center"/>
              <w:rPr>
                <w:rFonts w:eastAsia="Calibri"/>
                <w:sz w:val="20"/>
                <w:szCs w:val="20"/>
              </w:rPr>
            </w:pPr>
          </w:p>
        </w:tc>
        <w:tc>
          <w:tcPr>
            <w:tcW w:w="1438" w:type="dxa"/>
            <w:shd w:val="clear" w:color="auto" w:fill="auto"/>
          </w:tcPr>
          <w:p w14:paraId="4F2E7D52" w14:textId="0BBAB0E4" w:rsidR="003D3CE5" w:rsidRPr="0004176C" w:rsidRDefault="003D3CE5" w:rsidP="003D3CE5">
            <w:pPr>
              <w:jc w:val="center"/>
              <w:rPr>
                <w:rFonts w:eastAsia="Calibri"/>
                <w:sz w:val="20"/>
                <w:szCs w:val="20"/>
              </w:rPr>
            </w:pPr>
          </w:p>
        </w:tc>
      </w:tr>
      <w:tr w:rsidR="003D3CE5" w:rsidRPr="0004176C" w14:paraId="67055017" w14:textId="77777777" w:rsidTr="00256314">
        <w:trPr>
          <w:trHeight w:val="315"/>
        </w:trPr>
        <w:tc>
          <w:tcPr>
            <w:tcW w:w="3225" w:type="dxa"/>
            <w:vMerge/>
            <w:shd w:val="clear" w:color="auto" w:fill="auto"/>
            <w:hideMark/>
          </w:tcPr>
          <w:p w14:paraId="6DCC1EF8" w14:textId="77777777" w:rsidR="003D3CE5" w:rsidRPr="0004176C" w:rsidRDefault="003D3CE5" w:rsidP="003D3CE5">
            <w:pPr>
              <w:rPr>
                <w:rFonts w:eastAsia="Calibri"/>
                <w:sz w:val="20"/>
                <w:szCs w:val="20"/>
              </w:rPr>
            </w:pPr>
          </w:p>
        </w:tc>
        <w:tc>
          <w:tcPr>
            <w:tcW w:w="1713" w:type="dxa"/>
            <w:shd w:val="clear" w:color="auto" w:fill="auto"/>
            <w:hideMark/>
          </w:tcPr>
          <w:p w14:paraId="4ACD0E7F" w14:textId="38FBAC5A" w:rsidR="003D3CE5" w:rsidRPr="0004176C" w:rsidRDefault="00BD0D9F" w:rsidP="003D3CE5">
            <w:pPr>
              <w:jc w:val="center"/>
              <w:rPr>
                <w:rFonts w:eastAsia="Calibri"/>
                <w:sz w:val="20"/>
                <w:szCs w:val="20"/>
              </w:rPr>
            </w:pPr>
            <w:r w:rsidRPr="0004176C">
              <w:rPr>
                <w:rFonts w:eastAsia="Calibri"/>
                <w:sz w:val="20"/>
                <w:szCs w:val="20"/>
              </w:rPr>
              <w:t>57% of h</w:t>
            </w:r>
            <w:r w:rsidR="003D3CE5" w:rsidRPr="0004176C">
              <w:rPr>
                <w:rFonts w:eastAsia="Calibri"/>
                <w:sz w:val="20"/>
                <w:szCs w:val="20"/>
              </w:rPr>
              <w:t>ouseholds</w:t>
            </w:r>
          </w:p>
        </w:tc>
        <w:tc>
          <w:tcPr>
            <w:tcW w:w="1627" w:type="dxa"/>
            <w:shd w:val="clear" w:color="auto" w:fill="auto"/>
            <w:hideMark/>
          </w:tcPr>
          <w:p w14:paraId="37B20876" w14:textId="7B8C4B98" w:rsidR="003D3CE5" w:rsidRPr="0004176C" w:rsidRDefault="00A42D8C" w:rsidP="003D3CE5">
            <w:pPr>
              <w:jc w:val="center"/>
              <w:rPr>
                <w:rFonts w:eastAsia="Calibri"/>
                <w:sz w:val="20"/>
                <w:szCs w:val="20"/>
              </w:rPr>
            </w:pPr>
            <w:r w:rsidRPr="0004176C">
              <w:rPr>
                <w:rFonts w:eastAsia="Calibri"/>
                <w:sz w:val="20"/>
                <w:szCs w:val="20"/>
              </w:rPr>
              <w:t>4</w:t>
            </w:r>
            <w:r w:rsidR="009645A8" w:rsidRPr="0004176C">
              <w:rPr>
                <w:rFonts w:eastAsia="Calibri"/>
                <w:sz w:val="20"/>
                <w:szCs w:val="20"/>
              </w:rPr>
              <w:t>0</w:t>
            </w:r>
            <w:r w:rsidR="00BD0D9F" w:rsidRPr="0004176C">
              <w:rPr>
                <w:rFonts w:eastAsia="Calibri"/>
                <w:sz w:val="20"/>
                <w:szCs w:val="20"/>
              </w:rPr>
              <w:t>% of h</w:t>
            </w:r>
            <w:r w:rsidR="003D3CE5" w:rsidRPr="0004176C">
              <w:rPr>
                <w:rFonts w:eastAsia="Calibri"/>
                <w:sz w:val="20"/>
                <w:szCs w:val="20"/>
              </w:rPr>
              <w:t>ouseholds</w:t>
            </w:r>
          </w:p>
        </w:tc>
        <w:tc>
          <w:tcPr>
            <w:tcW w:w="1351" w:type="dxa"/>
            <w:shd w:val="clear" w:color="auto" w:fill="auto"/>
          </w:tcPr>
          <w:p w14:paraId="43FB670A" w14:textId="49B60053" w:rsidR="003D3CE5" w:rsidRPr="0004176C" w:rsidRDefault="003D3CE5" w:rsidP="003D3CE5">
            <w:pPr>
              <w:jc w:val="center"/>
              <w:rPr>
                <w:rFonts w:eastAsia="Calibri"/>
                <w:sz w:val="20"/>
                <w:szCs w:val="20"/>
              </w:rPr>
            </w:pPr>
          </w:p>
        </w:tc>
        <w:tc>
          <w:tcPr>
            <w:tcW w:w="1438" w:type="dxa"/>
            <w:shd w:val="clear" w:color="auto" w:fill="auto"/>
          </w:tcPr>
          <w:p w14:paraId="1EACD21C" w14:textId="77777777" w:rsidR="003D3CE5" w:rsidRPr="0004176C" w:rsidRDefault="003D3CE5" w:rsidP="003D3CE5">
            <w:pPr>
              <w:jc w:val="center"/>
              <w:rPr>
                <w:rFonts w:eastAsia="Calibri"/>
                <w:sz w:val="20"/>
                <w:szCs w:val="20"/>
              </w:rPr>
            </w:pPr>
          </w:p>
        </w:tc>
      </w:tr>
      <w:tr w:rsidR="003D3CE5" w:rsidRPr="0004176C" w14:paraId="5D079EDE" w14:textId="77777777" w:rsidTr="00256314">
        <w:trPr>
          <w:trHeight w:val="315"/>
        </w:trPr>
        <w:tc>
          <w:tcPr>
            <w:tcW w:w="9354" w:type="dxa"/>
            <w:gridSpan w:val="5"/>
            <w:shd w:val="clear" w:color="auto" w:fill="auto"/>
          </w:tcPr>
          <w:p w14:paraId="51DE6CFA" w14:textId="77777777" w:rsidR="003D3CE5" w:rsidRPr="0004176C" w:rsidRDefault="003D3CE5" w:rsidP="003D3CE5">
            <w:pPr>
              <w:rPr>
                <w:rFonts w:eastAsia="Calibri"/>
                <w:sz w:val="20"/>
                <w:szCs w:val="20"/>
              </w:rPr>
            </w:pPr>
            <w:r w:rsidRPr="0004176C">
              <w:rPr>
                <w:i/>
                <w:sz w:val="20"/>
                <w:szCs w:val="20"/>
              </w:rPr>
              <w:t xml:space="preserve">*HUD is requiring the use of this metric; however, DHCD does not believe it is applicable in this context of this MTW activity.  </w:t>
            </w:r>
          </w:p>
        </w:tc>
      </w:tr>
      <w:tr w:rsidR="003D3CE5" w:rsidRPr="0004176C" w14:paraId="5F8845FF" w14:textId="77777777" w:rsidTr="00256314">
        <w:trPr>
          <w:trHeight w:val="179"/>
        </w:trPr>
        <w:tc>
          <w:tcPr>
            <w:tcW w:w="9354" w:type="dxa"/>
            <w:gridSpan w:val="5"/>
            <w:shd w:val="clear" w:color="auto" w:fill="auto"/>
          </w:tcPr>
          <w:p w14:paraId="086681A5" w14:textId="77777777" w:rsidR="003D3CE5" w:rsidRPr="0004176C" w:rsidRDefault="003D3CE5" w:rsidP="003D3CE5">
            <w:pPr>
              <w:rPr>
                <w:i/>
                <w:sz w:val="20"/>
                <w:szCs w:val="20"/>
              </w:rPr>
            </w:pPr>
            <w:r w:rsidRPr="0004176C">
              <w:rPr>
                <w:i/>
                <w:sz w:val="20"/>
                <w:szCs w:val="20"/>
              </w:rPr>
              <w:t xml:space="preserve">**Represents work-able households </w:t>
            </w:r>
          </w:p>
        </w:tc>
      </w:tr>
      <w:tr w:rsidR="003D3CE5" w:rsidRPr="0004176C" w14:paraId="29629257" w14:textId="77777777" w:rsidTr="00256314">
        <w:trPr>
          <w:trHeight w:hRule="exact" w:val="317"/>
        </w:trPr>
        <w:tc>
          <w:tcPr>
            <w:tcW w:w="9354" w:type="dxa"/>
            <w:gridSpan w:val="5"/>
            <w:shd w:val="clear" w:color="auto" w:fill="C6D9F1" w:themeFill="text2" w:themeFillTint="33"/>
          </w:tcPr>
          <w:p w14:paraId="09F2242D" w14:textId="77777777" w:rsidR="003D3CE5" w:rsidRPr="0004176C" w:rsidRDefault="003D3CE5" w:rsidP="003D3CE5">
            <w:pPr>
              <w:jc w:val="center"/>
              <w:rPr>
                <w:rFonts w:eastAsia="Calibri"/>
                <w:b/>
                <w:bCs/>
                <w:i/>
                <w:iCs/>
                <w:sz w:val="20"/>
                <w:szCs w:val="20"/>
              </w:rPr>
            </w:pPr>
            <w:r w:rsidRPr="0004176C">
              <w:rPr>
                <w:b/>
                <w:bCs/>
                <w:i/>
                <w:iCs/>
                <w:sz w:val="20"/>
                <w:szCs w:val="20"/>
              </w:rPr>
              <w:t>SS #4: Households Removed from Temporary Assistance for Needy Families (TANF)*</w:t>
            </w:r>
          </w:p>
        </w:tc>
      </w:tr>
      <w:tr w:rsidR="003D3CE5" w:rsidRPr="0004176C" w14:paraId="269F2D69" w14:textId="77777777" w:rsidTr="00256314">
        <w:trPr>
          <w:trHeight w:hRule="exact" w:val="576"/>
        </w:trPr>
        <w:tc>
          <w:tcPr>
            <w:tcW w:w="3225" w:type="dxa"/>
            <w:shd w:val="clear" w:color="auto" w:fill="DDDDDD"/>
          </w:tcPr>
          <w:p w14:paraId="4594CBBA" w14:textId="77777777" w:rsidR="003D3CE5" w:rsidRPr="0004176C" w:rsidRDefault="003D3CE5" w:rsidP="003D3CE5">
            <w:pPr>
              <w:jc w:val="center"/>
              <w:rPr>
                <w:rFonts w:eastAsia="Calibri"/>
                <w:b/>
                <w:bCs/>
                <w:sz w:val="20"/>
                <w:szCs w:val="20"/>
              </w:rPr>
            </w:pPr>
            <w:r w:rsidRPr="0004176C">
              <w:rPr>
                <w:rFonts w:eastAsia="Calibri"/>
                <w:b/>
                <w:bCs/>
                <w:sz w:val="20"/>
                <w:szCs w:val="20"/>
              </w:rPr>
              <w:t>Unit of Measurement</w:t>
            </w:r>
          </w:p>
        </w:tc>
        <w:tc>
          <w:tcPr>
            <w:tcW w:w="1713" w:type="dxa"/>
            <w:shd w:val="clear" w:color="auto" w:fill="DDDDDD"/>
          </w:tcPr>
          <w:p w14:paraId="78587A48" w14:textId="77777777" w:rsidR="003D3CE5" w:rsidRPr="0004176C" w:rsidRDefault="003D3CE5" w:rsidP="003D3CE5">
            <w:pPr>
              <w:jc w:val="center"/>
              <w:rPr>
                <w:rFonts w:eastAsia="Calibri"/>
                <w:b/>
                <w:bCs/>
                <w:sz w:val="20"/>
                <w:szCs w:val="20"/>
              </w:rPr>
            </w:pPr>
            <w:r w:rsidRPr="0004176C">
              <w:rPr>
                <w:rFonts w:eastAsia="Calibri"/>
                <w:b/>
                <w:bCs/>
                <w:sz w:val="20"/>
                <w:szCs w:val="20"/>
              </w:rPr>
              <w:t>Baseline</w:t>
            </w:r>
          </w:p>
        </w:tc>
        <w:tc>
          <w:tcPr>
            <w:tcW w:w="1627" w:type="dxa"/>
            <w:shd w:val="clear" w:color="auto" w:fill="DDDDDD"/>
          </w:tcPr>
          <w:p w14:paraId="75580295" w14:textId="77777777" w:rsidR="003D3CE5" w:rsidRPr="0004176C" w:rsidRDefault="003D3CE5" w:rsidP="003D3CE5">
            <w:pPr>
              <w:jc w:val="center"/>
              <w:rPr>
                <w:rFonts w:eastAsia="Calibri"/>
                <w:b/>
                <w:bCs/>
                <w:sz w:val="20"/>
                <w:szCs w:val="20"/>
              </w:rPr>
            </w:pPr>
            <w:r w:rsidRPr="0004176C">
              <w:rPr>
                <w:rFonts w:eastAsia="Calibri"/>
                <w:b/>
                <w:bCs/>
                <w:sz w:val="20"/>
                <w:szCs w:val="20"/>
              </w:rPr>
              <w:t>Benchmark</w:t>
            </w:r>
          </w:p>
        </w:tc>
        <w:tc>
          <w:tcPr>
            <w:tcW w:w="1351" w:type="dxa"/>
            <w:shd w:val="clear" w:color="auto" w:fill="DDDDDD"/>
          </w:tcPr>
          <w:p w14:paraId="4C67F3A8" w14:textId="77777777" w:rsidR="003D3CE5" w:rsidRPr="0004176C" w:rsidRDefault="003D3CE5" w:rsidP="003D3CE5">
            <w:pPr>
              <w:jc w:val="center"/>
              <w:rPr>
                <w:rFonts w:eastAsia="Calibri"/>
                <w:b/>
                <w:bCs/>
                <w:sz w:val="20"/>
                <w:szCs w:val="20"/>
              </w:rPr>
            </w:pPr>
            <w:r w:rsidRPr="0004176C">
              <w:rPr>
                <w:rFonts w:eastAsia="Calibri"/>
                <w:b/>
                <w:bCs/>
                <w:sz w:val="20"/>
                <w:szCs w:val="20"/>
              </w:rPr>
              <w:t>Outcome</w:t>
            </w:r>
          </w:p>
        </w:tc>
        <w:tc>
          <w:tcPr>
            <w:tcW w:w="1438" w:type="dxa"/>
            <w:shd w:val="clear" w:color="auto" w:fill="DDDDDD"/>
          </w:tcPr>
          <w:p w14:paraId="4AFB52AA" w14:textId="77777777" w:rsidR="003D3CE5" w:rsidRPr="0004176C" w:rsidRDefault="003D3CE5" w:rsidP="003D3CE5">
            <w:pPr>
              <w:jc w:val="center"/>
              <w:rPr>
                <w:rFonts w:eastAsia="Calibri"/>
                <w:b/>
                <w:bCs/>
                <w:sz w:val="20"/>
                <w:szCs w:val="20"/>
              </w:rPr>
            </w:pPr>
            <w:r w:rsidRPr="0004176C">
              <w:rPr>
                <w:rFonts w:eastAsia="Calibri"/>
                <w:b/>
                <w:bCs/>
                <w:sz w:val="20"/>
                <w:szCs w:val="20"/>
              </w:rPr>
              <w:t>Benchmark Achieved?</w:t>
            </w:r>
          </w:p>
        </w:tc>
      </w:tr>
      <w:tr w:rsidR="003D3CE5" w:rsidRPr="0004176C" w14:paraId="78009CD9" w14:textId="77777777" w:rsidTr="00256314">
        <w:trPr>
          <w:trHeight w:val="305"/>
        </w:trPr>
        <w:tc>
          <w:tcPr>
            <w:tcW w:w="3225" w:type="dxa"/>
            <w:shd w:val="clear" w:color="auto" w:fill="auto"/>
          </w:tcPr>
          <w:p w14:paraId="439DCCF7" w14:textId="77777777" w:rsidR="003D3CE5" w:rsidRPr="0004176C" w:rsidRDefault="003D3CE5" w:rsidP="003D3CE5">
            <w:pPr>
              <w:rPr>
                <w:rFonts w:eastAsia="Calibri"/>
                <w:b/>
                <w:bCs/>
                <w:i/>
                <w:iCs/>
                <w:sz w:val="20"/>
                <w:szCs w:val="20"/>
              </w:rPr>
            </w:pPr>
            <w:r w:rsidRPr="0004176C">
              <w:rPr>
                <w:sz w:val="20"/>
                <w:szCs w:val="20"/>
              </w:rPr>
              <w:t>Number of households receiving TANF assistance (decrease).</w:t>
            </w:r>
          </w:p>
        </w:tc>
        <w:tc>
          <w:tcPr>
            <w:tcW w:w="1713" w:type="dxa"/>
            <w:shd w:val="clear" w:color="auto" w:fill="auto"/>
          </w:tcPr>
          <w:p w14:paraId="17CD05EF" w14:textId="77777777" w:rsidR="003D3CE5" w:rsidRPr="0004176C" w:rsidRDefault="003D3CE5" w:rsidP="008D7DC4">
            <w:pPr>
              <w:jc w:val="center"/>
              <w:rPr>
                <w:rFonts w:eastAsia="Calibri"/>
                <w:bCs/>
                <w:iCs/>
                <w:sz w:val="20"/>
                <w:szCs w:val="20"/>
              </w:rPr>
            </w:pPr>
            <w:r w:rsidRPr="0004176C">
              <w:rPr>
                <w:rFonts w:eastAsia="Calibri"/>
                <w:bCs/>
                <w:iCs/>
                <w:sz w:val="20"/>
                <w:szCs w:val="20"/>
              </w:rPr>
              <w:t>2,316 Households on TANF in FY 2015</w:t>
            </w:r>
          </w:p>
        </w:tc>
        <w:tc>
          <w:tcPr>
            <w:tcW w:w="1627" w:type="dxa"/>
            <w:shd w:val="clear" w:color="auto" w:fill="auto"/>
          </w:tcPr>
          <w:p w14:paraId="2F697260" w14:textId="6AE675A6" w:rsidR="003D3CE5" w:rsidRPr="0004176C" w:rsidRDefault="009645A8" w:rsidP="008D7DC4">
            <w:pPr>
              <w:jc w:val="center"/>
              <w:rPr>
                <w:rFonts w:eastAsia="Calibri"/>
                <w:bCs/>
                <w:iCs/>
                <w:sz w:val="20"/>
                <w:szCs w:val="20"/>
              </w:rPr>
            </w:pPr>
            <w:r w:rsidRPr="0004176C">
              <w:rPr>
                <w:rFonts w:eastAsia="Calibri"/>
                <w:bCs/>
                <w:iCs/>
                <w:sz w:val="20"/>
                <w:szCs w:val="20"/>
              </w:rPr>
              <w:t>2,150</w:t>
            </w:r>
            <w:r w:rsidR="003D3CE5" w:rsidRPr="0004176C">
              <w:rPr>
                <w:rFonts w:eastAsia="Calibri"/>
                <w:bCs/>
                <w:iCs/>
                <w:sz w:val="20"/>
                <w:szCs w:val="20"/>
              </w:rPr>
              <w:t xml:space="preserve"> Households</w:t>
            </w:r>
          </w:p>
        </w:tc>
        <w:tc>
          <w:tcPr>
            <w:tcW w:w="1351" w:type="dxa"/>
            <w:shd w:val="clear" w:color="auto" w:fill="auto"/>
          </w:tcPr>
          <w:p w14:paraId="7B558A76" w14:textId="78EB1623" w:rsidR="003D3CE5" w:rsidRPr="0004176C" w:rsidRDefault="003D3CE5" w:rsidP="008D7DC4">
            <w:pPr>
              <w:jc w:val="center"/>
              <w:rPr>
                <w:rFonts w:eastAsia="Calibri"/>
                <w:bCs/>
                <w:iCs/>
                <w:sz w:val="20"/>
                <w:szCs w:val="20"/>
              </w:rPr>
            </w:pPr>
          </w:p>
        </w:tc>
        <w:tc>
          <w:tcPr>
            <w:tcW w:w="1438" w:type="dxa"/>
            <w:shd w:val="clear" w:color="auto" w:fill="auto"/>
          </w:tcPr>
          <w:p w14:paraId="1BADDCE9" w14:textId="69234BB6" w:rsidR="003D3CE5" w:rsidRPr="0004176C" w:rsidRDefault="003D3CE5" w:rsidP="008D7DC4">
            <w:pPr>
              <w:jc w:val="center"/>
              <w:rPr>
                <w:rFonts w:eastAsia="Calibri"/>
                <w:b/>
                <w:bCs/>
                <w:i/>
                <w:iCs/>
                <w:sz w:val="20"/>
                <w:szCs w:val="20"/>
              </w:rPr>
            </w:pPr>
          </w:p>
        </w:tc>
      </w:tr>
      <w:tr w:rsidR="003D3CE5" w:rsidRPr="0004176C" w14:paraId="4D1E4AE1" w14:textId="77777777" w:rsidTr="00256314">
        <w:trPr>
          <w:trHeight w:val="305"/>
        </w:trPr>
        <w:tc>
          <w:tcPr>
            <w:tcW w:w="9354" w:type="dxa"/>
            <w:gridSpan w:val="5"/>
            <w:shd w:val="clear" w:color="auto" w:fill="auto"/>
          </w:tcPr>
          <w:p w14:paraId="4A8E389A" w14:textId="77777777" w:rsidR="003D3CE5" w:rsidRPr="0004176C" w:rsidRDefault="003D3CE5" w:rsidP="003D3CE5">
            <w:pPr>
              <w:rPr>
                <w:rFonts w:eastAsia="Calibri"/>
                <w:b/>
                <w:bCs/>
                <w:i/>
                <w:iCs/>
                <w:sz w:val="20"/>
                <w:szCs w:val="20"/>
              </w:rPr>
            </w:pPr>
            <w:r w:rsidRPr="0004176C">
              <w:rPr>
                <w:i/>
                <w:sz w:val="20"/>
                <w:szCs w:val="20"/>
              </w:rPr>
              <w:t xml:space="preserve">*HUD is requiring the use of this metric; however, DHCD does not believe it is applicable in this context of this MTW activity.  </w:t>
            </w:r>
          </w:p>
        </w:tc>
      </w:tr>
      <w:tr w:rsidR="003D3CE5" w:rsidRPr="0004176C" w14:paraId="04C9DD42" w14:textId="77777777" w:rsidTr="00256314">
        <w:trPr>
          <w:trHeight w:hRule="exact" w:val="317"/>
        </w:trPr>
        <w:tc>
          <w:tcPr>
            <w:tcW w:w="9354" w:type="dxa"/>
            <w:gridSpan w:val="5"/>
            <w:shd w:val="clear" w:color="auto" w:fill="C6D9F1" w:themeFill="text2" w:themeFillTint="33"/>
            <w:hideMark/>
          </w:tcPr>
          <w:p w14:paraId="1E2B78E6" w14:textId="77777777" w:rsidR="003D3CE5" w:rsidRPr="0004176C" w:rsidRDefault="003D3CE5" w:rsidP="003D3CE5">
            <w:pPr>
              <w:jc w:val="center"/>
              <w:rPr>
                <w:rFonts w:eastAsia="Calibri"/>
                <w:b/>
                <w:bCs/>
                <w:i/>
                <w:iCs/>
                <w:sz w:val="20"/>
                <w:szCs w:val="20"/>
              </w:rPr>
            </w:pPr>
            <w:r w:rsidRPr="0004176C">
              <w:rPr>
                <w:rFonts w:eastAsia="Calibri"/>
                <w:b/>
                <w:bCs/>
                <w:i/>
                <w:iCs/>
                <w:sz w:val="20"/>
                <w:szCs w:val="20"/>
              </w:rPr>
              <w:t>SS #5: Households Assisted by Services that Increase Self Sufficiency*</w:t>
            </w:r>
          </w:p>
        </w:tc>
      </w:tr>
      <w:tr w:rsidR="003D3CE5" w:rsidRPr="0004176C" w14:paraId="68111E04" w14:textId="77777777" w:rsidTr="00256314">
        <w:trPr>
          <w:trHeight w:hRule="exact" w:val="576"/>
        </w:trPr>
        <w:tc>
          <w:tcPr>
            <w:tcW w:w="3225" w:type="dxa"/>
            <w:shd w:val="clear" w:color="auto" w:fill="DDDDDD"/>
            <w:hideMark/>
          </w:tcPr>
          <w:p w14:paraId="4F39EE50" w14:textId="77777777" w:rsidR="003D3CE5" w:rsidRPr="0004176C" w:rsidRDefault="003D3CE5" w:rsidP="003D3CE5">
            <w:pPr>
              <w:jc w:val="center"/>
              <w:rPr>
                <w:rFonts w:eastAsia="Calibri"/>
                <w:b/>
                <w:bCs/>
                <w:sz w:val="20"/>
                <w:szCs w:val="20"/>
              </w:rPr>
            </w:pPr>
            <w:r w:rsidRPr="0004176C">
              <w:rPr>
                <w:rFonts w:eastAsia="Calibri"/>
                <w:b/>
                <w:bCs/>
                <w:sz w:val="20"/>
                <w:szCs w:val="20"/>
              </w:rPr>
              <w:t>Unit of Measurement</w:t>
            </w:r>
          </w:p>
        </w:tc>
        <w:tc>
          <w:tcPr>
            <w:tcW w:w="1713" w:type="dxa"/>
            <w:shd w:val="clear" w:color="auto" w:fill="DDDDDD"/>
            <w:hideMark/>
          </w:tcPr>
          <w:p w14:paraId="7C785BE2" w14:textId="77777777" w:rsidR="003D3CE5" w:rsidRPr="0004176C" w:rsidRDefault="003D3CE5" w:rsidP="003D3CE5">
            <w:pPr>
              <w:jc w:val="center"/>
              <w:rPr>
                <w:rFonts w:eastAsia="Calibri"/>
                <w:b/>
                <w:bCs/>
                <w:sz w:val="20"/>
                <w:szCs w:val="20"/>
              </w:rPr>
            </w:pPr>
            <w:r w:rsidRPr="0004176C">
              <w:rPr>
                <w:rFonts w:eastAsia="Calibri"/>
                <w:b/>
                <w:bCs/>
                <w:sz w:val="20"/>
                <w:szCs w:val="20"/>
              </w:rPr>
              <w:t>Baseline</w:t>
            </w:r>
          </w:p>
        </w:tc>
        <w:tc>
          <w:tcPr>
            <w:tcW w:w="1627" w:type="dxa"/>
            <w:shd w:val="clear" w:color="auto" w:fill="DDDDDD"/>
            <w:hideMark/>
          </w:tcPr>
          <w:p w14:paraId="3069F1BA" w14:textId="77777777" w:rsidR="003D3CE5" w:rsidRPr="0004176C" w:rsidRDefault="003D3CE5" w:rsidP="003D3CE5">
            <w:pPr>
              <w:jc w:val="center"/>
              <w:rPr>
                <w:rFonts w:eastAsia="Calibri"/>
                <w:b/>
                <w:bCs/>
                <w:sz w:val="20"/>
                <w:szCs w:val="20"/>
              </w:rPr>
            </w:pPr>
            <w:r w:rsidRPr="0004176C">
              <w:rPr>
                <w:rFonts w:eastAsia="Calibri"/>
                <w:b/>
                <w:bCs/>
                <w:sz w:val="20"/>
                <w:szCs w:val="20"/>
              </w:rPr>
              <w:t>Benchmark</w:t>
            </w:r>
          </w:p>
        </w:tc>
        <w:tc>
          <w:tcPr>
            <w:tcW w:w="1351" w:type="dxa"/>
            <w:shd w:val="clear" w:color="auto" w:fill="DDDDDD"/>
            <w:hideMark/>
          </w:tcPr>
          <w:p w14:paraId="6B6B3386" w14:textId="77777777" w:rsidR="003D3CE5" w:rsidRPr="0004176C" w:rsidRDefault="003D3CE5" w:rsidP="003D3CE5">
            <w:pPr>
              <w:jc w:val="center"/>
              <w:rPr>
                <w:rFonts w:eastAsia="Calibri"/>
                <w:b/>
                <w:bCs/>
                <w:sz w:val="20"/>
                <w:szCs w:val="20"/>
              </w:rPr>
            </w:pPr>
            <w:r w:rsidRPr="0004176C">
              <w:rPr>
                <w:rFonts w:eastAsia="Calibri"/>
                <w:b/>
                <w:bCs/>
                <w:sz w:val="20"/>
                <w:szCs w:val="20"/>
              </w:rPr>
              <w:t>Outcome</w:t>
            </w:r>
          </w:p>
        </w:tc>
        <w:tc>
          <w:tcPr>
            <w:tcW w:w="1438" w:type="dxa"/>
            <w:shd w:val="clear" w:color="auto" w:fill="DDDDDD"/>
            <w:hideMark/>
          </w:tcPr>
          <w:p w14:paraId="0AA49C69" w14:textId="77777777" w:rsidR="003D3CE5" w:rsidRPr="0004176C" w:rsidRDefault="003D3CE5" w:rsidP="003D3CE5">
            <w:pPr>
              <w:jc w:val="center"/>
              <w:rPr>
                <w:rFonts w:eastAsia="Calibri"/>
                <w:b/>
                <w:bCs/>
                <w:sz w:val="20"/>
                <w:szCs w:val="20"/>
              </w:rPr>
            </w:pPr>
            <w:r w:rsidRPr="0004176C">
              <w:rPr>
                <w:rFonts w:eastAsia="Calibri"/>
                <w:b/>
                <w:bCs/>
                <w:sz w:val="20"/>
                <w:szCs w:val="20"/>
              </w:rPr>
              <w:t>Benchmark Achieved?</w:t>
            </w:r>
          </w:p>
        </w:tc>
      </w:tr>
      <w:tr w:rsidR="003D3CE5" w:rsidRPr="0004176C" w14:paraId="6ECED8E1" w14:textId="77777777" w:rsidTr="00256314">
        <w:trPr>
          <w:trHeight w:val="530"/>
        </w:trPr>
        <w:tc>
          <w:tcPr>
            <w:tcW w:w="3225" w:type="dxa"/>
            <w:shd w:val="clear" w:color="auto" w:fill="auto"/>
            <w:hideMark/>
          </w:tcPr>
          <w:p w14:paraId="73B9704B" w14:textId="77777777" w:rsidR="003D3CE5" w:rsidRPr="0004176C" w:rsidRDefault="003D3CE5" w:rsidP="003D3CE5">
            <w:pPr>
              <w:rPr>
                <w:rFonts w:eastAsia="Calibri"/>
                <w:sz w:val="20"/>
                <w:szCs w:val="20"/>
              </w:rPr>
            </w:pPr>
            <w:r w:rsidRPr="0004176C">
              <w:rPr>
                <w:rFonts w:eastAsia="Calibri"/>
                <w:sz w:val="20"/>
                <w:szCs w:val="20"/>
              </w:rPr>
              <w:t>Number of households receiving services aimed to increase self-sufficiency (increase).</w:t>
            </w:r>
          </w:p>
        </w:tc>
        <w:tc>
          <w:tcPr>
            <w:tcW w:w="1713" w:type="dxa"/>
            <w:shd w:val="clear" w:color="auto" w:fill="auto"/>
            <w:hideMark/>
          </w:tcPr>
          <w:p w14:paraId="2C15DC37" w14:textId="77777777" w:rsidR="003D3CE5" w:rsidRPr="0004176C" w:rsidRDefault="003D3CE5" w:rsidP="008D7DC4">
            <w:pPr>
              <w:jc w:val="center"/>
              <w:rPr>
                <w:rFonts w:eastAsia="Calibri"/>
                <w:sz w:val="20"/>
                <w:szCs w:val="20"/>
              </w:rPr>
            </w:pPr>
            <w:r w:rsidRPr="0004176C">
              <w:rPr>
                <w:rFonts w:eastAsia="Calibri"/>
                <w:sz w:val="20"/>
                <w:szCs w:val="20"/>
              </w:rPr>
              <w:t>913 Households</w:t>
            </w:r>
          </w:p>
          <w:p w14:paraId="5DAE0444" w14:textId="77777777" w:rsidR="003D3CE5" w:rsidRPr="0004176C" w:rsidRDefault="003D3CE5" w:rsidP="008D7DC4">
            <w:pPr>
              <w:jc w:val="center"/>
              <w:rPr>
                <w:rFonts w:eastAsia="Calibri"/>
                <w:sz w:val="20"/>
                <w:szCs w:val="20"/>
              </w:rPr>
            </w:pPr>
          </w:p>
          <w:p w14:paraId="77E6A02F" w14:textId="77777777" w:rsidR="003D3CE5" w:rsidRPr="0004176C" w:rsidRDefault="003D3CE5" w:rsidP="008D7DC4">
            <w:pPr>
              <w:jc w:val="center"/>
              <w:rPr>
                <w:rFonts w:eastAsia="Calibri"/>
                <w:sz w:val="20"/>
                <w:szCs w:val="20"/>
              </w:rPr>
            </w:pPr>
            <w:r w:rsidRPr="0004176C">
              <w:rPr>
                <w:rFonts w:eastAsia="Calibri"/>
                <w:sz w:val="20"/>
                <w:szCs w:val="20"/>
              </w:rPr>
              <w:t>Total Number of FSS participants</w:t>
            </w:r>
          </w:p>
        </w:tc>
        <w:tc>
          <w:tcPr>
            <w:tcW w:w="1627" w:type="dxa"/>
            <w:shd w:val="clear" w:color="auto" w:fill="auto"/>
            <w:hideMark/>
          </w:tcPr>
          <w:p w14:paraId="659C1219" w14:textId="5D4D1C11" w:rsidR="003D3CE5" w:rsidRPr="0004176C" w:rsidRDefault="00FE5BFC" w:rsidP="008D7DC4">
            <w:pPr>
              <w:jc w:val="center"/>
              <w:rPr>
                <w:rFonts w:eastAsia="Calibri"/>
                <w:sz w:val="20"/>
                <w:szCs w:val="20"/>
              </w:rPr>
            </w:pPr>
            <w:r w:rsidRPr="0004176C">
              <w:rPr>
                <w:rFonts w:eastAsia="Calibri"/>
                <w:sz w:val="20"/>
                <w:szCs w:val="20"/>
              </w:rPr>
              <w:t>900</w:t>
            </w:r>
            <w:r w:rsidR="003D3CE5" w:rsidRPr="0004176C">
              <w:rPr>
                <w:rFonts w:eastAsia="Calibri"/>
                <w:sz w:val="20"/>
                <w:szCs w:val="20"/>
              </w:rPr>
              <w:t xml:space="preserve"> Households</w:t>
            </w:r>
          </w:p>
          <w:p w14:paraId="2F6F3FFF" w14:textId="77777777" w:rsidR="003D3CE5" w:rsidRPr="0004176C" w:rsidRDefault="003D3CE5" w:rsidP="008D7DC4">
            <w:pPr>
              <w:jc w:val="center"/>
              <w:rPr>
                <w:rFonts w:eastAsia="Calibri"/>
                <w:sz w:val="20"/>
                <w:szCs w:val="20"/>
              </w:rPr>
            </w:pPr>
          </w:p>
        </w:tc>
        <w:tc>
          <w:tcPr>
            <w:tcW w:w="1351" w:type="dxa"/>
            <w:shd w:val="clear" w:color="auto" w:fill="auto"/>
          </w:tcPr>
          <w:p w14:paraId="59F6D73A" w14:textId="1107C36A" w:rsidR="003D3CE5" w:rsidRPr="0004176C" w:rsidRDefault="003D3CE5" w:rsidP="003D3CE5">
            <w:pPr>
              <w:jc w:val="center"/>
              <w:rPr>
                <w:rFonts w:eastAsia="Calibri"/>
                <w:sz w:val="20"/>
                <w:szCs w:val="20"/>
              </w:rPr>
            </w:pPr>
          </w:p>
        </w:tc>
        <w:tc>
          <w:tcPr>
            <w:tcW w:w="1438" w:type="dxa"/>
            <w:shd w:val="clear" w:color="auto" w:fill="auto"/>
          </w:tcPr>
          <w:p w14:paraId="6DABB1BF" w14:textId="60A1FD68" w:rsidR="003D3CE5" w:rsidRPr="0004176C" w:rsidRDefault="003D3CE5" w:rsidP="003D3CE5">
            <w:pPr>
              <w:jc w:val="center"/>
              <w:rPr>
                <w:rFonts w:eastAsia="Calibri"/>
                <w:sz w:val="20"/>
                <w:szCs w:val="20"/>
              </w:rPr>
            </w:pPr>
          </w:p>
        </w:tc>
      </w:tr>
      <w:tr w:rsidR="003D3CE5" w:rsidRPr="0004176C" w14:paraId="484A0143" w14:textId="77777777" w:rsidTr="00256314">
        <w:trPr>
          <w:trHeight w:val="413"/>
        </w:trPr>
        <w:tc>
          <w:tcPr>
            <w:tcW w:w="9354" w:type="dxa"/>
            <w:gridSpan w:val="5"/>
            <w:shd w:val="clear" w:color="auto" w:fill="auto"/>
          </w:tcPr>
          <w:p w14:paraId="1063308B" w14:textId="77777777" w:rsidR="003D3CE5" w:rsidRPr="0004176C" w:rsidRDefault="003D3CE5" w:rsidP="003D3CE5">
            <w:pPr>
              <w:rPr>
                <w:rFonts w:eastAsia="Calibri"/>
                <w:sz w:val="20"/>
                <w:szCs w:val="20"/>
              </w:rPr>
            </w:pPr>
            <w:r w:rsidRPr="0004176C">
              <w:rPr>
                <w:i/>
                <w:sz w:val="20"/>
                <w:szCs w:val="20"/>
              </w:rPr>
              <w:t xml:space="preserve">*HUD is requiring the use of this metric; however, DHCD does not believe it is applicable in this context of this MTW activity.  </w:t>
            </w:r>
          </w:p>
        </w:tc>
      </w:tr>
      <w:tr w:rsidR="003D3CE5" w:rsidRPr="0004176C" w14:paraId="7DDD5ED1" w14:textId="77777777" w:rsidTr="00256314">
        <w:trPr>
          <w:trHeight w:hRule="exact" w:val="317"/>
        </w:trPr>
        <w:tc>
          <w:tcPr>
            <w:tcW w:w="9354" w:type="dxa"/>
            <w:gridSpan w:val="5"/>
            <w:shd w:val="clear" w:color="auto" w:fill="C6D9F1" w:themeFill="text2" w:themeFillTint="33"/>
          </w:tcPr>
          <w:p w14:paraId="5A1F4D17" w14:textId="52C54C24" w:rsidR="003D3CE5" w:rsidRPr="0004176C" w:rsidRDefault="003D3CE5" w:rsidP="003D3CE5">
            <w:pPr>
              <w:jc w:val="center"/>
              <w:rPr>
                <w:rFonts w:eastAsia="Calibri"/>
                <w:b/>
                <w:bCs/>
                <w:i/>
                <w:iCs/>
                <w:sz w:val="20"/>
                <w:szCs w:val="20"/>
              </w:rPr>
            </w:pPr>
            <w:r w:rsidRPr="0004176C">
              <w:rPr>
                <w:b/>
                <w:bCs/>
                <w:i/>
                <w:iCs/>
                <w:sz w:val="20"/>
                <w:szCs w:val="20"/>
              </w:rPr>
              <w:t>SS #6: Reducing Per Unit Subsidy Costs for Participating Hous</w:t>
            </w:r>
            <w:r w:rsidR="00DE01D8" w:rsidRPr="0004176C">
              <w:rPr>
                <w:b/>
                <w:bCs/>
                <w:i/>
                <w:iCs/>
                <w:sz w:val="20"/>
                <w:szCs w:val="20"/>
              </w:rPr>
              <w:t>eholds</w:t>
            </w:r>
            <w:r w:rsidRPr="0004176C">
              <w:rPr>
                <w:b/>
                <w:bCs/>
                <w:i/>
                <w:iCs/>
                <w:sz w:val="20"/>
                <w:szCs w:val="20"/>
              </w:rPr>
              <w:t>*</w:t>
            </w:r>
          </w:p>
        </w:tc>
      </w:tr>
      <w:tr w:rsidR="003D3CE5" w:rsidRPr="0004176C" w14:paraId="53E9D29B" w14:textId="77777777" w:rsidTr="00256314">
        <w:trPr>
          <w:trHeight w:hRule="exact" w:val="576"/>
        </w:trPr>
        <w:tc>
          <w:tcPr>
            <w:tcW w:w="3225" w:type="dxa"/>
            <w:shd w:val="clear" w:color="auto" w:fill="DDDDDD"/>
          </w:tcPr>
          <w:p w14:paraId="308B749C" w14:textId="77777777" w:rsidR="003D3CE5" w:rsidRPr="0004176C" w:rsidRDefault="003D3CE5" w:rsidP="003D3CE5">
            <w:pPr>
              <w:jc w:val="center"/>
              <w:rPr>
                <w:rFonts w:eastAsia="Calibri"/>
                <w:b/>
                <w:bCs/>
                <w:sz w:val="20"/>
                <w:szCs w:val="20"/>
              </w:rPr>
            </w:pPr>
            <w:r w:rsidRPr="0004176C">
              <w:rPr>
                <w:rFonts w:eastAsia="Calibri"/>
                <w:b/>
                <w:bCs/>
                <w:sz w:val="20"/>
                <w:szCs w:val="20"/>
              </w:rPr>
              <w:t>Unit of Measurement</w:t>
            </w:r>
          </w:p>
        </w:tc>
        <w:tc>
          <w:tcPr>
            <w:tcW w:w="1713" w:type="dxa"/>
            <w:shd w:val="clear" w:color="auto" w:fill="DDDDDD"/>
          </w:tcPr>
          <w:p w14:paraId="710541BC" w14:textId="77777777" w:rsidR="003D3CE5" w:rsidRPr="0004176C" w:rsidRDefault="003D3CE5" w:rsidP="003D3CE5">
            <w:pPr>
              <w:jc w:val="center"/>
              <w:rPr>
                <w:rFonts w:eastAsia="Calibri"/>
                <w:b/>
                <w:bCs/>
                <w:sz w:val="20"/>
                <w:szCs w:val="20"/>
              </w:rPr>
            </w:pPr>
            <w:r w:rsidRPr="0004176C">
              <w:rPr>
                <w:rFonts w:eastAsia="Calibri"/>
                <w:b/>
                <w:bCs/>
                <w:sz w:val="20"/>
                <w:szCs w:val="20"/>
              </w:rPr>
              <w:t>Baseline</w:t>
            </w:r>
          </w:p>
        </w:tc>
        <w:tc>
          <w:tcPr>
            <w:tcW w:w="1627" w:type="dxa"/>
            <w:shd w:val="clear" w:color="auto" w:fill="DDDDDD"/>
          </w:tcPr>
          <w:p w14:paraId="71B7CAEC" w14:textId="77777777" w:rsidR="003D3CE5" w:rsidRPr="0004176C" w:rsidRDefault="003D3CE5" w:rsidP="003D3CE5">
            <w:pPr>
              <w:jc w:val="center"/>
              <w:rPr>
                <w:rFonts w:eastAsia="Calibri"/>
                <w:b/>
                <w:bCs/>
                <w:sz w:val="20"/>
                <w:szCs w:val="20"/>
              </w:rPr>
            </w:pPr>
            <w:r w:rsidRPr="0004176C">
              <w:rPr>
                <w:rFonts w:eastAsia="Calibri"/>
                <w:b/>
                <w:bCs/>
                <w:sz w:val="20"/>
                <w:szCs w:val="20"/>
              </w:rPr>
              <w:t>Benchmark</w:t>
            </w:r>
          </w:p>
        </w:tc>
        <w:tc>
          <w:tcPr>
            <w:tcW w:w="1351" w:type="dxa"/>
            <w:shd w:val="clear" w:color="auto" w:fill="DDDDDD"/>
          </w:tcPr>
          <w:p w14:paraId="32F0A2DE" w14:textId="77777777" w:rsidR="003D3CE5" w:rsidRPr="0004176C" w:rsidRDefault="003D3CE5" w:rsidP="003D3CE5">
            <w:pPr>
              <w:jc w:val="center"/>
              <w:rPr>
                <w:rFonts w:eastAsia="Calibri"/>
                <w:b/>
                <w:bCs/>
                <w:sz w:val="20"/>
                <w:szCs w:val="20"/>
              </w:rPr>
            </w:pPr>
            <w:r w:rsidRPr="0004176C">
              <w:rPr>
                <w:rFonts w:eastAsia="Calibri"/>
                <w:b/>
                <w:bCs/>
                <w:sz w:val="20"/>
                <w:szCs w:val="20"/>
              </w:rPr>
              <w:t>Outcome</w:t>
            </w:r>
          </w:p>
        </w:tc>
        <w:tc>
          <w:tcPr>
            <w:tcW w:w="1438" w:type="dxa"/>
            <w:shd w:val="clear" w:color="auto" w:fill="DDDDDD"/>
          </w:tcPr>
          <w:p w14:paraId="54A4DE1D" w14:textId="77777777" w:rsidR="003D3CE5" w:rsidRPr="0004176C" w:rsidRDefault="003D3CE5" w:rsidP="003D3CE5">
            <w:pPr>
              <w:jc w:val="center"/>
              <w:rPr>
                <w:rFonts w:eastAsia="Calibri"/>
                <w:b/>
                <w:bCs/>
                <w:sz w:val="20"/>
                <w:szCs w:val="20"/>
              </w:rPr>
            </w:pPr>
            <w:r w:rsidRPr="0004176C">
              <w:rPr>
                <w:rFonts w:eastAsia="Calibri"/>
                <w:b/>
                <w:bCs/>
                <w:sz w:val="20"/>
                <w:szCs w:val="20"/>
              </w:rPr>
              <w:t>Benchmark Achieved?</w:t>
            </w:r>
          </w:p>
        </w:tc>
      </w:tr>
      <w:tr w:rsidR="003D3CE5" w:rsidRPr="0004176C" w14:paraId="7A8567B4" w14:textId="77777777" w:rsidTr="00256314">
        <w:trPr>
          <w:trHeight w:val="296"/>
        </w:trPr>
        <w:tc>
          <w:tcPr>
            <w:tcW w:w="3225" w:type="dxa"/>
            <w:shd w:val="clear" w:color="auto" w:fill="auto"/>
          </w:tcPr>
          <w:p w14:paraId="4C415681" w14:textId="77777777" w:rsidR="003D3CE5" w:rsidRPr="0004176C" w:rsidRDefault="003D3CE5" w:rsidP="003D3CE5">
            <w:pPr>
              <w:rPr>
                <w:rFonts w:eastAsia="Calibri"/>
                <w:b/>
                <w:bCs/>
                <w:i/>
                <w:iCs/>
                <w:sz w:val="20"/>
                <w:szCs w:val="20"/>
              </w:rPr>
            </w:pPr>
            <w:r w:rsidRPr="0004176C">
              <w:rPr>
                <w:sz w:val="20"/>
                <w:szCs w:val="20"/>
              </w:rPr>
              <w:t>Average amount of Section 8 subsidy per household affected by this policy in dollars (decrease).</w:t>
            </w:r>
          </w:p>
        </w:tc>
        <w:tc>
          <w:tcPr>
            <w:tcW w:w="1713" w:type="dxa"/>
            <w:shd w:val="clear" w:color="auto" w:fill="auto"/>
          </w:tcPr>
          <w:p w14:paraId="01A076AC" w14:textId="77777777" w:rsidR="003D3CE5" w:rsidRPr="0004176C" w:rsidRDefault="003D3CE5" w:rsidP="008D7DC4">
            <w:pPr>
              <w:jc w:val="center"/>
              <w:rPr>
                <w:rFonts w:eastAsia="Calibri"/>
                <w:bCs/>
                <w:iCs/>
                <w:sz w:val="20"/>
                <w:szCs w:val="20"/>
              </w:rPr>
            </w:pPr>
            <w:r w:rsidRPr="0004176C">
              <w:rPr>
                <w:rFonts w:eastAsia="Calibri"/>
                <w:bCs/>
                <w:iCs/>
                <w:sz w:val="20"/>
                <w:szCs w:val="20"/>
              </w:rPr>
              <w:t>$870</w:t>
            </w:r>
          </w:p>
          <w:p w14:paraId="03F555DE" w14:textId="77777777" w:rsidR="003D3CE5" w:rsidRPr="0004176C" w:rsidRDefault="003D3CE5" w:rsidP="008D7DC4">
            <w:pPr>
              <w:jc w:val="center"/>
              <w:rPr>
                <w:rFonts w:eastAsia="Calibri"/>
                <w:bCs/>
                <w:iCs/>
                <w:sz w:val="20"/>
                <w:szCs w:val="20"/>
              </w:rPr>
            </w:pPr>
            <w:r w:rsidRPr="0004176C">
              <w:rPr>
                <w:rFonts w:eastAsia="Calibri"/>
                <w:bCs/>
                <w:iCs/>
                <w:sz w:val="20"/>
                <w:szCs w:val="20"/>
              </w:rPr>
              <w:t>FY 2015</w:t>
            </w:r>
          </w:p>
        </w:tc>
        <w:tc>
          <w:tcPr>
            <w:tcW w:w="1627" w:type="dxa"/>
            <w:shd w:val="clear" w:color="auto" w:fill="auto"/>
          </w:tcPr>
          <w:p w14:paraId="75EBCDA9" w14:textId="04F0DE30" w:rsidR="003D3CE5" w:rsidRPr="0004176C" w:rsidRDefault="00655CA0" w:rsidP="008D7DC4">
            <w:pPr>
              <w:jc w:val="center"/>
              <w:rPr>
                <w:rFonts w:eastAsia="Calibri"/>
                <w:bCs/>
                <w:iCs/>
                <w:sz w:val="20"/>
                <w:szCs w:val="20"/>
              </w:rPr>
            </w:pPr>
            <w:r w:rsidRPr="0004176C">
              <w:rPr>
                <w:rFonts w:eastAsia="Calibri"/>
                <w:bCs/>
                <w:iCs/>
                <w:sz w:val="20"/>
                <w:szCs w:val="20"/>
              </w:rPr>
              <w:t>$</w:t>
            </w:r>
            <w:r w:rsidR="00FE5BFC" w:rsidRPr="0004176C">
              <w:rPr>
                <w:rFonts w:eastAsia="Calibri"/>
                <w:bCs/>
                <w:iCs/>
                <w:sz w:val="20"/>
                <w:szCs w:val="20"/>
              </w:rPr>
              <w:t>1,025</w:t>
            </w:r>
          </w:p>
        </w:tc>
        <w:tc>
          <w:tcPr>
            <w:tcW w:w="1351" w:type="dxa"/>
            <w:shd w:val="clear" w:color="auto" w:fill="auto"/>
          </w:tcPr>
          <w:p w14:paraId="723DB194" w14:textId="1BC4C3B1" w:rsidR="003D3CE5" w:rsidRPr="0004176C" w:rsidRDefault="003D3CE5" w:rsidP="008D7DC4">
            <w:pPr>
              <w:jc w:val="center"/>
              <w:rPr>
                <w:rFonts w:eastAsia="Calibri"/>
                <w:b/>
                <w:bCs/>
                <w:i/>
                <w:iCs/>
                <w:sz w:val="20"/>
                <w:szCs w:val="20"/>
              </w:rPr>
            </w:pPr>
          </w:p>
        </w:tc>
        <w:tc>
          <w:tcPr>
            <w:tcW w:w="1438" w:type="dxa"/>
            <w:shd w:val="clear" w:color="auto" w:fill="auto"/>
          </w:tcPr>
          <w:p w14:paraId="43D26BFB" w14:textId="3A04F273" w:rsidR="003D3CE5" w:rsidRPr="0004176C" w:rsidRDefault="003D3CE5" w:rsidP="008D7DC4">
            <w:pPr>
              <w:jc w:val="center"/>
              <w:rPr>
                <w:rFonts w:eastAsia="Calibri"/>
                <w:b/>
                <w:bCs/>
                <w:i/>
                <w:iCs/>
                <w:sz w:val="20"/>
                <w:szCs w:val="20"/>
              </w:rPr>
            </w:pPr>
          </w:p>
        </w:tc>
      </w:tr>
      <w:tr w:rsidR="003D3CE5" w:rsidRPr="0004176C" w14:paraId="6E6B23EE" w14:textId="77777777" w:rsidTr="00256314">
        <w:trPr>
          <w:trHeight w:val="296"/>
        </w:trPr>
        <w:tc>
          <w:tcPr>
            <w:tcW w:w="9354" w:type="dxa"/>
            <w:gridSpan w:val="5"/>
            <w:shd w:val="clear" w:color="auto" w:fill="auto"/>
          </w:tcPr>
          <w:p w14:paraId="6AE85754" w14:textId="77777777" w:rsidR="003D3CE5" w:rsidRPr="0004176C" w:rsidRDefault="003D3CE5" w:rsidP="003D3CE5">
            <w:pPr>
              <w:rPr>
                <w:rFonts w:eastAsia="Calibri"/>
                <w:b/>
                <w:bCs/>
                <w:i/>
                <w:iCs/>
                <w:sz w:val="20"/>
                <w:szCs w:val="20"/>
              </w:rPr>
            </w:pPr>
            <w:r w:rsidRPr="0004176C">
              <w:rPr>
                <w:i/>
                <w:sz w:val="20"/>
                <w:szCs w:val="20"/>
              </w:rPr>
              <w:t xml:space="preserve">*HUD is requiring the use of this metric; however, DHCD does not believe it is applicable in this context of this MTW activity.  </w:t>
            </w:r>
          </w:p>
        </w:tc>
      </w:tr>
      <w:tr w:rsidR="003D3CE5" w:rsidRPr="0004176C" w14:paraId="19623269" w14:textId="77777777" w:rsidTr="00256314">
        <w:trPr>
          <w:trHeight w:hRule="exact" w:val="317"/>
        </w:trPr>
        <w:tc>
          <w:tcPr>
            <w:tcW w:w="9354" w:type="dxa"/>
            <w:gridSpan w:val="5"/>
            <w:shd w:val="clear" w:color="auto" w:fill="C6D9F1" w:themeFill="text2" w:themeFillTint="33"/>
          </w:tcPr>
          <w:p w14:paraId="1F4E4964" w14:textId="4EAD2B2E" w:rsidR="003D3CE5" w:rsidRPr="0004176C" w:rsidRDefault="003D3CE5" w:rsidP="003D3CE5">
            <w:pPr>
              <w:jc w:val="center"/>
              <w:rPr>
                <w:rFonts w:eastAsia="Calibri"/>
                <w:b/>
                <w:bCs/>
                <w:i/>
                <w:iCs/>
                <w:sz w:val="20"/>
                <w:szCs w:val="20"/>
              </w:rPr>
            </w:pPr>
            <w:r w:rsidRPr="0004176C">
              <w:rPr>
                <w:b/>
                <w:bCs/>
                <w:i/>
                <w:iCs/>
                <w:sz w:val="20"/>
                <w:szCs w:val="20"/>
              </w:rPr>
              <w:t>SS #7: Increase in Agency Rental Revenue</w:t>
            </w:r>
            <w:r w:rsidR="00256314" w:rsidRPr="0004176C">
              <w:rPr>
                <w:b/>
                <w:bCs/>
                <w:i/>
                <w:iCs/>
                <w:sz w:val="20"/>
                <w:szCs w:val="20"/>
              </w:rPr>
              <w:t>*</w:t>
            </w:r>
          </w:p>
        </w:tc>
      </w:tr>
      <w:tr w:rsidR="003D3CE5" w:rsidRPr="0004176C" w14:paraId="25BF8B6C" w14:textId="77777777" w:rsidTr="00256314">
        <w:trPr>
          <w:trHeight w:hRule="exact" w:val="576"/>
        </w:trPr>
        <w:tc>
          <w:tcPr>
            <w:tcW w:w="3225" w:type="dxa"/>
            <w:shd w:val="clear" w:color="auto" w:fill="DDDDDD"/>
          </w:tcPr>
          <w:p w14:paraId="673498A5" w14:textId="77777777" w:rsidR="003D3CE5" w:rsidRPr="0004176C" w:rsidRDefault="003D3CE5" w:rsidP="003D3CE5">
            <w:pPr>
              <w:jc w:val="center"/>
              <w:rPr>
                <w:rFonts w:eastAsia="Calibri"/>
                <w:b/>
                <w:bCs/>
                <w:sz w:val="20"/>
                <w:szCs w:val="20"/>
              </w:rPr>
            </w:pPr>
            <w:r w:rsidRPr="0004176C">
              <w:rPr>
                <w:rFonts w:eastAsia="Calibri"/>
                <w:b/>
                <w:bCs/>
                <w:sz w:val="20"/>
                <w:szCs w:val="20"/>
              </w:rPr>
              <w:t>Unit of Measurement</w:t>
            </w:r>
          </w:p>
        </w:tc>
        <w:tc>
          <w:tcPr>
            <w:tcW w:w="1713" w:type="dxa"/>
            <w:shd w:val="clear" w:color="auto" w:fill="DDDDDD"/>
          </w:tcPr>
          <w:p w14:paraId="67D0DC1D" w14:textId="77777777" w:rsidR="003D3CE5" w:rsidRPr="0004176C" w:rsidRDefault="003D3CE5" w:rsidP="003D3CE5">
            <w:pPr>
              <w:jc w:val="center"/>
              <w:rPr>
                <w:rFonts w:eastAsia="Calibri"/>
                <w:b/>
                <w:bCs/>
                <w:sz w:val="20"/>
                <w:szCs w:val="20"/>
              </w:rPr>
            </w:pPr>
            <w:r w:rsidRPr="0004176C">
              <w:rPr>
                <w:rFonts w:eastAsia="Calibri"/>
                <w:b/>
                <w:bCs/>
                <w:sz w:val="20"/>
                <w:szCs w:val="20"/>
              </w:rPr>
              <w:t>Baseline</w:t>
            </w:r>
          </w:p>
        </w:tc>
        <w:tc>
          <w:tcPr>
            <w:tcW w:w="1627" w:type="dxa"/>
            <w:shd w:val="clear" w:color="auto" w:fill="DDDDDD"/>
          </w:tcPr>
          <w:p w14:paraId="52992D22" w14:textId="77777777" w:rsidR="003D3CE5" w:rsidRPr="0004176C" w:rsidRDefault="003D3CE5" w:rsidP="003D3CE5">
            <w:pPr>
              <w:jc w:val="center"/>
              <w:rPr>
                <w:rFonts w:eastAsia="Calibri"/>
                <w:b/>
                <w:bCs/>
                <w:sz w:val="20"/>
                <w:szCs w:val="20"/>
              </w:rPr>
            </w:pPr>
            <w:r w:rsidRPr="0004176C">
              <w:rPr>
                <w:rFonts w:eastAsia="Calibri"/>
                <w:b/>
                <w:bCs/>
                <w:sz w:val="20"/>
                <w:szCs w:val="20"/>
              </w:rPr>
              <w:t>Benchmark</w:t>
            </w:r>
          </w:p>
        </w:tc>
        <w:tc>
          <w:tcPr>
            <w:tcW w:w="1351" w:type="dxa"/>
            <w:shd w:val="clear" w:color="auto" w:fill="DDDDDD"/>
          </w:tcPr>
          <w:p w14:paraId="59656112" w14:textId="77777777" w:rsidR="003D3CE5" w:rsidRPr="0004176C" w:rsidRDefault="003D3CE5" w:rsidP="003D3CE5">
            <w:pPr>
              <w:jc w:val="center"/>
              <w:rPr>
                <w:rFonts w:eastAsia="Calibri"/>
                <w:b/>
                <w:bCs/>
                <w:sz w:val="20"/>
                <w:szCs w:val="20"/>
              </w:rPr>
            </w:pPr>
            <w:r w:rsidRPr="0004176C">
              <w:rPr>
                <w:rFonts w:eastAsia="Calibri"/>
                <w:b/>
                <w:bCs/>
                <w:sz w:val="20"/>
                <w:szCs w:val="20"/>
              </w:rPr>
              <w:t>Outcome</w:t>
            </w:r>
          </w:p>
        </w:tc>
        <w:tc>
          <w:tcPr>
            <w:tcW w:w="1438" w:type="dxa"/>
            <w:shd w:val="clear" w:color="auto" w:fill="DDDDDD"/>
          </w:tcPr>
          <w:p w14:paraId="2149C2B6" w14:textId="77777777" w:rsidR="003D3CE5" w:rsidRPr="0004176C" w:rsidRDefault="003D3CE5" w:rsidP="003D3CE5">
            <w:pPr>
              <w:jc w:val="center"/>
              <w:rPr>
                <w:rFonts w:eastAsia="Calibri"/>
                <w:b/>
                <w:bCs/>
                <w:sz w:val="20"/>
                <w:szCs w:val="20"/>
              </w:rPr>
            </w:pPr>
            <w:r w:rsidRPr="0004176C">
              <w:rPr>
                <w:rFonts w:eastAsia="Calibri"/>
                <w:b/>
                <w:bCs/>
                <w:sz w:val="20"/>
                <w:szCs w:val="20"/>
              </w:rPr>
              <w:t>Benchmark Achieved?</w:t>
            </w:r>
          </w:p>
        </w:tc>
      </w:tr>
      <w:tr w:rsidR="003D3CE5" w:rsidRPr="0004176C" w14:paraId="7B2F8334" w14:textId="77777777" w:rsidTr="00256314">
        <w:trPr>
          <w:trHeight w:val="503"/>
        </w:trPr>
        <w:tc>
          <w:tcPr>
            <w:tcW w:w="3225" w:type="dxa"/>
            <w:shd w:val="clear" w:color="auto" w:fill="auto"/>
          </w:tcPr>
          <w:p w14:paraId="405476C4" w14:textId="2F7A61B2" w:rsidR="003D3CE5" w:rsidRPr="0004176C" w:rsidRDefault="00256314" w:rsidP="003D3CE5">
            <w:pPr>
              <w:rPr>
                <w:rFonts w:eastAsia="Calibri"/>
                <w:b/>
                <w:bCs/>
                <w:i/>
                <w:iCs/>
                <w:sz w:val="20"/>
                <w:szCs w:val="20"/>
              </w:rPr>
            </w:pPr>
            <w:r w:rsidRPr="0004176C">
              <w:rPr>
                <w:sz w:val="20"/>
                <w:szCs w:val="20"/>
              </w:rPr>
              <w:t>Total Household contributions towards housing assistance (increase).</w:t>
            </w:r>
          </w:p>
        </w:tc>
        <w:tc>
          <w:tcPr>
            <w:tcW w:w="1713" w:type="dxa"/>
            <w:shd w:val="clear" w:color="auto" w:fill="auto"/>
          </w:tcPr>
          <w:p w14:paraId="035D1074" w14:textId="48838903" w:rsidR="003D3CE5" w:rsidRPr="0004176C" w:rsidRDefault="003D3CE5" w:rsidP="008D7DC4">
            <w:pPr>
              <w:jc w:val="center"/>
              <w:rPr>
                <w:rFonts w:eastAsia="Calibri"/>
                <w:sz w:val="20"/>
                <w:szCs w:val="20"/>
              </w:rPr>
            </w:pPr>
            <w:r w:rsidRPr="0004176C">
              <w:rPr>
                <w:rFonts w:eastAsia="Calibri"/>
                <w:sz w:val="20"/>
                <w:szCs w:val="20"/>
              </w:rPr>
              <w:t>$382</w:t>
            </w:r>
          </w:p>
        </w:tc>
        <w:tc>
          <w:tcPr>
            <w:tcW w:w="1627" w:type="dxa"/>
            <w:shd w:val="clear" w:color="auto" w:fill="auto"/>
          </w:tcPr>
          <w:p w14:paraId="244CDE0D" w14:textId="5D29FA34" w:rsidR="003D3CE5" w:rsidRPr="0004176C" w:rsidRDefault="003D3CE5" w:rsidP="008D7DC4">
            <w:pPr>
              <w:jc w:val="center"/>
              <w:rPr>
                <w:rFonts w:eastAsia="Calibri"/>
                <w:sz w:val="20"/>
                <w:szCs w:val="20"/>
              </w:rPr>
            </w:pPr>
            <w:r w:rsidRPr="0004176C">
              <w:rPr>
                <w:rFonts w:eastAsia="Calibri"/>
                <w:sz w:val="20"/>
                <w:szCs w:val="20"/>
              </w:rPr>
              <w:t>$326</w:t>
            </w:r>
          </w:p>
        </w:tc>
        <w:tc>
          <w:tcPr>
            <w:tcW w:w="1351" w:type="dxa"/>
            <w:shd w:val="clear" w:color="auto" w:fill="auto"/>
          </w:tcPr>
          <w:p w14:paraId="33EF5D22" w14:textId="4D3957F5" w:rsidR="003D3CE5" w:rsidRPr="0004176C" w:rsidRDefault="003D3CE5" w:rsidP="008D7DC4">
            <w:pPr>
              <w:jc w:val="center"/>
              <w:rPr>
                <w:rFonts w:eastAsia="Calibri"/>
                <w:b/>
                <w:bCs/>
                <w:iCs/>
                <w:sz w:val="20"/>
                <w:szCs w:val="20"/>
              </w:rPr>
            </w:pPr>
          </w:p>
        </w:tc>
        <w:tc>
          <w:tcPr>
            <w:tcW w:w="1438" w:type="dxa"/>
            <w:shd w:val="clear" w:color="auto" w:fill="auto"/>
          </w:tcPr>
          <w:p w14:paraId="00D4B4FA" w14:textId="71909020" w:rsidR="003D3CE5" w:rsidRPr="0004176C" w:rsidRDefault="003D3CE5" w:rsidP="008D7DC4">
            <w:pPr>
              <w:jc w:val="center"/>
              <w:rPr>
                <w:rFonts w:eastAsia="Calibri"/>
                <w:b/>
                <w:bCs/>
                <w:i/>
                <w:iCs/>
                <w:sz w:val="20"/>
                <w:szCs w:val="20"/>
              </w:rPr>
            </w:pPr>
          </w:p>
        </w:tc>
      </w:tr>
      <w:tr w:rsidR="003D3CE5" w:rsidRPr="0004176C" w14:paraId="65473F4B" w14:textId="77777777" w:rsidTr="00256314">
        <w:trPr>
          <w:trHeight w:val="197"/>
        </w:trPr>
        <w:tc>
          <w:tcPr>
            <w:tcW w:w="9354" w:type="dxa"/>
            <w:gridSpan w:val="5"/>
            <w:shd w:val="clear" w:color="auto" w:fill="auto"/>
          </w:tcPr>
          <w:p w14:paraId="5786B128" w14:textId="1240946E" w:rsidR="003D3CE5" w:rsidRPr="0004176C" w:rsidRDefault="00256314" w:rsidP="00655CA0">
            <w:pPr>
              <w:rPr>
                <w:rFonts w:eastAsia="Calibri"/>
                <w:bCs/>
                <w:i/>
                <w:iCs/>
                <w:sz w:val="20"/>
                <w:szCs w:val="20"/>
              </w:rPr>
            </w:pPr>
            <w:r w:rsidRPr="0004176C">
              <w:rPr>
                <w:rFonts w:eastAsia="Calibri"/>
                <w:bCs/>
                <w:i/>
                <w:iCs/>
                <w:sz w:val="20"/>
                <w:szCs w:val="20"/>
              </w:rPr>
              <w:t>*Represents Average Tenant Tent to O</w:t>
            </w:r>
            <w:r w:rsidR="003D3CE5" w:rsidRPr="0004176C">
              <w:rPr>
                <w:rFonts w:eastAsia="Calibri"/>
                <w:bCs/>
                <w:i/>
                <w:iCs/>
                <w:sz w:val="20"/>
                <w:szCs w:val="20"/>
              </w:rPr>
              <w:t>wner</w:t>
            </w:r>
            <w:r w:rsidR="00DB6C9C" w:rsidRPr="0004176C">
              <w:rPr>
                <w:rFonts w:eastAsia="Calibri"/>
                <w:bCs/>
                <w:i/>
                <w:iCs/>
                <w:sz w:val="20"/>
                <w:szCs w:val="20"/>
              </w:rPr>
              <w:t>.</w:t>
            </w:r>
          </w:p>
        </w:tc>
      </w:tr>
      <w:tr w:rsidR="003D3CE5" w:rsidRPr="0004176C" w14:paraId="295425A3" w14:textId="77777777" w:rsidTr="00256314">
        <w:trPr>
          <w:trHeight w:hRule="exact" w:val="317"/>
        </w:trPr>
        <w:tc>
          <w:tcPr>
            <w:tcW w:w="9354" w:type="dxa"/>
            <w:gridSpan w:val="5"/>
            <w:shd w:val="clear" w:color="auto" w:fill="C6D9F1" w:themeFill="text2" w:themeFillTint="33"/>
            <w:hideMark/>
          </w:tcPr>
          <w:p w14:paraId="7954126F" w14:textId="290B6E95" w:rsidR="003D3CE5" w:rsidRPr="0004176C" w:rsidRDefault="003D3CE5" w:rsidP="003D3CE5">
            <w:pPr>
              <w:jc w:val="center"/>
              <w:rPr>
                <w:rFonts w:eastAsia="Calibri"/>
                <w:b/>
                <w:bCs/>
                <w:i/>
                <w:iCs/>
                <w:sz w:val="20"/>
                <w:szCs w:val="20"/>
              </w:rPr>
            </w:pPr>
            <w:r w:rsidRPr="0004176C">
              <w:rPr>
                <w:rFonts w:eastAsia="Calibri"/>
                <w:b/>
                <w:bCs/>
                <w:i/>
                <w:iCs/>
                <w:sz w:val="20"/>
                <w:szCs w:val="20"/>
              </w:rPr>
              <w:t>SS #8: Households T</w:t>
            </w:r>
            <w:r w:rsidR="006946A2" w:rsidRPr="0004176C">
              <w:rPr>
                <w:rFonts w:eastAsia="Calibri"/>
                <w:b/>
                <w:bCs/>
                <w:i/>
                <w:iCs/>
                <w:sz w:val="20"/>
                <w:szCs w:val="20"/>
              </w:rPr>
              <w:t>ransitioned to Self Sufficiency</w:t>
            </w:r>
            <w:r w:rsidRPr="0004176C">
              <w:rPr>
                <w:rFonts w:eastAsia="Calibri"/>
                <w:b/>
                <w:bCs/>
                <w:i/>
                <w:iCs/>
                <w:sz w:val="20"/>
                <w:szCs w:val="20"/>
              </w:rPr>
              <w:t>*</w:t>
            </w:r>
          </w:p>
        </w:tc>
      </w:tr>
      <w:tr w:rsidR="003D3CE5" w:rsidRPr="0004176C" w14:paraId="5C4D4620" w14:textId="77777777" w:rsidTr="00256314">
        <w:trPr>
          <w:trHeight w:hRule="exact" w:val="576"/>
        </w:trPr>
        <w:tc>
          <w:tcPr>
            <w:tcW w:w="3225" w:type="dxa"/>
            <w:shd w:val="clear" w:color="auto" w:fill="DDDDDD"/>
            <w:hideMark/>
          </w:tcPr>
          <w:p w14:paraId="1C3494B1" w14:textId="77777777" w:rsidR="003D3CE5" w:rsidRPr="0004176C" w:rsidRDefault="003D3CE5" w:rsidP="003D3CE5">
            <w:pPr>
              <w:jc w:val="center"/>
              <w:rPr>
                <w:rFonts w:eastAsia="Calibri"/>
                <w:b/>
                <w:bCs/>
                <w:sz w:val="20"/>
                <w:szCs w:val="20"/>
              </w:rPr>
            </w:pPr>
            <w:r w:rsidRPr="0004176C">
              <w:rPr>
                <w:rFonts w:eastAsia="Calibri"/>
                <w:b/>
                <w:bCs/>
                <w:sz w:val="20"/>
                <w:szCs w:val="20"/>
              </w:rPr>
              <w:t>Unit of Measurement</w:t>
            </w:r>
          </w:p>
        </w:tc>
        <w:tc>
          <w:tcPr>
            <w:tcW w:w="1713" w:type="dxa"/>
            <w:shd w:val="clear" w:color="auto" w:fill="DDDDDD"/>
            <w:hideMark/>
          </w:tcPr>
          <w:p w14:paraId="2838FFCD" w14:textId="77777777" w:rsidR="003D3CE5" w:rsidRPr="0004176C" w:rsidRDefault="003D3CE5" w:rsidP="003D3CE5">
            <w:pPr>
              <w:jc w:val="center"/>
              <w:rPr>
                <w:rFonts w:eastAsia="Calibri"/>
                <w:b/>
                <w:bCs/>
                <w:sz w:val="20"/>
                <w:szCs w:val="20"/>
              </w:rPr>
            </w:pPr>
            <w:r w:rsidRPr="0004176C">
              <w:rPr>
                <w:rFonts w:eastAsia="Calibri"/>
                <w:b/>
                <w:bCs/>
                <w:sz w:val="20"/>
                <w:szCs w:val="20"/>
              </w:rPr>
              <w:t>Baseline</w:t>
            </w:r>
          </w:p>
        </w:tc>
        <w:tc>
          <w:tcPr>
            <w:tcW w:w="1627" w:type="dxa"/>
            <w:shd w:val="clear" w:color="auto" w:fill="DDDDDD"/>
            <w:hideMark/>
          </w:tcPr>
          <w:p w14:paraId="2DBA2979" w14:textId="77777777" w:rsidR="003D3CE5" w:rsidRPr="0004176C" w:rsidRDefault="003D3CE5" w:rsidP="003D3CE5">
            <w:pPr>
              <w:jc w:val="center"/>
              <w:rPr>
                <w:rFonts w:eastAsia="Calibri"/>
                <w:b/>
                <w:bCs/>
                <w:sz w:val="20"/>
                <w:szCs w:val="20"/>
              </w:rPr>
            </w:pPr>
            <w:r w:rsidRPr="0004176C">
              <w:rPr>
                <w:rFonts w:eastAsia="Calibri"/>
                <w:b/>
                <w:bCs/>
                <w:sz w:val="20"/>
                <w:szCs w:val="20"/>
              </w:rPr>
              <w:t>Benchmark</w:t>
            </w:r>
          </w:p>
        </w:tc>
        <w:tc>
          <w:tcPr>
            <w:tcW w:w="1351" w:type="dxa"/>
            <w:shd w:val="clear" w:color="auto" w:fill="DDDDDD"/>
            <w:hideMark/>
          </w:tcPr>
          <w:p w14:paraId="59D5E42B" w14:textId="77777777" w:rsidR="003D3CE5" w:rsidRPr="0004176C" w:rsidRDefault="003D3CE5" w:rsidP="003D3CE5">
            <w:pPr>
              <w:jc w:val="center"/>
              <w:rPr>
                <w:rFonts w:eastAsia="Calibri"/>
                <w:b/>
                <w:bCs/>
                <w:sz w:val="20"/>
                <w:szCs w:val="20"/>
              </w:rPr>
            </w:pPr>
            <w:r w:rsidRPr="0004176C">
              <w:rPr>
                <w:rFonts w:eastAsia="Calibri"/>
                <w:b/>
                <w:bCs/>
                <w:sz w:val="20"/>
                <w:szCs w:val="20"/>
              </w:rPr>
              <w:t>Outcome</w:t>
            </w:r>
          </w:p>
        </w:tc>
        <w:tc>
          <w:tcPr>
            <w:tcW w:w="1438" w:type="dxa"/>
            <w:shd w:val="clear" w:color="auto" w:fill="DDDDDD"/>
            <w:hideMark/>
          </w:tcPr>
          <w:p w14:paraId="7D9F1DF5" w14:textId="77777777" w:rsidR="003D3CE5" w:rsidRPr="0004176C" w:rsidRDefault="003D3CE5" w:rsidP="003D3CE5">
            <w:pPr>
              <w:jc w:val="center"/>
              <w:rPr>
                <w:rFonts w:eastAsia="Calibri"/>
                <w:b/>
                <w:bCs/>
                <w:sz w:val="20"/>
                <w:szCs w:val="20"/>
              </w:rPr>
            </w:pPr>
            <w:r w:rsidRPr="0004176C">
              <w:rPr>
                <w:rFonts w:eastAsia="Calibri"/>
                <w:b/>
                <w:bCs/>
                <w:sz w:val="20"/>
                <w:szCs w:val="20"/>
              </w:rPr>
              <w:t>Benchmark Achieved?</w:t>
            </w:r>
          </w:p>
        </w:tc>
      </w:tr>
      <w:tr w:rsidR="003D3CE5" w:rsidRPr="0004176C" w14:paraId="17462F70" w14:textId="77777777" w:rsidTr="00256314">
        <w:trPr>
          <w:trHeight w:val="350"/>
        </w:trPr>
        <w:tc>
          <w:tcPr>
            <w:tcW w:w="3225" w:type="dxa"/>
            <w:shd w:val="clear" w:color="auto" w:fill="auto"/>
            <w:hideMark/>
          </w:tcPr>
          <w:p w14:paraId="1B8818DD" w14:textId="77777777" w:rsidR="003D3CE5" w:rsidRPr="0004176C" w:rsidRDefault="003D3CE5" w:rsidP="003D3CE5">
            <w:pPr>
              <w:rPr>
                <w:rFonts w:eastAsia="Calibri"/>
                <w:sz w:val="20"/>
                <w:szCs w:val="20"/>
              </w:rPr>
            </w:pPr>
            <w:r w:rsidRPr="0004176C">
              <w:rPr>
                <w:rFonts w:eastAsia="Calibri"/>
                <w:sz w:val="20"/>
                <w:szCs w:val="20"/>
              </w:rPr>
              <w:t xml:space="preserve">Number of households transitioned to self-sufficiency (increase). </w:t>
            </w:r>
          </w:p>
        </w:tc>
        <w:tc>
          <w:tcPr>
            <w:tcW w:w="1713" w:type="dxa"/>
            <w:shd w:val="clear" w:color="auto" w:fill="auto"/>
          </w:tcPr>
          <w:p w14:paraId="4F2E8497" w14:textId="77777777" w:rsidR="003D3CE5" w:rsidRPr="0004176C" w:rsidRDefault="003D3CE5" w:rsidP="008D7DC4">
            <w:pPr>
              <w:jc w:val="center"/>
              <w:rPr>
                <w:rFonts w:eastAsia="Calibri"/>
                <w:sz w:val="20"/>
                <w:szCs w:val="20"/>
              </w:rPr>
            </w:pPr>
            <w:r w:rsidRPr="0004176C">
              <w:rPr>
                <w:rFonts w:eastAsia="Calibri"/>
                <w:sz w:val="20"/>
                <w:szCs w:val="20"/>
              </w:rPr>
              <w:t>57**</w:t>
            </w:r>
          </w:p>
        </w:tc>
        <w:tc>
          <w:tcPr>
            <w:tcW w:w="1627" w:type="dxa"/>
            <w:shd w:val="clear" w:color="auto" w:fill="auto"/>
          </w:tcPr>
          <w:p w14:paraId="46A1786F" w14:textId="690E8982" w:rsidR="003D3CE5" w:rsidRPr="0004176C" w:rsidRDefault="00BD0D9F" w:rsidP="008D7DC4">
            <w:pPr>
              <w:jc w:val="center"/>
              <w:rPr>
                <w:rFonts w:eastAsia="Calibri"/>
                <w:sz w:val="20"/>
                <w:szCs w:val="20"/>
              </w:rPr>
            </w:pPr>
            <w:r w:rsidRPr="0004176C">
              <w:rPr>
                <w:rFonts w:eastAsia="Calibri"/>
                <w:sz w:val="20"/>
                <w:szCs w:val="20"/>
              </w:rPr>
              <w:t>25</w:t>
            </w:r>
            <w:r w:rsidR="003D3CE5" w:rsidRPr="0004176C">
              <w:rPr>
                <w:rFonts w:eastAsia="Calibri"/>
                <w:sz w:val="20"/>
                <w:szCs w:val="20"/>
              </w:rPr>
              <w:t>**</w:t>
            </w:r>
          </w:p>
        </w:tc>
        <w:tc>
          <w:tcPr>
            <w:tcW w:w="1351" w:type="dxa"/>
            <w:shd w:val="clear" w:color="auto" w:fill="auto"/>
          </w:tcPr>
          <w:p w14:paraId="3B962386" w14:textId="1F3FD1B5" w:rsidR="003D3CE5" w:rsidRPr="0004176C" w:rsidRDefault="003D3CE5" w:rsidP="008D7DC4">
            <w:pPr>
              <w:jc w:val="center"/>
              <w:rPr>
                <w:rFonts w:eastAsia="Calibri"/>
                <w:sz w:val="20"/>
                <w:szCs w:val="20"/>
              </w:rPr>
            </w:pPr>
          </w:p>
        </w:tc>
        <w:tc>
          <w:tcPr>
            <w:tcW w:w="1438" w:type="dxa"/>
            <w:shd w:val="clear" w:color="auto" w:fill="auto"/>
          </w:tcPr>
          <w:p w14:paraId="09DDA66C" w14:textId="15D3B7F4" w:rsidR="003D3CE5" w:rsidRPr="0004176C" w:rsidRDefault="003D3CE5" w:rsidP="008D7DC4">
            <w:pPr>
              <w:jc w:val="center"/>
              <w:rPr>
                <w:rFonts w:eastAsia="Calibri"/>
                <w:sz w:val="20"/>
                <w:szCs w:val="20"/>
              </w:rPr>
            </w:pPr>
          </w:p>
        </w:tc>
      </w:tr>
      <w:tr w:rsidR="003D3CE5" w:rsidRPr="0004176C" w14:paraId="010421A3" w14:textId="77777777" w:rsidTr="00256314">
        <w:trPr>
          <w:trHeight w:val="125"/>
        </w:trPr>
        <w:tc>
          <w:tcPr>
            <w:tcW w:w="9354" w:type="dxa"/>
            <w:gridSpan w:val="5"/>
            <w:shd w:val="clear" w:color="auto" w:fill="auto"/>
          </w:tcPr>
          <w:p w14:paraId="7A96A9FC" w14:textId="77777777" w:rsidR="003D3CE5" w:rsidRPr="0004176C" w:rsidRDefault="003D3CE5" w:rsidP="003D3CE5">
            <w:pPr>
              <w:rPr>
                <w:i/>
                <w:color w:val="000000"/>
                <w:sz w:val="20"/>
                <w:szCs w:val="20"/>
              </w:rPr>
            </w:pPr>
            <w:r w:rsidRPr="0004176C">
              <w:rPr>
                <w:color w:val="000000"/>
                <w:sz w:val="20"/>
                <w:szCs w:val="20"/>
              </w:rPr>
              <w:t>*</w:t>
            </w:r>
            <w:r w:rsidRPr="0004176C">
              <w:rPr>
                <w:i/>
                <w:color w:val="000000"/>
                <w:sz w:val="20"/>
                <w:szCs w:val="20"/>
              </w:rPr>
              <w:t xml:space="preserve">DHCD has indicated that DHCD does not believe the Self-Sufficiency metrics are applicable to this activity. However, HUD has required their use. </w:t>
            </w:r>
          </w:p>
        </w:tc>
      </w:tr>
      <w:tr w:rsidR="003D3CE5" w:rsidRPr="0004176C" w14:paraId="6F4D0002" w14:textId="77777777" w:rsidTr="00256314">
        <w:trPr>
          <w:trHeight w:val="125"/>
        </w:trPr>
        <w:tc>
          <w:tcPr>
            <w:tcW w:w="9354" w:type="dxa"/>
            <w:gridSpan w:val="5"/>
            <w:shd w:val="clear" w:color="auto" w:fill="auto"/>
          </w:tcPr>
          <w:p w14:paraId="168B0BB6" w14:textId="60EB8478" w:rsidR="003D3CE5" w:rsidRPr="0004176C" w:rsidRDefault="00A20112" w:rsidP="003D3CE5">
            <w:pPr>
              <w:rPr>
                <w:rFonts w:eastAsia="Calibri"/>
                <w:i/>
                <w:sz w:val="20"/>
                <w:szCs w:val="20"/>
              </w:rPr>
            </w:pPr>
            <w:r w:rsidRPr="0004176C">
              <w:rPr>
                <w:rFonts w:eastAsia="Calibri"/>
                <w:i/>
                <w:sz w:val="20"/>
                <w:szCs w:val="20"/>
              </w:rPr>
              <w:t>**Households that</w:t>
            </w:r>
            <w:r w:rsidR="003D3CE5" w:rsidRPr="0004176C">
              <w:rPr>
                <w:rFonts w:eastAsia="Calibri"/>
                <w:i/>
                <w:sz w:val="20"/>
                <w:szCs w:val="20"/>
              </w:rPr>
              <w:t xml:space="preserve"> were EOP</w:t>
            </w:r>
            <w:r w:rsidR="00990F72" w:rsidRPr="0004176C">
              <w:rPr>
                <w:rFonts w:eastAsia="Calibri"/>
                <w:i/>
                <w:sz w:val="20"/>
                <w:szCs w:val="20"/>
              </w:rPr>
              <w:t>’</w:t>
            </w:r>
            <w:r w:rsidR="003D3CE5" w:rsidRPr="0004176C">
              <w:rPr>
                <w:rFonts w:eastAsia="Calibri"/>
                <w:i/>
                <w:sz w:val="20"/>
                <w:szCs w:val="20"/>
              </w:rPr>
              <w:t>d at zero HAP.</w:t>
            </w:r>
          </w:p>
        </w:tc>
      </w:tr>
    </w:tbl>
    <w:p w14:paraId="78064F96" w14:textId="77777777" w:rsidR="0009152F" w:rsidRPr="0004176C" w:rsidRDefault="0009152F" w:rsidP="0079343A">
      <w:pPr>
        <w:jc w:val="both"/>
        <w:rPr>
          <w:b/>
          <w:color w:val="000000"/>
          <w:sz w:val="22"/>
          <w:szCs w:val="22"/>
        </w:rPr>
      </w:pPr>
    </w:p>
    <w:p w14:paraId="2CA3E3A0" w14:textId="77777777" w:rsidR="0098594D" w:rsidRPr="0004176C" w:rsidRDefault="0098594D" w:rsidP="0098594D">
      <w:pPr>
        <w:jc w:val="both"/>
        <w:rPr>
          <w:b/>
          <w:color w:val="000000"/>
          <w:sz w:val="22"/>
          <w:szCs w:val="22"/>
        </w:rPr>
      </w:pPr>
      <w:r w:rsidRPr="0004176C">
        <w:rPr>
          <w:b/>
          <w:color w:val="000000"/>
          <w:sz w:val="22"/>
          <w:szCs w:val="22"/>
        </w:rPr>
        <w:t>Planned Significant Changes</w:t>
      </w:r>
    </w:p>
    <w:p w14:paraId="26604BF1" w14:textId="77777777" w:rsidR="0098594D" w:rsidRPr="0004176C" w:rsidRDefault="0098594D" w:rsidP="0098594D">
      <w:pPr>
        <w:jc w:val="both"/>
        <w:rPr>
          <w:color w:val="000000" w:themeColor="text1"/>
          <w:sz w:val="22"/>
          <w:szCs w:val="22"/>
        </w:rPr>
      </w:pPr>
      <w:r w:rsidRPr="0004176C">
        <w:rPr>
          <w:color w:val="000000" w:themeColor="text1"/>
          <w:sz w:val="22"/>
          <w:szCs w:val="22"/>
        </w:rPr>
        <w:t>No significant changes are planned.</w:t>
      </w:r>
    </w:p>
    <w:p w14:paraId="2732CCB4" w14:textId="57508BD4" w:rsidR="00DE3860" w:rsidRPr="0004176C" w:rsidRDefault="00DE3860" w:rsidP="002F3C7A">
      <w:pPr>
        <w:rPr>
          <w:color w:val="000000"/>
        </w:rPr>
        <w:sectPr w:rsidR="00DE3860" w:rsidRPr="0004176C" w:rsidSect="00F61294">
          <w:pgSz w:w="12240" w:h="15840"/>
          <w:pgMar w:top="1440" w:right="1440" w:bottom="1440" w:left="1440" w:header="720" w:footer="720" w:gutter="0"/>
          <w:cols w:space="720"/>
          <w:docGrid w:linePitch="360"/>
        </w:sectPr>
      </w:pPr>
    </w:p>
    <w:p w14:paraId="62E3CCE9" w14:textId="506166C5" w:rsidR="00DE3860" w:rsidRPr="0004176C" w:rsidRDefault="00DE3860" w:rsidP="001F2A56">
      <w:pPr>
        <w:pStyle w:val="Heading3"/>
      </w:pPr>
      <w:bookmarkStart w:id="61" w:name="_Toc33016944"/>
      <w:r w:rsidRPr="0004176C">
        <w:t>Activity 2018-1: Expanding Housing Opportunities: Relocation Assistance</w:t>
      </w:r>
      <w:bookmarkEnd w:id="61"/>
    </w:p>
    <w:p w14:paraId="5838F756" w14:textId="77777777" w:rsidR="00DE3860" w:rsidRPr="0004176C" w:rsidRDefault="00DE3860" w:rsidP="00FC2C7F"/>
    <w:p w14:paraId="5ABB7B78" w14:textId="77777777" w:rsidR="00C73902" w:rsidRPr="0004176C" w:rsidRDefault="00C73902" w:rsidP="00C73902">
      <w:pPr>
        <w:jc w:val="both"/>
        <w:rPr>
          <w:color w:val="000000"/>
          <w:sz w:val="22"/>
          <w:szCs w:val="22"/>
        </w:rPr>
      </w:pPr>
      <w:r w:rsidRPr="0004176C">
        <w:rPr>
          <w:b/>
          <w:color w:val="000000"/>
          <w:sz w:val="22"/>
          <w:szCs w:val="22"/>
        </w:rPr>
        <w:t>Plan Year Approved, Implemented, Amended</w:t>
      </w:r>
      <w:r w:rsidRPr="0004176C">
        <w:rPr>
          <w:color w:val="000000"/>
          <w:sz w:val="22"/>
          <w:szCs w:val="22"/>
        </w:rPr>
        <w:t xml:space="preserve"> </w:t>
      </w:r>
    </w:p>
    <w:p w14:paraId="657CA0C1" w14:textId="77777777" w:rsidR="00C73902" w:rsidRPr="0004176C" w:rsidRDefault="00C73902" w:rsidP="00C73902">
      <w:pPr>
        <w:rPr>
          <w:sz w:val="22"/>
          <w:szCs w:val="22"/>
        </w:rPr>
      </w:pPr>
      <w:r w:rsidRPr="0004176C">
        <w:rPr>
          <w:sz w:val="22"/>
          <w:szCs w:val="22"/>
        </w:rPr>
        <w:t xml:space="preserve">Approved FY 2018, planned implementation FY 2021. </w:t>
      </w:r>
    </w:p>
    <w:p w14:paraId="792FF71C" w14:textId="77777777" w:rsidR="00C73902" w:rsidRPr="0004176C" w:rsidRDefault="00C73902" w:rsidP="00C73902">
      <w:pPr>
        <w:jc w:val="both"/>
        <w:rPr>
          <w:color w:val="000000"/>
          <w:sz w:val="22"/>
          <w:szCs w:val="22"/>
        </w:rPr>
      </w:pPr>
    </w:p>
    <w:p w14:paraId="1C757F47" w14:textId="77777777" w:rsidR="00DE3860" w:rsidRPr="0004176C" w:rsidRDefault="00DE3860" w:rsidP="00DE3860">
      <w:pPr>
        <w:jc w:val="both"/>
        <w:rPr>
          <w:b/>
          <w:color w:val="000000"/>
          <w:sz w:val="22"/>
          <w:szCs w:val="22"/>
        </w:rPr>
      </w:pPr>
      <w:r w:rsidRPr="0004176C">
        <w:rPr>
          <w:b/>
          <w:color w:val="000000"/>
          <w:sz w:val="22"/>
          <w:szCs w:val="22"/>
        </w:rPr>
        <w:t>Description</w:t>
      </w:r>
      <w:r w:rsidR="00D239B7" w:rsidRPr="0004176C">
        <w:rPr>
          <w:b/>
          <w:color w:val="000000"/>
          <w:sz w:val="22"/>
          <w:szCs w:val="22"/>
        </w:rPr>
        <w:t>/Update</w:t>
      </w:r>
    </w:p>
    <w:p w14:paraId="62A082E2" w14:textId="002CADDB" w:rsidR="00236238" w:rsidRPr="00C26707" w:rsidRDefault="00DE3860" w:rsidP="00300F7D">
      <w:pPr>
        <w:pStyle w:val="PlainText"/>
        <w:jc w:val="both"/>
        <w:rPr>
          <w:rFonts w:ascii="Times New Roman" w:hAnsi="Times New Roman"/>
          <w:color w:val="000000"/>
        </w:rPr>
      </w:pPr>
      <w:r w:rsidRPr="0004176C">
        <w:rPr>
          <w:rFonts w:ascii="Times New Roman" w:hAnsi="Times New Roman"/>
          <w:color w:val="000000"/>
        </w:rPr>
        <w:t>In FY 2018</w:t>
      </w:r>
      <w:r w:rsidR="00DC6FE9" w:rsidRPr="0004176C">
        <w:rPr>
          <w:rFonts w:ascii="Times New Roman" w:hAnsi="Times New Roman"/>
          <w:color w:val="000000"/>
        </w:rPr>
        <w:t>,</w:t>
      </w:r>
      <w:r w:rsidRPr="0004176C">
        <w:rPr>
          <w:rFonts w:ascii="Times New Roman" w:hAnsi="Times New Roman"/>
          <w:color w:val="000000"/>
        </w:rPr>
        <w:t xml:space="preserve"> HUD approved DHCD’s Expanding </w:t>
      </w:r>
      <w:r w:rsidR="00457402" w:rsidRPr="0004176C">
        <w:rPr>
          <w:rFonts w:ascii="Times New Roman" w:hAnsi="Times New Roman"/>
          <w:color w:val="000000"/>
        </w:rPr>
        <w:t>Housing Opportunities activity.</w:t>
      </w:r>
      <w:r w:rsidR="006522E9" w:rsidRPr="0004176C">
        <w:rPr>
          <w:rFonts w:ascii="Times New Roman" w:hAnsi="Times New Roman"/>
          <w:color w:val="000000"/>
        </w:rPr>
        <w:t xml:space="preserve"> Under this Activity,</w:t>
      </w:r>
      <w:r w:rsidRPr="0004176C">
        <w:rPr>
          <w:rFonts w:ascii="Times New Roman" w:hAnsi="Times New Roman"/>
          <w:color w:val="000000"/>
        </w:rPr>
        <w:t xml:space="preserve"> </w:t>
      </w:r>
      <w:r w:rsidR="00457402" w:rsidRPr="0004176C">
        <w:rPr>
          <w:rFonts w:ascii="Times New Roman" w:hAnsi="Times New Roman"/>
          <w:iCs/>
        </w:rPr>
        <w:t>DHCD</w:t>
      </w:r>
      <w:r w:rsidR="00457402" w:rsidRPr="002E4B38">
        <w:rPr>
          <w:rFonts w:ascii="Times New Roman" w:hAnsi="Times New Roman"/>
          <w:iCs/>
        </w:rPr>
        <w:t xml:space="preserve"> will use MTW funding flexibility to support a comprehensive redevelopment program</w:t>
      </w:r>
      <w:r w:rsidR="00457402" w:rsidRPr="00C26707">
        <w:rPr>
          <w:rFonts w:ascii="Times New Roman" w:hAnsi="Times New Roman"/>
          <w:iCs/>
        </w:rPr>
        <w:t xml:space="preserve"> that will preserve existing state-aided low-in</w:t>
      </w:r>
      <w:r w:rsidR="00843FB6" w:rsidRPr="00C26707">
        <w:rPr>
          <w:rFonts w:ascii="Times New Roman" w:hAnsi="Times New Roman"/>
          <w:iCs/>
        </w:rPr>
        <w:t>come housing.</w:t>
      </w:r>
      <w:r w:rsidR="00457402" w:rsidRPr="00C26707">
        <w:rPr>
          <w:rFonts w:ascii="Times New Roman" w:hAnsi="Times New Roman"/>
          <w:iCs/>
        </w:rPr>
        <w:t> Construction and long term operating funding will be from st</w:t>
      </w:r>
      <w:r w:rsidR="00843FB6" w:rsidRPr="00C26707">
        <w:rPr>
          <w:rFonts w:ascii="Times New Roman" w:hAnsi="Times New Roman"/>
          <w:iCs/>
        </w:rPr>
        <w:t>ate and private equity sources.</w:t>
      </w:r>
      <w:r w:rsidR="00457402" w:rsidRPr="00C26707">
        <w:rPr>
          <w:rFonts w:ascii="Times New Roman" w:hAnsi="Times New Roman"/>
          <w:iCs/>
        </w:rPr>
        <w:t xml:space="preserve"> MTW funds will primarily support rental subsidies and relocation costs associated with short-term housing for low-income residents during construction. No MTW funds will be used to support construction. </w:t>
      </w:r>
      <w:r w:rsidR="00457402" w:rsidRPr="00C26707">
        <w:rPr>
          <w:rFonts w:ascii="Times New Roman" w:hAnsi="Times New Roman"/>
          <w:color w:val="000000"/>
        </w:rPr>
        <w:t>Relocation assistance under this activity will be provided to eligible families</w:t>
      </w:r>
      <w:r w:rsidR="006946A2">
        <w:rPr>
          <w:rFonts w:ascii="Times New Roman" w:hAnsi="Times New Roman"/>
          <w:color w:val="000000"/>
        </w:rPr>
        <w:t xml:space="preserve"> at or below 80% of AMI and may</w:t>
      </w:r>
      <w:r w:rsidR="00457402" w:rsidRPr="00C26707">
        <w:rPr>
          <w:rFonts w:ascii="Times New Roman" w:hAnsi="Times New Roman"/>
          <w:color w:val="000000"/>
        </w:rPr>
        <w:t xml:space="preserve"> include</w:t>
      </w:r>
      <w:r w:rsidR="006946A2">
        <w:rPr>
          <w:rFonts w:ascii="Times New Roman" w:hAnsi="Times New Roman"/>
          <w:color w:val="000000"/>
        </w:rPr>
        <w:t>,</w:t>
      </w:r>
      <w:r w:rsidR="00457402" w:rsidRPr="00C26707">
        <w:rPr>
          <w:rFonts w:ascii="Times New Roman" w:hAnsi="Times New Roman"/>
          <w:color w:val="000000"/>
        </w:rPr>
        <w:t xml:space="preserve"> but not be limited to, providing security deposits and up to 60 days of vacancy payments to ensure retention of units in the PHA’s jurisdiction for relocated families. </w:t>
      </w:r>
    </w:p>
    <w:p w14:paraId="42CA0BDE" w14:textId="77777777" w:rsidR="00236238" w:rsidRPr="00C26707" w:rsidRDefault="00236238" w:rsidP="00300F7D">
      <w:pPr>
        <w:pStyle w:val="PlainText"/>
        <w:jc w:val="both"/>
        <w:rPr>
          <w:rFonts w:ascii="Times New Roman" w:hAnsi="Times New Roman"/>
          <w:color w:val="000000"/>
        </w:rPr>
      </w:pPr>
    </w:p>
    <w:p w14:paraId="0AA774C7" w14:textId="3171C199" w:rsidR="00CC60F8" w:rsidRPr="00C26707" w:rsidRDefault="00236238" w:rsidP="000B6396">
      <w:pPr>
        <w:pStyle w:val="PlainText"/>
        <w:jc w:val="both"/>
        <w:rPr>
          <w:rFonts w:ascii="Times New Roman" w:hAnsi="Times New Roman"/>
          <w:color w:val="000000"/>
        </w:rPr>
      </w:pPr>
      <w:r w:rsidRPr="00C26707">
        <w:rPr>
          <w:rFonts w:ascii="Times New Roman" w:hAnsi="Times New Roman"/>
          <w:color w:val="000000"/>
        </w:rPr>
        <w:t>DHCD issued an RFP and awarded planning grants to two Local Housing Authorities</w:t>
      </w:r>
      <w:r w:rsidR="005B71CC" w:rsidRPr="00C26707">
        <w:rPr>
          <w:rFonts w:ascii="Times New Roman" w:hAnsi="Times New Roman"/>
          <w:color w:val="000000"/>
        </w:rPr>
        <w:t xml:space="preserve"> (LHAs)</w:t>
      </w:r>
      <w:r w:rsidRPr="00C26707">
        <w:rPr>
          <w:rFonts w:ascii="Times New Roman" w:hAnsi="Times New Roman"/>
          <w:color w:val="000000"/>
        </w:rPr>
        <w:t xml:space="preserve">, Somerville Housing Authority (SHA) and Chelsea Housing Authority (CHA), for the preservation and redevelopment of public housing. </w:t>
      </w:r>
      <w:r w:rsidR="00A857DE" w:rsidRPr="00C26707">
        <w:rPr>
          <w:rFonts w:ascii="Times New Roman" w:hAnsi="Times New Roman"/>
          <w:color w:val="000000"/>
        </w:rPr>
        <w:t xml:space="preserve">Both projects </w:t>
      </w:r>
      <w:r w:rsidR="000B6396">
        <w:rPr>
          <w:rFonts w:ascii="Times New Roman" w:hAnsi="Times New Roman"/>
          <w:color w:val="000000"/>
        </w:rPr>
        <w:t xml:space="preserve">will have completed closings by FY 2021 </w:t>
      </w:r>
      <w:r w:rsidR="00A857DE" w:rsidRPr="00C26707">
        <w:rPr>
          <w:rFonts w:ascii="Times New Roman" w:hAnsi="Times New Roman"/>
          <w:color w:val="000000"/>
        </w:rPr>
        <w:t>an</w:t>
      </w:r>
      <w:r w:rsidR="00FA358A">
        <w:rPr>
          <w:rFonts w:ascii="Times New Roman" w:hAnsi="Times New Roman"/>
          <w:color w:val="000000"/>
        </w:rPr>
        <w:t>d DHCD expects relocation to begin in October of 2020 for the Chelsea project and December 2020 for the Somervillle project</w:t>
      </w:r>
      <w:r w:rsidR="000B6396">
        <w:rPr>
          <w:rFonts w:ascii="Times New Roman" w:hAnsi="Times New Roman"/>
          <w:color w:val="000000"/>
        </w:rPr>
        <w:t xml:space="preserve"> </w:t>
      </w:r>
      <w:r w:rsidR="00FA358A">
        <w:rPr>
          <w:rFonts w:ascii="Times New Roman" w:hAnsi="Times New Roman"/>
          <w:color w:val="000000"/>
        </w:rPr>
        <w:t>.</w:t>
      </w:r>
      <w:r w:rsidR="000B6396">
        <w:rPr>
          <w:rFonts w:ascii="Times New Roman" w:hAnsi="Times New Roman"/>
          <w:color w:val="000000"/>
        </w:rPr>
        <w:t xml:space="preserve"> </w:t>
      </w:r>
    </w:p>
    <w:p w14:paraId="20FC8E45" w14:textId="77777777" w:rsidR="00E31752" w:rsidRPr="00C26707" w:rsidRDefault="00E31752" w:rsidP="00457402">
      <w:pPr>
        <w:rPr>
          <w:color w:val="000000" w:themeColor="text1"/>
          <w:sz w:val="22"/>
          <w:szCs w:val="22"/>
        </w:rPr>
      </w:pPr>
    </w:p>
    <w:p w14:paraId="40A5E085" w14:textId="77777777" w:rsidR="00843FB6" w:rsidRPr="00C26707" w:rsidRDefault="00843FB6" w:rsidP="00843FB6">
      <w:pPr>
        <w:jc w:val="both"/>
        <w:rPr>
          <w:b/>
          <w:color w:val="000000"/>
          <w:sz w:val="22"/>
          <w:szCs w:val="22"/>
        </w:rPr>
      </w:pPr>
      <w:r w:rsidRPr="00C26707">
        <w:rPr>
          <w:b/>
          <w:color w:val="000000"/>
          <w:sz w:val="22"/>
          <w:szCs w:val="22"/>
        </w:rPr>
        <w:t>Planned Non-Significant Changes</w:t>
      </w:r>
    </w:p>
    <w:p w14:paraId="36A313DA" w14:textId="77777777" w:rsidR="00843FB6" w:rsidRPr="00C26707" w:rsidRDefault="00843FB6" w:rsidP="00843FB6">
      <w:pPr>
        <w:jc w:val="both"/>
        <w:rPr>
          <w:b/>
          <w:strike/>
          <w:color w:val="FF0000"/>
          <w:sz w:val="22"/>
          <w:szCs w:val="22"/>
        </w:rPr>
      </w:pPr>
      <w:r w:rsidRPr="00C26707">
        <w:rPr>
          <w:color w:val="000000" w:themeColor="text1"/>
          <w:sz w:val="22"/>
          <w:szCs w:val="22"/>
        </w:rPr>
        <w:t xml:space="preserve">No non-significant changes are planned. </w:t>
      </w:r>
    </w:p>
    <w:p w14:paraId="293D5B41" w14:textId="77777777" w:rsidR="00843FB6" w:rsidRPr="00C26707" w:rsidRDefault="00843FB6" w:rsidP="00843FB6">
      <w:pPr>
        <w:pStyle w:val="ListParagraph"/>
        <w:numPr>
          <w:ilvl w:val="0"/>
          <w:numId w:val="0"/>
        </w:numPr>
        <w:ind w:left="360"/>
        <w:jc w:val="both"/>
        <w:rPr>
          <w:color w:val="000000" w:themeColor="text1"/>
        </w:rPr>
      </w:pPr>
    </w:p>
    <w:p w14:paraId="31E283E9" w14:textId="77777777" w:rsidR="00843FB6" w:rsidRPr="00C26707" w:rsidRDefault="00843FB6" w:rsidP="00843FB6">
      <w:pPr>
        <w:jc w:val="both"/>
        <w:rPr>
          <w:b/>
          <w:sz w:val="22"/>
          <w:szCs w:val="22"/>
        </w:rPr>
      </w:pPr>
      <w:r w:rsidRPr="00C26707">
        <w:rPr>
          <w:b/>
          <w:sz w:val="22"/>
          <w:szCs w:val="22"/>
        </w:rPr>
        <w:t>Planned Changes to Metrics/Data Collection</w:t>
      </w:r>
    </w:p>
    <w:p w14:paraId="59EB5D6E" w14:textId="77777777" w:rsidR="00843FB6" w:rsidRPr="00C26707" w:rsidRDefault="00843FB6" w:rsidP="00843FB6">
      <w:pPr>
        <w:jc w:val="both"/>
        <w:rPr>
          <w:bCs/>
          <w:sz w:val="22"/>
          <w:szCs w:val="22"/>
        </w:rPr>
      </w:pPr>
      <w:r w:rsidRPr="00C26707">
        <w:rPr>
          <w:bCs/>
          <w:sz w:val="22"/>
          <w:szCs w:val="22"/>
        </w:rPr>
        <w:t>No changes to metrics or data collection methods are planned.</w:t>
      </w:r>
    </w:p>
    <w:p w14:paraId="356C325B" w14:textId="77777777" w:rsidR="00843FB6" w:rsidRPr="00C26707" w:rsidRDefault="00843FB6" w:rsidP="00843FB6">
      <w:pPr>
        <w:jc w:val="both"/>
        <w:rPr>
          <w:bCs/>
          <w:sz w:val="22"/>
          <w:szCs w:val="22"/>
        </w:rPr>
      </w:pPr>
      <w:r w:rsidRPr="00C26707">
        <w:rPr>
          <w:bCs/>
          <w:sz w:val="22"/>
          <w:szCs w:val="22"/>
        </w:rPr>
        <w:t xml:space="preserve"> </w:t>
      </w:r>
    </w:p>
    <w:p w14:paraId="12D4AE65" w14:textId="1CD50A6A" w:rsidR="00843FB6" w:rsidRPr="00C26707" w:rsidRDefault="00843FB6" w:rsidP="00843FB6">
      <w:pPr>
        <w:jc w:val="both"/>
        <w:rPr>
          <w:b/>
          <w:sz w:val="22"/>
          <w:szCs w:val="22"/>
        </w:rPr>
      </w:pPr>
      <w:r w:rsidRPr="00C26707">
        <w:rPr>
          <w:b/>
          <w:sz w:val="22"/>
          <w:szCs w:val="22"/>
        </w:rPr>
        <w:t>Metrics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228"/>
        <w:gridCol w:w="1709"/>
        <w:gridCol w:w="1624"/>
        <w:gridCol w:w="1351"/>
        <w:gridCol w:w="1438"/>
      </w:tblGrid>
      <w:tr w:rsidR="00110B3D" w:rsidRPr="00843FB6" w14:paraId="06CED64B" w14:textId="77777777" w:rsidTr="00EE4FEB">
        <w:trPr>
          <w:trHeight w:hRule="exact" w:val="317"/>
        </w:trPr>
        <w:tc>
          <w:tcPr>
            <w:tcW w:w="1440" w:type="dxa"/>
            <w:gridSpan w:val="5"/>
            <w:shd w:val="clear" w:color="auto" w:fill="C6D9F1" w:themeFill="text2" w:themeFillTint="33"/>
          </w:tcPr>
          <w:p w14:paraId="1A569640" w14:textId="77777777" w:rsidR="00110B3D" w:rsidRPr="00843FB6" w:rsidRDefault="00110B3D" w:rsidP="00110B3D">
            <w:pPr>
              <w:jc w:val="center"/>
              <w:rPr>
                <w:rFonts w:eastAsia="Calibri"/>
                <w:b/>
                <w:i/>
                <w:sz w:val="20"/>
                <w:szCs w:val="20"/>
              </w:rPr>
            </w:pPr>
            <w:r w:rsidRPr="00843FB6">
              <w:rPr>
                <w:rFonts w:eastAsia="Calibri"/>
                <w:b/>
                <w:i/>
                <w:sz w:val="20"/>
                <w:szCs w:val="20"/>
              </w:rPr>
              <w:t>HC #2: Units of Housing Preserved</w:t>
            </w:r>
          </w:p>
        </w:tc>
      </w:tr>
      <w:tr w:rsidR="00110B3D" w:rsidRPr="00843FB6" w14:paraId="5F69B55E" w14:textId="77777777" w:rsidTr="00EE4FEB">
        <w:trPr>
          <w:trHeight w:hRule="exact" w:val="576"/>
        </w:trPr>
        <w:tc>
          <w:tcPr>
            <w:tcW w:w="2983" w:type="dxa"/>
            <w:shd w:val="clear" w:color="auto" w:fill="D9D9D9" w:themeFill="background1" w:themeFillShade="D9"/>
          </w:tcPr>
          <w:p w14:paraId="47FFA1D6" w14:textId="77777777" w:rsidR="00110B3D" w:rsidRPr="00843FB6" w:rsidRDefault="00110B3D" w:rsidP="00110B3D">
            <w:pPr>
              <w:jc w:val="center"/>
              <w:rPr>
                <w:rFonts w:eastAsia="Calibri"/>
                <w:sz w:val="20"/>
                <w:szCs w:val="20"/>
              </w:rPr>
            </w:pPr>
            <w:r w:rsidRPr="00843FB6">
              <w:rPr>
                <w:rFonts w:eastAsia="Calibri"/>
                <w:b/>
                <w:bCs/>
                <w:sz w:val="20"/>
                <w:szCs w:val="20"/>
              </w:rPr>
              <w:t>Unit of Measurement</w:t>
            </w:r>
          </w:p>
        </w:tc>
        <w:tc>
          <w:tcPr>
            <w:tcW w:w="1714" w:type="dxa"/>
            <w:shd w:val="clear" w:color="auto" w:fill="D9D9D9" w:themeFill="background1" w:themeFillShade="D9"/>
          </w:tcPr>
          <w:p w14:paraId="34F05720" w14:textId="77777777" w:rsidR="00110B3D" w:rsidRPr="00843FB6" w:rsidRDefault="00110B3D" w:rsidP="00110B3D">
            <w:pPr>
              <w:jc w:val="center"/>
              <w:rPr>
                <w:rFonts w:eastAsia="Calibri"/>
                <w:sz w:val="20"/>
                <w:szCs w:val="20"/>
              </w:rPr>
            </w:pPr>
            <w:r w:rsidRPr="00843FB6">
              <w:rPr>
                <w:rFonts w:eastAsia="Calibri"/>
                <w:b/>
                <w:bCs/>
                <w:sz w:val="20"/>
                <w:szCs w:val="20"/>
              </w:rPr>
              <w:t>Baseline</w:t>
            </w:r>
          </w:p>
        </w:tc>
        <w:tc>
          <w:tcPr>
            <w:tcW w:w="1627" w:type="dxa"/>
            <w:shd w:val="clear" w:color="auto" w:fill="D9D9D9" w:themeFill="background1" w:themeFillShade="D9"/>
          </w:tcPr>
          <w:p w14:paraId="034B2BF0" w14:textId="77777777" w:rsidR="00110B3D" w:rsidRPr="00843FB6" w:rsidRDefault="00110B3D" w:rsidP="00110B3D">
            <w:pPr>
              <w:jc w:val="center"/>
              <w:rPr>
                <w:rFonts w:eastAsia="Calibri"/>
                <w:sz w:val="20"/>
                <w:szCs w:val="20"/>
              </w:rPr>
            </w:pPr>
            <w:r w:rsidRPr="00843FB6">
              <w:rPr>
                <w:rFonts w:eastAsia="Calibri"/>
                <w:b/>
                <w:bCs/>
                <w:sz w:val="20"/>
                <w:szCs w:val="20"/>
              </w:rPr>
              <w:t>Benchmark</w:t>
            </w:r>
          </w:p>
        </w:tc>
        <w:tc>
          <w:tcPr>
            <w:tcW w:w="1354" w:type="dxa"/>
            <w:shd w:val="clear" w:color="auto" w:fill="D9D9D9" w:themeFill="background1" w:themeFillShade="D9"/>
          </w:tcPr>
          <w:p w14:paraId="75E14A56" w14:textId="77777777" w:rsidR="00110B3D" w:rsidRPr="00843FB6" w:rsidRDefault="00110B3D" w:rsidP="00110B3D">
            <w:pPr>
              <w:jc w:val="center"/>
              <w:rPr>
                <w:rFonts w:eastAsia="Calibri"/>
                <w:sz w:val="20"/>
                <w:szCs w:val="20"/>
              </w:rPr>
            </w:pPr>
            <w:r w:rsidRPr="00843FB6">
              <w:rPr>
                <w:rFonts w:eastAsia="Calibri"/>
                <w:b/>
                <w:bCs/>
                <w:sz w:val="20"/>
                <w:szCs w:val="20"/>
              </w:rPr>
              <w:t>Outcome</w:t>
            </w:r>
          </w:p>
        </w:tc>
        <w:tc>
          <w:tcPr>
            <w:tcW w:w="1440" w:type="dxa"/>
            <w:shd w:val="clear" w:color="auto" w:fill="D9D9D9" w:themeFill="background1" w:themeFillShade="D9"/>
          </w:tcPr>
          <w:p w14:paraId="5EEDAF44" w14:textId="77777777" w:rsidR="00110B3D" w:rsidRPr="00843FB6" w:rsidRDefault="00110B3D" w:rsidP="00110B3D">
            <w:pPr>
              <w:jc w:val="center"/>
              <w:rPr>
                <w:rFonts w:eastAsia="Calibri"/>
                <w:sz w:val="20"/>
                <w:szCs w:val="20"/>
              </w:rPr>
            </w:pPr>
            <w:r w:rsidRPr="00843FB6">
              <w:rPr>
                <w:rFonts w:eastAsia="Calibri"/>
                <w:b/>
                <w:bCs/>
                <w:sz w:val="20"/>
                <w:szCs w:val="20"/>
              </w:rPr>
              <w:t>Benchmark Achieved?</w:t>
            </w:r>
          </w:p>
        </w:tc>
      </w:tr>
      <w:tr w:rsidR="0086533B" w:rsidRPr="00843FB6" w14:paraId="3FB4C608" w14:textId="77777777" w:rsidTr="00EE4FEB">
        <w:trPr>
          <w:trHeight w:val="1136"/>
        </w:trPr>
        <w:tc>
          <w:tcPr>
            <w:tcW w:w="3240" w:type="dxa"/>
          </w:tcPr>
          <w:p w14:paraId="755FC60A" w14:textId="77777777" w:rsidR="0086533B" w:rsidRPr="00843FB6" w:rsidRDefault="0086533B" w:rsidP="00C26707">
            <w:pPr>
              <w:ind w:left="90" w:right="109"/>
              <w:rPr>
                <w:rFonts w:eastAsia="Calibri"/>
                <w:sz w:val="20"/>
                <w:szCs w:val="20"/>
              </w:rPr>
            </w:pPr>
            <w:r w:rsidRPr="00843FB6">
              <w:rPr>
                <w:rFonts w:eastAsia="Calibri"/>
                <w:sz w:val="20"/>
                <w:szCs w:val="20"/>
              </w:rPr>
              <w:t>Number of housing units preserved for households at or below 80% AMI that would otherwise not be available (increase). If units reach a specific type of household, give that type in this box.</w:t>
            </w:r>
          </w:p>
        </w:tc>
        <w:tc>
          <w:tcPr>
            <w:tcW w:w="1714" w:type="dxa"/>
          </w:tcPr>
          <w:p w14:paraId="763D673D" w14:textId="77777777" w:rsidR="0086533B" w:rsidRPr="00843FB6" w:rsidRDefault="0086533B" w:rsidP="008D7DC4">
            <w:pPr>
              <w:jc w:val="center"/>
              <w:rPr>
                <w:sz w:val="20"/>
                <w:szCs w:val="20"/>
              </w:rPr>
            </w:pPr>
            <w:r w:rsidRPr="00843FB6">
              <w:rPr>
                <w:sz w:val="20"/>
                <w:szCs w:val="20"/>
              </w:rPr>
              <w:t>0</w:t>
            </w:r>
          </w:p>
        </w:tc>
        <w:tc>
          <w:tcPr>
            <w:tcW w:w="1627" w:type="dxa"/>
          </w:tcPr>
          <w:p w14:paraId="2CAE87DF" w14:textId="77777777" w:rsidR="0086533B" w:rsidRPr="00843FB6" w:rsidRDefault="0086533B" w:rsidP="008D7DC4">
            <w:pPr>
              <w:jc w:val="center"/>
              <w:rPr>
                <w:rFonts w:eastAsia="Calibri"/>
                <w:sz w:val="20"/>
                <w:szCs w:val="20"/>
              </w:rPr>
            </w:pPr>
            <w:r w:rsidRPr="00843FB6">
              <w:rPr>
                <w:rFonts w:eastAsia="Calibri"/>
                <w:sz w:val="20"/>
                <w:szCs w:val="20"/>
              </w:rPr>
              <w:t>312</w:t>
            </w:r>
          </w:p>
        </w:tc>
        <w:tc>
          <w:tcPr>
            <w:tcW w:w="1354" w:type="dxa"/>
          </w:tcPr>
          <w:p w14:paraId="3E9F4177" w14:textId="01AEBB9B" w:rsidR="0086533B" w:rsidRPr="00843FB6" w:rsidRDefault="0086533B" w:rsidP="008D7DC4">
            <w:pPr>
              <w:jc w:val="center"/>
              <w:rPr>
                <w:rFonts w:eastAsia="Calibri"/>
                <w:sz w:val="20"/>
                <w:szCs w:val="20"/>
              </w:rPr>
            </w:pPr>
          </w:p>
        </w:tc>
        <w:tc>
          <w:tcPr>
            <w:tcW w:w="1440" w:type="dxa"/>
          </w:tcPr>
          <w:p w14:paraId="7E9F48B2" w14:textId="6E7C35A0" w:rsidR="0086533B" w:rsidRPr="00843FB6" w:rsidRDefault="0086533B" w:rsidP="008D7DC4">
            <w:pPr>
              <w:jc w:val="center"/>
              <w:rPr>
                <w:rFonts w:eastAsia="Calibri"/>
                <w:sz w:val="20"/>
                <w:szCs w:val="20"/>
              </w:rPr>
            </w:pPr>
          </w:p>
        </w:tc>
      </w:tr>
      <w:tr w:rsidR="00110B3D" w:rsidRPr="00843FB6" w14:paraId="39268EB3" w14:textId="77777777" w:rsidTr="00EE4FEB">
        <w:trPr>
          <w:trHeight w:hRule="exact" w:val="317"/>
        </w:trPr>
        <w:tc>
          <w:tcPr>
            <w:tcW w:w="1440" w:type="dxa"/>
            <w:gridSpan w:val="5"/>
            <w:shd w:val="clear" w:color="auto" w:fill="C6D9F1" w:themeFill="text2" w:themeFillTint="33"/>
          </w:tcPr>
          <w:p w14:paraId="151DF401" w14:textId="77777777" w:rsidR="00110B3D" w:rsidRPr="00843FB6" w:rsidRDefault="00110B3D" w:rsidP="000C6662">
            <w:pPr>
              <w:jc w:val="center"/>
              <w:rPr>
                <w:rFonts w:eastAsia="Calibri"/>
                <w:b/>
                <w:i/>
                <w:sz w:val="20"/>
                <w:szCs w:val="20"/>
              </w:rPr>
            </w:pPr>
            <w:r w:rsidRPr="00843FB6">
              <w:rPr>
                <w:rFonts w:eastAsia="Calibri"/>
                <w:b/>
                <w:i/>
                <w:sz w:val="20"/>
                <w:szCs w:val="20"/>
              </w:rPr>
              <w:t>HC #4: Displacement Prevention</w:t>
            </w:r>
          </w:p>
        </w:tc>
      </w:tr>
      <w:tr w:rsidR="00110B3D" w:rsidRPr="00843FB6" w14:paraId="68C3E4FE" w14:textId="77777777" w:rsidTr="00EE4FEB">
        <w:trPr>
          <w:trHeight w:hRule="exact" w:val="576"/>
        </w:trPr>
        <w:tc>
          <w:tcPr>
            <w:tcW w:w="3240" w:type="dxa"/>
            <w:shd w:val="clear" w:color="auto" w:fill="D9D9D9" w:themeFill="background1" w:themeFillShade="D9"/>
          </w:tcPr>
          <w:p w14:paraId="173D35AF" w14:textId="77777777" w:rsidR="00110B3D" w:rsidRPr="00843FB6" w:rsidRDefault="00110B3D" w:rsidP="00110B3D">
            <w:pPr>
              <w:jc w:val="center"/>
              <w:rPr>
                <w:rFonts w:eastAsia="Calibri"/>
                <w:sz w:val="20"/>
                <w:szCs w:val="20"/>
              </w:rPr>
            </w:pPr>
            <w:r w:rsidRPr="00843FB6">
              <w:rPr>
                <w:rFonts w:eastAsia="Calibri"/>
                <w:b/>
                <w:bCs/>
                <w:sz w:val="20"/>
                <w:szCs w:val="20"/>
              </w:rPr>
              <w:t>Unit of Measurement</w:t>
            </w:r>
          </w:p>
        </w:tc>
        <w:tc>
          <w:tcPr>
            <w:tcW w:w="1714" w:type="dxa"/>
            <w:shd w:val="clear" w:color="auto" w:fill="D9D9D9" w:themeFill="background1" w:themeFillShade="D9"/>
          </w:tcPr>
          <w:p w14:paraId="22412715" w14:textId="77777777" w:rsidR="00110B3D" w:rsidRPr="00843FB6" w:rsidRDefault="00110B3D" w:rsidP="00110B3D">
            <w:pPr>
              <w:jc w:val="center"/>
              <w:rPr>
                <w:sz w:val="20"/>
                <w:szCs w:val="20"/>
              </w:rPr>
            </w:pPr>
            <w:r w:rsidRPr="00843FB6">
              <w:rPr>
                <w:rFonts w:eastAsia="Calibri"/>
                <w:b/>
                <w:bCs/>
                <w:sz w:val="20"/>
                <w:szCs w:val="20"/>
              </w:rPr>
              <w:t>Baseline</w:t>
            </w:r>
          </w:p>
        </w:tc>
        <w:tc>
          <w:tcPr>
            <w:tcW w:w="1627" w:type="dxa"/>
            <w:shd w:val="clear" w:color="auto" w:fill="D9D9D9" w:themeFill="background1" w:themeFillShade="D9"/>
          </w:tcPr>
          <w:p w14:paraId="3885266C" w14:textId="77777777" w:rsidR="00110B3D" w:rsidRPr="00843FB6" w:rsidRDefault="00110B3D" w:rsidP="00110B3D">
            <w:pPr>
              <w:jc w:val="center"/>
              <w:rPr>
                <w:rFonts w:eastAsia="Calibri"/>
                <w:sz w:val="20"/>
                <w:szCs w:val="20"/>
              </w:rPr>
            </w:pPr>
            <w:r w:rsidRPr="00843FB6">
              <w:rPr>
                <w:rFonts w:eastAsia="Calibri"/>
                <w:b/>
                <w:bCs/>
                <w:sz w:val="20"/>
                <w:szCs w:val="20"/>
              </w:rPr>
              <w:t>Benchmark</w:t>
            </w:r>
          </w:p>
        </w:tc>
        <w:tc>
          <w:tcPr>
            <w:tcW w:w="1354" w:type="dxa"/>
            <w:shd w:val="clear" w:color="auto" w:fill="D9D9D9" w:themeFill="background1" w:themeFillShade="D9"/>
          </w:tcPr>
          <w:p w14:paraId="671FD63F" w14:textId="77777777" w:rsidR="00110B3D" w:rsidRPr="00843FB6" w:rsidRDefault="00110B3D" w:rsidP="000C6662">
            <w:pPr>
              <w:jc w:val="center"/>
              <w:rPr>
                <w:rFonts w:eastAsia="Calibri"/>
                <w:sz w:val="20"/>
                <w:szCs w:val="20"/>
              </w:rPr>
            </w:pPr>
            <w:r w:rsidRPr="00843FB6">
              <w:rPr>
                <w:rFonts w:eastAsia="Calibri"/>
                <w:b/>
                <w:bCs/>
                <w:sz w:val="20"/>
                <w:szCs w:val="20"/>
              </w:rPr>
              <w:t>Outcome</w:t>
            </w:r>
          </w:p>
        </w:tc>
        <w:tc>
          <w:tcPr>
            <w:tcW w:w="1440" w:type="dxa"/>
            <w:shd w:val="clear" w:color="auto" w:fill="D9D9D9" w:themeFill="background1" w:themeFillShade="D9"/>
          </w:tcPr>
          <w:p w14:paraId="4B6B26FF" w14:textId="77777777" w:rsidR="00110B3D" w:rsidRPr="00843FB6" w:rsidRDefault="00110B3D" w:rsidP="00110B3D">
            <w:pPr>
              <w:jc w:val="center"/>
              <w:rPr>
                <w:rFonts w:eastAsia="Calibri"/>
                <w:sz w:val="20"/>
                <w:szCs w:val="20"/>
              </w:rPr>
            </w:pPr>
            <w:r w:rsidRPr="00843FB6">
              <w:rPr>
                <w:rFonts w:eastAsia="Calibri"/>
                <w:b/>
                <w:bCs/>
                <w:sz w:val="20"/>
                <w:szCs w:val="20"/>
              </w:rPr>
              <w:t>Benchmark Achieved?</w:t>
            </w:r>
          </w:p>
        </w:tc>
      </w:tr>
      <w:tr w:rsidR="0086533B" w:rsidRPr="00843FB6" w14:paraId="2D262F99" w14:textId="77777777" w:rsidTr="00EE4FEB">
        <w:trPr>
          <w:trHeight w:val="620"/>
        </w:trPr>
        <w:tc>
          <w:tcPr>
            <w:tcW w:w="3240" w:type="dxa"/>
          </w:tcPr>
          <w:p w14:paraId="3E34D4BE" w14:textId="77777777" w:rsidR="0086533B" w:rsidRPr="00843FB6" w:rsidRDefault="0086533B" w:rsidP="00C26707">
            <w:pPr>
              <w:ind w:left="90" w:right="109"/>
              <w:rPr>
                <w:rFonts w:eastAsia="Calibri"/>
                <w:sz w:val="20"/>
                <w:szCs w:val="20"/>
              </w:rPr>
            </w:pPr>
            <w:r w:rsidRPr="00843FB6">
              <w:rPr>
                <w:rFonts w:eastAsia="Calibri"/>
                <w:sz w:val="20"/>
                <w:szCs w:val="20"/>
              </w:rPr>
              <w:t>N</w:t>
            </w:r>
            <w:r w:rsidRPr="00843FB6">
              <w:rPr>
                <w:rFonts w:eastAsia="Calibri"/>
                <w:spacing w:val="-1"/>
                <w:sz w:val="20"/>
                <w:szCs w:val="20"/>
              </w:rPr>
              <w:t>u</w:t>
            </w:r>
            <w:r w:rsidRPr="00843FB6">
              <w:rPr>
                <w:rFonts w:eastAsia="Calibri"/>
                <w:spacing w:val="1"/>
                <w:sz w:val="20"/>
                <w:szCs w:val="20"/>
              </w:rPr>
              <w:t>m</w:t>
            </w:r>
            <w:r w:rsidRPr="00843FB6">
              <w:rPr>
                <w:rFonts w:eastAsia="Calibri"/>
                <w:spacing w:val="-1"/>
                <w:sz w:val="20"/>
                <w:szCs w:val="20"/>
              </w:rPr>
              <w:t>b</w:t>
            </w:r>
            <w:r w:rsidRPr="00843FB6">
              <w:rPr>
                <w:rFonts w:eastAsia="Calibri"/>
                <w:sz w:val="20"/>
                <w:szCs w:val="20"/>
              </w:rPr>
              <w:t>er</w:t>
            </w:r>
            <w:r w:rsidRPr="00843FB6">
              <w:rPr>
                <w:rFonts w:eastAsia="Calibri"/>
                <w:spacing w:val="16"/>
                <w:sz w:val="20"/>
                <w:szCs w:val="20"/>
              </w:rPr>
              <w:t xml:space="preserve"> </w:t>
            </w:r>
            <w:r w:rsidRPr="00843FB6">
              <w:rPr>
                <w:rFonts w:eastAsia="Calibri"/>
                <w:spacing w:val="1"/>
                <w:sz w:val="20"/>
                <w:szCs w:val="20"/>
              </w:rPr>
              <w:t>o</w:t>
            </w:r>
            <w:r w:rsidRPr="00843FB6">
              <w:rPr>
                <w:rFonts w:eastAsia="Calibri"/>
                <w:sz w:val="20"/>
                <w:szCs w:val="20"/>
              </w:rPr>
              <w:t>f</w:t>
            </w:r>
            <w:r w:rsidRPr="00843FB6">
              <w:rPr>
                <w:rFonts w:eastAsia="Calibri"/>
                <w:spacing w:val="5"/>
                <w:sz w:val="20"/>
                <w:szCs w:val="20"/>
              </w:rPr>
              <w:t xml:space="preserve"> </w:t>
            </w:r>
            <w:r w:rsidRPr="00843FB6">
              <w:rPr>
                <w:rFonts w:eastAsia="Calibri"/>
                <w:spacing w:val="-1"/>
                <w:sz w:val="20"/>
                <w:szCs w:val="20"/>
              </w:rPr>
              <w:t>h</w:t>
            </w:r>
            <w:r w:rsidRPr="00843FB6">
              <w:rPr>
                <w:rFonts w:eastAsia="Calibri"/>
                <w:spacing w:val="1"/>
                <w:sz w:val="20"/>
                <w:szCs w:val="20"/>
              </w:rPr>
              <w:t>o</w:t>
            </w:r>
            <w:r w:rsidRPr="00843FB6">
              <w:rPr>
                <w:rFonts w:eastAsia="Calibri"/>
                <w:spacing w:val="-1"/>
                <w:sz w:val="20"/>
                <w:szCs w:val="20"/>
              </w:rPr>
              <w:t>u</w:t>
            </w:r>
            <w:r w:rsidRPr="00843FB6">
              <w:rPr>
                <w:rFonts w:eastAsia="Calibri"/>
                <w:sz w:val="20"/>
                <w:szCs w:val="20"/>
              </w:rPr>
              <w:t>se</w:t>
            </w:r>
            <w:r w:rsidRPr="00843FB6">
              <w:rPr>
                <w:rFonts w:eastAsia="Calibri"/>
                <w:spacing w:val="-1"/>
                <w:sz w:val="20"/>
                <w:szCs w:val="20"/>
              </w:rPr>
              <w:t>h</w:t>
            </w:r>
            <w:r w:rsidRPr="00843FB6">
              <w:rPr>
                <w:rFonts w:eastAsia="Calibri"/>
                <w:spacing w:val="1"/>
                <w:sz w:val="20"/>
                <w:szCs w:val="20"/>
              </w:rPr>
              <w:t>o</w:t>
            </w:r>
            <w:r w:rsidRPr="00843FB6">
              <w:rPr>
                <w:rFonts w:eastAsia="Calibri"/>
                <w:sz w:val="20"/>
                <w:szCs w:val="20"/>
              </w:rPr>
              <w:t>l</w:t>
            </w:r>
            <w:r w:rsidRPr="00843FB6">
              <w:rPr>
                <w:rFonts w:eastAsia="Calibri"/>
                <w:spacing w:val="-1"/>
                <w:sz w:val="20"/>
                <w:szCs w:val="20"/>
              </w:rPr>
              <w:t>d</w:t>
            </w:r>
            <w:r w:rsidRPr="00843FB6">
              <w:rPr>
                <w:rFonts w:eastAsia="Calibri"/>
                <w:sz w:val="20"/>
                <w:szCs w:val="20"/>
              </w:rPr>
              <w:t>s</w:t>
            </w:r>
            <w:r w:rsidRPr="00843FB6">
              <w:rPr>
                <w:rFonts w:eastAsia="Calibri"/>
                <w:spacing w:val="20"/>
                <w:sz w:val="20"/>
                <w:szCs w:val="20"/>
              </w:rPr>
              <w:t xml:space="preserve"> </w:t>
            </w:r>
            <w:r w:rsidRPr="00843FB6">
              <w:rPr>
                <w:rFonts w:eastAsia="Calibri"/>
                <w:sz w:val="20"/>
                <w:szCs w:val="20"/>
              </w:rPr>
              <w:t>at</w:t>
            </w:r>
            <w:r w:rsidRPr="00843FB6">
              <w:rPr>
                <w:rFonts w:eastAsia="Calibri"/>
                <w:spacing w:val="5"/>
                <w:sz w:val="20"/>
                <w:szCs w:val="20"/>
              </w:rPr>
              <w:t xml:space="preserve"> </w:t>
            </w:r>
            <w:r w:rsidRPr="00843FB6">
              <w:rPr>
                <w:rFonts w:eastAsia="Calibri"/>
                <w:spacing w:val="1"/>
                <w:sz w:val="20"/>
                <w:szCs w:val="20"/>
              </w:rPr>
              <w:t>o</w:t>
            </w:r>
            <w:r w:rsidRPr="00843FB6">
              <w:rPr>
                <w:rFonts w:eastAsia="Calibri"/>
                <w:sz w:val="20"/>
                <w:szCs w:val="20"/>
              </w:rPr>
              <w:t>r</w:t>
            </w:r>
            <w:r w:rsidRPr="00843FB6">
              <w:rPr>
                <w:rFonts w:eastAsia="Calibri"/>
                <w:spacing w:val="6"/>
                <w:sz w:val="20"/>
                <w:szCs w:val="20"/>
              </w:rPr>
              <w:t xml:space="preserve"> </w:t>
            </w:r>
            <w:r w:rsidRPr="00843FB6">
              <w:rPr>
                <w:rFonts w:eastAsia="Calibri"/>
                <w:spacing w:val="-1"/>
                <w:sz w:val="20"/>
                <w:szCs w:val="20"/>
              </w:rPr>
              <w:t>b</w:t>
            </w:r>
            <w:r w:rsidRPr="00843FB6">
              <w:rPr>
                <w:rFonts w:eastAsia="Calibri"/>
                <w:sz w:val="20"/>
                <w:szCs w:val="20"/>
              </w:rPr>
              <w:t>el</w:t>
            </w:r>
            <w:r w:rsidRPr="00843FB6">
              <w:rPr>
                <w:rFonts w:eastAsia="Calibri"/>
                <w:spacing w:val="1"/>
                <w:sz w:val="20"/>
                <w:szCs w:val="20"/>
              </w:rPr>
              <w:t>o</w:t>
            </w:r>
            <w:r w:rsidRPr="00843FB6">
              <w:rPr>
                <w:rFonts w:eastAsia="Calibri"/>
                <w:sz w:val="20"/>
                <w:szCs w:val="20"/>
              </w:rPr>
              <w:t>w</w:t>
            </w:r>
            <w:r w:rsidRPr="00843FB6">
              <w:rPr>
                <w:rFonts w:eastAsia="Calibri"/>
                <w:spacing w:val="12"/>
                <w:sz w:val="20"/>
                <w:szCs w:val="20"/>
              </w:rPr>
              <w:t xml:space="preserve"> </w:t>
            </w:r>
            <w:r w:rsidRPr="00843FB6">
              <w:rPr>
                <w:rFonts w:eastAsia="Calibri"/>
                <w:spacing w:val="-1"/>
                <w:sz w:val="20"/>
                <w:szCs w:val="20"/>
              </w:rPr>
              <w:t>80</w:t>
            </w:r>
            <w:r w:rsidRPr="00843FB6">
              <w:rPr>
                <w:rFonts w:eastAsia="Calibri"/>
                <w:sz w:val="20"/>
                <w:szCs w:val="20"/>
              </w:rPr>
              <w:t>%</w:t>
            </w:r>
            <w:r w:rsidRPr="00843FB6">
              <w:rPr>
                <w:rFonts w:eastAsia="Calibri"/>
                <w:spacing w:val="9"/>
                <w:sz w:val="20"/>
                <w:szCs w:val="20"/>
              </w:rPr>
              <w:t xml:space="preserve"> </w:t>
            </w:r>
            <w:r w:rsidRPr="00843FB6">
              <w:rPr>
                <w:rFonts w:eastAsia="Calibri"/>
                <w:spacing w:val="-1"/>
                <w:sz w:val="20"/>
                <w:szCs w:val="20"/>
              </w:rPr>
              <w:t>A</w:t>
            </w:r>
            <w:r w:rsidRPr="00843FB6">
              <w:rPr>
                <w:rFonts w:eastAsia="Calibri"/>
                <w:sz w:val="20"/>
                <w:szCs w:val="20"/>
              </w:rPr>
              <w:t>MI</w:t>
            </w:r>
            <w:r w:rsidRPr="00843FB6">
              <w:rPr>
                <w:rFonts w:eastAsia="Calibri"/>
                <w:spacing w:val="9"/>
                <w:sz w:val="20"/>
                <w:szCs w:val="20"/>
              </w:rPr>
              <w:t xml:space="preserve"> </w:t>
            </w:r>
            <w:r w:rsidRPr="00843FB6">
              <w:rPr>
                <w:rFonts w:eastAsia="Calibri"/>
                <w:spacing w:val="1"/>
                <w:sz w:val="20"/>
                <w:szCs w:val="20"/>
              </w:rPr>
              <w:t>t</w:t>
            </w:r>
            <w:r w:rsidRPr="00843FB6">
              <w:rPr>
                <w:rFonts w:eastAsia="Calibri"/>
                <w:spacing w:val="-1"/>
                <w:sz w:val="20"/>
                <w:szCs w:val="20"/>
              </w:rPr>
              <w:t>h</w:t>
            </w:r>
            <w:r w:rsidRPr="00843FB6">
              <w:rPr>
                <w:rFonts w:eastAsia="Calibri"/>
                <w:sz w:val="20"/>
                <w:szCs w:val="20"/>
              </w:rPr>
              <w:t>at</w:t>
            </w:r>
            <w:r w:rsidRPr="00843FB6">
              <w:rPr>
                <w:rFonts w:eastAsia="Calibri"/>
                <w:spacing w:val="9"/>
                <w:sz w:val="20"/>
                <w:szCs w:val="20"/>
              </w:rPr>
              <w:t xml:space="preserve"> </w:t>
            </w:r>
            <w:r w:rsidRPr="00843FB6">
              <w:rPr>
                <w:rFonts w:eastAsia="Calibri"/>
                <w:w w:val="103"/>
                <w:sz w:val="20"/>
                <w:szCs w:val="20"/>
              </w:rPr>
              <w:t>w</w:t>
            </w:r>
            <w:r w:rsidRPr="00843FB6">
              <w:rPr>
                <w:rFonts w:eastAsia="Calibri"/>
                <w:spacing w:val="1"/>
                <w:w w:val="103"/>
                <w:sz w:val="20"/>
                <w:szCs w:val="20"/>
              </w:rPr>
              <w:t>o</w:t>
            </w:r>
            <w:r w:rsidRPr="00843FB6">
              <w:rPr>
                <w:rFonts w:eastAsia="Calibri"/>
                <w:spacing w:val="-1"/>
                <w:w w:val="103"/>
                <w:sz w:val="20"/>
                <w:szCs w:val="20"/>
              </w:rPr>
              <w:t>u</w:t>
            </w:r>
            <w:r w:rsidRPr="00843FB6">
              <w:rPr>
                <w:rFonts w:eastAsia="Calibri"/>
                <w:w w:val="103"/>
                <w:sz w:val="20"/>
                <w:szCs w:val="20"/>
              </w:rPr>
              <w:t xml:space="preserve">ld </w:t>
            </w:r>
            <w:r w:rsidRPr="00843FB6">
              <w:rPr>
                <w:rFonts w:eastAsia="Calibri"/>
                <w:sz w:val="20"/>
                <w:szCs w:val="20"/>
              </w:rPr>
              <w:t>l</w:t>
            </w:r>
            <w:r w:rsidRPr="00843FB6">
              <w:rPr>
                <w:rFonts w:eastAsia="Calibri"/>
                <w:spacing w:val="1"/>
                <w:sz w:val="20"/>
                <w:szCs w:val="20"/>
              </w:rPr>
              <w:t>o</w:t>
            </w:r>
            <w:r w:rsidRPr="00843FB6">
              <w:rPr>
                <w:rFonts w:eastAsia="Calibri"/>
                <w:sz w:val="20"/>
                <w:szCs w:val="20"/>
              </w:rPr>
              <w:t>se</w:t>
            </w:r>
            <w:r w:rsidRPr="00843FB6">
              <w:rPr>
                <w:rFonts w:eastAsia="Calibri"/>
                <w:spacing w:val="8"/>
                <w:sz w:val="20"/>
                <w:szCs w:val="20"/>
              </w:rPr>
              <w:t xml:space="preserve"> </w:t>
            </w:r>
            <w:r w:rsidRPr="00843FB6">
              <w:rPr>
                <w:rFonts w:eastAsia="Calibri"/>
                <w:sz w:val="20"/>
                <w:szCs w:val="20"/>
              </w:rPr>
              <w:t>assis</w:t>
            </w:r>
            <w:r w:rsidRPr="00843FB6">
              <w:rPr>
                <w:rFonts w:eastAsia="Calibri"/>
                <w:spacing w:val="1"/>
                <w:sz w:val="20"/>
                <w:szCs w:val="20"/>
              </w:rPr>
              <w:t>t</w:t>
            </w:r>
            <w:r w:rsidRPr="00843FB6">
              <w:rPr>
                <w:rFonts w:eastAsia="Calibri"/>
                <w:sz w:val="20"/>
                <w:szCs w:val="20"/>
              </w:rPr>
              <w:t>a</w:t>
            </w:r>
            <w:r w:rsidRPr="00843FB6">
              <w:rPr>
                <w:rFonts w:eastAsia="Calibri"/>
                <w:spacing w:val="-1"/>
                <w:sz w:val="20"/>
                <w:szCs w:val="20"/>
              </w:rPr>
              <w:t>n</w:t>
            </w:r>
            <w:r w:rsidRPr="00843FB6">
              <w:rPr>
                <w:rFonts w:eastAsia="Calibri"/>
                <w:spacing w:val="1"/>
                <w:sz w:val="20"/>
                <w:szCs w:val="20"/>
              </w:rPr>
              <w:t>c</w:t>
            </w:r>
            <w:r w:rsidRPr="00843FB6">
              <w:rPr>
                <w:rFonts w:eastAsia="Calibri"/>
                <w:sz w:val="20"/>
                <w:szCs w:val="20"/>
              </w:rPr>
              <w:t>e</w:t>
            </w:r>
            <w:r w:rsidRPr="00843FB6">
              <w:rPr>
                <w:rFonts w:eastAsia="Calibri"/>
                <w:spacing w:val="18"/>
                <w:sz w:val="20"/>
                <w:szCs w:val="20"/>
              </w:rPr>
              <w:t xml:space="preserve"> </w:t>
            </w:r>
            <w:r w:rsidRPr="00843FB6">
              <w:rPr>
                <w:rFonts w:eastAsia="Calibri"/>
                <w:spacing w:val="1"/>
                <w:sz w:val="20"/>
                <w:szCs w:val="20"/>
              </w:rPr>
              <w:t>o</w:t>
            </w:r>
            <w:r w:rsidRPr="00843FB6">
              <w:rPr>
                <w:rFonts w:eastAsia="Calibri"/>
                <w:sz w:val="20"/>
                <w:szCs w:val="20"/>
              </w:rPr>
              <w:t>r</w:t>
            </w:r>
            <w:r w:rsidRPr="00843FB6">
              <w:rPr>
                <w:rFonts w:eastAsia="Calibri"/>
                <w:spacing w:val="6"/>
                <w:sz w:val="20"/>
                <w:szCs w:val="20"/>
              </w:rPr>
              <w:t xml:space="preserve"> </w:t>
            </w:r>
            <w:r w:rsidRPr="00843FB6">
              <w:rPr>
                <w:rFonts w:eastAsia="Calibri"/>
                <w:spacing w:val="-1"/>
                <w:sz w:val="20"/>
                <w:szCs w:val="20"/>
              </w:rPr>
              <w:t>n</w:t>
            </w:r>
            <w:r w:rsidRPr="00843FB6">
              <w:rPr>
                <w:rFonts w:eastAsia="Calibri"/>
                <w:sz w:val="20"/>
                <w:szCs w:val="20"/>
              </w:rPr>
              <w:t>eed</w:t>
            </w:r>
            <w:r w:rsidRPr="00843FB6">
              <w:rPr>
                <w:rFonts w:eastAsia="Calibri"/>
                <w:spacing w:val="9"/>
                <w:sz w:val="20"/>
                <w:szCs w:val="20"/>
              </w:rPr>
              <w:t xml:space="preserve"> </w:t>
            </w:r>
            <w:r w:rsidRPr="00843FB6">
              <w:rPr>
                <w:rFonts w:eastAsia="Calibri"/>
                <w:spacing w:val="1"/>
                <w:sz w:val="20"/>
                <w:szCs w:val="20"/>
              </w:rPr>
              <w:t>t</w:t>
            </w:r>
            <w:r w:rsidRPr="00843FB6">
              <w:rPr>
                <w:rFonts w:eastAsia="Calibri"/>
                <w:sz w:val="20"/>
                <w:szCs w:val="20"/>
              </w:rPr>
              <w:t>o</w:t>
            </w:r>
            <w:r w:rsidRPr="00843FB6">
              <w:rPr>
                <w:rFonts w:eastAsia="Calibri"/>
                <w:spacing w:val="6"/>
                <w:sz w:val="20"/>
                <w:szCs w:val="20"/>
              </w:rPr>
              <w:t xml:space="preserve"> </w:t>
            </w:r>
            <w:r w:rsidRPr="00843FB6">
              <w:rPr>
                <w:rFonts w:eastAsia="Calibri"/>
                <w:spacing w:val="1"/>
                <w:sz w:val="20"/>
                <w:szCs w:val="20"/>
              </w:rPr>
              <w:t>mo</w:t>
            </w:r>
            <w:r w:rsidRPr="00843FB6">
              <w:rPr>
                <w:rFonts w:eastAsia="Calibri"/>
                <w:spacing w:val="-1"/>
                <w:sz w:val="20"/>
                <w:szCs w:val="20"/>
              </w:rPr>
              <w:t>v</w:t>
            </w:r>
            <w:r w:rsidRPr="00843FB6">
              <w:rPr>
                <w:rFonts w:eastAsia="Calibri"/>
                <w:sz w:val="20"/>
                <w:szCs w:val="20"/>
              </w:rPr>
              <w:t>e</w:t>
            </w:r>
            <w:r w:rsidRPr="00843FB6">
              <w:rPr>
                <w:rFonts w:eastAsia="Calibri"/>
                <w:spacing w:val="11"/>
                <w:sz w:val="20"/>
                <w:szCs w:val="20"/>
              </w:rPr>
              <w:t xml:space="preserve"> </w:t>
            </w:r>
            <w:r w:rsidRPr="00843FB6">
              <w:rPr>
                <w:rFonts w:eastAsia="Calibri"/>
                <w:sz w:val="20"/>
                <w:szCs w:val="20"/>
              </w:rPr>
              <w:t>(</w:t>
            </w:r>
            <w:r w:rsidRPr="00843FB6">
              <w:rPr>
                <w:rFonts w:eastAsia="Calibri"/>
                <w:spacing w:val="-1"/>
                <w:sz w:val="20"/>
                <w:szCs w:val="20"/>
              </w:rPr>
              <w:t>d</w:t>
            </w:r>
            <w:r w:rsidRPr="00843FB6">
              <w:rPr>
                <w:rFonts w:eastAsia="Calibri"/>
                <w:sz w:val="20"/>
                <w:szCs w:val="20"/>
              </w:rPr>
              <w:t>e</w:t>
            </w:r>
            <w:r w:rsidRPr="00843FB6">
              <w:rPr>
                <w:rFonts w:eastAsia="Calibri"/>
                <w:spacing w:val="1"/>
                <w:sz w:val="20"/>
                <w:szCs w:val="20"/>
              </w:rPr>
              <w:t>cr</w:t>
            </w:r>
            <w:r w:rsidRPr="00843FB6">
              <w:rPr>
                <w:rFonts w:eastAsia="Calibri"/>
                <w:sz w:val="20"/>
                <w:szCs w:val="20"/>
              </w:rPr>
              <w:t>ease).</w:t>
            </w:r>
            <w:r w:rsidRPr="00843FB6">
              <w:rPr>
                <w:rFonts w:eastAsia="Calibri"/>
                <w:spacing w:val="20"/>
                <w:sz w:val="20"/>
                <w:szCs w:val="20"/>
              </w:rPr>
              <w:t xml:space="preserve"> </w:t>
            </w:r>
            <w:r w:rsidRPr="00843FB6">
              <w:rPr>
                <w:rFonts w:eastAsia="Calibri"/>
                <w:sz w:val="20"/>
                <w:szCs w:val="20"/>
              </w:rPr>
              <w:t>If</w:t>
            </w:r>
            <w:r w:rsidRPr="00843FB6">
              <w:rPr>
                <w:rFonts w:eastAsia="Calibri"/>
                <w:spacing w:val="4"/>
                <w:sz w:val="20"/>
                <w:szCs w:val="20"/>
              </w:rPr>
              <w:t xml:space="preserve"> </w:t>
            </w:r>
            <w:r w:rsidRPr="00843FB6">
              <w:rPr>
                <w:rFonts w:eastAsia="Calibri"/>
                <w:spacing w:val="-1"/>
                <w:w w:val="103"/>
                <w:sz w:val="20"/>
                <w:szCs w:val="20"/>
              </w:rPr>
              <w:t>un</w:t>
            </w:r>
            <w:r w:rsidRPr="00843FB6">
              <w:rPr>
                <w:rFonts w:eastAsia="Calibri"/>
                <w:w w:val="103"/>
                <w:sz w:val="20"/>
                <w:szCs w:val="20"/>
              </w:rPr>
              <w:t>i</w:t>
            </w:r>
            <w:r w:rsidRPr="00843FB6">
              <w:rPr>
                <w:rFonts w:eastAsia="Calibri"/>
                <w:spacing w:val="1"/>
                <w:w w:val="103"/>
                <w:sz w:val="20"/>
                <w:szCs w:val="20"/>
              </w:rPr>
              <w:t>t</w:t>
            </w:r>
            <w:r w:rsidRPr="00843FB6">
              <w:rPr>
                <w:rFonts w:eastAsia="Calibri"/>
                <w:w w:val="103"/>
                <w:sz w:val="20"/>
                <w:szCs w:val="20"/>
              </w:rPr>
              <w:t xml:space="preserve">s </w:t>
            </w:r>
            <w:r w:rsidRPr="00843FB6">
              <w:rPr>
                <w:rFonts w:eastAsia="Calibri"/>
                <w:spacing w:val="1"/>
                <w:sz w:val="20"/>
                <w:szCs w:val="20"/>
              </w:rPr>
              <w:t>r</w:t>
            </w:r>
            <w:r w:rsidRPr="00843FB6">
              <w:rPr>
                <w:rFonts w:eastAsia="Calibri"/>
                <w:sz w:val="20"/>
                <w:szCs w:val="20"/>
              </w:rPr>
              <w:t>ea</w:t>
            </w:r>
            <w:r w:rsidRPr="00843FB6">
              <w:rPr>
                <w:rFonts w:eastAsia="Calibri"/>
                <w:spacing w:val="1"/>
                <w:sz w:val="20"/>
                <w:szCs w:val="20"/>
              </w:rPr>
              <w:t>c</w:t>
            </w:r>
            <w:r w:rsidRPr="00843FB6">
              <w:rPr>
                <w:rFonts w:eastAsia="Calibri"/>
                <w:sz w:val="20"/>
                <w:szCs w:val="20"/>
              </w:rPr>
              <w:t>h</w:t>
            </w:r>
            <w:r w:rsidRPr="00843FB6">
              <w:rPr>
                <w:rFonts w:eastAsia="Calibri"/>
                <w:spacing w:val="10"/>
                <w:sz w:val="20"/>
                <w:szCs w:val="20"/>
              </w:rPr>
              <w:t xml:space="preserve"> </w:t>
            </w:r>
            <w:r w:rsidRPr="00843FB6">
              <w:rPr>
                <w:rFonts w:eastAsia="Calibri"/>
                <w:sz w:val="20"/>
                <w:szCs w:val="20"/>
              </w:rPr>
              <w:t>a</w:t>
            </w:r>
            <w:r w:rsidRPr="00843FB6">
              <w:rPr>
                <w:rFonts w:eastAsia="Calibri"/>
                <w:spacing w:val="4"/>
                <w:sz w:val="20"/>
                <w:szCs w:val="20"/>
              </w:rPr>
              <w:t xml:space="preserve"> </w:t>
            </w:r>
            <w:r w:rsidRPr="00843FB6">
              <w:rPr>
                <w:rFonts w:eastAsia="Calibri"/>
                <w:sz w:val="20"/>
                <w:szCs w:val="20"/>
              </w:rPr>
              <w:t>s</w:t>
            </w:r>
            <w:r w:rsidRPr="00843FB6">
              <w:rPr>
                <w:rFonts w:eastAsia="Calibri"/>
                <w:spacing w:val="-1"/>
                <w:sz w:val="20"/>
                <w:szCs w:val="20"/>
              </w:rPr>
              <w:t>p</w:t>
            </w:r>
            <w:r w:rsidRPr="00843FB6">
              <w:rPr>
                <w:rFonts w:eastAsia="Calibri"/>
                <w:sz w:val="20"/>
                <w:szCs w:val="20"/>
              </w:rPr>
              <w:t>e</w:t>
            </w:r>
            <w:r w:rsidRPr="00843FB6">
              <w:rPr>
                <w:rFonts w:eastAsia="Calibri"/>
                <w:spacing w:val="1"/>
                <w:sz w:val="20"/>
                <w:szCs w:val="20"/>
              </w:rPr>
              <w:t>c</w:t>
            </w:r>
            <w:r w:rsidRPr="00843FB6">
              <w:rPr>
                <w:rFonts w:eastAsia="Calibri"/>
                <w:sz w:val="20"/>
                <w:szCs w:val="20"/>
              </w:rPr>
              <w:t>ific</w:t>
            </w:r>
            <w:r w:rsidRPr="00843FB6">
              <w:rPr>
                <w:rFonts w:eastAsia="Calibri"/>
                <w:spacing w:val="15"/>
                <w:sz w:val="20"/>
                <w:szCs w:val="20"/>
              </w:rPr>
              <w:t xml:space="preserve"> </w:t>
            </w:r>
            <w:r w:rsidRPr="00843FB6">
              <w:rPr>
                <w:rFonts w:eastAsia="Calibri"/>
                <w:spacing w:val="1"/>
                <w:sz w:val="20"/>
                <w:szCs w:val="20"/>
              </w:rPr>
              <w:t>t</w:t>
            </w:r>
            <w:r w:rsidRPr="00843FB6">
              <w:rPr>
                <w:rFonts w:eastAsia="Calibri"/>
                <w:spacing w:val="-1"/>
                <w:sz w:val="20"/>
                <w:szCs w:val="20"/>
              </w:rPr>
              <w:t>yp</w:t>
            </w:r>
            <w:r w:rsidRPr="00843FB6">
              <w:rPr>
                <w:rFonts w:eastAsia="Calibri"/>
                <w:sz w:val="20"/>
                <w:szCs w:val="20"/>
              </w:rPr>
              <w:t>e</w:t>
            </w:r>
            <w:r w:rsidRPr="00843FB6">
              <w:rPr>
                <w:rFonts w:eastAsia="Calibri"/>
                <w:spacing w:val="9"/>
                <w:sz w:val="20"/>
                <w:szCs w:val="20"/>
              </w:rPr>
              <w:t xml:space="preserve"> </w:t>
            </w:r>
            <w:r w:rsidRPr="00843FB6">
              <w:rPr>
                <w:rFonts w:eastAsia="Calibri"/>
                <w:spacing w:val="1"/>
                <w:sz w:val="20"/>
                <w:szCs w:val="20"/>
              </w:rPr>
              <w:t>o</w:t>
            </w:r>
            <w:r w:rsidRPr="00843FB6">
              <w:rPr>
                <w:rFonts w:eastAsia="Calibri"/>
                <w:sz w:val="20"/>
                <w:szCs w:val="20"/>
              </w:rPr>
              <w:t>f</w:t>
            </w:r>
            <w:r w:rsidRPr="00843FB6">
              <w:rPr>
                <w:rFonts w:eastAsia="Calibri"/>
                <w:spacing w:val="5"/>
                <w:sz w:val="20"/>
                <w:szCs w:val="20"/>
              </w:rPr>
              <w:t xml:space="preserve"> </w:t>
            </w:r>
            <w:r w:rsidRPr="00843FB6">
              <w:rPr>
                <w:rFonts w:eastAsia="Calibri"/>
                <w:spacing w:val="-1"/>
                <w:sz w:val="20"/>
                <w:szCs w:val="20"/>
              </w:rPr>
              <w:t>h</w:t>
            </w:r>
            <w:r w:rsidRPr="00843FB6">
              <w:rPr>
                <w:rFonts w:eastAsia="Calibri"/>
                <w:spacing w:val="1"/>
                <w:sz w:val="20"/>
                <w:szCs w:val="20"/>
              </w:rPr>
              <w:t>o</w:t>
            </w:r>
            <w:r w:rsidRPr="00843FB6">
              <w:rPr>
                <w:rFonts w:eastAsia="Calibri"/>
                <w:spacing w:val="-1"/>
                <w:sz w:val="20"/>
                <w:szCs w:val="20"/>
              </w:rPr>
              <w:t>u</w:t>
            </w:r>
            <w:r w:rsidRPr="00843FB6">
              <w:rPr>
                <w:rFonts w:eastAsia="Calibri"/>
                <w:sz w:val="20"/>
                <w:szCs w:val="20"/>
              </w:rPr>
              <w:t>se</w:t>
            </w:r>
            <w:r w:rsidRPr="00843FB6">
              <w:rPr>
                <w:rFonts w:eastAsia="Calibri"/>
                <w:spacing w:val="-1"/>
                <w:sz w:val="20"/>
                <w:szCs w:val="20"/>
              </w:rPr>
              <w:t>h</w:t>
            </w:r>
            <w:r w:rsidRPr="00843FB6">
              <w:rPr>
                <w:rFonts w:eastAsia="Calibri"/>
                <w:spacing w:val="1"/>
                <w:sz w:val="20"/>
                <w:szCs w:val="20"/>
              </w:rPr>
              <w:t>o</w:t>
            </w:r>
            <w:r w:rsidRPr="00843FB6">
              <w:rPr>
                <w:rFonts w:eastAsia="Calibri"/>
                <w:sz w:val="20"/>
                <w:szCs w:val="20"/>
              </w:rPr>
              <w:t>l</w:t>
            </w:r>
            <w:r w:rsidRPr="00843FB6">
              <w:rPr>
                <w:rFonts w:eastAsia="Calibri"/>
                <w:spacing w:val="-1"/>
                <w:sz w:val="20"/>
                <w:szCs w:val="20"/>
              </w:rPr>
              <w:t>d</w:t>
            </w:r>
            <w:r w:rsidRPr="00843FB6">
              <w:rPr>
                <w:rFonts w:eastAsia="Calibri"/>
                <w:sz w:val="20"/>
                <w:szCs w:val="20"/>
              </w:rPr>
              <w:t>,</w:t>
            </w:r>
            <w:r w:rsidRPr="00843FB6">
              <w:rPr>
                <w:rFonts w:eastAsia="Calibri"/>
                <w:spacing w:val="20"/>
                <w:sz w:val="20"/>
                <w:szCs w:val="20"/>
              </w:rPr>
              <w:t xml:space="preserve"> </w:t>
            </w:r>
            <w:r w:rsidRPr="00843FB6">
              <w:rPr>
                <w:rFonts w:eastAsia="Calibri"/>
                <w:spacing w:val="-1"/>
                <w:sz w:val="20"/>
                <w:szCs w:val="20"/>
              </w:rPr>
              <w:t>g</w:t>
            </w:r>
            <w:r w:rsidRPr="00843FB6">
              <w:rPr>
                <w:rFonts w:eastAsia="Calibri"/>
                <w:sz w:val="20"/>
                <w:szCs w:val="20"/>
              </w:rPr>
              <w:t>i</w:t>
            </w:r>
            <w:r w:rsidRPr="00843FB6">
              <w:rPr>
                <w:rFonts w:eastAsia="Calibri"/>
                <w:spacing w:val="-1"/>
                <w:sz w:val="20"/>
                <w:szCs w:val="20"/>
              </w:rPr>
              <w:t>v</w:t>
            </w:r>
            <w:r w:rsidRPr="00843FB6">
              <w:rPr>
                <w:rFonts w:eastAsia="Calibri"/>
                <w:sz w:val="20"/>
                <w:szCs w:val="20"/>
              </w:rPr>
              <w:t>e</w:t>
            </w:r>
            <w:r w:rsidRPr="00843FB6">
              <w:rPr>
                <w:rFonts w:eastAsia="Calibri"/>
                <w:spacing w:val="8"/>
                <w:sz w:val="20"/>
                <w:szCs w:val="20"/>
              </w:rPr>
              <w:t xml:space="preserve"> </w:t>
            </w:r>
            <w:r w:rsidRPr="00843FB6">
              <w:rPr>
                <w:rFonts w:eastAsia="Calibri"/>
                <w:spacing w:val="1"/>
                <w:sz w:val="20"/>
                <w:szCs w:val="20"/>
              </w:rPr>
              <w:t>t</w:t>
            </w:r>
            <w:r w:rsidRPr="00843FB6">
              <w:rPr>
                <w:rFonts w:eastAsia="Calibri"/>
                <w:spacing w:val="-1"/>
                <w:sz w:val="20"/>
                <w:szCs w:val="20"/>
              </w:rPr>
              <w:t>h</w:t>
            </w:r>
            <w:r w:rsidRPr="00843FB6">
              <w:rPr>
                <w:rFonts w:eastAsia="Calibri"/>
                <w:sz w:val="20"/>
                <w:szCs w:val="20"/>
              </w:rPr>
              <w:t>at</w:t>
            </w:r>
            <w:r w:rsidRPr="00843FB6">
              <w:rPr>
                <w:rFonts w:eastAsia="Calibri"/>
                <w:spacing w:val="9"/>
                <w:sz w:val="20"/>
                <w:szCs w:val="20"/>
              </w:rPr>
              <w:t xml:space="preserve"> </w:t>
            </w:r>
            <w:r w:rsidRPr="00843FB6">
              <w:rPr>
                <w:rFonts w:eastAsia="Calibri"/>
                <w:spacing w:val="1"/>
                <w:sz w:val="20"/>
                <w:szCs w:val="20"/>
              </w:rPr>
              <w:t>t</w:t>
            </w:r>
            <w:r w:rsidRPr="00843FB6">
              <w:rPr>
                <w:rFonts w:eastAsia="Calibri"/>
                <w:spacing w:val="-1"/>
                <w:sz w:val="20"/>
                <w:szCs w:val="20"/>
              </w:rPr>
              <w:t>yp</w:t>
            </w:r>
            <w:r w:rsidRPr="00843FB6">
              <w:rPr>
                <w:rFonts w:eastAsia="Calibri"/>
                <w:sz w:val="20"/>
                <w:szCs w:val="20"/>
              </w:rPr>
              <w:t>e</w:t>
            </w:r>
            <w:r w:rsidRPr="00843FB6">
              <w:rPr>
                <w:rFonts w:eastAsia="Calibri"/>
                <w:spacing w:val="9"/>
                <w:sz w:val="20"/>
                <w:szCs w:val="20"/>
              </w:rPr>
              <w:t xml:space="preserve"> </w:t>
            </w:r>
            <w:r w:rsidRPr="00843FB6">
              <w:rPr>
                <w:rFonts w:eastAsia="Calibri"/>
                <w:sz w:val="20"/>
                <w:szCs w:val="20"/>
              </w:rPr>
              <w:t>in</w:t>
            </w:r>
            <w:r w:rsidRPr="00843FB6">
              <w:rPr>
                <w:rFonts w:eastAsia="Calibri"/>
                <w:spacing w:val="4"/>
                <w:sz w:val="20"/>
                <w:szCs w:val="20"/>
              </w:rPr>
              <w:t xml:space="preserve"> </w:t>
            </w:r>
            <w:r w:rsidRPr="00843FB6">
              <w:rPr>
                <w:rFonts w:eastAsia="Calibri"/>
                <w:spacing w:val="1"/>
                <w:w w:val="103"/>
                <w:sz w:val="20"/>
                <w:szCs w:val="20"/>
              </w:rPr>
              <w:t>t</w:t>
            </w:r>
            <w:r w:rsidRPr="00843FB6">
              <w:rPr>
                <w:rFonts w:eastAsia="Calibri"/>
                <w:spacing w:val="-1"/>
                <w:w w:val="103"/>
                <w:sz w:val="20"/>
                <w:szCs w:val="20"/>
              </w:rPr>
              <w:t>h</w:t>
            </w:r>
            <w:r w:rsidRPr="00843FB6">
              <w:rPr>
                <w:rFonts w:eastAsia="Calibri"/>
                <w:w w:val="103"/>
                <w:sz w:val="20"/>
                <w:szCs w:val="20"/>
              </w:rPr>
              <w:t xml:space="preserve">is </w:t>
            </w:r>
            <w:r w:rsidRPr="00843FB6">
              <w:rPr>
                <w:rFonts w:eastAsia="Calibri"/>
                <w:spacing w:val="-1"/>
                <w:w w:val="103"/>
                <w:sz w:val="20"/>
                <w:szCs w:val="20"/>
              </w:rPr>
              <w:t>b</w:t>
            </w:r>
            <w:r w:rsidRPr="00843FB6">
              <w:rPr>
                <w:rFonts w:eastAsia="Calibri"/>
                <w:spacing w:val="1"/>
                <w:w w:val="103"/>
                <w:sz w:val="20"/>
                <w:szCs w:val="20"/>
              </w:rPr>
              <w:t>o</w:t>
            </w:r>
            <w:r w:rsidRPr="00843FB6">
              <w:rPr>
                <w:rFonts w:eastAsia="Calibri"/>
                <w:spacing w:val="-1"/>
                <w:w w:val="103"/>
                <w:sz w:val="20"/>
                <w:szCs w:val="20"/>
              </w:rPr>
              <w:t>x</w:t>
            </w:r>
            <w:r w:rsidRPr="00843FB6">
              <w:rPr>
                <w:rFonts w:eastAsia="Calibri"/>
                <w:w w:val="103"/>
                <w:sz w:val="20"/>
                <w:szCs w:val="20"/>
              </w:rPr>
              <w:t>.</w:t>
            </w:r>
          </w:p>
        </w:tc>
        <w:tc>
          <w:tcPr>
            <w:tcW w:w="1714" w:type="dxa"/>
          </w:tcPr>
          <w:p w14:paraId="0BD24927" w14:textId="77777777" w:rsidR="0086533B" w:rsidRPr="00843FB6" w:rsidRDefault="0086533B" w:rsidP="008D7DC4">
            <w:pPr>
              <w:jc w:val="center"/>
              <w:rPr>
                <w:rFonts w:eastAsia="Calibri"/>
                <w:sz w:val="20"/>
                <w:szCs w:val="20"/>
              </w:rPr>
            </w:pPr>
            <w:r w:rsidRPr="00843FB6">
              <w:rPr>
                <w:rFonts w:eastAsia="Calibri"/>
                <w:sz w:val="20"/>
                <w:szCs w:val="20"/>
              </w:rPr>
              <w:t>0</w:t>
            </w:r>
          </w:p>
        </w:tc>
        <w:tc>
          <w:tcPr>
            <w:tcW w:w="1627" w:type="dxa"/>
          </w:tcPr>
          <w:p w14:paraId="1D4D25A0" w14:textId="77777777" w:rsidR="0086533B" w:rsidRPr="00843FB6" w:rsidRDefault="0086533B" w:rsidP="008D7DC4">
            <w:pPr>
              <w:jc w:val="center"/>
              <w:rPr>
                <w:rFonts w:eastAsia="Calibri"/>
                <w:sz w:val="20"/>
                <w:szCs w:val="20"/>
              </w:rPr>
            </w:pPr>
            <w:r w:rsidRPr="00843FB6">
              <w:rPr>
                <w:rFonts w:eastAsia="Calibri"/>
                <w:sz w:val="20"/>
                <w:szCs w:val="20"/>
              </w:rPr>
              <w:t>312</w:t>
            </w:r>
          </w:p>
        </w:tc>
        <w:tc>
          <w:tcPr>
            <w:tcW w:w="1354" w:type="dxa"/>
          </w:tcPr>
          <w:p w14:paraId="33A93767" w14:textId="236D89D4" w:rsidR="0086533B" w:rsidRPr="00843FB6" w:rsidRDefault="0086533B" w:rsidP="008D7DC4">
            <w:pPr>
              <w:jc w:val="center"/>
              <w:rPr>
                <w:rFonts w:eastAsia="Calibri"/>
                <w:sz w:val="20"/>
                <w:szCs w:val="20"/>
              </w:rPr>
            </w:pPr>
          </w:p>
        </w:tc>
        <w:tc>
          <w:tcPr>
            <w:tcW w:w="1440" w:type="dxa"/>
          </w:tcPr>
          <w:p w14:paraId="7DBF40CF" w14:textId="5FD59591" w:rsidR="0086533B" w:rsidRPr="00843FB6" w:rsidRDefault="0086533B" w:rsidP="008D7DC4">
            <w:pPr>
              <w:jc w:val="center"/>
              <w:rPr>
                <w:rFonts w:eastAsia="Calibri"/>
                <w:sz w:val="20"/>
                <w:szCs w:val="20"/>
              </w:rPr>
            </w:pPr>
          </w:p>
        </w:tc>
      </w:tr>
    </w:tbl>
    <w:p w14:paraId="2CFCD7BA" w14:textId="77777777" w:rsidR="00110B3D" w:rsidRPr="00C26707" w:rsidRDefault="00110B3D" w:rsidP="002F3C7A">
      <w:pPr>
        <w:rPr>
          <w:color w:val="000000"/>
          <w:sz w:val="22"/>
          <w:szCs w:val="22"/>
        </w:rPr>
      </w:pPr>
    </w:p>
    <w:p w14:paraId="5696994D" w14:textId="77777777" w:rsidR="0098594D" w:rsidRPr="00C26707" w:rsidRDefault="0098594D" w:rsidP="0098594D">
      <w:pPr>
        <w:jc w:val="both"/>
        <w:rPr>
          <w:b/>
          <w:color w:val="000000"/>
          <w:sz w:val="22"/>
          <w:szCs w:val="22"/>
        </w:rPr>
      </w:pPr>
      <w:r w:rsidRPr="00C26707">
        <w:rPr>
          <w:b/>
          <w:color w:val="000000"/>
          <w:sz w:val="22"/>
          <w:szCs w:val="22"/>
        </w:rPr>
        <w:t>Planned Significant Changes</w:t>
      </w:r>
    </w:p>
    <w:p w14:paraId="6A840061" w14:textId="77777777" w:rsidR="0098594D" w:rsidRPr="00C26707" w:rsidRDefault="0098594D" w:rsidP="0098594D">
      <w:pPr>
        <w:jc w:val="both"/>
        <w:rPr>
          <w:color w:val="000000" w:themeColor="text1"/>
          <w:sz w:val="22"/>
          <w:szCs w:val="22"/>
        </w:rPr>
      </w:pPr>
      <w:r w:rsidRPr="00C26707">
        <w:rPr>
          <w:color w:val="000000" w:themeColor="text1"/>
          <w:sz w:val="22"/>
          <w:szCs w:val="22"/>
        </w:rPr>
        <w:t>No significant changes are planned.</w:t>
      </w:r>
    </w:p>
    <w:p w14:paraId="5C42C2A1" w14:textId="77777777" w:rsidR="00A35358" w:rsidRPr="00E94B9C" w:rsidRDefault="00A35358" w:rsidP="002F3C7A">
      <w:pPr>
        <w:rPr>
          <w:color w:val="000000"/>
        </w:rPr>
        <w:sectPr w:rsidR="00A35358" w:rsidRPr="00E94B9C" w:rsidSect="00F61294">
          <w:pgSz w:w="12240" w:h="15840"/>
          <w:pgMar w:top="1440" w:right="1440" w:bottom="1440" w:left="1440" w:header="720" w:footer="720" w:gutter="0"/>
          <w:cols w:space="720"/>
          <w:docGrid w:linePitch="360"/>
        </w:sectPr>
      </w:pPr>
    </w:p>
    <w:p w14:paraId="08318198" w14:textId="77777777" w:rsidR="00A35358" w:rsidRPr="0088154E" w:rsidRDefault="00A35358" w:rsidP="001F2A56">
      <w:pPr>
        <w:pStyle w:val="Heading3"/>
      </w:pPr>
      <w:bookmarkStart w:id="62" w:name="_Toc33016945"/>
      <w:r w:rsidRPr="0088154E">
        <w:t>Activity 2018-3: Support for the Secure Jobs Initiative: Vouchers and Services</w:t>
      </w:r>
      <w:bookmarkEnd w:id="62"/>
    </w:p>
    <w:p w14:paraId="6E45554B" w14:textId="77777777" w:rsidR="00A35358" w:rsidRPr="0088154E" w:rsidRDefault="00A35358" w:rsidP="00A35358">
      <w:pPr>
        <w:rPr>
          <w:b/>
          <w:color w:val="000000"/>
          <w:sz w:val="22"/>
          <w:szCs w:val="22"/>
          <w:u w:val="single"/>
        </w:rPr>
      </w:pPr>
    </w:p>
    <w:p w14:paraId="7A6063C7" w14:textId="77777777" w:rsidR="00C73902" w:rsidRPr="0088154E" w:rsidRDefault="00C73902" w:rsidP="00C73902">
      <w:pPr>
        <w:jc w:val="both"/>
        <w:rPr>
          <w:color w:val="000000"/>
          <w:sz w:val="22"/>
          <w:szCs w:val="22"/>
        </w:rPr>
      </w:pPr>
      <w:r w:rsidRPr="0088154E">
        <w:rPr>
          <w:b/>
          <w:color w:val="000000"/>
          <w:sz w:val="22"/>
          <w:szCs w:val="22"/>
        </w:rPr>
        <w:t>Plan Year Approved, Implemented, Amended</w:t>
      </w:r>
      <w:r w:rsidRPr="0088154E">
        <w:rPr>
          <w:color w:val="000000"/>
          <w:sz w:val="22"/>
          <w:szCs w:val="22"/>
        </w:rPr>
        <w:t xml:space="preserve"> </w:t>
      </w:r>
    </w:p>
    <w:p w14:paraId="5EE0D495" w14:textId="77777777" w:rsidR="00C73902" w:rsidRPr="0088154E" w:rsidRDefault="00C73902" w:rsidP="00C73902">
      <w:pPr>
        <w:rPr>
          <w:sz w:val="22"/>
          <w:szCs w:val="22"/>
        </w:rPr>
      </w:pPr>
      <w:r w:rsidRPr="0088154E">
        <w:rPr>
          <w:sz w:val="22"/>
          <w:szCs w:val="22"/>
        </w:rPr>
        <w:t xml:space="preserve">Approved FY 2018 and implemented FY 2019. </w:t>
      </w:r>
    </w:p>
    <w:p w14:paraId="72484BBE" w14:textId="77777777" w:rsidR="00C73902" w:rsidRPr="0088154E" w:rsidRDefault="00C73902" w:rsidP="00C73902">
      <w:pPr>
        <w:jc w:val="both"/>
        <w:rPr>
          <w:color w:val="000000"/>
          <w:sz w:val="22"/>
          <w:szCs w:val="22"/>
        </w:rPr>
      </w:pPr>
    </w:p>
    <w:p w14:paraId="74E61D79" w14:textId="77777777" w:rsidR="00A35358" w:rsidRPr="0088154E" w:rsidRDefault="00FB1862" w:rsidP="00A35358">
      <w:pPr>
        <w:tabs>
          <w:tab w:val="left" w:pos="450"/>
        </w:tabs>
        <w:jc w:val="both"/>
        <w:rPr>
          <w:b/>
          <w:color w:val="000000"/>
          <w:sz w:val="22"/>
          <w:szCs w:val="22"/>
        </w:rPr>
      </w:pPr>
      <w:r w:rsidRPr="0088154E">
        <w:rPr>
          <w:b/>
          <w:color w:val="000000"/>
          <w:sz w:val="22"/>
          <w:szCs w:val="22"/>
        </w:rPr>
        <w:t>Description/Update</w:t>
      </w:r>
    </w:p>
    <w:p w14:paraId="3B059548" w14:textId="15E5B45D" w:rsidR="00DA5861" w:rsidRPr="0088154E" w:rsidRDefault="00A35358" w:rsidP="00300F7D">
      <w:pPr>
        <w:jc w:val="both"/>
        <w:rPr>
          <w:sz w:val="22"/>
          <w:szCs w:val="22"/>
        </w:rPr>
      </w:pPr>
      <w:r w:rsidRPr="0088154E">
        <w:rPr>
          <w:color w:val="000000"/>
          <w:sz w:val="22"/>
          <w:szCs w:val="22"/>
        </w:rPr>
        <w:t>In FY 2018</w:t>
      </w:r>
      <w:r w:rsidR="00DC6FE9" w:rsidRPr="0088154E">
        <w:rPr>
          <w:color w:val="000000"/>
          <w:sz w:val="22"/>
          <w:szCs w:val="22"/>
        </w:rPr>
        <w:t xml:space="preserve">, </w:t>
      </w:r>
      <w:r w:rsidRPr="0088154E">
        <w:rPr>
          <w:color w:val="000000"/>
          <w:sz w:val="22"/>
          <w:szCs w:val="22"/>
        </w:rPr>
        <w:t>HUD approved DHCD’s Support for the Secure Jobs Initiative: V</w:t>
      </w:r>
      <w:r w:rsidR="00C55EB4" w:rsidRPr="0088154E">
        <w:rPr>
          <w:color w:val="000000"/>
          <w:sz w:val="22"/>
          <w:szCs w:val="22"/>
        </w:rPr>
        <w:t xml:space="preserve">ouchers and Services activity. </w:t>
      </w:r>
      <w:r w:rsidR="00DA5861" w:rsidRPr="0088154E">
        <w:rPr>
          <w:color w:val="000000"/>
          <w:sz w:val="22"/>
          <w:szCs w:val="22"/>
        </w:rPr>
        <w:t xml:space="preserve">Under this activity, </w:t>
      </w:r>
      <w:r w:rsidR="00E346FF" w:rsidRPr="0088154E">
        <w:rPr>
          <w:sz w:val="22"/>
          <w:szCs w:val="22"/>
        </w:rPr>
        <w:t>DHCD</w:t>
      </w:r>
      <w:r w:rsidR="00DA5861" w:rsidRPr="0088154E">
        <w:rPr>
          <w:sz w:val="22"/>
          <w:szCs w:val="22"/>
        </w:rPr>
        <w:t xml:space="preserve"> utilize</w:t>
      </w:r>
      <w:r w:rsidR="00E346FF" w:rsidRPr="0088154E">
        <w:rPr>
          <w:sz w:val="22"/>
          <w:szCs w:val="22"/>
        </w:rPr>
        <w:t>s</w:t>
      </w:r>
      <w:r w:rsidR="00DA5861" w:rsidRPr="0088154E">
        <w:rPr>
          <w:sz w:val="22"/>
          <w:szCs w:val="22"/>
        </w:rPr>
        <w:t xml:space="preserve"> MTW vouchers and MTW Block Grant funding flexibility to support and expand on the Secure Jobs Initiative (SJI)</w:t>
      </w:r>
      <w:r w:rsidR="00DC6FE9" w:rsidRPr="0088154E">
        <w:rPr>
          <w:sz w:val="22"/>
          <w:szCs w:val="22"/>
        </w:rPr>
        <w:t>,</w:t>
      </w:r>
      <w:r w:rsidR="00DA5861" w:rsidRPr="0088154E">
        <w:rPr>
          <w:sz w:val="22"/>
          <w:szCs w:val="22"/>
        </w:rPr>
        <w:t xml:space="preserve"> which provides integrated case management, employment supports and housing assistance for homeless and low-income families. </w:t>
      </w:r>
    </w:p>
    <w:p w14:paraId="603CBB67" w14:textId="77777777" w:rsidR="00DA5861" w:rsidRPr="0088154E" w:rsidRDefault="00DA5861" w:rsidP="00300F7D">
      <w:pPr>
        <w:jc w:val="both"/>
        <w:rPr>
          <w:sz w:val="22"/>
          <w:szCs w:val="22"/>
        </w:rPr>
      </w:pPr>
    </w:p>
    <w:p w14:paraId="14EE4CDD" w14:textId="1F26FC70" w:rsidR="00DA5861" w:rsidRPr="0088154E" w:rsidRDefault="00DA5861" w:rsidP="00174B45">
      <w:pPr>
        <w:jc w:val="both"/>
        <w:rPr>
          <w:sz w:val="22"/>
          <w:szCs w:val="22"/>
        </w:rPr>
      </w:pPr>
      <w:r w:rsidRPr="0088154E">
        <w:rPr>
          <w:sz w:val="22"/>
          <w:szCs w:val="22"/>
        </w:rPr>
        <w:t xml:space="preserve">DHCD will provide Housing Choice Vouchers to up to 50 eligible families </w:t>
      </w:r>
      <w:r w:rsidR="00C55EB4" w:rsidRPr="0088154E">
        <w:rPr>
          <w:sz w:val="22"/>
          <w:szCs w:val="22"/>
        </w:rPr>
        <w:t>referred from</w:t>
      </w:r>
      <w:r w:rsidR="00174B45" w:rsidRPr="0088154E">
        <w:rPr>
          <w:sz w:val="22"/>
          <w:szCs w:val="22"/>
        </w:rPr>
        <w:t xml:space="preserve"> the SJI P</w:t>
      </w:r>
      <w:r w:rsidR="00C55EB4" w:rsidRPr="0088154E">
        <w:rPr>
          <w:sz w:val="22"/>
          <w:szCs w:val="22"/>
        </w:rPr>
        <w:t xml:space="preserve">rogram. </w:t>
      </w:r>
      <w:r w:rsidRPr="0088154E">
        <w:rPr>
          <w:sz w:val="22"/>
          <w:szCs w:val="22"/>
        </w:rPr>
        <w:t>Supportive services will be provided to participants using MTW Block Grant funds. Referrals from SJI will be made upon completion of training or job placement.</w:t>
      </w:r>
      <w:r w:rsidRPr="0088154E">
        <w:rPr>
          <w:b/>
          <w:sz w:val="22"/>
          <w:szCs w:val="22"/>
        </w:rPr>
        <w:t xml:space="preserve"> </w:t>
      </w:r>
      <w:r w:rsidRPr="0088154E">
        <w:rPr>
          <w:sz w:val="22"/>
          <w:szCs w:val="22"/>
        </w:rPr>
        <w:t xml:space="preserve">DHCD will screen SJI referrals per its Administrative Plan screening policies. Income, rent and subsidy will be calculated per DHCD’s MTW income and rent policies. </w:t>
      </w:r>
      <w:r w:rsidR="00F0512F" w:rsidRPr="0088154E">
        <w:rPr>
          <w:sz w:val="22"/>
          <w:szCs w:val="22"/>
        </w:rPr>
        <w:t>As participants leave the program, DHCD will reissue these vouchers as regular MTW program vouchers and they will no longer be allocated to a participant in the Secure Jo</w:t>
      </w:r>
      <w:r w:rsidR="00174B45" w:rsidRPr="0088154E">
        <w:rPr>
          <w:sz w:val="22"/>
          <w:szCs w:val="22"/>
        </w:rPr>
        <w:t>bs P</w:t>
      </w:r>
      <w:r w:rsidR="00F0512F" w:rsidRPr="0088154E">
        <w:rPr>
          <w:sz w:val="22"/>
          <w:szCs w:val="22"/>
        </w:rPr>
        <w:t>rogram</w:t>
      </w:r>
      <w:r w:rsidR="00174B45" w:rsidRPr="0088154E">
        <w:rPr>
          <w:sz w:val="22"/>
          <w:szCs w:val="22"/>
        </w:rPr>
        <w:t>.</w:t>
      </w:r>
    </w:p>
    <w:p w14:paraId="15078A16" w14:textId="77777777" w:rsidR="00E31752" w:rsidRPr="0088154E" w:rsidRDefault="00E31752" w:rsidP="00DA5861">
      <w:pPr>
        <w:rPr>
          <w:sz w:val="22"/>
          <w:szCs w:val="22"/>
        </w:rPr>
      </w:pPr>
    </w:p>
    <w:p w14:paraId="675D2D5C" w14:textId="31EFDEC3" w:rsidR="00155EAE" w:rsidRPr="0088154E" w:rsidRDefault="0053528B" w:rsidP="007E4EAF">
      <w:pPr>
        <w:jc w:val="both"/>
        <w:rPr>
          <w:color w:val="000000"/>
          <w:sz w:val="22"/>
          <w:szCs w:val="22"/>
        </w:rPr>
      </w:pPr>
      <w:r w:rsidRPr="0088154E">
        <w:rPr>
          <w:color w:val="000000"/>
          <w:sz w:val="22"/>
          <w:szCs w:val="22"/>
        </w:rPr>
        <w:t>DHCD has completed the procurement for service providers and the State executed contracts with 8 partnering agencies that began providing services</w:t>
      </w:r>
      <w:r w:rsidR="00985F8D" w:rsidRPr="0088154E">
        <w:rPr>
          <w:color w:val="000000"/>
          <w:sz w:val="22"/>
          <w:szCs w:val="22"/>
        </w:rPr>
        <w:t xml:space="preserve">. </w:t>
      </w:r>
      <w:r w:rsidR="00F0512F" w:rsidRPr="0088154E">
        <w:rPr>
          <w:color w:val="000000"/>
          <w:sz w:val="22"/>
          <w:szCs w:val="22"/>
        </w:rPr>
        <w:t>T</w:t>
      </w:r>
      <w:r w:rsidR="00155EAE" w:rsidRPr="0088154E">
        <w:rPr>
          <w:color w:val="000000"/>
          <w:sz w:val="22"/>
          <w:szCs w:val="22"/>
        </w:rPr>
        <w:t>he administering agency, Department of Transitional Assistance</w:t>
      </w:r>
      <w:r w:rsidR="0082730D" w:rsidRPr="0088154E">
        <w:rPr>
          <w:color w:val="000000"/>
          <w:sz w:val="22"/>
          <w:szCs w:val="22"/>
        </w:rPr>
        <w:t>, via a</w:t>
      </w:r>
      <w:r w:rsidR="00155EAE" w:rsidRPr="0088154E">
        <w:rPr>
          <w:color w:val="000000"/>
          <w:sz w:val="22"/>
          <w:szCs w:val="22"/>
        </w:rPr>
        <w:t xml:space="preserve"> lottery, </w:t>
      </w:r>
      <w:r w:rsidR="00F0512F" w:rsidRPr="0088154E">
        <w:rPr>
          <w:color w:val="000000"/>
          <w:sz w:val="22"/>
          <w:szCs w:val="22"/>
        </w:rPr>
        <w:t>refers eligible families to DHCD for these vouches</w:t>
      </w:r>
      <w:r w:rsidR="00155EAE" w:rsidRPr="0088154E">
        <w:rPr>
          <w:color w:val="000000"/>
          <w:sz w:val="22"/>
          <w:szCs w:val="22"/>
        </w:rPr>
        <w:t xml:space="preserve">. </w:t>
      </w:r>
      <w:r w:rsidR="0082730D" w:rsidRPr="0088154E">
        <w:rPr>
          <w:color w:val="000000"/>
          <w:sz w:val="22"/>
          <w:szCs w:val="22"/>
        </w:rPr>
        <w:t xml:space="preserve"> </w:t>
      </w:r>
      <w:r w:rsidR="00F0512F" w:rsidRPr="0088154E">
        <w:rPr>
          <w:color w:val="000000"/>
          <w:sz w:val="22"/>
          <w:szCs w:val="22"/>
        </w:rPr>
        <w:t xml:space="preserve">In </w:t>
      </w:r>
      <w:r w:rsidR="0082730D" w:rsidRPr="0088154E">
        <w:rPr>
          <w:color w:val="000000"/>
          <w:sz w:val="22"/>
          <w:szCs w:val="22"/>
        </w:rPr>
        <w:t>FY 2021, DHCD anticipates that 40</w:t>
      </w:r>
      <w:r w:rsidR="00F0512F" w:rsidRPr="0088154E">
        <w:rPr>
          <w:color w:val="000000"/>
          <w:sz w:val="22"/>
          <w:szCs w:val="22"/>
        </w:rPr>
        <w:t xml:space="preserve"> vouchers will be </w:t>
      </w:r>
      <w:r w:rsidR="0082730D" w:rsidRPr="0088154E">
        <w:rPr>
          <w:color w:val="000000"/>
          <w:sz w:val="22"/>
          <w:szCs w:val="22"/>
        </w:rPr>
        <w:t xml:space="preserve">leased and </w:t>
      </w:r>
      <w:r w:rsidR="00F0512F" w:rsidRPr="0088154E">
        <w:rPr>
          <w:color w:val="000000"/>
          <w:sz w:val="22"/>
          <w:szCs w:val="22"/>
        </w:rPr>
        <w:t xml:space="preserve">administered under this program. </w:t>
      </w:r>
    </w:p>
    <w:p w14:paraId="5C280CA6" w14:textId="75902998" w:rsidR="00DA5861" w:rsidRPr="0088154E" w:rsidRDefault="00DA5861" w:rsidP="00DA5861">
      <w:pPr>
        <w:rPr>
          <w:sz w:val="22"/>
          <w:szCs w:val="22"/>
        </w:rPr>
      </w:pPr>
    </w:p>
    <w:p w14:paraId="29E27A55" w14:textId="77777777" w:rsidR="00DB6A81" w:rsidRPr="0088154E" w:rsidRDefault="00DB6A81" w:rsidP="00DB6A81">
      <w:pPr>
        <w:jc w:val="both"/>
        <w:rPr>
          <w:b/>
          <w:color w:val="000000"/>
          <w:sz w:val="22"/>
          <w:szCs w:val="22"/>
        </w:rPr>
      </w:pPr>
      <w:r w:rsidRPr="0088154E">
        <w:rPr>
          <w:b/>
          <w:color w:val="000000"/>
          <w:sz w:val="22"/>
          <w:szCs w:val="22"/>
        </w:rPr>
        <w:t>Planned Non-Significant Changes</w:t>
      </w:r>
    </w:p>
    <w:p w14:paraId="707BCE1E" w14:textId="77777777" w:rsidR="00DB6A81" w:rsidRPr="0088154E" w:rsidRDefault="00DB6A81" w:rsidP="00DB6A81">
      <w:pPr>
        <w:jc w:val="both"/>
        <w:rPr>
          <w:b/>
          <w:strike/>
          <w:color w:val="FF0000"/>
          <w:sz w:val="22"/>
          <w:szCs w:val="22"/>
        </w:rPr>
      </w:pPr>
      <w:r w:rsidRPr="0088154E">
        <w:rPr>
          <w:color w:val="000000" w:themeColor="text1"/>
          <w:sz w:val="22"/>
          <w:szCs w:val="22"/>
        </w:rPr>
        <w:t xml:space="preserve">No non-significant changes are planned. </w:t>
      </w:r>
    </w:p>
    <w:p w14:paraId="589F3A6D" w14:textId="77777777" w:rsidR="00DB6A81" w:rsidRPr="0088154E" w:rsidRDefault="00DB6A81" w:rsidP="00DB6A81">
      <w:pPr>
        <w:pStyle w:val="ListParagraph"/>
        <w:numPr>
          <w:ilvl w:val="0"/>
          <w:numId w:val="0"/>
        </w:numPr>
        <w:ind w:left="360"/>
        <w:jc w:val="both"/>
        <w:rPr>
          <w:color w:val="000000" w:themeColor="text1"/>
        </w:rPr>
      </w:pPr>
    </w:p>
    <w:p w14:paraId="6F91463B" w14:textId="77777777" w:rsidR="00DB6A81" w:rsidRPr="0088154E" w:rsidRDefault="00DB6A81" w:rsidP="00DB6A81">
      <w:pPr>
        <w:jc w:val="both"/>
        <w:rPr>
          <w:b/>
          <w:sz w:val="22"/>
          <w:szCs w:val="22"/>
        </w:rPr>
      </w:pPr>
      <w:r w:rsidRPr="0088154E">
        <w:rPr>
          <w:b/>
          <w:sz w:val="22"/>
          <w:szCs w:val="22"/>
        </w:rPr>
        <w:t>Planned Changes to Metrics/Data Collection</w:t>
      </w:r>
    </w:p>
    <w:p w14:paraId="62A8FC9D" w14:textId="29832859" w:rsidR="003D08EF" w:rsidRPr="0088154E" w:rsidRDefault="000B6E14" w:rsidP="00CF5240">
      <w:pPr>
        <w:jc w:val="both"/>
        <w:rPr>
          <w:bCs/>
          <w:sz w:val="22"/>
          <w:szCs w:val="22"/>
        </w:rPr>
      </w:pPr>
      <w:r w:rsidRPr="0088154E">
        <w:rPr>
          <w:sz w:val="22"/>
          <w:szCs w:val="22"/>
        </w:rPr>
        <w:t>Benchmarks were updated to reflect planned participation and anticipated outcomes for FY 2021</w:t>
      </w:r>
      <w:r w:rsidR="00F27AA3" w:rsidRPr="0088154E">
        <w:rPr>
          <w:bCs/>
          <w:sz w:val="22"/>
          <w:szCs w:val="22"/>
        </w:rPr>
        <w:t>.</w:t>
      </w:r>
    </w:p>
    <w:p w14:paraId="5768DAA8" w14:textId="43C1B65A" w:rsidR="00CF5240" w:rsidRPr="0088154E" w:rsidRDefault="00CF5240" w:rsidP="00CF5240">
      <w:pPr>
        <w:pStyle w:val="ListParagraph"/>
        <w:numPr>
          <w:ilvl w:val="0"/>
          <w:numId w:val="0"/>
        </w:numPr>
        <w:ind w:left="720"/>
        <w:jc w:val="both"/>
        <w:rPr>
          <w:bCs/>
        </w:rPr>
      </w:pPr>
    </w:p>
    <w:p w14:paraId="018CCF83" w14:textId="585056B8" w:rsidR="00DB6A81" w:rsidRPr="0088154E" w:rsidRDefault="00DB6A81" w:rsidP="00DB6A81">
      <w:pPr>
        <w:jc w:val="both"/>
        <w:rPr>
          <w:b/>
          <w:color w:val="000000"/>
          <w:sz w:val="22"/>
          <w:szCs w:val="22"/>
        </w:rPr>
      </w:pPr>
      <w:r w:rsidRPr="0088154E">
        <w:rPr>
          <w:b/>
          <w:color w:val="000000"/>
          <w:sz w:val="22"/>
          <w:szCs w:val="22"/>
        </w:rPr>
        <w:t>Metrics</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14"/>
        <w:gridCol w:w="1627"/>
        <w:gridCol w:w="1354"/>
        <w:gridCol w:w="1440"/>
      </w:tblGrid>
      <w:tr w:rsidR="00110B3D" w:rsidRPr="0088154E" w14:paraId="72AC1017" w14:textId="77777777" w:rsidTr="00B62394">
        <w:trPr>
          <w:trHeight w:hRule="exact" w:val="317"/>
        </w:trPr>
        <w:tc>
          <w:tcPr>
            <w:tcW w:w="9375" w:type="dxa"/>
            <w:gridSpan w:val="5"/>
            <w:shd w:val="clear" w:color="auto" w:fill="C6D9F1" w:themeFill="text2" w:themeFillTint="33"/>
          </w:tcPr>
          <w:p w14:paraId="4ECB91FA" w14:textId="77777777" w:rsidR="00110B3D" w:rsidRPr="0088154E" w:rsidRDefault="00110B3D" w:rsidP="00110B3D">
            <w:pPr>
              <w:jc w:val="center"/>
              <w:rPr>
                <w:rFonts w:eastAsia="Calibri"/>
                <w:b/>
                <w:bCs/>
                <w:i/>
                <w:iCs/>
                <w:sz w:val="20"/>
                <w:szCs w:val="20"/>
              </w:rPr>
            </w:pPr>
            <w:r w:rsidRPr="0088154E">
              <w:rPr>
                <w:rFonts w:eastAsia="Calibri"/>
                <w:b/>
                <w:bCs/>
                <w:i/>
                <w:iCs/>
                <w:sz w:val="20"/>
                <w:szCs w:val="20"/>
              </w:rPr>
              <w:t>CE #4: Increase in Resources Leveraged</w:t>
            </w:r>
          </w:p>
        </w:tc>
      </w:tr>
      <w:tr w:rsidR="00110B3D" w:rsidRPr="0088154E" w14:paraId="5775C3BF" w14:textId="77777777" w:rsidTr="00B62394">
        <w:trPr>
          <w:trHeight w:hRule="exact" w:val="576"/>
        </w:trPr>
        <w:tc>
          <w:tcPr>
            <w:tcW w:w="3240" w:type="dxa"/>
            <w:shd w:val="clear" w:color="auto" w:fill="D9D9D9" w:themeFill="background1" w:themeFillShade="D9"/>
          </w:tcPr>
          <w:p w14:paraId="4DF22E40" w14:textId="77777777" w:rsidR="00110B3D" w:rsidRPr="0088154E" w:rsidRDefault="00110B3D" w:rsidP="00110B3D">
            <w:pPr>
              <w:jc w:val="center"/>
              <w:rPr>
                <w:rFonts w:eastAsia="Calibri"/>
                <w:b/>
                <w:bCs/>
                <w:i/>
                <w:iCs/>
                <w:sz w:val="20"/>
                <w:szCs w:val="20"/>
              </w:rPr>
            </w:pPr>
            <w:r w:rsidRPr="0088154E">
              <w:rPr>
                <w:rFonts w:eastAsia="Calibri"/>
                <w:b/>
                <w:bCs/>
                <w:sz w:val="20"/>
                <w:szCs w:val="20"/>
              </w:rPr>
              <w:t>Unit of Measurement</w:t>
            </w:r>
          </w:p>
        </w:tc>
        <w:tc>
          <w:tcPr>
            <w:tcW w:w="1714" w:type="dxa"/>
            <w:shd w:val="clear" w:color="auto" w:fill="D9D9D9" w:themeFill="background1" w:themeFillShade="D9"/>
          </w:tcPr>
          <w:p w14:paraId="5EE53CAB" w14:textId="77777777" w:rsidR="00110B3D" w:rsidRPr="0088154E" w:rsidRDefault="00110B3D" w:rsidP="00110B3D">
            <w:pPr>
              <w:jc w:val="center"/>
              <w:rPr>
                <w:rFonts w:eastAsia="Calibri"/>
                <w:b/>
                <w:bCs/>
                <w:i/>
                <w:iCs/>
                <w:sz w:val="20"/>
                <w:szCs w:val="20"/>
              </w:rPr>
            </w:pPr>
            <w:r w:rsidRPr="0088154E">
              <w:rPr>
                <w:rFonts w:eastAsia="Calibri"/>
                <w:b/>
                <w:bCs/>
                <w:sz w:val="20"/>
                <w:szCs w:val="20"/>
              </w:rPr>
              <w:t>Baseline</w:t>
            </w:r>
          </w:p>
        </w:tc>
        <w:tc>
          <w:tcPr>
            <w:tcW w:w="1627" w:type="dxa"/>
            <w:shd w:val="clear" w:color="auto" w:fill="D9D9D9" w:themeFill="background1" w:themeFillShade="D9"/>
          </w:tcPr>
          <w:p w14:paraId="1B5549C9" w14:textId="77777777" w:rsidR="00110B3D" w:rsidRPr="0088154E" w:rsidRDefault="00110B3D" w:rsidP="00110B3D">
            <w:pPr>
              <w:jc w:val="center"/>
              <w:rPr>
                <w:rFonts w:eastAsia="Calibri"/>
                <w:b/>
                <w:bCs/>
                <w:i/>
                <w:iCs/>
                <w:sz w:val="20"/>
                <w:szCs w:val="20"/>
              </w:rPr>
            </w:pPr>
            <w:r w:rsidRPr="0088154E">
              <w:rPr>
                <w:rFonts w:eastAsia="Calibri"/>
                <w:b/>
                <w:bCs/>
                <w:sz w:val="20"/>
                <w:szCs w:val="20"/>
              </w:rPr>
              <w:t>Benchmark</w:t>
            </w:r>
          </w:p>
        </w:tc>
        <w:tc>
          <w:tcPr>
            <w:tcW w:w="1354" w:type="dxa"/>
            <w:shd w:val="clear" w:color="auto" w:fill="D9D9D9" w:themeFill="background1" w:themeFillShade="D9"/>
          </w:tcPr>
          <w:p w14:paraId="31FC5972" w14:textId="77777777" w:rsidR="00110B3D" w:rsidRPr="0088154E" w:rsidRDefault="00110B3D" w:rsidP="00110B3D">
            <w:pPr>
              <w:jc w:val="center"/>
              <w:rPr>
                <w:rFonts w:eastAsia="Calibri"/>
                <w:b/>
                <w:bCs/>
                <w:i/>
                <w:iCs/>
                <w:sz w:val="20"/>
                <w:szCs w:val="20"/>
              </w:rPr>
            </w:pPr>
            <w:r w:rsidRPr="0088154E">
              <w:rPr>
                <w:rFonts w:eastAsia="Calibri"/>
                <w:b/>
                <w:bCs/>
                <w:sz w:val="20"/>
                <w:szCs w:val="20"/>
              </w:rPr>
              <w:t>Outcome</w:t>
            </w:r>
          </w:p>
        </w:tc>
        <w:tc>
          <w:tcPr>
            <w:tcW w:w="1440" w:type="dxa"/>
            <w:shd w:val="clear" w:color="auto" w:fill="D9D9D9" w:themeFill="background1" w:themeFillShade="D9"/>
          </w:tcPr>
          <w:p w14:paraId="39003172" w14:textId="77777777" w:rsidR="00110B3D" w:rsidRPr="0088154E" w:rsidRDefault="00110B3D" w:rsidP="00110B3D">
            <w:pPr>
              <w:jc w:val="center"/>
              <w:rPr>
                <w:rFonts w:eastAsia="Calibri"/>
                <w:b/>
                <w:bCs/>
                <w:i/>
                <w:iCs/>
                <w:sz w:val="20"/>
                <w:szCs w:val="20"/>
              </w:rPr>
            </w:pPr>
            <w:r w:rsidRPr="0088154E">
              <w:rPr>
                <w:rFonts w:eastAsia="Calibri"/>
                <w:b/>
                <w:bCs/>
                <w:sz w:val="20"/>
                <w:szCs w:val="20"/>
              </w:rPr>
              <w:t>Benchmark Achieved?</w:t>
            </w:r>
          </w:p>
        </w:tc>
      </w:tr>
      <w:tr w:rsidR="0086533B" w:rsidRPr="0088154E" w14:paraId="0D274A0B" w14:textId="77777777" w:rsidTr="00B62394">
        <w:trPr>
          <w:trHeight w:hRule="exact" w:val="550"/>
        </w:trPr>
        <w:tc>
          <w:tcPr>
            <w:tcW w:w="3240" w:type="dxa"/>
            <w:shd w:val="clear" w:color="auto" w:fill="auto"/>
          </w:tcPr>
          <w:p w14:paraId="5BE34E5A" w14:textId="77777777" w:rsidR="0086533B" w:rsidRPr="0088154E" w:rsidRDefault="0086533B" w:rsidP="0086533B">
            <w:pPr>
              <w:rPr>
                <w:rFonts w:eastAsia="Calibri"/>
                <w:bCs/>
                <w:iCs/>
                <w:sz w:val="20"/>
                <w:szCs w:val="20"/>
              </w:rPr>
            </w:pPr>
            <w:r w:rsidRPr="0088154E">
              <w:rPr>
                <w:rFonts w:eastAsia="Calibri"/>
                <w:bCs/>
                <w:iCs/>
                <w:sz w:val="20"/>
                <w:szCs w:val="20"/>
              </w:rPr>
              <w:t>Amount of funds leveraged in dollars (increase)</w:t>
            </w:r>
          </w:p>
        </w:tc>
        <w:tc>
          <w:tcPr>
            <w:tcW w:w="1714" w:type="dxa"/>
            <w:shd w:val="clear" w:color="auto" w:fill="auto"/>
          </w:tcPr>
          <w:p w14:paraId="3A41B5FA" w14:textId="1D795BBF" w:rsidR="0086533B" w:rsidRPr="0088154E" w:rsidRDefault="00F161F2" w:rsidP="008D7DC4">
            <w:pPr>
              <w:jc w:val="center"/>
              <w:rPr>
                <w:rFonts w:eastAsia="Calibri"/>
                <w:bCs/>
                <w:iCs/>
                <w:sz w:val="20"/>
                <w:szCs w:val="20"/>
              </w:rPr>
            </w:pPr>
            <w:r w:rsidRPr="0088154E">
              <w:rPr>
                <w:rFonts w:eastAsia="Calibri"/>
                <w:bCs/>
                <w:iCs/>
                <w:sz w:val="20"/>
                <w:szCs w:val="20"/>
              </w:rPr>
              <w:t>$0</w:t>
            </w:r>
          </w:p>
        </w:tc>
        <w:tc>
          <w:tcPr>
            <w:tcW w:w="1627" w:type="dxa"/>
            <w:shd w:val="clear" w:color="auto" w:fill="auto"/>
          </w:tcPr>
          <w:p w14:paraId="05EF0526" w14:textId="74CC6207" w:rsidR="0086533B" w:rsidRPr="0088154E" w:rsidRDefault="00FA5A30" w:rsidP="0082730D">
            <w:pPr>
              <w:jc w:val="center"/>
              <w:rPr>
                <w:rFonts w:eastAsia="Calibri"/>
                <w:bCs/>
                <w:iCs/>
                <w:sz w:val="20"/>
                <w:szCs w:val="20"/>
              </w:rPr>
            </w:pPr>
            <w:r w:rsidRPr="0088154E">
              <w:rPr>
                <w:rFonts w:eastAsia="Calibri"/>
                <w:bCs/>
                <w:iCs/>
                <w:sz w:val="20"/>
                <w:szCs w:val="20"/>
              </w:rPr>
              <w:t>$</w:t>
            </w:r>
            <w:r w:rsidR="0082730D" w:rsidRPr="0088154E">
              <w:rPr>
                <w:rFonts w:eastAsia="Calibri"/>
                <w:bCs/>
                <w:iCs/>
                <w:sz w:val="20"/>
                <w:szCs w:val="20"/>
              </w:rPr>
              <w:t>88</w:t>
            </w:r>
            <w:r w:rsidR="0015640A" w:rsidRPr="0088154E">
              <w:rPr>
                <w:rFonts w:eastAsia="Calibri"/>
                <w:bCs/>
                <w:iCs/>
                <w:sz w:val="20"/>
                <w:szCs w:val="20"/>
              </w:rPr>
              <w:t>,000</w:t>
            </w:r>
          </w:p>
        </w:tc>
        <w:tc>
          <w:tcPr>
            <w:tcW w:w="1354" w:type="dxa"/>
            <w:shd w:val="clear" w:color="auto" w:fill="auto"/>
          </w:tcPr>
          <w:p w14:paraId="3DA547AA" w14:textId="0E6569F5" w:rsidR="0086533B" w:rsidRPr="0088154E" w:rsidRDefault="0086533B" w:rsidP="008D7DC4">
            <w:pPr>
              <w:jc w:val="center"/>
              <w:rPr>
                <w:rFonts w:eastAsia="Calibri"/>
                <w:bCs/>
                <w:iCs/>
                <w:sz w:val="20"/>
                <w:szCs w:val="20"/>
              </w:rPr>
            </w:pPr>
          </w:p>
        </w:tc>
        <w:tc>
          <w:tcPr>
            <w:tcW w:w="1440" w:type="dxa"/>
            <w:shd w:val="clear" w:color="auto" w:fill="auto"/>
          </w:tcPr>
          <w:p w14:paraId="08BB1BD4" w14:textId="3E1F2B7E" w:rsidR="0086533B" w:rsidRPr="0088154E" w:rsidRDefault="0086533B" w:rsidP="008D7DC4">
            <w:pPr>
              <w:jc w:val="center"/>
              <w:rPr>
                <w:rFonts w:eastAsia="Calibri"/>
                <w:bCs/>
                <w:iCs/>
                <w:sz w:val="20"/>
                <w:szCs w:val="20"/>
              </w:rPr>
            </w:pPr>
          </w:p>
        </w:tc>
      </w:tr>
      <w:tr w:rsidR="00110B3D" w:rsidRPr="0088154E" w14:paraId="1BCFC517" w14:textId="77777777" w:rsidTr="00B62394">
        <w:trPr>
          <w:trHeight w:hRule="exact" w:val="317"/>
        </w:trPr>
        <w:tc>
          <w:tcPr>
            <w:tcW w:w="9375" w:type="dxa"/>
            <w:gridSpan w:val="5"/>
            <w:shd w:val="clear" w:color="auto" w:fill="C6D9F1" w:themeFill="text2" w:themeFillTint="33"/>
            <w:hideMark/>
          </w:tcPr>
          <w:p w14:paraId="37503A0D" w14:textId="77777777" w:rsidR="00110B3D" w:rsidRPr="0088154E" w:rsidRDefault="00110B3D" w:rsidP="00110B3D">
            <w:pPr>
              <w:jc w:val="center"/>
              <w:rPr>
                <w:rFonts w:eastAsia="Calibri"/>
                <w:b/>
                <w:bCs/>
                <w:i/>
                <w:iCs/>
                <w:sz w:val="20"/>
                <w:szCs w:val="20"/>
              </w:rPr>
            </w:pPr>
            <w:r w:rsidRPr="0088154E">
              <w:rPr>
                <w:rFonts w:eastAsia="Calibri"/>
                <w:b/>
                <w:bCs/>
                <w:i/>
                <w:iCs/>
                <w:sz w:val="20"/>
                <w:szCs w:val="20"/>
              </w:rPr>
              <w:t>SS #1: Increase in Household Income</w:t>
            </w:r>
          </w:p>
        </w:tc>
      </w:tr>
      <w:tr w:rsidR="00110B3D" w:rsidRPr="0088154E" w14:paraId="31358FCB" w14:textId="77777777" w:rsidTr="00B62394">
        <w:trPr>
          <w:trHeight w:hRule="exact" w:val="576"/>
        </w:trPr>
        <w:tc>
          <w:tcPr>
            <w:tcW w:w="3240" w:type="dxa"/>
            <w:shd w:val="clear" w:color="auto" w:fill="D9D9D9" w:themeFill="background1" w:themeFillShade="D9"/>
            <w:hideMark/>
          </w:tcPr>
          <w:p w14:paraId="0CC8B7F5" w14:textId="77777777" w:rsidR="00110B3D" w:rsidRPr="0088154E" w:rsidRDefault="00110B3D" w:rsidP="00110B3D">
            <w:pPr>
              <w:jc w:val="center"/>
              <w:rPr>
                <w:rFonts w:eastAsia="Calibri"/>
                <w:b/>
                <w:bCs/>
                <w:sz w:val="20"/>
                <w:szCs w:val="20"/>
              </w:rPr>
            </w:pPr>
            <w:r w:rsidRPr="0088154E">
              <w:rPr>
                <w:rFonts w:eastAsia="Calibri"/>
                <w:b/>
                <w:bCs/>
                <w:sz w:val="20"/>
                <w:szCs w:val="20"/>
              </w:rPr>
              <w:t>Unit of Measurement</w:t>
            </w:r>
          </w:p>
        </w:tc>
        <w:tc>
          <w:tcPr>
            <w:tcW w:w="1714" w:type="dxa"/>
            <w:shd w:val="clear" w:color="auto" w:fill="D9D9D9" w:themeFill="background1" w:themeFillShade="D9"/>
            <w:hideMark/>
          </w:tcPr>
          <w:p w14:paraId="0B45F91D" w14:textId="77777777" w:rsidR="00110B3D" w:rsidRPr="0088154E" w:rsidRDefault="00110B3D" w:rsidP="00110B3D">
            <w:pPr>
              <w:jc w:val="center"/>
              <w:rPr>
                <w:rFonts w:eastAsia="Calibri"/>
                <w:b/>
                <w:bCs/>
                <w:sz w:val="20"/>
                <w:szCs w:val="20"/>
              </w:rPr>
            </w:pPr>
            <w:r w:rsidRPr="0088154E">
              <w:rPr>
                <w:rFonts w:eastAsia="Calibri"/>
                <w:b/>
                <w:bCs/>
                <w:sz w:val="20"/>
                <w:szCs w:val="20"/>
              </w:rPr>
              <w:t>Baseline</w:t>
            </w:r>
          </w:p>
        </w:tc>
        <w:tc>
          <w:tcPr>
            <w:tcW w:w="1627" w:type="dxa"/>
            <w:shd w:val="clear" w:color="auto" w:fill="D9D9D9" w:themeFill="background1" w:themeFillShade="D9"/>
            <w:hideMark/>
          </w:tcPr>
          <w:p w14:paraId="16728F7A" w14:textId="77777777" w:rsidR="00110B3D" w:rsidRPr="0088154E" w:rsidRDefault="00110B3D" w:rsidP="00110B3D">
            <w:pPr>
              <w:jc w:val="center"/>
              <w:rPr>
                <w:rFonts w:eastAsia="Calibri"/>
                <w:b/>
                <w:bCs/>
                <w:sz w:val="20"/>
                <w:szCs w:val="20"/>
              </w:rPr>
            </w:pPr>
            <w:r w:rsidRPr="0088154E">
              <w:rPr>
                <w:rFonts w:eastAsia="Calibri"/>
                <w:b/>
                <w:bCs/>
                <w:sz w:val="20"/>
                <w:szCs w:val="20"/>
              </w:rPr>
              <w:t>Benchmark</w:t>
            </w:r>
          </w:p>
        </w:tc>
        <w:tc>
          <w:tcPr>
            <w:tcW w:w="1354" w:type="dxa"/>
            <w:shd w:val="clear" w:color="auto" w:fill="D9D9D9" w:themeFill="background1" w:themeFillShade="D9"/>
            <w:hideMark/>
          </w:tcPr>
          <w:p w14:paraId="43F6E8CD" w14:textId="77777777" w:rsidR="00110B3D" w:rsidRPr="0088154E" w:rsidRDefault="00110B3D" w:rsidP="00110B3D">
            <w:pPr>
              <w:jc w:val="center"/>
              <w:rPr>
                <w:rFonts w:eastAsia="Calibri"/>
                <w:b/>
                <w:bCs/>
                <w:sz w:val="20"/>
                <w:szCs w:val="20"/>
              </w:rPr>
            </w:pPr>
            <w:r w:rsidRPr="0088154E">
              <w:rPr>
                <w:rFonts w:eastAsia="Calibri"/>
                <w:b/>
                <w:bCs/>
                <w:sz w:val="20"/>
                <w:szCs w:val="20"/>
              </w:rPr>
              <w:t>Outcome</w:t>
            </w:r>
          </w:p>
        </w:tc>
        <w:tc>
          <w:tcPr>
            <w:tcW w:w="1440" w:type="dxa"/>
            <w:shd w:val="clear" w:color="auto" w:fill="D9D9D9" w:themeFill="background1" w:themeFillShade="D9"/>
            <w:hideMark/>
          </w:tcPr>
          <w:p w14:paraId="724DE420" w14:textId="77777777" w:rsidR="00110B3D" w:rsidRPr="0088154E" w:rsidRDefault="00110B3D" w:rsidP="00110B3D">
            <w:pPr>
              <w:jc w:val="center"/>
              <w:rPr>
                <w:rFonts w:eastAsia="Calibri"/>
                <w:b/>
                <w:bCs/>
                <w:sz w:val="20"/>
                <w:szCs w:val="20"/>
              </w:rPr>
            </w:pPr>
            <w:r w:rsidRPr="0088154E">
              <w:rPr>
                <w:rFonts w:eastAsia="Calibri"/>
                <w:b/>
                <w:bCs/>
                <w:sz w:val="20"/>
                <w:szCs w:val="20"/>
              </w:rPr>
              <w:t>Benchmark Achieved?</w:t>
            </w:r>
          </w:p>
        </w:tc>
      </w:tr>
      <w:tr w:rsidR="00110B3D" w:rsidRPr="0088154E" w14:paraId="6A1D85CD" w14:textId="77777777" w:rsidTr="00B62394">
        <w:trPr>
          <w:trHeight w:val="710"/>
        </w:trPr>
        <w:tc>
          <w:tcPr>
            <w:tcW w:w="3240" w:type="dxa"/>
            <w:shd w:val="clear" w:color="auto" w:fill="auto"/>
            <w:hideMark/>
          </w:tcPr>
          <w:p w14:paraId="6EDA3570" w14:textId="77777777" w:rsidR="00110B3D" w:rsidRPr="0088154E" w:rsidRDefault="00110B3D" w:rsidP="00110B3D">
            <w:pPr>
              <w:rPr>
                <w:rFonts w:eastAsia="Calibri"/>
                <w:sz w:val="20"/>
                <w:szCs w:val="20"/>
              </w:rPr>
            </w:pPr>
            <w:r w:rsidRPr="0088154E">
              <w:rPr>
                <w:rFonts w:eastAsia="Calibri"/>
                <w:sz w:val="20"/>
                <w:szCs w:val="20"/>
              </w:rPr>
              <w:t>Average earned income of households affected by this policy in dollars (increase).</w:t>
            </w:r>
          </w:p>
        </w:tc>
        <w:tc>
          <w:tcPr>
            <w:tcW w:w="1714" w:type="dxa"/>
            <w:shd w:val="clear" w:color="auto" w:fill="auto"/>
            <w:hideMark/>
          </w:tcPr>
          <w:p w14:paraId="4440E999" w14:textId="4B9F932F" w:rsidR="00110B3D" w:rsidRPr="0088154E" w:rsidRDefault="00FA5A30" w:rsidP="00110B3D">
            <w:pPr>
              <w:jc w:val="center"/>
              <w:rPr>
                <w:rFonts w:eastAsia="Calibri"/>
                <w:sz w:val="20"/>
                <w:szCs w:val="20"/>
              </w:rPr>
            </w:pPr>
            <w:r w:rsidRPr="0088154E">
              <w:rPr>
                <w:rFonts w:eastAsia="Calibri"/>
                <w:sz w:val="20"/>
                <w:szCs w:val="20"/>
              </w:rPr>
              <w:t>$4,341</w:t>
            </w:r>
          </w:p>
        </w:tc>
        <w:tc>
          <w:tcPr>
            <w:tcW w:w="1627" w:type="dxa"/>
            <w:shd w:val="clear" w:color="auto" w:fill="auto"/>
            <w:hideMark/>
          </w:tcPr>
          <w:p w14:paraId="094E593E" w14:textId="57A75036" w:rsidR="00110B3D" w:rsidRPr="0088154E" w:rsidRDefault="00FA5A30" w:rsidP="00110B3D">
            <w:pPr>
              <w:jc w:val="center"/>
              <w:rPr>
                <w:rFonts w:eastAsia="Calibri"/>
                <w:sz w:val="20"/>
                <w:szCs w:val="20"/>
              </w:rPr>
            </w:pPr>
            <w:r w:rsidRPr="0088154E">
              <w:rPr>
                <w:rFonts w:eastAsia="Calibri"/>
                <w:sz w:val="20"/>
                <w:szCs w:val="20"/>
              </w:rPr>
              <w:t>$6,212</w:t>
            </w:r>
          </w:p>
        </w:tc>
        <w:tc>
          <w:tcPr>
            <w:tcW w:w="1354" w:type="dxa"/>
            <w:shd w:val="clear" w:color="auto" w:fill="auto"/>
          </w:tcPr>
          <w:p w14:paraId="1DC25E04" w14:textId="706253A2" w:rsidR="00110B3D" w:rsidRPr="0088154E" w:rsidRDefault="00110B3D" w:rsidP="00110B3D">
            <w:pPr>
              <w:jc w:val="center"/>
              <w:rPr>
                <w:rFonts w:eastAsia="Calibri"/>
                <w:sz w:val="20"/>
                <w:szCs w:val="20"/>
              </w:rPr>
            </w:pPr>
          </w:p>
        </w:tc>
        <w:tc>
          <w:tcPr>
            <w:tcW w:w="1440" w:type="dxa"/>
            <w:shd w:val="clear" w:color="auto" w:fill="auto"/>
          </w:tcPr>
          <w:p w14:paraId="449D85A9" w14:textId="6D3D349B" w:rsidR="00110B3D" w:rsidRPr="0088154E" w:rsidRDefault="00110B3D" w:rsidP="0086533B">
            <w:pPr>
              <w:jc w:val="center"/>
              <w:rPr>
                <w:rFonts w:eastAsia="Calibri"/>
                <w:sz w:val="20"/>
                <w:szCs w:val="20"/>
              </w:rPr>
            </w:pPr>
          </w:p>
        </w:tc>
      </w:tr>
      <w:tr w:rsidR="00110B3D" w:rsidRPr="0088154E" w14:paraId="49BABCF1" w14:textId="77777777" w:rsidTr="00B62394">
        <w:trPr>
          <w:trHeight w:hRule="exact" w:val="317"/>
        </w:trPr>
        <w:tc>
          <w:tcPr>
            <w:tcW w:w="9375" w:type="dxa"/>
            <w:gridSpan w:val="5"/>
            <w:shd w:val="clear" w:color="auto" w:fill="C6D9F1" w:themeFill="text2" w:themeFillTint="33"/>
            <w:hideMark/>
          </w:tcPr>
          <w:p w14:paraId="09A2E869" w14:textId="77777777" w:rsidR="00110B3D" w:rsidRPr="0088154E" w:rsidRDefault="00110B3D" w:rsidP="00110B3D">
            <w:pPr>
              <w:jc w:val="center"/>
              <w:rPr>
                <w:rFonts w:eastAsia="Calibri"/>
                <w:b/>
                <w:bCs/>
                <w:i/>
                <w:iCs/>
                <w:sz w:val="20"/>
                <w:szCs w:val="20"/>
              </w:rPr>
            </w:pPr>
            <w:r w:rsidRPr="0088154E">
              <w:rPr>
                <w:rFonts w:eastAsia="Calibri"/>
                <w:b/>
                <w:bCs/>
                <w:i/>
                <w:iCs/>
                <w:sz w:val="20"/>
                <w:szCs w:val="20"/>
              </w:rPr>
              <w:t>SS #3: Increase in Positive Outcomes in Employment Status</w:t>
            </w:r>
          </w:p>
        </w:tc>
      </w:tr>
      <w:tr w:rsidR="00110B3D" w:rsidRPr="0088154E" w14:paraId="509C71D0" w14:textId="77777777" w:rsidTr="00B62394">
        <w:trPr>
          <w:trHeight w:hRule="exact" w:val="576"/>
        </w:trPr>
        <w:tc>
          <w:tcPr>
            <w:tcW w:w="3240" w:type="dxa"/>
            <w:shd w:val="clear" w:color="auto" w:fill="D9D9D9" w:themeFill="background1" w:themeFillShade="D9"/>
            <w:hideMark/>
          </w:tcPr>
          <w:p w14:paraId="1BEF3741" w14:textId="77777777" w:rsidR="00110B3D" w:rsidRPr="0088154E" w:rsidRDefault="00110B3D" w:rsidP="00110B3D">
            <w:pPr>
              <w:jc w:val="center"/>
              <w:rPr>
                <w:rFonts w:eastAsia="Calibri"/>
                <w:b/>
                <w:bCs/>
                <w:sz w:val="20"/>
                <w:szCs w:val="20"/>
              </w:rPr>
            </w:pPr>
            <w:r w:rsidRPr="0088154E">
              <w:rPr>
                <w:rFonts w:eastAsia="Calibri"/>
                <w:b/>
                <w:bCs/>
                <w:sz w:val="20"/>
                <w:szCs w:val="20"/>
              </w:rPr>
              <w:t>Unit of Measurement</w:t>
            </w:r>
          </w:p>
        </w:tc>
        <w:tc>
          <w:tcPr>
            <w:tcW w:w="1714" w:type="dxa"/>
            <w:shd w:val="clear" w:color="auto" w:fill="D9D9D9" w:themeFill="background1" w:themeFillShade="D9"/>
            <w:hideMark/>
          </w:tcPr>
          <w:p w14:paraId="432779F3" w14:textId="77777777" w:rsidR="00110B3D" w:rsidRPr="0088154E" w:rsidRDefault="00110B3D" w:rsidP="00110B3D">
            <w:pPr>
              <w:jc w:val="center"/>
              <w:rPr>
                <w:rFonts w:eastAsia="Calibri"/>
                <w:b/>
                <w:bCs/>
                <w:sz w:val="20"/>
                <w:szCs w:val="20"/>
              </w:rPr>
            </w:pPr>
            <w:r w:rsidRPr="0088154E">
              <w:rPr>
                <w:rFonts w:eastAsia="Calibri"/>
                <w:b/>
                <w:bCs/>
                <w:sz w:val="20"/>
                <w:szCs w:val="20"/>
              </w:rPr>
              <w:t>Baseline</w:t>
            </w:r>
          </w:p>
        </w:tc>
        <w:tc>
          <w:tcPr>
            <w:tcW w:w="1627" w:type="dxa"/>
            <w:shd w:val="clear" w:color="auto" w:fill="D9D9D9" w:themeFill="background1" w:themeFillShade="D9"/>
            <w:hideMark/>
          </w:tcPr>
          <w:p w14:paraId="5C7E481A" w14:textId="77777777" w:rsidR="00110B3D" w:rsidRPr="0088154E" w:rsidRDefault="00110B3D" w:rsidP="00110B3D">
            <w:pPr>
              <w:jc w:val="center"/>
              <w:rPr>
                <w:rFonts w:eastAsia="Calibri"/>
                <w:b/>
                <w:bCs/>
                <w:sz w:val="20"/>
                <w:szCs w:val="20"/>
              </w:rPr>
            </w:pPr>
            <w:r w:rsidRPr="0088154E">
              <w:rPr>
                <w:rFonts w:eastAsia="Calibri"/>
                <w:b/>
                <w:bCs/>
                <w:sz w:val="20"/>
                <w:szCs w:val="20"/>
              </w:rPr>
              <w:t>Benchmark</w:t>
            </w:r>
          </w:p>
        </w:tc>
        <w:tc>
          <w:tcPr>
            <w:tcW w:w="1354" w:type="dxa"/>
            <w:shd w:val="clear" w:color="auto" w:fill="D9D9D9" w:themeFill="background1" w:themeFillShade="D9"/>
            <w:hideMark/>
          </w:tcPr>
          <w:p w14:paraId="73A0EBB4" w14:textId="77777777" w:rsidR="00110B3D" w:rsidRPr="0088154E" w:rsidRDefault="00110B3D" w:rsidP="00110B3D">
            <w:pPr>
              <w:jc w:val="center"/>
              <w:rPr>
                <w:rFonts w:eastAsia="Calibri"/>
                <w:b/>
                <w:bCs/>
                <w:sz w:val="20"/>
                <w:szCs w:val="20"/>
              </w:rPr>
            </w:pPr>
            <w:r w:rsidRPr="0088154E">
              <w:rPr>
                <w:rFonts w:eastAsia="Calibri"/>
                <w:b/>
                <w:bCs/>
                <w:sz w:val="20"/>
                <w:szCs w:val="20"/>
              </w:rPr>
              <w:t>Outcome</w:t>
            </w:r>
          </w:p>
        </w:tc>
        <w:tc>
          <w:tcPr>
            <w:tcW w:w="1440" w:type="dxa"/>
            <w:shd w:val="clear" w:color="auto" w:fill="D9D9D9" w:themeFill="background1" w:themeFillShade="D9"/>
            <w:hideMark/>
          </w:tcPr>
          <w:p w14:paraId="7F7F458F" w14:textId="77777777" w:rsidR="00110B3D" w:rsidRPr="0088154E" w:rsidRDefault="00110B3D" w:rsidP="00110B3D">
            <w:pPr>
              <w:jc w:val="center"/>
              <w:rPr>
                <w:rFonts w:eastAsia="Calibri"/>
                <w:b/>
                <w:bCs/>
                <w:sz w:val="20"/>
                <w:szCs w:val="20"/>
              </w:rPr>
            </w:pPr>
            <w:r w:rsidRPr="0088154E">
              <w:rPr>
                <w:rFonts w:eastAsia="Calibri"/>
                <w:b/>
                <w:bCs/>
                <w:sz w:val="20"/>
                <w:szCs w:val="20"/>
              </w:rPr>
              <w:t>Benchmark Achieved?</w:t>
            </w:r>
          </w:p>
        </w:tc>
      </w:tr>
      <w:tr w:rsidR="00ED0FA8" w:rsidRPr="0088154E" w14:paraId="09AC8A4A" w14:textId="77777777" w:rsidTr="00B62394">
        <w:trPr>
          <w:trHeight w:val="315"/>
        </w:trPr>
        <w:tc>
          <w:tcPr>
            <w:tcW w:w="3240" w:type="dxa"/>
            <w:vMerge w:val="restart"/>
            <w:shd w:val="clear" w:color="auto" w:fill="auto"/>
          </w:tcPr>
          <w:p w14:paraId="1CC723F0" w14:textId="77777777" w:rsidR="00ED0FA8" w:rsidRPr="0088154E" w:rsidRDefault="00ED0FA8" w:rsidP="00ED0FA8">
            <w:pPr>
              <w:rPr>
                <w:rFonts w:eastAsia="Calibri"/>
                <w:sz w:val="20"/>
                <w:szCs w:val="20"/>
              </w:rPr>
            </w:pPr>
            <w:r w:rsidRPr="0088154E">
              <w:rPr>
                <w:rFonts w:eastAsia="Calibri"/>
                <w:sz w:val="20"/>
                <w:szCs w:val="20"/>
              </w:rPr>
              <w:t>Unemployed</w:t>
            </w:r>
          </w:p>
        </w:tc>
        <w:tc>
          <w:tcPr>
            <w:tcW w:w="1714" w:type="dxa"/>
            <w:shd w:val="clear" w:color="auto" w:fill="auto"/>
          </w:tcPr>
          <w:p w14:paraId="1EBA6CD4" w14:textId="3ACF6865" w:rsidR="00ED0FA8" w:rsidRPr="0088154E" w:rsidRDefault="00B62394" w:rsidP="008D7DC4">
            <w:pPr>
              <w:jc w:val="center"/>
              <w:rPr>
                <w:rFonts w:eastAsia="Calibri"/>
                <w:sz w:val="20"/>
                <w:szCs w:val="20"/>
              </w:rPr>
            </w:pPr>
            <w:r w:rsidRPr="0088154E">
              <w:rPr>
                <w:rFonts w:eastAsia="Calibri"/>
                <w:sz w:val="20"/>
                <w:szCs w:val="20"/>
              </w:rPr>
              <w:t>21</w:t>
            </w:r>
          </w:p>
        </w:tc>
        <w:tc>
          <w:tcPr>
            <w:tcW w:w="1627" w:type="dxa"/>
            <w:shd w:val="clear" w:color="auto" w:fill="auto"/>
          </w:tcPr>
          <w:p w14:paraId="70EDD528" w14:textId="207ED9A1" w:rsidR="00ED0FA8" w:rsidRPr="0088154E" w:rsidRDefault="0073673C" w:rsidP="008D7DC4">
            <w:pPr>
              <w:jc w:val="center"/>
              <w:rPr>
                <w:rFonts w:eastAsia="Calibri"/>
                <w:sz w:val="20"/>
                <w:szCs w:val="20"/>
              </w:rPr>
            </w:pPr>
            <w:r w:rsidRPr="0088154E">
              <w:rPr>
                <w:rFonts w:eastAsia="Calibri"/>
                <w:sz w:val="20"/>
                <w:szCs w:val="20"/>
              </w:rPr>
              <w:t>24</w:t>
            </w:r>
          </w:p>
        </w:tc>
        <w:tc>
          <w:tcPr>
            <w:tcW w:w="1354" w:type="dxa"/>
            <w:shd w:val="clear" w:color="auto" w:fill="auto"/>
          </w:tcPr>
          <w:p w14:paraId="6F175F0F" w14:textId="76A8E394" w:rsidR="00ED0FA8" w:rsidRPr="0088154E" w:rsidRDefault="00ED0FA8" w:rsidP="008D7DC4">
            <w:pPr>
              <w:jc w:val="center"/>
              <w:rPr>
                <w:rFonts w:eastAsia="Calibri"/>
                <w:sz w:val="20"/>
                <w:szCs w:val="20"/>
              </w:rPr>
            </w:pPr>
          </w:p>
        </w:tc>
        <w:tc>
          <w:tcPr>
            <w:tcW w:w="1440" w:type="dxa"/>
            <w:shd w:val="clear" w:color="auto" w:fill="auto"/>
          </w:tcPr>
          <w:p w14:paraId="6EA6A248" w14:textId="14885355" w:rsidR="00ED0FA8" w:rsidRPr="0088154E" w:rsidRDefault="00ED0FA8" w:rsidP="008D7DC4">
            <w:pPr>
              <w:jc w:val="center"/>
              <w:rPr>
                <w:rFonts w:eastAsia="Calibri"/>
                <w:sz w:val="20"/>
                <w:szCs w:val="20"/>
              </w:rPr>
            </w:pPr>
          </w:p>
        </w:tc>
      </w:tr>
      <w:tr w:rsidR="00ED0FA8" w:rsidRPr="0088154E" w14:paraId="0F36E263" w14:textId="77777777" w:rsidTr="00B62394">
        <w:trPr>
          <w:trHeight w:val="315"/>
        </w:trPr>
        <w:tc>
          <w:tcPr>
            <w:tcW w:w="3240" w:type="dxa"/>
            <w:vMerge/>
            <w:shd w:val="clear" w:color="auto" w:fill="auto"/>
          </w:tcPr>
          <w:p w14:paraId="3B41DC2D" w14:textId="77777777" w:rsidR="00ED0FA8" w:rsidRPr="0088154E" w:rsidRDefault="00ED0FA8" w:rsidP="00ED0FA8">
            <w:pPr>
              <w:rPr>
                <w:rFonts w:eastAsia="Calibri"/>
                <w:sz w:val="20"/>
                <w:szCs w:val="20"/>
              </w:rPr>
            </w:pPr>
          </w:p>
        </w:tc>
        <w:tc>
          <w:tcPr>
            <w:tcW w:w="1714" w:type="dxa"/>
            <w:shd w:val="clear" w:color="auto" w:fill="auto"/>
          </w:tcPr>
          <w:p w14:paraId="68A87307" w14:textId="15862783" w:rsidR="00ED0FA8" w:rsidRPr="0088154E" w:rsidRDefault="00B62394" w:rsidP="008D7DC4">
            <w:pPr>
              <w:jc w:val="center"/>
              <w:rPr>
                <w:rFonts w:eastAsia="Calibri"/>
                <w:sz w:val="20"/>
                <w:szCs w:val="20"/>
              </w:rPr>
            </w:pPr>
            <w:r w:rsidRPr="0088154E">
              <w:rPr>
                <w:rFonts w:eastAsia="Calibri"/>
                <w:sz w:val="20"/>
                <w:szCs w:val="20"/>
              </w:rPr>
              <w:t>86</w:t>
            </w:r>
            <w:r w:rsidR="00FA5A30" w:rsidRPr="0088154E">
              <w:rPr>
                <w:rFonts w:eastAsia="Calibri"/>
                <w:sz w:val="20"/>
                <w:szCs w:val="20"/>
              </w:rPr>
              <w:t>%</w:t>
            </w:r>
          </w:p>
        </w:tc>
        <w:tc>
          <w:tcPr>
            <w:tcW w:w="1627" w:type="dxa"/>
            <w:shd w:val="clear" w:color="auto" w:fill="auto"/>
          </w:tcPr>
          <w:p w14:paraId="2151B4BA" w14:textId="632301ED" w:rsidR="00ED0FA8" w:rsidRPr="0088154E" w:rsidRDefault="0073673C" w:rsidP="008D7DC4">
            <w:pPr>
              <w:jc w:val="center"/>
              <w:rPr>
                <w:rFonts w:eastAsia="Calibri"/>
                <w:sz w:val="20"/>
                <w:szCs w:val="20"/>
              </w:rPr>
            </w:pPr>
            <w:r w:rsidRPr="0088154E">
              <w:rPr>
                <w:rFonts w:eastAsia="Calibri"/>
                <w:sz w:val="20"/>
                <w:szCs w:val="20"/>
              </w:rPr>
              <w:t>6</w:t>
            </w:r>
            <w:r w:rsidR="00F27AA3" w:rsidRPr="0088154E">
              <w:rPr>
                <w:rFonts w:eastAsia="Calibri"/>
                <w:sz w:val="20"/>
                <w:szCs w:val="20"/>
              </w:rPr>
              <w:t>0</w:t>
            </w:r>
            <w:r w:rsidR="00D0771C" w:rsidRPr="0088154E">
              <w:rPr>
                <w:rFonts w:eastAsia="Calibri"/>
                <w:sz w:val="20"/>
                <w:szCs w:val="20"/>
              </w:rPr>
              <w:t>%</w:t>
            </w:r>
          </w:p>
        </w:tc>
        <w:tc>
          <w:tcPr>
            <w:tcW w:w="1354" w:type="dxa"/>
            <w:shd w:val="clear" w:color="auto" w:fill="auto"/>
          </w:tcPr>
          <w:p w14:paraId="568F0D99" w14:textId="520399A3" w:rsidR="00ED0FA8" w:rsidRPr="0088154E" w:rsidRDefault="00ED0FA8" w:rsidP="008D7DC4">
            <w:pPr>
              <w:jc w:val="center"/>
              <w:rPr>
                <w:rFonts w:eastAsia="Calibri"/>
                <w:sz w:val="20"/>
                <w:szCs w:val="20"/>
              </w:rPr>
            </w:pPr>
          </w:p>
        </w:tc>
        <w:tc>
          <w:tcPr>
            <w:tcW w:w="1440" w:type="dxa"/>
            <w:shd w:val="clear" w:color="auto" w:fill="auto"/>
          </w:tcPr>
          <w:p w14:paraId="4909921B" w14:textId="4CF195B5" w:rsidR="00ED0FA8" w:rsidRPr="0088154E" w:rsidRDefault="00ED0FA8" w:rsidP="008D7DC4">
            <w:pPr>
              <w:jc w:val="center"/>
              <w:rPr>
                <w:rFonts w:eastAsia="Calibri"/>
                <w:sz w:val="20"/>
                <w:szCs w:val="20"/>
              </w:rPr>
            </w:pPr>
          </w:p>
        </w:tc>
      </w:tr>
      <w:tr w:rsidR="00ED0FA8" w:rsidRPr="0088154E" w14:paraId="7ACC741D" w14:textId="77777777" w:rsidTr="00B62394">
        <w:trPr>
          <w:trHeight w:val="315"/>
        </w:trPr>
        <w:tc>
          <w:tcPr>
            <w:tcW w:w="3240" w:type="dxa"/>
            <w:vMerge w:val="restart"/>
            <w:shd w:val="clear" w:color="auto" w:fill="auto"/>
            <w:hideMark/>
          </w:tcPr>
          <w:p w14:paraId="4797BBDE" w14:textId="0BA5948D" w:rsidR="00ED0FA8" w:rsidRPr="0088154E" w:rsidRDefault="001E7A7F" w:rsidP="00ED0FA8">
            <w:pPr>
              <w:rPr>
                <w:rFonts w:eastAsia="Calibri"/>
                <w:sz w:val="20"/>
                <w:szCs w:val="20"/>
              </w:rPr>
            </w:pPr>
            <w:r w:rsidRPr="0088154E">
              <w:rPr>
                <w:rFonts w:eastAsia="Calibri"/>
                <w:sz w:val="20"/>
                <w:szCs w:val="20"/>
              </w:rPr>
              <w:t>Employed Part-Time or Full-Time</w:t>
            </w:r>
          </w:p>
        </w:tc>
        <w:tc>
          <w:tcPr>
            <w:tcW w:w="1714" w:type="dxa"/>
            <w:shd w:val="clear" w:color="auto" w:fill="auto"/>
          </w:tcPr>
          <w:p w14:paraId="230F0D91" w14:textId="5332D2B7" w:rsidR="00ED0FA8" w:rsidRPr="0088154E" w:rsidRDefault="00B62394" w:rsidP="008D7DC4">
            <w:pPr>
              <w:jc w:val="center"/>
              <w:rPr>
                <w:rFonts w:eastAsia="Calibri"/>
                <w:sz w:val="20"/>
                <w:szCs w:val="20"/>
              </w:rPr>
            </w:pPr>
            <w:r w:rsidRPr="0088154E">
              <w:rPr>
                <w:rFonts w:eastAsia="Calibri"/>
                <w:sz w:val="20"/>
                <w:szCs w:val="20"/>
              </w:rPr>
              <w:t>4</w:t>
            </w:r>
          </w:p>
        </w:tc>
        <w:tc>
          <w:tcPr>
            <w:tcW w:w="1627" w:type="dxa"/>
            <w:shd w:val="clear" w:color="auto" w:fill="auto"/>
          </w:tcPr>
          <w:p w14:paraId="138825F5" w14:textId="4D775E12" w:rsidR="00ED0FA8" w:rsidRPr="0088154E" w:rsidRDefault="0073673C" w:rsidP="008D7DC4">
            <w:pPr>
              <w:jc w:val="center"/>
              <w:rPr>
                <w:rFonts w:eastAsia="Calibri"/>
                <w:sz w:val="20"/>
                <w:szCs w:val="20"/>
              </w:rPr>
            </w:pPr>
            <w:r w:rsidRPr="0088154E">
              <w:rPr>
                <w:rFonts w:eastAsia="Calibri"/>
                <w:sz w:val="20"/>
                <w:szCs w:val="20"/>
              </w:rPr>
              <w:t>16</w:t>
            </w:r>
          </w:p>
        </w:tc>
        <w:tc>
          <w:tcPr>
            <w:tcW w:w="1354" w:type="dxa"/>
            <w:shd w:val="clear" w:color="auto" w:fill="auto"/>
          </w:tcPr>
          <w:p w14:paraId="6924D6E8" w14:textId="741F4902" w:rsidR="00ED0FA8" w:rsidRPr="0088154E" w:rsidRDefault="00ED0FA8" w:rsidP="008D7DC4">
            <w:pPr>
              <w:jc w:val="center"/>
              <w:rPr>
                <w:rFonts w:eastAsia="Calibri"/>
                <w:sz w:val="20"/>
                <w:szCs w:val="20"/>
              </w:rPr>
            </w:pPr>
          </w:p>
        </w:tc>
        <w:tc>
          <w:tcPr>
            <w:tcW w:w="1440" w:type="dxa"/>
            <w:shd w:val="clear" w:color="auto" w:fill="auto"/>
          </w:tcPr>
          <w:p w14:paraId="4555773F" w14:textId="6B091293" w:rsidR="00ED0FA8" w:rsidRPr="0088154E" w:rsidRDefault="00ED0FA8" w:rsidP="008D7DC4">
            <w:pPr>
              <w:jc w:val="center"/>
              <w:rPr>
                <w:rFonts w:eastAsia="Calibri"/>
                <w:sz w:val="20"/>
                <w:szCs w:val="20"/>
              </w:rPr>
            </w:pPr>
          </w:p>
        </w:tc>
      </w:tr>
      <w:tr w:rsidR="00ED0FA8" w:rsidRPr="0088154E" w14:paraId="6F395E21" w14:textId="77777777" w:rsidTr="00B62394">
        <w:trPr>
          <w:trHeight w:val="315"/>
        </w:trPr>
        <w:tc>
          <w:tcPr>
            <w:tcW w:w="3240" w:type="dxa"/>
            <w:vMerge/>
            <w:shd w:val="clear" w:color="auto" w:fill="auto"/>
            <w:hideMark/>
          </w:tcPr>
          <w:p w14:paraId="108F80A3" w14:textId="77777777" w:rsidR="00ED0FA8" w:rsidRPr="0088154E" w:rsidRDefault="00ED0FA8" w:rsidP="00ED0FA8">
            <w:pPr>
              <w:rPr>
                <w:rFonts w:eastAsia="Calibri"/>
                <w:sz w:val="20"/>
                <w:szCs w:val="20"/>
              </w:rPr>
            </w:pPr>
          </w:p>
        </w:tc>
        <w:tc>
          <w:tcPr>
            <w:tcW w:w="1714" w:type="dxa"/>
            <w:shd w:val="clear" w:color="auto" w:fill="auto"/>
          </w:tcPr>
          <w:p w14:paraId="6C46A9AE" w14:textId="4D20748C" w:rsidR="00ED0FA8" w:rsidRPr="0088154E" w:rsidRDefault="00B62394" w:rsidP="008D7DC4">
            <w:pPr>
              <w:jc w:val="center"/>
              <w:rPr>
                <w:rFonts w:eastAsia="Calibri"/>
                <w:sz w:val="20"/>
                <w:szCs w:val="20"/>
              </w:rPr>
            </w:pPr>
            <w:r w:rsidRPr="0088154E">
              <w:rPr>
                <w:rFonts w:eastAsia="Calibri"/>
                <w:sz w:val="20"/>
                <w:szCs w:val="20"/>
              </w:rPr>
              <w:t>14</w:t>
            </w:r>
            <w:r w:rsidR="00FA5A30" w:rsidRPr="0088154E">
              <w:rPr>
                <w:rFonts w:eastAsia="Calibri"/>
                <w:sz w:val="20"/>
                <w:szCs w:val="20"/>
              </w:rPr>
              <w:t>%</w:t>
            </w:r>
          </w:p>
        </w:tc>
        <w:tc>
          <w:tcPr>
            <w:tcW w:w="1627" w:type="dxa"/>
            <w:shd w:val="clear" w:color="auto" w:fill="auto"/>
          </w:tcPr>
          <w:p w14:paraId="6DE86873" w14:textId="234FE8F5" w:rsidR="00ED0FA8" w:rsidRPr="0088154E" w:rsidRDefault="0073673C" w:rsidP="008D7DC4">
            <w:pPr>
              <w:jc w:val="center"/>
              <w:rPr>
                <w:rFonts w:eastAsia="Calibri"/>
                <w:sz w:val="20"/>
                <w:szCs w:val="20"/>
              </w:rPr>
            </w:pPr>
            <w:r w:rsidRPr="0088154E">
              <w:rPr>
                <w:rFonts w:eastAsia="Calibri"/>
                <w:sz w:val="20"/>
                <w:szCs w:val="20"/>
              </w:rPr>
              <w:t>4</w:t>
            </w:r>
            <w:r w:rsidR="00F27AA3" w:rsidRPr="0088154E">
              <w:rPr>
                <w:rFonts w:eastAsia="Calibri"/>
                <w:sz w:val="20"/>
                <w:szCs w:val="20"/>
              </w:rPr>
              <w:t>0</w:t>
            </w:r>
            <w:r w:rsidR="00D0771C" w:rsidRPr="0088154E">
              <w:rPr>
                <w:rFonts w:eastAsia="Calibri"/>
                <w:sz w:val="20"/>
                <w:szCs w:val="20"/>
              </w:rPr>
              <w:t>%</w:t>
            </w:r>
          </w:p>
        </w:tc>
        <w:tc>
          <w:tcPr>
            <w:tcW w:w="1354" w:type="dxa"/>
            <w:shd w:val="clear" w:color="auto" w:fill="auto"/>
          </w:tcPr>
          <w:p w14:paraId="07FC07E1" w14:textId="2C550D62" w:rsidR="00ED0FA8" w:rsidRPr="0088154E" w:rsidRDefault="00ED0FA8" w:rsidP="008D7DC4">
            <w:pPr>
              <w:jc w:val="center"/>
              <w:rPr>
                <w:rFonts w:eastAsia="Calibri"/>
                <w:sz w:val="20"/>
                <w:szCs w:val="20"/>
              </w:rPr>
            </w:pPr>
          </w:p>
        </w:tc>
        <w:tc>
          <w:tcPr>
            <w:tcW w:w="1440" w:type="dxa"/>
            <w:shd w:val="clear" w:color="auto" w:fill="auto"/>
          </w:tcPr>
          <w:p w14:paraId="6AC6FF34" w14:textId="561A78BA" w:rsidR="00ED0FA8" w:rsidRPr="0088154E" w:rsidRDefault="00ED0FA8" w:rsidP="008D7DC4">
            <w:pPr>
              <w:jc w:val="center"/>
              <w:rPr>
                <w:rFonts w:eastAsia="Calibri"/>
                <w:sz w:val="20"/>
                <w:szCs w:val="20"/>
              </w:rPr>
            </w:pPr>
          </w:p>
        </w:tc>
      </w:tr>
      <w:tr w:rsidR="00ED0FA8" w:rsidRPr="0088154E" w14:paraId="101098A8" w14:textId="77777777" w:rsidTr="00B62394">
        <w:trPr>
          <w:trHeight w:val="315"/>
        </w:trPr>
        <w:tc>
          <w:tcPr>
            <w:tcW w:w="3240" w:type="dxa"/>
            <w:vMerge w:val="restart"/>
            <w:shd w:val="clear" w:color="auto" w:fill="auto"/>
          </w:tcPr>
          <w:p w14:paraId="06DD1C17" w14:textId="4BA19619" w:rsidR="00ED0FA8" w:rsidRPr="0088154E" w:rsidRDefault="001E7A7F" w:rsidP="00ED0FA8">
            <w:pPr>
              <w:rPr>
                <w:rFonts w:eastAsia="Calibri"/>
                <w:sz w:val="20"/>
                <w:szCs w:val="20"/>
              </w:rPr>
            </w:pPr>
            <w:r w:rsidRPr="0088154E">
              <w:rPr>
                <w:rFonts w:eastAsia="Calibri"/>
                <w:sz w:val="20"/>
                <w:szCs w:val="20"/>
              </w:rPr>
              <w:t>Enrolled in an  Educational Program or Job Training</w:t>
            </w:r>
          </w:p>
        </w:tc>
        <w:tc>
          <w:tcPr>
            <w:tcW w:w="1714" w:type="dxa"/>
            <w:shd w:val="clear" w:color="auto" w:fill="auto"/>
          </w:tcPr>
          <w:p w14:paraId="6B8B5AD2" w14:textId="6A3231BA" w:rsidR="00ED0FA8" w:rsidRPr="0088154E" w:rsidRDefault="00B62394" w:rsidP="008D7DC4">
            <w:pPr>
              <w:jc w:val="center"/>
              <w:rPr>
                <w:rFonts w:eastAsia="Calibri"/>
                <w:sz w:val="20"/>
                <w:szCs w:val="20"/>
              </w:rPr>
            </w:pPr>
            <w:r w:rsidRPr="0088154E">
              <w:rPr>
                <w:rFonts w:eastAsia="Calibri"/>
                <w:sz w:val="20"/>
                <w:szCs w:val="20"/>
              </w:rPr>
              <w:t>Not available</w:t>
            </w:r>
          </w:p>
        </w:tc>
        <w:tc>
          <w:tcPr>
            <w:tcW w:w="1627" w:type="dxa"/>
            <w:shd w:val="clear" w:color="auto" w:fill="auto"/>
          </w:tcPr>
          <w:p w14:paraId="5C281A88" w14:textId="7F7AD680" w:rsidR="00ED0FA8" w:rsidRPr="0088154E" w:rsidRDefault="0073673C" w:rsidP="008D7DC4">
            <w:pPr>
              <w:jc w:val="center"/>
              <w:rPr>
                <w:rFonts w:eastAsia="Calibri"/>
                <w:sz w:val="20"/>
                <w:szCs w:val="20"/>
              </w:rPr>
            </w:pPr>
            <w:r w:rsidRPr="0088154E">
              <w:rPr>
                <w:rFonts w:eastAsia="Calibri"/>
                <w:sz w:val="20"/>
                <w:szCs w:val="20"/>
              </w:rPr>
              <w:t>6</w:t>
            </w:r>
          </w:p>
        </w:tc>
        <w:tc>
          <w:tcPr>
            <w:tcW w:w="1354" w:type="dxa"/>
            <w:shd w:val="clear" w:color="auto" w:fill="auto"/>
          </w:tcPr>
          <w:p w14:paraId="098EB125" w14:textId="57F75D1F" w:rsidR="00ED0FA8" w:rsidRPr="0088154E" w:rsidRDefault="00ED0FA8" w:rsidP="008D7DC4">
            <w:pPr>
              <w:jc w:val="center"/>
              <w:rPr>
                <w:rFonts w:eastAsia="Calibri"/>
                <w:sz w:val="20"/>
                <w:szCs w:val="20"/>
              </w:rPr>
            </w:pPr>
          </w:p>
        </w:tc>
        <w:tc>
          <w:tcPr>
            <w:tcW w:w="1440" w:type="dxa"/>
            <w:shd w:val="clear" w:color="auto" w:fill="auto"/>
          </w:tcPr>
          <w:p w14:paraId="422E94D5" w14:textId="509663FE" w:rsidR="00ED0FA8" w:rsidRPr="0088154E" w:rsidRDefault="00ED0FA8" w:rsidP="008D7DC4">
            <w:pPr>
              <w:jc w:val="center"/>
              <w:rPr>
                <w:rFonts w:eastAsia="Calibri"/>
                <w:sz w:val="20"/>
                <w:szCs w:val="20"/>
              </w:rPr>
            </w:pPr>
          </w:p>
        </w:tc>
      </w:tr>
      <w:tr w:rsidR="00ED0FA8" w:rsidRPr="0088154E" w14:paraId="21BB6E68" w14:textId="77777777" w:rsidTr="00B62394">
        <w:trPr>
          <w:trHeight w:val="315"/>
        </w:trPr>
        <w:tc>
          <w:tcPr>
            <w:tcW w:w="3240" w:type="dxa"/>
            <w:vMerge/>
            <w:shd w:val="clear" w:color="auto" w:fill="auto"/>
          </w:tcPr>
          <w:p w14:paraId="67BD205F" w14:textId="77777777" w:rsidR="00ED0FA8" w:rsidRPr="0088154E" w:rsidRDefault="00ED0FA8" w:rsidP="00ED0FA8">
            <w:pPr>
              <w:rPr>
                <w:rFonts w:eastAsia="Calibri"/>
                <w:sz w:val="20"/>
                <w:szCs w:val="20"/>
              </w:rPr>
            </w:pPr>
          </w:p>
        </w:tc>
        <w:tc>
          <w:tcPr>
            <w:tcW w:w="1714" w:type="dxa"/>
            <w:shd w:val="clear" w:color="auto" w:fill="auto"/>
          </w:tcPr>
          <w:p w14:paraId="5D8FD751" w14:textId="7655BE8D" w:rsidR="00ED0FA8" w:rsidRPr="0088154E" w:rsidRDefault="00B62394" w:rsidP="008D7DC4">
            <w:pPr>
              <w:jc w:val="center"/>
              <w:rPr>
                <w:rFonts w:eastAsia="Calibri"/>
                <w:sz w:val="20"/>
                <w:szCs w:val="20"/>
              </w:rPr>
            </w:pPr>
            <w:r w:rsidRPr="0088154E">
              <w:rPr>
                <w:rFonts w:eastAsia="Calibri"/>
                <w:sz w:val="20"/>
                <w:szCs w:val="20"/>
              </w:rPr>
              <w:t>Not available</w:t>
            </w:r>
          </w:p>
        </w:tc>
        <w:tc>
          <w:tcPr>
            <w:tcW w:w="1627" w:type="dxa"/>
            <w:shd w:val="clear" w:color="auto" w:fill="auto"/>
          </w:tcPr>
          <w:p w14:paraId="72443376" w14:textId="024F49FD" w:rsidR="00ED0FA8" w:rsidRPr="0088154E" w:rsidRDefault="0073673C" w:rsidP="008D7DC4">
            <w:pPr>
              <w:jc w:val="center"/>
              <w:rPr>
                <w:rFonts w:eastAsia="Calibri"/>
                <w:sz w:val="20"/>
                <w:szCs w:val="20"/>
              </w:rPr>
            </w:pPr>
            <w:r w:rsidRPr="0088154E">
              <w:rPr>
                <w:rFonts w:eastAsia="Calibri"/>
                <w:sz w:val="20"/>
                <w:szCs w:val="20"/>
              </w:rPr>
              <w:t>15</w:t>
            </w:r>
            <w:r w:rsidR="00D0771C" w:rsidRPr="0088154E">
              <w:rPr>
                <w:rFonts w:eastAsia="Calibri"/>
                <w:sz w:val="20"/>
                <w:szCs w:val="20"/>
              </w:rPr>
              <w:t>%</w:t>
            </w:r>
          </w:p>
        </w:tc>
        <w:tc>
          <w:tcPr>
            <w:tcW w:w="1354" w:type="dxa"/>
            <w:shd w:val="clear" w:color="auto" w:fill="auto"/>
          </w:tcPr>
          <w:p w14:paraId="3D772B6E" w14:textId="02A16CDC" w:rsidR="00ED0FA8" w:rsidRPr="0088154E" w:rsidRDefault="00ED0FA8" w:rsidP="008D7DC4">
            <w:pPr>
              <w:jc w:val="center"/>
              <w:rPr>
                <w:rFonts w:eastAsia="Calibri"/>
                <w:sz w:val="20"/>
                <w:szCs w:val="20"/>
              </w:rPr>
            </w:pPr>
          </w:p>
        </w:tc>
        <w:tc>
          <w:tcPr>
            <w:tcW w:w="1440" w:type="dxa"/>
            <w:shd w:val="clear" w:color="auto" w:fill="auto"/>
          </w:tcPr>
          <w:p w14:paraId="1FC9F4A7" w14:textId="3486DABF" w:rsidR="00ED0FA8" w:rsidRPr="0088154E" w:rsidRDefault="00ED0FA8" w:rsidP="008D7DC4">
            <w:pPr>
              <w:jc w:val="center"/>
              <w:rPr>
                <w:rFonts w:eastAsia="Calibri"/>
                <w:sz w:val="20"/>
                <w:szCs w:val="20"/>
              </w:rPr>
            </w:pPr>
          </w:p>
        </w:tc>
      </w:tr>
      <w:tr w:rsidR="00110B3D" w:rsidRPr="0088154E" w14:paraId="16BD8B34" w14:textId="77777777" w:rsidTr="00B62394">
        <w:trPr>
          <w:trHeight w:hRule="exact" w:val="317"/>
        </w:trPr>
        <w:tc>
          <w:tcPr>
            <w:tcW w:w="9375" w:type="dxa"/>
            <w:gridSpan w:val="5"/>
            <w:shd w:val="clear" w:color="auto" w:fill="C6D9F1" w:themeFill="text2" w:themeFillTint="33"/>
          </w:tcPr>
          <w:p w14:paraId="2E87470D" w14:textId="77777777" w:rsidR="00110B3D" w:rsidRPr="0088154E" w:rsidRDefault="00110B3D" w:rsidP="00110B3D">
            <w:pPr>
              <w:jc w:val="center"/>
              <w:rPr>
                <w:rFonts w:eastAsia="Calibri"/>
                <w:b/>
                <w:bCs/>
                <w:i/>
                <w:iCs/>
                <w:sz w:val="20"/>
                <w:szCs w:val="20"/>
              </w:rPr>
            </w:pPr>
            <w:r w:rsidRPr="0088154E">
              <w:rPr>
                <w:b/>
                <w:bCs/>
                <w:i/>
                <w:iCs/>
                <w:sz w:val="20"/>
                <w:szCs w:val="20"/>
              </w:rPr>
              <w:t>SS #4: Households Removed from Temporary Assistance for Needy Families (TANF)</w:t>
            </w:r>
          </w:p>
        </w:tc>
      </w:tr>
      <w:tr w:rsidR="00110B3D" w:rsidRPr="0088154E" w14:paraId="5D90F8D2" w14:textId="77777777" w:rsidTr="00B62394">
        <w:trPr>
          <w:trHeight w:hRule="exact" w:val="576"/>
        </w:trPr>
        <w:tc>
          <w:tcPr>
            <w:tcW w:w="3240" w:type="dxa"/>
            <w:shd w:val="clear" w:color="auto" w:fill="D9D9D9" w:themeFill="background1" w:themeFillShade="D9"/>
          </w:tcPr>
          <w:p w14:paraId="0091F654" w14:textId="77777777" w:rsidR="00110B3D" w:rsidRPr="0088154E" w:rsidRDefault="00110B3D" w:rsidP="00110B3D">
            <w:pPr>
              <w:jc w:val="center"/>
              <w:rPr>
                <w:rFonts w:eastAsia="Calibri"/>
                <w:b/>
                <w:bCs/>
                <w:sz w:val="20"/>
                <w:szCs w:val="20"/>
              </w:rPr>
            </w:pPr>
            <w:r w:rsidRPr="0088154E">
              <w:rPr>
                <w:rFonts w:eastAsia="Calibri"/>
                <w:b/>
                <w:bCs/>
                <w:sz w:val="20"/>
                <w:szCs w:val="20"/>
              </w:rPr>
              <w:t>Unit of Measurement</w:t>
            </w:r>
          </w:p>
        </w:tc>
        <w:tc>
          <w:tcPr>
            <w:tcW w:w="1714" w:type="dxa"/>
            <w:shd w:val="clear" w:color="auto" w:fill="D9D9D9" w:themeFill="background1" w:themeFillShade="D9"/>
          </w:tcPr>
          <w:p w14:paraId="7AA39CF9" w14:textId="77777777" w:rsidR="00110B3D" w:rsidRPr="0088154E" w:rsidRDefault="00110B3D" w:rsidP="00110B3D">
            <w:pPr>
              <w:jc w:val="center"/>
              <w:rPr>
                <w:rFonts w:eastAsia="Calibri"/>
                <w:b/>
                <w:bCs/>
                <w:sz w:val="20"/>
                <w:szCs w:val="20"/>
              </w:rPr>
            </w:pPr>
            <w:r w:rsidRPr="0088154E">
              <w:rPr>
                <w:rFonts w:eastAsia="Calibri"/>
                <w:b/>
                <w:bCs/>
                <w:sz w:val="20"/>
                <w:szCs w:val="20"/>
              </w:rPr>
              <w:t>Baseline</w:t>
            </w:r>
          </w:p>
        </w:tc>
        <w:tc>
          <w:tcPr>
            <w:tcW w:w="1627" w:type="dxa"/>
            <w:shd w:val="clear" w:color="auto" w:fill="D9D9D9" w:themeFill="background1" w:themeFillShade="D9"/>
          </w:tcPr>
          <w:p w14:paraId="71C9FFF4" w14:textId="77777777" w:rsidR="00110B3D" w:rsidRPr="0088154E" w:rsidRDefault="00110B3D" w:rsidP="00110B3D">
            <w:pPr>
              <w:jc w:val="center"/>
              <w:rPr>
                <w:rFonts w:eastAsia="Calibri"/>
                <w:b/>
                <w:bCs/>
                <w:sz w:val="20"/>
                <w:szCs w:val="20"/>
              </w:rPr>
            </w:pPr>
            <w:r w:rsidRPr="0088154E">
              <w:rPr>
                <w:rFonts w:eastAsia="Calibri"/>
                <w:b/>
                <w:bCs/>
                <w:sz w:val="20"/>
                <w:szCs w:val="20"/>
              </w:rPr>
              <w:t>Benchmark</w:t>
            </w:r>
          </w:p>
        </w:tc>
        <w:tc>
          <w:tcPr>
            <w:tcW w:w="1354" w:type="dxa"/>
            <w:shd w:val="clear" w:color="auto" w:fill="D9D9D9" w:themeFill="background1" w:themeFillShade="D9"/>
          </w:tcPr>
          <w:p w14:paraId="6D6D36FD" w14:textId="77777777" w:rsidR="00110B3D" w:rsidRPr="0088154E" w:rsidRDefault="00110B3D" w:rsidP="00110B3D">
            <w:pPr>
              <w:jc w:val="center"/>
              <w:rPr>
                <w:rFonts w:eastAsia="Calibri"/>
                <w:b/>
                <w:bCs/>
                <w:sz w:val="20"/>
                <w:szCs w:val="20"/>
              </w:rPr>
            </w:pPr>
            <w:r w:rsidRPr="0088154E">
              <w:rPr>
                <w:rFonts w:eastAsia="Calibri"/>
                <w:b/>
                <w:bCs/>
                <w:sz w:val="20"/>
                <w:szCs w:val="20"/>
              </w:rPr>
              <w:t>Outcome</w:t>
            </w:r>
          </w:p>
        </w:tc>
        <w:tc>
          <w:tcPr>
            <w:tcW w:w="1440" w:type="dxa"/>
            <w:shd w:val="clear" w:color="auto" w:fill="D9D9D9" w:themeFill="background1" w:themeFillShade="D9"/>
          </w:tcPr>
          <w:p w14:paraId="11E371C9" w14:textId="77777777" w:rsidR="00110B3D" w:rsidRPr="0088154E" w:rsidRDefault="00110B3D" w:rsidP="00110B3D">
            <w:pPr>
              <w:jc w:val="center"/>
              <w:rPr>
                <w:rFonts w:eastAsia="Calibri"/>
                <w:b/>
                <w:bCs/>
                <w:sz w:val="20"/>
                <w:szCs w:val="20"/>
              </w:rPr>
            </w:pPr>
            <w:r w:rsidRPr="0088154E">
              <w:rPr>
                <w:rFonts w:eastAsia="Calibri"/>
                <w:b/>
                <w:bCs/>
                <w:sz w:val="20"/>
                <w:szCs w:val="20"/>
              </w:rPr>
              <w:t>Benchmark Achieved?</w:t>
            </w:r>
          </w:p>
        </w:tc>
      </w:tr>
      <w:tr w:rsidR="0086533B" w:rsidRPr="0088154E" w14:paraId="56F0BFDA" w14:textId="77777777" w:rsidTr="00B62394">
        <w:trPr>
          <w:trHeight w:val="305"/>
        </w:trPr>
        <w:tc>
          <w:tcPr>
            <w:tcW w:w="3240" w:type="dxa"/>
            <w:shd w:val="clear" w:color="auto" w:fill="auto"/>
          </w:tcPr>
          <w:p w14:paraId="1DA67119" w14:textId="77777777" w:rsidR="0086533B" w:rsidRPr="0088154E" w:rsidRDefault="0086533B" w:rsidP="0086533B">
            <w:pPr>
              <w:rPr>
                <w:rFonts w:eastAsia="Calibri"/>
                <w:b/>
                <w:bCs/>
                <w:i/>
                <w:iCs/>
                <w:sz w:val="20"/>
                <w:szCs w:val="20"/>
              </w:rPr>
            </w:pPr>
            <w:r w:rsidRPr="0088154E">
              <w:rPr>
                <w:sz w:val="20"/>
                <w:szCs w:val="20"/>
              </w:rPr>
              <w:t>Number of households receiving TANF assistance (decrease).</w:t>
            </w:r>
          </w:p>
        </w:tc>
        <w:tc>
          <w:tcPr>
            <w:tcW w:w="1714" w:type="dxa"/>
            <w:shd w:val="clear" w:color="auto" w:fill="auto"/>
          </w:tcPr>
          <w:p w14:paraId="154D99A3" w14:textId="7709B4F0" w:rsidR="0086533B" w:rsidRPr="0088154E" w:rsidRDefault="00B62394" w:rsidP="008D7DC4">
            <w:pPr>
              <w:jc w:val="center"/>
              <w:rPr>
                <w:rFonts w:eastAsia="Calibri"/>
                <w:bCs/>
                <w:iCs/>
                <w:sz w:val="20"/>
                <w:szCs w:val="20"/>
              </w:rPr>
            </w:pPr>
            <w:r w:rsidRPr="0088154E">
              <w:rPr>
                <w:rFonts w:eastAsia="Calibri"/>
                <w:bCs/>
                <w:iCs/>
                <w:sz w:val="20"/>
                <w:szCs w:val="20"/>
              </w:rPr>
              <w:t>4</w:t>
            </w:r>
          </w:p>
        </w:tc>
        <w:tc>
          <w:tcPr>
            <w:tcW w:w="1627" w:type="dxa"/>
            <w:shd w:val="clear" w:color="auto" w:fill="auto"/>
          </w:tcPr>
          <w:p w14:paraId="5D0BB59D" w14:textId="4E74061F" w:rsidR="0086533B" w:rsidRPr="0088154E" w:rsidRDefault="00F27AA3" w:rsidP="008D7DC4">
            <w:pPr>
              <w:jc w:val="center"/>
              <w:rPr>
                <w:rFonts w:eastAsia="Calibri"/>
                <w:bCs/>
                <w:iCs/>
                <w:sz w:val="20"/>
                <w:szCs w:val="20"/>
              </w:rPr>
            </w:pPr>
            <w:r w:rsidRPr="0088154E">
              <w:rPr>
                <w:rFonts w:eastAsia="Calibri"/>
                <w:bCs/>
                <w:iCs/>
                <w:sz w:val="20"/>
                <w:szCs w:val="20"/>
              </w:rPr>
              <w:t>11</w:t>
            </w:r>
          </w:p>
        </w:tc>
        <w:tc>
          <w:tcPr>
            <w:tcW w:w="1354" w:type="dxa"/>
            <w:shd w:val="clear" w:color="auto" w:fill="auto"/>
          </w:tcPr>
          <w:p w14:paraId="2543391B" w14:textId="312CB7DA" w:rsidR="0086533B" w:rsidRPr="0088154E" w:rsidRDefault="0086533B" w:rsidP="008D7DC4">
            <w:pPr>
              <w:jc w:val="center"/>
              <w:rPr>
                <w:rFonts w:eastAsia="Calibri"/>
                <w:bCs/>
                <w:iCs/>
                <w:sz w:val="20"/>
                <w:szCs w:val="20"/>
              </w:rPr>
            </w:pPr>
          </w:p>
        </w:tc>
        <w:tc>
          <w:tcPr>
            <w:tcW w:w="1440" w:type="dxa"/>
            <w:shd w:val="clear" w:color="auto" w:fill="auto"/>
          </w:tcPr>
          <w:p w14:paraId="1EF277F5" w14:textId="4C273DC7" w:rsidR="0086533B" w:rsidRPr="0088154E" w:rsidRDefault="0086533B" w:rsidP="008D7DC4">
            <w:pPr>
              <w:jc w:val="center"/>
              <w:rPr>
                <w:rFonts w:eastAsia="Calibri"/>
                <w:b/>
                <w:bCs/>
                <w:i/>
                <w:iCs/>
                <w:sz w:val="20"/>
                <w:szCs w:val="20"/>
              </w:rPr>
            </w:pPr>
          </w:p>
        </w:tc>
      </w:tr>
      <w:tr w:rsidR="00110B3D" w:rsidRPr="0088154E" w14:paraId="4188E2F6" w14:textId="77777777" w:rsidTr="00B62394">
        <w:trPr>
          <w:trHeight w:hRule="exact" w:val="317"/>
        </w:trPr>
        <w:tc>
          <w:tcPr>
            <w:tcW w:w="9375" w:type="dxa"/>
            <w:gridSpan w:val="5"/>
            <w:shd w:val="clear" w:color="auto" w:fill="C6D9F1" w:themeFill="text2" w:themeFillTint="33"/>
            <w:hideMark/>
          </w:tcPr>
          <w:p w14:paraId="6CFD03D5" w14:textId="77777777" w:rsidR="00110B3D" w:rsidRPr="0088154E" w:rsidRDefault="00110B3D" w:rsidP="00110B3D">
            <w:pPr>
              <w:jc w:val="center"/>
              <w:rPr>
                <w:rFonts w:eastAsia="Calibri"/>
                <w:b/>
                <w:bCs/>
                <w:i/>
                <w:iCs/>
                <w:sz w:val="20"/>
                <w:szCs w:val="20"/>
              </w:rPr>
            </w:pPr>
            <w:r w:rsidRPr="0088154E">
              <w:rPr>
                <w:rFonts w:eastAsia="Calibri"/>
                <w:b/>
                <w:bCs/>
                <w:i/>
                <w:iCs/>
                <w:sz w:val="20"/>
                <w:szCs w:val="20"/>
              </w:rPr>
              <w:t>SS #5: Households Assisted by Services that Increase Self Sufficiency</w:t>
            </w:r>
          </w:p>
        </w:tc>
      </w:tr>
      <w:tr w:rsidR="00110B3D" w:rsidRPr="0088154E" w14:paraId="4A2E4490" w14:textId="77777777" w:rsidTr="00B62394">
        <w:trPr>
          <w:trHeight w:hRule="exact" w:val="576"/>
        </w:trPr>
        <w:tc>
          <w:tcPr>
            <w:tcW w:w="3240" w:type="dxa"/>
            <w:shd w:val="clear" w:color="auto" w:fill="D9D9D9" w:themeFill="background1" w:themeFillShade="D9"/>
            <w:hideMark/>
          </w:tcPr>
          <w:p w14:paraId="3B77D674" w14:textId="77777777" w:rsidR="00110B3D" w:rsidRPr="0088154E" w:rsidRDefault="00110B3D" w:rsidP="00110B3D">
            <w:pPr>
              <w:jc w:val="center"/>
              <w:rPr>
                <w:rFonts w:eastAsia="Calibri"/>
                <w:b/>
                <w:bCs/>
                <w:sz w:val="20"/>
                <w:szCs w:val="20"/>
              </w:rPr>
            </w:pPr>
            <w:r w:rsidRPr="0088154E">
              <w:rPr>
                <w:rFonts w:eastAsia="Calibri"/>
                <w:b/>
                <w:bCs/>
                <w:sz w:val="20"/>
                <w:szCs w:val="20"/>
              </w:rPr>
              <w:t>Unit of Measurement</w:t>
            </w:r>
          </w:p>
        </w:tc>
        <w:tc>
          <w:tcPr>
            <w:tcW w:w="1714" w:type="dxa"/>
            <w:shd w:val="clear" w:color="auto" w:fill="D9D9D9" w:themeFill="background1" w:themeFillShade="D9"/>
            <w:hideMark/>
          </w:tcPr>
          <w:p w14:paraId="7F6AE6DF" w14:textId="77777777" w:rsidR="00110B3D" w:rsidRPr="0088154E" w:rsidRDefault="00110B3D" w:rsidP="00110B3D">
            <w:pPr>
              <w:jc w:val="center"/>
              <w:rPr>
                <w:rFonts w:eastAsia="Calibri"/>
                <w:b/>
                <w:bCs/>
                <w:sz w:val="20"/>
                <w:szCs w:val="20"/>
              </w:rPr>
            </w:pPr>
            <w:r w:rsidRPr="0088154E">
              <w:rPr>
                <w:rFonts w:eastAsia="Calibri"/>
                <w:b/>
                <w:bCs/>
                <w:sz w:val="20"/>
                <w:szCs w:val="20"/>
              </w:rPr>
              <w:t>Baseline</w:t>
            </w:r>
          </w:p>
        </w:tc>
        <w:tc>
          <w:tcPr>
            <w:tcW w:w="1627" w:type="dxa"/>
            <w:shd w:val="clear" w:color="auto" w:fill="D9D9D9" w:themeFill="background1" w:themeFillShade="D9"/>
            <w:hideMark/>
          </w:tcPr>
          <w:p w14:paraId="4327E4D5" w14:textId="77777777" w:rsidR="00110B3D" w:rsidRPr="0088154E" w:rsidRDefault="00110B3D" w:rsidP="00110B3D">
            <w:pPr>
              <w:jc w:val="center"/>
              <w:rPr>
                <w:rFonts w:eastAsia="Calibri"/>
                <w:b/>
                <w:bCs/>
                <w:sz w:val="20"/>
                <w:szCs w:val="20"/>
              </w:rPr>
            </w:pPr>
            <w:r w:rsidRPr="0088154E">
              <w:rPr>
                <w:rFonts w:eastAsia="Calibri"/>
                <w:b/>
                <w:bCs/>
                <w:sz w:val="20"/>
                <w:szCs w:val="20"/>
              </w:rPr>
              <w:t>Benchmark</w:t>
            </w:r>
          </w:p>
        </w:tc>
        <w:tc>
          <w:tcPr>
            <w:tcW w:w="1354" w:type="dxa"/>
            <w:shd w:val="clear" w:color="auto" w:fill="D9D9D9" w:themeFill="background1" w:themeFillShade="D9"/>
            <w:hideMark/>
          </w:tcPr>
          <w:p w14:paraId="6C82A7E7" w14:textId="77777777" w:rsidR="00110B3D" w:rsidRPr="0088154E" w:rsidRDefault="00110B3D" w:rsidP="00110B3D">
            <w:pPr>
              <w:jc w:val="center"/>
              <w:rPr>
                <w:rFonts w:eastAsia="Calibri"/>
                <w:b/>
                <w:bCs/>
                <w:sz w:val="20"/>
                <w:szCs w:val="20"/>
              </w:rPr>
            </w:pPr>
            <w:r w:rsidRPr="0088154E">
              <w:rPr>
                <w:rFonts w:eastAsia="Calibri"/>
                <w:b/>
                <w:bCs/>
                <w:sz w:val="20"/>
                <w:szCs w:val="20"/>
              </w:rPr>
              <w:t>Outcome</w:t>
            </w:r>
          </w:p>
        </w:tc>
        <w:tc>
          <w:tcPr>
            <w:tcW w:w="1440" w:type="dxa"/>
            <w:shd w:val="clear" w:color="auto" w:fill="D9D9D9" w:themeFill="background1" w:themeFillShade="D9"/>
            <w:hideMark/>
          </w:tcPr>
          <w:p w14:paraId="6B7031AA" w14:textId="77777777" w:rsidR="00110B3D" w:rsidRPr="0088154E" w:rsidRDefault="00110B3D" w:rsidP="00110B3D">
            <w:pPr>
              <w:jc w:val="center"/>
              <w:rPr>
                <w:rFonts w:eastAsia="Calibri"/>
                <w:b/>
                <w:bCs/>
                <w:sz w:val="20"/>
                <w:szCs w:val="20"/>
              </w:rPr>
            </w:pPr>
            <w:r w:rsidRPr="0088154E">
              <w:rPr>
                <w:rFonts w:eastAsia="Calibri"/>
                <w:b/>
                <w:bCs/>
                <w:sz w:val="20"/>
                <w:szCs w:val="20"/>
              </w:rPr>
              <w:t>Benchmark Achieved?</w:t>
            </w:r>
          </w:p>
        </w:tc>
      </w:tr>
      <w:tr w:rsidR="0086533B" w:rsidRPr="0088154E" w14:paraId="563A7461" w14:textId="77777777" w:rsidTr="00B62394">
        <w:trPr>
          <w:trHeight w:val="719"/>
        </w:trPr>
        <w:tc>
          <w:tcPr>
            <w:tcW w:w="3240" w:type="dxa"/>
            <w:shd w:val="clear" w:color="auto" w:fill="auto"/>
            <w:hideMark/>
          </w:tcPr>
          <w:p w14:paraId="6C092140" w14:textId="77777777" w:rsidR="0086533B" w:rsidRPr="0088154E" w:rsidRDefault="0086533B" w:rsidP="0086533B">
            <w:pPr>
              <w:rPr>
                <w:rFonts w:eastAsia="Calibri"/>
                <w:sz w:val="20"/>
                <w:szCs w:val="20"/>
              </w:rPr>
            </w:pPr>
            <w:r w:rsidRPr="0088154E">
              <w:rPr>
                <w:rFonts w:eastAsia="Calibri"/>
                <w:sz w:val="20"/>
                <w:szCs w:val="20"/>
              </w:rPr>
              <w:t>Number of households receiving services aimed to increase self-sufficiency (increase).</w:t>
            </w:r>
          </w:p>
        </w:tc>
        <w:tc>
          <w:tcPr>
            <w:tcW w:w="1714" w:type="dxa"/>
            <w:shd w:val="clear" w:color="auto" w:fill="auto"/>
            <w:hideMark/>
          </w:tcPr>
          <w:p w14:paraId="354D8565" w14:textId="77777777" w:rsidR="0086533B" w:rsidRPr="0088154E" w:rsidRDefault="0086533B" w:rsidP="008D7DC4">
            <w:pPr>
              <w:jc w:val="center"/>
              <w:rPr>
                <w:rFonts w:eastAsia="Calibri"/>
                <w:sz w:val="20"/>
                <w:szCs w:val="20"/>
              </w:rPr>
            </w:pPr>
            <w:r w:rsidRPr="0088154E">
              <w:rPr>
                <w:rFonts w:eastAsia="Calibri"/>
                <w:sz w:val="20"/>
                <w:szCs w:val="20"/>
              </w:rPr>
              <w:t>0 households</w:t>
            </w:r>
          </w:p>
        </w:tc>
        <w:tc>
          <w:tcPr>
            <w:tcW w:w="1627" w:type="dxa"/>
            <w:shd w:val="clear" w:color="auto" w:fill="auto"/>
            <w:hideMark/>
          </w:tcPr>
          <w:p w14:paraId="7A0331F4" w14:textId="7CD4480A" w:rsidR="0086533B" w:rsidRPr="0088154E" w:rsidRDefault="00F27AA3" w:rsidP="008D7DC4">
            <w:pPr>
              <w:jc w:val="center"/>
              <w:rPr>
                <w:rFonts w:eastAsia="Calibri"/>
                <w:sz w:val="20"/>
                <w:szCs w:val="20"/>
              </w:rPr>
            </w:pPr>
            <w:r w:rsidRPr="0088154E">
              <w:rPr>
                <w:rFonts w:eastAsia="Calibri"/>
                <w:sz w:val="20"/>
                <w:szCs w:val="20"/>
              </w:rPr>
              <w:t>40</w:t>
            </w:r>
            <w:r w:rsidR="0086533B" w:rsidRPr="0088154E">
              <w:rPr>
                <w:rFonts w:eastAsia="Calibri"/>
                <w:sz w:val="20"/>
                <w:szCs w:val="20"/>
              </w:rPr>
              <w:t xml:space="preserve"> households</w:t>
            </w:r>
          </w:p>
        </w:tc>
        <w:tc>
          <w:tcPr>
            <w:tcW w:w="1354" w:type="dxa"/>
            <w:shd w:val="clear" w:color="auto" w:fill="auto"/>
          </w:tcPr>
          <w:p w14:paraId="67A05BAB" w14:textId="0F7B2D01" w:rsidR="0086533B" w:rsidRPr="0088154E" w:rsidRDefault="0086533B" w:rsidP="008D7DC4">
            <w:pPr>
              <w:jc w:val="center"/>
              <w:rPr>
                <w:rFonts w:eastAsia="Calibri"/>
                <w:sz w:val="20"/>
                <w:szCs w:val="20"/>
              </w:rPr>
            </w:pPr>
          </w:p>
        </w:tc>
        <w:tc>
          <w:tcPr>
            <w:tcW w:w="1440" w:type="dxa"/>
            <w:shd w:val="clear" w:color="auto" w:fill="auto"/>
          </w:tcPr>
          <w:p w14:paraId="0DE99D0B" w14:textId="78BF7C63" w:rsidR="0086533B" w:rsidRPr="0088154E" w:rsidRDefault="0086533B" w:rsidP="008D7DC4">
            <w:pPr>
              <w:jc w:val="center"/>
              <w:rPr>
                <w:rFonts w:eastAsia="Calibri"/>
                <w:sz w:val="20"/>
                <w:szCs w:val="20"/>
              </w:rPr>
            </w:pPr>
          </w:p>
        </w:tc>
      </w:tr>
      <w:tr w:rsidR="00110B3D" w:rsidRPr="0088154E" w14:paraId="6D630EBE" w14:textId="77777777" w:rsidTr="00B62394">
        <w:trPr>
          <w:trHeight w:hRule="exact" w:val="317"/>
        </w:trPr>
        <w:tc>
          <w:tcPr>
            <w:tcW w:w="9375" w:type="dxa"/>
            <w:gridSpan w:val="5"/>
            <w:shd w:val="clear" w:color="auto" w:fill="C6D9F1" w:themeFill="text2" w:themeFillTint="33"/>
          </w:tcPr>
          <w:p w14:paraId="1B8F8EB9" w14:textId="77777777" w:rsidR="00110B3D" w:rsidRPr="0088154E" w:rsidRDefault="00110B3D" w:rsidP="00110B3D">
            <w:pPr>
              <w:jc w:val="center"/>
              <w:rPr>
                <w:rFonts w:eastAsia="Calibri"/>
                <w:b/>
                <w:bCs/>
                <w:i/>
                <w:iCs/>
                <w:sz w:val="20"/>
                <w:szCs w:val="20"/>
              </w:rPr>
            </w:pPr>
            <w:r w:rsidRPr="0088154E">
              <w:rPr>
                <w:b/>
                <w:bCs/>
                <w:i/>
                <w:iCs/>
                <w:sz w:val="20"/>
                <w:szCs w:val="20"/>
              </w:rPr>
              <w:t>SS #6: Reducing Per Unit Subsidy Costs for Participating Households</w:t>
            </w:r>
          </w:p>
        </w:tc>
      </w:tr>
      <w:tr w:rsidR="00110B3D" w:rsidRPr="0088154E" w14:paraId="14452B93" w14:textId="77777777" w:rsidTr="00B62394">
        <w:trPr>
          <w:trHeight w:hRule="exact" w:val="576"/>
        </w:trPr>
        <w:tc>
          <w:tcPr>
            <w:tcW w:w="3240" w:type="dxa"/>
            <w:shd w:val="clear" w:color="auto" w:fill="D9D9D9" w:themeFill="background1" w:themeFillShade="D9"/>
          </w:tcPr>
          <w:p w14:paraId="0C39906E" w14:textId="77777777" w:rsidR="00110B3D" w:rsidRPr="0088154E" w:rsidRDefault="00110B3D" w:rsidP="00110B3D">
            <w:pPr>
              <w:jc w:val="center"/>
              <w:rPr>
                <w:rFonts w:eastAsia="Calibri"/>
                <w:b/>
                <w:bCs/>
                <w:sz w:val="20"/>
                <w:szCs w:val="20"/>
              </w:rPr>
            </w:pPr>
            <w:r w:rsidRPr="0088154E">
              <w:rPr>
                <w:rFonts w:eastAsia="Calibri"/>
                <w:b/>
                <w:bCs/>
                <w:sz w:val="20"/>
                <w:szCs w:val="20"/>
              </w:rPr>
              <w:t>Unit of Measurement</w:t>
            </w:r>
          </w:p>
        </w:tc>
        <w:tc>
          <w:tcPr>
            <w:tcW w:w="1714" w:type="dxa"/>
            <w:shd w:val="clear" w:color="auto" w:fill="D9D9D9" w:themeFill="background1" w:themeFillShade="D9"/>
          </w:tcPr>
          <w:p w14:paraId="176673C0" w14:textId="77777777" w:rsidR="00110B3D" w:rsidRPr="0088154E" w:rsidRDefault="00110B3D" w:rsidP="00110B3D">
            <w:pPr>
              <w:jc w:val="center"/>
              <w:rPr>
                <w:rFonts w:eastAsia="Calibri"/>
                <w:b/>
                <w:bCs/>
                <w:sz w:val="20"/>
                <w:szCs w:val="20"/>
              </w:rPr>
            </w:pPr>
            <w:r w:rsidRPr="0088154E">
              <w:rPr>
                <w:rFonts w:eastAsia="Calibri"/>
                <w:b/>
                <w:bCs/>
                <w:sz w:val="20"/>
                <w:szCs w:val="20"/>
              </w:rPr>
              <w:t>Baseline</w:t>
            </w:r>
          </w:p>
        </w:tc>
        <w:tc>
          <w:tcPr>
            <w:tcW w:w="1627" w:type="dxa"/>
            <w:shd w:val="clear" w:color="auto" w:fill="D9D9D9" w:themeFill="background1" w:themeFillShade="D9"/>
          </w:tcPr>
          <w:p w14:paraId="50735189" w14:textId="77777777" w:rsidR="00110B3D" w:rsidRPr="0088154E" w:rsidRDefault="00110B3D" w:rsidP="00110B3D">
            <w:pPr>
              <w:jc w:val="center"/>
              <w:rPr>
                <w:rFonts w:eastAsia="Calibri"/>
                <w:b/>
                <w:bCs/>
                <w:sz w:val="20"/>
                <w:szCs w:val="20"/>
              </w:rPr>
            </w:pPr>
            <w:r w:rsidRPr="0088154E">
              <w:rPr>
                <w:rFonts w:eastAsia="Calibri"/>
                <w:b/>
                <w:bCs/>
                <w:sz w:val="20"/>
                <w:szCs w:val="20"/>
              </w:rPr>
              <w:t>Benchmark</w:t>
            </w:r>
          </w:p>
        </w:tc>
        <w:tc>
          <w:tcPr>
            <w:tcW w:w="1354" w:type="dxa"/>
            <w:shd w:val="clear" w:color="auto" w:fill="D9D9D9" w:themeFill="background1" w:themeFillShade="D9"/>
          </w:tcPr>
          <w:p w14:paraId="730BC4DD" w14:textId="77777777" w:rsidR="00110B3D" w:rsidRPr="0088154E" w:rsidRDefault="00110B3D" w:rsidP="00110B3D">
            <w:pPr>
              <w:jc w:val="center"/>
              <w:rPr>
                <w:rFonts w:eastAsia="Calibri"/>
                <w:b/>
                <w:bCs/>
                <w:sz w:val="20"/>
                <w:szCs w:val="20"/>
              </w:rPr>
            </w:pPr>
            <w:r w:rsidRPr="0088154E">
              <w:rPr>
                <w:rFonts w:eastAsia="Calibri"/>
                <w:b/>
                <w:bCs/>
                <w:sz w:val="20"/>
                <w:szCs w:val="20"/>
              </w:rPr>
              <w:t>Outcome</w:t>
            </w:r>
          </w:p>
        </w:tc>
        <w:tc>
          <w:tcPr>
            <w:tcW w:w="1440" w:type="dxa"/>
            <w:shd w:val="clear" w:color="auto" w:fill="D9D9D9" w:themeFill="background1" w:themeFillShade="D9"/>
          </w:tcPr>
          <w:p w14:paraId="258C5928" w14:textId="77777777" w:rsidR="00110B3D" w:rsidRPr="0088154E" w:rsidRDefault="00110B3D" w:rsidP="00110B3D">
            <w:pPr>
              <w:jc w:val="center"/>
              <w:rPr>
                <w:rFonts w:eastAsia="Calibri"/>
                <w:b/>
                <w:bCs/>
                <w:sz w:val="20"/>
                <w:szCs w:val="20"/>
              </w:rPr>
            </w:pPr>
            <w:r w:rsidRPr="0088154E">
              <w:rPr>
                <w:rFonts w:eastAsia="Calibri"/>
                <w:b/>
                <w:bCs/>
                <w:sz w:val="20"/>
                <w:szCs w:val="20"/>
              </w:rPr>
              <w:t>Benchmark Achieved?</w:t>
            </w:r>
          </w:p>
        </w:tc>
      </w:tr>
      <w:tr w:rsidR="0086533B" w:rsidRPr="0088154E" w14:paraId="17DAA2D2" w14:textId="77777777" w:rsidTr="00B62394">
        <w:trPr>
          <w:trHeight w:val="296"/>
        </w:trPr>
        <w:tc>
          <w:tcPr>
            <w:tcW w:w="3240" w:type="dxa"/>
            <w:shd w:val="clear" w:color="auto" w:fill="auto"/>
          </w:tcPr>
          <w:p w14:paraId="3CA56A4A" w14:textId="77777777" w:rsidR="0086533B" w:rsidRPr="0088154E" w:rsidRDefault="0086533B" w:rsidP="0086533B">
            <w:pPr>
              <w:rPr>
                <w:rFonts w:eastAsia="Calibri"/>
                <w:b/>
                <w:bCs/>
                <w:i/>
                <w:iCs/>
                <w:sz w:val="20"/>
                <w:szCs w:val="20"/>
              </w:rPr>
            </w:pPr>
            <w:r w:rsidRPr="0088154E">
              <w:rPr>
                <w:sz w:val="20"/>
                <w:szCs w:val="20"/>
              </w:rPr>
              <w:t>Average amount of Section 8 subsidy per household affected by this policy in dollars (decrease).</w:t>
            </w:r>
          </w:p>
        </w:tc>
        <w:tc>
          <w:tcPr>
            <w:tcW w:w="1714" w:type="dxa"/>
            <w:shd w:val="clear" w:color="auto" w:fill="auto"/>
          </w:tcPr>
          <w:p w14:paraId="30EB6217" w14:textId="712D51F7" w:rsidR="0086533B" w:rsidRPr="0088154E" w:rsidRDefault="00611A9E" w:rsidP="008D7DC4">
            <w:pPr>
              <w:jc w:val="center"/>
              <w:rPr>
                <w:rFonts w:eastAsia="Calibri"/>
                <w:bCs/>
                <w:iCs/>
                <w:sz w:val="20"/>
                <w:szCs w:val="20"/>
              </w:rPr>
            </w:pPr>
            <w:r w:rsidRPr="0088154E">
              <w:rPr>
                <w:rFonts w:eastAsia="Calibri"/>
                <w:bCs/>
                <w:iCs/>
                <w:sz w:val="20"/>
                <w:szCs w:val="20"/>
              </w:rPr>
              <w:t>$1,264</w:t>
            </w:r>
          </w:p>
        </w:tc>
        <w:tc>
          <w:tcPr>
            <w:tcW w:w="1627" w:type="dxa"/>
            <w:shd w:val="clear" w:color="auto" w:fill="auto"/>
          </w:tcPr>
          <w:p w14:paraId="511ED197" w14:textId="47705DEB" w:rsidR="0086533B" w:rsidRPr="0088154E" w:rsidRDefault="00611A9E" w:rsidP="008D7DC4">
            <w:pPr>
              <w:jc w:val="center"/>
              <w:rPr>
                <w:rFonts w:eastAsia="Calibri"/>
                <w:bCs/>
                <w:iCs/>
                <w:sz w:val="20"/>
                <w:szCs w:val="20"/>
              </w:rPr>
            </w:pPr>
            <w:r w:rsidRPr="0088154E">
              <w:rPr>
                <w:rFonts w:eastAsia="Calibri"/>
                <w:bCs/>
                <w:iCs/>
                <w:sz w:val="20"/>
                <w:szCs w:val="20"/>
              </w:rPr>
              <w:t>$1,264</w:t>
            </w:r>
          </w:p>
        </w:tc>
        <w:tc>
          <w:tcPr>
            <w:tcW w:w="1354" w:type="dxa"/>
            <w:shd w:val="clear" w:color="auto" w:fill="auto"/>
          </w:tcPr>
          <w:p w14:paraId="265B6167" w14:textId="4593E56D" w:rsidR="0086533B" w:rsidRPr="0088154E" w:rsidRDefault="0086533B" w:rsidP="008D7DC4">
            <w:pPr>
              <w:jc w:val="center"/>
              <w:rPr>
                <w:rFonts w:eastAsia="Calibri"/>
                <w:b/>
                <w:bCs/>
                <w:i/>
                <w:iCs/>
                <w:sz w:val="20"/>
                <w:szCs w:val="20"/>
              </w:rPr>
            </w:pPr>
          </w:p>
        </w:tc>
        <w:tc>
          <w:tcPr>
            <w:tcW w:w="1440" w:type="dxa"/>
            <w:shd w:val="clear" w:color="auto" w:fill="auto"/>
          </w:tcPr>
          <w:p w14:paraId="1AB47434" w14:textId="27AE60FB" w:rsidR="0086533B" w:rsidRPr="0088154E" w:rsidRDefault="0086533B" w:rsidP="008D7DC4">
            <w:pPr>
              <w:jc w:val="center"/>
              <w:rPr>
                <w:rFonts w:eastAsia="Calibri"/>
                <w:b/>
                <w:bCs/>
                <w:i/>
                <w:iCs/>
                <w:sz w:val="20"/>
                <w:szCs w:val="20"/>
              </w:rPr>
            </w:pPr>
          </w:p>
        </w:tc>
      </w:tr>
      <w:tr w:rsidR="00110B3D" w:rsidRPr="0088154E" w14:paraId="0A25EA07" w14:textId="77777777" w:rsidTr="00B62394">
        <w:trPr>
          <w:trHeight w:hRule="exact" w:val="317"/>
        </w:trPr>
        <w:tc>
          <w:tcPr>
            <w:tcW w:w="9375" w:type="dxa"/>
            <w:gridSpan w:val="5"/>
            <w:shd w:val="clear" w:color="auto" w:fill="C6D9F1" w:themeFill="text2" w:themeFillTint="33"/>
          </w:tcPr>
          <w:p w14:paraId="39A5010C" w14:textId="7246C6DA" w:rsidR="00110B3D" w:rsidRPr="0088154E" w:rsidRDefault="00110B3D" w:rsidP="00110B3D">
            <w:pPr>
              <w:jc w:val="center"/>
              <w:rPr>
                <w:rFonts w:eastAsia="Calibri"/>
                <w:b/>
                <w:bCs/>
                <w:i/>
                <w:iCs/>
                <w:sz w:val="20"/>
                <w:szCs w:val="20"/>
              </w:rPr>
            </w:pPr>
            <w:r w:rsidRPr="0088154E">
              <w:rPr>
                <w:b/>
                <w:bCs/>
                <w:i/>
                <w:iCs/>
                <w:sz w:val="20"/>
                <w:szCs w:val="20"/>
              </w:rPr>
              <w:t>SS #7: Increase in Agency Rental Revenue</w:t>
            </w:r>
            <w:r w:rsidR="00256314" w:rsidRPr="0088154E">
              <w:rPr>
                <w:b/>
                <w:bCs/>
                <w:i/>
                <w:iCs/>
                <w:sz w:val="20"/>
                <w:szCs w:val="20"/>
              </w:rPr>
              <w:t>*</w:t>
            </w:r>
          </w:p>
        </w:tc>
      </w:tr>
      <w:tr w:rsidR="00110B3D" w:rsidRPr="0088154E" w14:paraId="51B1E488" w14:textId="77777777" w:rsidTr="00B62394">
        <w:trPr>
          <w:trHeight w:hRule="exact" w:val="576"/>
        </w:trPr>
        <w:tc>
          <w:tcPr>
            <w:tcW w:w="3240" w:type="dxa"/>
            <w:shd w:val="clear" w:color="auto" w:fill="D9D9D9" w:themeFill="background1" w:themeFillShade="D9"/>
          </w:tcPr>
          <w:p w14:paraId="6B8FB8A6" w14:textId="77777777" w:rsidR="00110B3D" w:rsidRPr="0088154E" w:rsidRDefault="00110B3D" w:rsidP="00110B3D">
            <w:pPr>
              <w:jc w:val="center"/>
              <w:rPr>
                <w:rFonts w:eastAsia="Calibri"/>
                <w:b/>
                <w:bCs/>
                <w:sz w:val="20"/>
                <w:szCs w:val="20"/>
              </w:rPr>
            </w:pPr>
            <w:r w:rsidRPr="0088154E">
              <w:rPr>
                <w:rFonts w:eastAsia="Calibri"/>
                <w:b/>
                <w:bCs/>
                <w:sz w:val="20"/>
                <w:szCs w:val="20"/>
              </w:rPr>
              <w:t>Unit of Measurement</w:t>
            </w:r>
          </w:p>
        </w:tc>
        <w:tc>
          <w:tcPr>
            <w:tcW w:w="1714" w:type="dxa"/>
            <w:shd w:val="clear" w:color="auto" w:fill="D9D9D9" w:themeFill="background1" w:themeFillShade="D9"/>
          </w:tcPr>
          <w:p w14:paraId="03ABBBA8" w14:textId="77777777" w:rsidR="00110B3D" w:rsidRPr="0088154E" w:rsidRDefault="00110B3D" w:rsidP="00110B3D">
            <w:pPr>
              <w:jc w:val="center"/>
              <w:rPr>
                <w:rFonts w:eastAsia="Calibri"/>
                <w:b/>
                <w:bCs/>
                <w:sz w:val="20"/>
                <w:szCs w:val="20"/>
              </w:rPr>
            </w:pPr>
            <w:r w:rsidRPr="0088154E">
              <w:rPr>
                <w:rFonts w:eastAsia="Calibri"/>
                <w:b/>
                <w:bCs/>
                <w:sz w:val="20"/>
                <w:szCs w:val="20"/>
              </w:rPr>
              <w:t>Baseline</w:t>
            </w:r>
          </w:p>
        </w:tc>
        <w:tc>
          <w:tcPr>
            <w:tcW w:w="1627" w:type="dxa"/>
            <w:shd w:val="clear" w:color="auto" w:fill="D9D9D9" w:themeFill="background1" w:themeFillShade="D9"/>
          </w:tcPr>
          <w:p w14:paraId="6E4ADF8A" w14:textId="77777777" w:rsidR="00110B3D" w:rsidRPr="0088154E" w:rsidRDefault="00110B3D" w:rsidP="00110B3D">
            <w:pPr>
              <w:jc w:val="center"/>
              <w:rPr>
                <w:rFonts w:eastAsia="Calibri"/>
                <w:b/>
                <w:bCs/>
                <w:sz w:val="20"/>
                <w:szCs w:val="20"/>
              </w:rPr>
            </w:pPr>
            <w:r w:rsidRPr="0088154E">
              <w:rPr>
                <w:rFonts w:eastAsia="Calibri"/>
                <w:b/>
                <w:bCs/>
                <w:sz w:val="20"/>
                <w:szCs w:val="20"/>
              </w:rPr>
              <w:t>Benchmark</w:t>
            </w:r>
          </w:p>
        </w:tc>
        <w:tc>
          <w:tcPr>
            <w:tcW w:w="1354" w:type="dxa"/>
            <w:shd w:val="clear" w:color="auto" w:fill="D9D9D9" w:themeFill="background1" w:themeFillShade="D9"/>
          </w:tcPr>
          <w:p w14:paraId="496EA439" w14:textId="77777777" w:rsidR="00110B3D" w:rsidRPr="0088154E" w:rsidRDefault="00110B3D" w:rsidP="00110B3D">
            <w:pPr>
              <w:jc w:val="center"/>
              <w:rPr>
                <w:rFonts w:eastAsia="Calibri"/>
                <w:b/>
                <w:bCs/>
                <w:sz w:val="20"/>
                <w:szCs w:val="20"/>
              </w:rPr>
            </w:pPr>
            <w:r w:rsidRPr="0088154E">
              <w:rPr>
                <w:rFonts w:eastAsia="Calibri"/>
                <w:b/>
                <w:bCs/>
                <w:sz w:val="20"/>
                <w:szCs w:val="20"/>
              </w:rPr>
              <w:t>Outcome</w:t>
            </w:r>
          </w:p>
        </w:tc>
        <w:tc>
          <w:tcPr>
            <w:tcW w:w="1440" w:type="dxa"/>
            <w:shd w:val="clear" w:color="auto" w:fill="D9D9D9" w:themeFill="background1" w:themeFillShade="D9"/>
          </w:tcPr>
          <w:p w14:paraId="349EF88C" w14:textId="77777777" w:rsidR="00110B3D" w:rsidRPr="0088154E" w:rsidRDefault="00110B3D" w:rsidP="00110B3D">
            <w:pPr>
              <w:jc w:val="center"/>
              <w:rPr>
                <w:rFonts w:eastAsia="Calibri"/>
                <w:b/>
                <w:bCs/>
                <w:sz w:val="20"/>
                <w:szCs w:val="20"/>
              </w:rPr>
            </w:pPr>
            <w:r w:rsidRPr="0088154E">
              <w:rPr>
                <w:rFonts w:eastAsia="Calibri"/>
                <w:b/>
                <w:bCs/>
                <w:sz w:val="20"/>
                <w:szCs w:val="20"/>
              </w:rPr>
              <w:t>Benchmark Achieved?</w:t>
            </w:r>
          </w:p>
        </w:tc>
      </w:tr>
      <w:tr w:rsidR="0086533B" w:rsidRPr="0088154E" w14:paraId="59F42EC8" w14:textId="77777777" w:rsidTr="00B62394">
        <w:trPr>
          <w:trHeight w:val="296"/>
        </w:trPr>
        <w:tc>
          <w:tcPr>
            <w:tcW w:w="3240" w:type="dxa"/>
            <w:shd w:val="clear" w:color="auto" w:fill="auto"/>
          </w:tcPr>
          <w:p w14:paraId="30990ECC" w14:textId="071D636A" w:rsidR="0086533B" w:rsidRPr="0088154E" w:rsidRDefault="00256314" w:rsidP="0086533B">
            <w:pPr>
              <w:rPr>
                <w:rFonts w:eastAsia="Calibri"/>
                <w:b/>
                <w:bCs/>
                <w:i/>
                <w:iCs/>
                <w:sz w:val="20"/>
                <w:szCs w:val="20"/>
              </w:rPr>
            </w:pPr>
            <w:r w:rsidRPr="0088154E">
              <w:rPr>
                <w:sz w:val="20"/>
                <w:szCs w:val="20"/>
              </w:rPr>
              <w:t>Total Household contributions towards housing assistance (increase).</w:t>
            </w:r>
          </w:p>
        </w:tc>
        <w:tc>
          <w:tcPr>
            <w:tcW w:w="1714" w:type="dxa"/>
            <w:shd w:val="clear" w:color="auto" w:fill="auto"/>
          </w:tcPr>
          <w:p w14:paraId="7AD97655" w14:textId="1392F5E9" w:rsidR="0086533B" w:rsidRPr="0088154E" w:rsidRDefault="00CF5240" w:rsidP="008D7DC4">
            <w:pPr>
              <w:jc w:val="center"/>
              <w:rPr>
                <w:rFonts w:eastAsia="Calibri"/>
                <w:bCs/>
                <w:iCs/>
                <w:sz w:val="20"/>
                <w:szCs w:val="20"/>
              </w:rPr>
            </w:pPr>
            <w:r w:rsidRPr="0088154E">
              <w:rPr>
                <w:rFonts w:eastAsia="Calibri"/>
                <w:bCs/>
                <w:iCs/>
                <w:sz w:val="20"/>
                <w:szCs w:val="20"/>
              </w:rPr>
              <w:t>$150</w:t>
            </w:r>
          </w:p>
        </w:tc>
        <w:tc>
          <w:tcPr>
            <w:tcW w:w="1627" w:type="dxa"/>
            <w:shd w:val="clear" w:color="auto" w:fill="auto"/>
          </w:tcPr>
          <w:p w14:paraId="039D8D00" w14:textId="7EE103B4" w:rsidR="0086533B" w:rsidRPr="0088154E" w:rsidRDefault="00CF5240" w:rsidP="008D7DC4">
            <w:pPr>
              <w:jc w:val="center"/>
              <w:rPr>
                <w:rFonts w:eastAsia="Calibri"/>
                <w:bCs/>
                <w:iCs/>
                <w:sz w:val="20"/>
                <w:szCs w:val="20"/>
              </w:rPr>
            </w:pPr>
            <w:r w:rsidRPr="0088154E">
              <w:rPr>
                <w:rFonts w:eastAsia="Calibri"/>
                <w:bCs/>
                <w:iCs/>
                <w:sz w:val="20"/>
                <w:szCs w:val="20"/>
              </w:rPr>
              <w:t>$150</w:t>
            </w:r>
          </w:p>
        </w:tc>
        <w:tc>
          <w:tcPr>
            <w:tcW w:w="1354" w:type="dxa"/>
            <w:shd w:val="clear" w:color="auto" w:fill="auto"/>
          </w:tcPr>
          <w:p w14:paraId="4E36DEB0" w14:textId="2D511939" w:rsidR="0086533B" w:rsidRPr="0088154E" w:rsidRDefault="0086533B" w:rsidP="008D7DC4">
            <w:pPr>
              <w:jc w:val="center"/>
              <w:rPr>
                <w:rFonts w:eastAsia="Calibri"/>
                <w:b/>
                <w:bCs/>
                <w:iCs/>
                <w:sz w:val="20"/>
                <w:szCs w:val="20"/>
              </w:rPr>
            </w:pPr>
          </w:p>
        </w:tc>
        <w:tc>
          <w:tcPr>
            <w:tcW w:w="1440" w:type="dxa"/>
            <w:shd w:val="clear" w:color="auto" w:fill="auto"/>
          </w:tcPr>
          <w:p w14:paraId="2A09EDCA" w14:textId="7D4B1AF9" w:rsidR="0086533B" w:rsidRPr="0088154E" w:rsidRDefault="0086533B" w:rsidP="008D7DC4">
            <w:pPr>
              <w:jc w:val="center"/>
              <w:rPr>
                <w:rFonts w:eastAsia="Calibri"/>
                <w:b/>
                <w:bCs/>
                <w:i/>
                <w:iCs/>
                <w:sz w:val="20"/>
                <w:szCs w:val="20"/>
              </w:rPr>
            </w:pPr>
          </w:p>
        </w:tc>
      </w:tr>
      <w:tr w:rsidR="007C3D43" w:rsidRPr="0088154E" w14:paraId="21265F0F" w14:textId="77777777" w:rsidTr="00B62394">
        <w:trPr>
          <w:trHeight w:val="296"/>
        </w:trPr>
        <w:tc>
          <w:tcPr>
            <w:tcW w:w="9375" w:type="dxa"/>
            <w:gridSpan w:val="5"/>
            <w:shd w:val="clear" w:color="auto" w:fill="auto"/>
          </w:tcPr>
          <w:p w14:paraId="39377F96" w14:textId="501659C6" w:rsidR="007C3D43" w:rsidRPr="0088154E" w:rsidRDefault="007C3D43" w:rsidP="00256314">
            <w:pPr>
              <w:rPr>
                <w:rFonts w:eastAsia="Calibri"/>
                <w:bCs/>
                <w:i/>
                <w:iCs/>
                <w:sz w:val="20"/>
                <w:szCs w:val="20"/>
              </w:rPr>
            </w:pPr>
            <w:r w:rsidRPr="0088154E">
              <w:rPr>
                <w:rFonts w:eastAsia="Calibri"/>
                <w:bCs/>
                <w:i/>
                <w:iCs/>
                <w:sz w:val="20"/>
                <w:szCs w:val="20"/>
              </w:rPr>
              <w:t>*</w:t>
            </w:r>
            <w:r w:rsidR="00256314" w:rsidRPr="0088154E">
              <w:rPr>
                <w:rFonts w:eastAsia="Calibri"/>
                <w:bCs/>
                <w:i/>
                <w:iCs/>
                <w:sz w:val="20"/>
                <w:szCs w:val="20"/>
              </w:rPr>
              <w:t>Represents Average TTP.</w:t>
            </w:r>
          </w:p>
        </w:tc>
      </w:tr>
      <w:tr w:rsidR="00110B3D" w:rsidRPr="0088154E" w14:paraId="0CF5A868" w14:textId="77777777" w:rsidTr="00B62394">
        <w:trPr>
          <w:trHeight w:hRule="exact" w:val="317"/>
        </w:trPr>
        <w:tc>
          <w:tcPr>
            <w:tcW w:w="9375" w:type="dxa"/>
            <w:gridSpan w:val="5"/>
            <w:shd w:val="clear" w:color="auto" w:fill="C6D9F1" w:themeFill="text2" w:themeFillTint="33"/>
            <w:hideMark/>
          </w:tcPr>
          <w:p w14:paraId="07B384AD" w14:textId="77777777" w:rsidR="00110B3D" w:rsidRPr="0088154E" w:rsidRDefault="00110B3D" w:rsidP="00110B3D">
            <w:pPr>
              <w:jc w:val="center"/>
              <w:rPr>
                <w:rFonts w:eastAsia="Calibri"/>
                <w:b/>
                <w:bCs/>
                <w:i/>
                <w:iCs/>
                <w:sz w:val="20"/>
                <w:szCs w:val="20"/>
              </w:rPr>
            </w:pPr>
            <w:r w:rsidRPr="0088154E">
              <w:rPr>
                <w:rFonts w:eastAsia="Calibri"/>
                <w:b/>
                <w:bCs/>
                <w:i/>
                <w:iCs/>
                <w:sz w:val="20"/>
                <w:szCs w:val="20"/>
              </w:rPr>
              <w:t>SS #8: Households Transitioned to Self Sufficiency*</w:t>
            </w:r>
          </w:p>
        </w:tc>
      </w:tr>
      <w:tr w:rsidR="00110B3D" w:rsidRPr="0088154E" w14:paraId="052A1DE6" w14:textId="77777777" w:rsidTr="00B62394">
        <w:trPr>
          <w:trHeight w:hRule="exact" w:val="576"/>
        </w:trPr>
        <w:tc>
          <w:tcPr>
            <w:tcW w:w="3240" w:type="dxa"/>
            <w:shd w:val="clear" w:color="auto" w:fill="D9D9D9" w:themeFill="background1" w:themeFillShade="D9"/>
            <w:hideMark/>
          </w:tcPr>
          <w:p w14:paraId="474A632A" w14:textId="77777777" w:rsidR="00110B3D" w:rsidRPr="0088154E" w:rsidRDefault="00110B3D" w:rsidP="00110B3D">
            <w:pPr>
              <w:jc w:val="center"/>
              <w:rPr>
                <w:rFonts w:eastAsia="Calibri"/>
                <w:b/>
                <w:bCs/>
                <w:sz w:val="20"/>
                <w:szCs w:val="20"/>
              </w:rPr>
            </w:pPr>
            <w:r w:rsidRPr="0088154E">
              <w:rPr>
                <w:rFonts w:eastAsia="Calibri"/>
                <w:b/>
                <w:bCs/>
                <w:sz w:val="20"/>
                <w:szCs w:val="20"/>
              </w:rPr>
              <w:t>Unit of Measurement</w:t>
            </w:r>
          </w:p>
        </w:tc>
        <w:tc>
          <w:tcPr>
            <w:tcW w:w="1714" w:type="dxa"/>
            <w:shd w:val="clear" w:color="auto" w:fill="D9D9D9" w:themeFill="background1" w:themeFillShade="D9"/>
            <w:hideMark/>
          </w:tcPr>
          <w:p w14:paraId="0BCB23BE" w14:textId="77777777" w:rsidR="00110B3D" w:rsidRPr="0088154E" w:rsidRDefault="00110B3D" w:rsidP="00110B3D">
            <w:pPr>
              <w:jc w:val="center"/>
              <w:rPr>
                <w:rFonts w:eastAsia="Calibri"/>
                <w:b/>
                <w:bCs/>
                <w:sz w:val="20"/>
                <w:szCs w:val="20"/>
              </w:rPr>
            </w:pPr>
            <w:r w:rsidRPr="0088154E">
              <w:rPr>
                <w:rFonts w:eastAsia="Calibri"/>
                <w:b/>
                <w:bCs/>
                <w:sz w:val="20"/>
                <w:szCs w:val="20"/>
              </w:rPr>
              <w:t>Baseline</w:t>
            </w:r>
          </w:p>
        </w:tc>
        <w:tc>
          <w:tcPr>
            <w:tcW w:w="1627" w:type="dxa"/>
            <w:shd w:val="clear" w:color="auto" w:fill="D9D9D9" w:themeFill="background1" w:themeFillShade="D9"/>
            <w:hideMark/>
          </w:tcPr>
          <w:p w14:paraId="0B26EF91" w14:textId="77777777" w:rsidR="00110B3D" w:rsidRPr="0088154E" w:rsidRDefault="00110B3D" w:rsidP="00110B3D">
            <w:pPr>
              <w:jc w:val="center"/>
              <w:rPr>
                <w:rFonts w:eastAsia="Calibri"/>
                <w:b/>
                <w:bCs/>
                <w:sz w:val="20"/>
                <w:szCs w:val="20"/>
              </w:rPr>
            </w:pPr>
            <w:r w:rsidRPr="0088154E">
              <w:rPr>
                <w:rFonts w:eastAsia="Calibri"/>
                <w:b/>
                <w:bCs/>
                <w:sz w:val="20"/>
                <w:szCs w:val="20"/>
              </w:rPr>
              <w:t>Benchmark</w:t>
            </w:r>
          </w:p>
        </w:tc>
        <w:tc>
          <w:tcPr>
            <w:tcW w:w="1354" w:type="dxa"/>
            <w:shd w:val="clear" w:color="auto" w:fill="D9D9D9" w:themeFill="background1" w:themeFillShade="D9"/>
            <w:hideMark/>
          </w:tcPr>
          <w:p w14:paraId="6FC14259" w14:textId="77777777" w:rsidR="00110B3D" w:rsidRPr="0088154E" w:rsidRDefault="00110B3D" w:rsidP="00110B3D">
            <w:pPr>
              <w:jc w:val="center"/>
              <w:rPr>
                <w:rFonts w:eastAsia="Calibri"/>
                <w:b/>
                <w:bCs/>
                <w:sz w:val="20"/>
                <w:szCs w:val="20"/>
              </w:rPr>
            </w:pPr>
            <w:r w:rsidRPr="0088154E">
              <w:rPr>
                <w:rFonts w:eastAsia="Calibri"/>
                <w:b/>
                <w:bCs/>
                <w:sz w:val="20"/>
                <w:szCs w:val="20"/>
              </w:rPr>
              <w:t>Outcome</w:t>
            </w:r>
          </w:p>
        </w:tc>
        <w:tc>
          <w:tcPr>
            <w:tcW w:w="1440" w:type="dxa"/>
            <w:shd w:val="clear" w:color="auto" w:fill="D9D9D9" w:themeFill="background1" w:themeFillShade="D9"/>
            <w:hideMark/>
          </w:tcPr>
          <w:p w14:paraId="641B44C5" w14:textId="77777777" w:rsidR="00110B3D" w:rsidRPr="0088154E" w:rsidRDefault="00110B3D" w:rsidP="00110B3D">
            <w:pPr>
              <w:jc w:val="center"/>
              <w:rPr>
                <w:rFonts w:eastAsia="Calibri"/>
                <w:b/>
                <w:bCs/>
                <w:sz w:val="20"/>
                <w:szCs w:val="20"/>
              </w:rPr>
            </w:pPr>
            <w:r w:rsidRPr="0088154E">
              <w:rPr>
                <w:rFonts w:eastAsia="Calibri"/>
                <w:b/>
                <w:bCs/>
                <w:sz w:val="20"/>
                <w:szCs w:val="20"/>
              </w:rPr>
              <w:t>Benchmark Achieved?</w:t>
            </w:r>
          </w:p>
        </w:tc>
      </w:tr>
      <w:tr w:rsidR="0086533B" w:rsidRPr="0088154E" w14:paraId="211762E6" w14:textId="77777777" w:rsidTr="00B62394">
        <w:trPr>
          <w:trHeight w:val="350"/>
        </w:trPr>
        <w:tc>
          <w:tcPr>
            <w:tcW w:w="3240" w:type="dxa"/>
            <w:shd w:val="clear" w:color="auto" w:fill="auto"/>
            <w:hideMark/>
          </w:tcPr>
          <w:p w14:paraId="3BC9BC59" w14:textId="77777777" w:rsidR="0086533B" w:rsidRPr="0088154E" w:rsidRDefault="0086533B" w:rsidP="0086533B">
            <w:pPr>
              <w:rPr>
                <w:rFonts w:eastAsia="Calibri"/>
                <w:sz w:val="20"/>
                <w:szCs w:val="20"/>
              </w:rPr>
            </w:pPr>
            <w:r w:rsidRPr="0088154E">
              <w:rPr>
                <w:rFonts w:eastAsia="Calibri"/>
                <w:sz w:val="20"/>
                <w:szCs w:val="20"/>
              </w:rPr>
              <w:t xml:space="preserve">Number of households transitioned to self-sufficiency (increase). </w:t>
            </w:r>
          </w:p>
        </w:tc>
        <w:tc>
          <w:tcPr>
            <w:tcW w:w="1714" w:type="dxa"/>
            <w:shd w:val="clear" w:color="auto" w:fill="auto"/>
          </w:tcPr>
          <w:p w14:paraId="454B7A39" w14:textId="77777777" w:rsidR="0086533B" w:rsidRPr="0088154E" w:rsidRDefault="0086533B" w:rsidP="008D7DC4">
            <w:pPr>
              <w:jc w:val="center"/>
              <w:rPr>
                <w:rFonts w:eastAsia="Calibri"/>
                <w:sz w:val="20"/>
                <w:szCs w:val="20"/>
              </w:rPr>
            </w:pPr>
            <w:r w:rsidRPr="0088154E">
              <w:rPr>
                <w:rFonts w:eastAsia="Calibri"/>
                <w:sz w:val="20"/>
                <w:szCs w:val="20"/>
              </w:rPr>
              <w:t>0 households</w:t>
            </w:r>
          </w:p>
        </w:tc>
        <w:tc>
          <w:tcPr>
            <w:tcW w:w="1627" w:type="dxa"/>
            <w:shd w:val="clear" w:color="auto" w:fill="auto"/>
          </w:tcPr>
          <w:p w14:paraId="7B9CB904" w14:textId="7AB59F45" w:rsidR="0086533B" w:rsidRPr="0088154E" w:rsidRDefault="00F27AA3" w:rsidP="008D7DC4">
            <w:pPr>
              <w:jc w:val="center"/>
              <w:rPr>
                <w:rFonts w:eastAsia="Calibri"/>
                <w:sz w:val="20"/>
                <w:szCs w:val="20"/>
              </w:rPr>
            </w:pPr>
            <w:r w:rsidRPr="0088154E">
              <w:rPr>
                <w:rFonts w:eastAsia="Calibri"/>
                <w:sz w:val="20"/>
                <w:szCs w:val="20"/>
              </w:rPr>
              <w:t>40</w:t>
            </w:r>
            <w:r w:rsidR="0086533B" w:rsidRPr="0088154E">
              <w:rPr>
                <w:rFonts w:eastAsia="Calibri"/>
                <w:sz w:val="20"/>
                <w:szCs w:val="20"/>
              </w:rPr>
              <w:t xml:space="preserve"> households</w:t>
            </w:r>
          </w:p>
        </w:tc>
        <w:tc>
          <w:tcPr>
            <w:tcW w:w="1354" w:type="dxa"/>
            <w:shd w:val="clear" w:color="auto" w:fill="auto"/>
          </w:tcPr>
          <w:p w14:paraId="4672C643" w14:textId="4D38800D" w:rsidR="0086533B" w:rsidRPr="0088154E" w:rsidRDefault="0086533B" w:rsidP="008D7DC4">
            <w:pPr>
              <w:jc w:val="center"/>
              <w:rPr>
                <w:rFonts w:eastAsia="Calibri"/>
                <w:sz w:val="20"/>
                <w:szCs w:val="20"/>
              </w:rPr>
            </w:pPr>
          </w:p>
        </w:tc>
        <w:tc>
          <w:tcPr>
            <w:tcW w:w="1440" w:type="dxa"/>
            <w:shd w:val="clear" w:color="auto" w:fill="auto"/>
          </w:tcPr>
          <w:p w14:paraId="3C2CE343" w14:textId="75D00857" w:rsidR="0086533B" w:rsidRPr="0088154E" w:rsidRDefault="0086533B" w:rsidP="008D7DC4">
            <w:pPr>
              <w:jc w:val="center"/>
              <w:rPr>
                <w:rFonts w:eastAsia="Calibri"/>
                <w:sz w:val="20"/>
                <w:szCs w:val="20"/>
              </w:rPr>
            </w:pPr>
          </w:p>
        </w:tc>
      </w:tr>
      <w:tr w:rsidR="00110B3D" w:rsidRPr="0088154E" w14:paraId="5B22B4BA" w14:textId="77777777" w:rsidTr="00B62394">
        <w:trPr>
          <w:trHeight w:val="302"/>
        </w:trPr>
        <w:tc>
          <w:tcPr>
            <w:tcW w:w="9375" w:type="dxa"/>
            <w:gridSpan w:val="5"/>
            <w:shd w:val="clear" w:color="auto" w:fill="auto"/>
          </w:tcPr>
          <w:p w14:paraId="1939D811" w14:textId="2D71899F" w:rsidR="00110B3D" w:rsidRPr="0088154E" w:rsidRDefault="00110B3D" w:rsidP="00110B3D">
            <w:pPr>
              <w:rPr>
                <w:bCs/>
                <w:i/>
                <w:iCs/>
                <w:sz w:val="20"/>
                <w:szCs w:val="20"/>
              </w:rPr>
            </w:pPr>
            <w:r w:rsidRPr="0088154E">
              <w:rPr>
                <w:bCs/>
                <w:i/>
                <w:iCs/>
                <w:sz w:val="20"/>
                <w:szCs w:val="20"/>
              </w:rPr>
              <w:t>*Self-sufficiency is d</w:t>
            </w:r>
            <w:r w:rsidR="00D0771C" w:rsidRPr="0088154E">
              <w:rPr>
                <w:bCs/>
                <w:i/>
                <w:iCs/>
                <w:sz w:val="20"/>
                <w:szCs w:val="20"/>
              </w:rPr>
              <w:t>efined as participants who have secured subsidized or market rate housing.</w:t>
            </w:r>
            <w:r w:rsidRPr="0088154E">
              <w:rPr>
                <w:bCs/>
                <w:i/>
                <w:iCs/>
                <w:sz w:val="20"/>
                <w:szCs w:val="20"/>
              </w:rPr>
              <w:t xml:space="preserve"> </w:t>
            </w:r>
          </w:p>
        </w:tc>
      </w:tr>
      <w:tr w:rsidR="00110B3D" w:rsidRPr="0088154E" w14:paraId="018BE843" w14:textId="77777777" w:rsidTr="00B62394">
        <w:trPr>
          <w:trHeight w:hRule="exact" w:val="317"/>
        </w:trPr>
        <w:tc>
          <w:tcPr>
            <w:tcW w:w="9375" w:type="dxa"/>
            <w:gridSpan w:val="5"/>
            <w:shd w:val="clear" w:color="auto" w:fill="C6D9F1" w:themeFill="text2" w:themeFillTint="33"/>
          </w:tcPr>
          <w:p w14:paraId="5D7C3862" w14:textId="77777777" w:rsidR="00110B3D" w:rsidRPr="0088154E" w:rsidRDefault="00110B3D" w:rsidP="00110B3D">
            <w:pPr>
              <w:jc w:val="center"/>
              <w:rPr>
                <w:rFonts w:eastAsia="Calibri"/>
                <w:sz w:val="20"/>
                <w:szCs w:val="20"/>
              </w:rPr>
            </w:pPr>
            <w:r w:rsidRPr="0088154E">
              <w:rPr>
                <w:b/>
                <w:bCs/>
                <w:i/>
                <w:iCs/>
                <w:sz w:val="20"/>
                <w:szCs w:val="20"/>
              </w:rPr>
              <w:t>HC #5: Increase in Resident Mobility</w:t>
            </w:r>
          </w:p>
        </w:tc>
      </w:tr>
      <w:tr w:rsidR="00110B3D" w:rsidRPr="0088154E" w14:paraId="4FEEB353" w14:textId="77777777" w:rsidTr="00B62394">
        <w:trPr>
          <w:trHeight w:hRule="exact" w:val="576"/>
        </w:trPr>
        <w:tc>
          <w:tcPr>
            <w:tcW w:w="3240" w:type="dxa"/>
            <w:shd w:val="clear" w:color="auto" w:fill="D9D9D9" w:themeFill="background1" w:themeFillShade="D9"/>
          </w:tcPr>
          <w:p w14:paraId="6F5A11F4" w14:textId="77777777" w:rsidR="00110B3D" w:rsidRPr="0088154E" w:rsidRDefault="00110B3D" w:rsidP="00110B3D">
            <w:pPr>
              <w:jc w:val="center"/>
              <w:rPr>
                <w:rFonts w:eastAsia="Calibri"/>
                <w:b/>
                <w:bCs/>
                <w:sz w:val="20"/>
                <w:szCs w:val="20"/>
              </w:rPr>
            </w:pPr>
            <w:r w:rsidRPr="0088154E">
              <w:rPr>
                <w:rFonts w:eastAsia="Calibri"/>
                <w:b/>
                <w:bCs/>
                <w:sz w:val="20"/>
                <w:szCs w:val="20"/>
              </w:rPr>
              <w:t>Unit of Measurement</w:t>
            </w:r>
          </w:p>
        </w:tc>
        <w:tc>
          <w:tcPr>
            <w:tcW w:w="1714" w:type="dxa"/>
            <w:shd w:val="clear" w:color="auto" w:fill="D9D9D9" w:themeFill="background1" w:themeFillShade="D9"/>
          </w:tcPr>
          <w:p w14:paraId="6D6F9FA5" w14:textId="77777777" w:rsidR="00110B3D" w:rsidRPr="0088154E" w:rsidRDefault="00110B3D" w:rsidP="00110B3D">
            <w:pPr>
              <w:jc w:val="center"/>
              <w:rPr>
                <w:rFonts w:eastAsia="Calibri"/>
                <w:b/>
                <w:bCs/>
                <w:sz w:val="20"/>
                <w:szCs w:val="20"/>
              </w:rPr>
            </w:pPr>
            <w:r w:rsidRPr="0088154E">
              <w:rPr>
                <w:rFonts w:eastAsia="Calibri"/>
                <w:b/>
                <w:bCs/>
                <w:sz w:val="20"/>
                <w:szCs w:val="20"/>
              </w:rPr>
              <w:t>Baseline</w:t>
            </w:r>
          </w:p>
        </w:tc>
        <w:tc>
          <w:tcPr>
            <w:tcW w:w="1627" w:type="dxa"/>
            <w:shd w:val="clear" w:color="auto" w:fill="D9D9D9" w:themeFill="background1" w:themeFillShade="D9"/>
          </w:tcPr>
          <w:p w14:paraId="6E4C78CC" w14:textId="77777777" w:rsidR="00110B3D" w:rsidRPr="0088154E" w:rsidRDefault="00110B3D" w:rsidP="00110B3D">
            <w:pPr>
              <w:jc w:val="center"/>
              <w:rPr>
                <w:rFonts w:eastAsia="Calibri"/>
                <w:b/>
                <w:bCs/>
                <w:sz w:val="20"/>
                <w:szCs w:val="20"/>
              </w:rPr>
            </w:pPr>
            <w:r w:rsidRPr="0088154E">
              <w:rPr>
                <w:rFonts w:eastAsia="Calibri"/>
                <w:b/>
                <w:bCs/>
                <w:sz w:val="20"/>
                <w:szCs w:val="20"/>
              </w:rPr>
              <w:t>Benchmark</w:t>
            </w:r>
          </w:p>
        </w:tc>
        <w:tc>
          <w:tcPr>
            <w:tcW w:w="1354" w:type="dxa"/>
            <w:shd w:val="clear" w:color="auto" w:fill="D9D9D9" w:themeFill="background1" w:themeFillShade="D9"/>
          </w:tcPr>
          <w:p w14:paraId="06C30DB1" w14:textId="77777777" w:rsidR="00110B3D" w:rsidRPr="0088154E" w:rsidRDefault="00110B3D" w:rsidP="00110B3D">
            <w:pPr>
              <w:jc w:val="center"/>
              <w:rPr>
                <w:rFonts w:eastAsia="Calibri"/>
                <w:b/>
                <w:bCs/>
                <w:sz w:val="20"/>
                <w:szCs w:val="20"/>
              </w:rPr>
            </w:pPr>
            <w:r w:rsidRPr="0088154E">
              <w:rPr>
                <w:rFonts w:eastAsia="Calibri"/>
                <w:b/>
                <w:bCs/>
                <w:sz w:val="20"/>
                <w:szCs w:val="20"/>
              </w:rPr>
              <w:t>Outcome</w:t>
            </w:r>
          </w:p>
        </w:tc>
        <w:tc>
          <w:tcPr>
            <w:tcW w:w="1440" w:type="dxa"/>
            <w:shd w:val="clear" w:color="auto" w:fill="D9D9D9" w:themeFill="background1" w:themeFillShade="D9"/>
          </w:tcPr>
          <w:p w14:paraId="03F10237" w14:textId="77777777" w:rsidR="00110B3D" w:rsidRPr="0088154E" w:rsidRDefault="00110B3D" w:rsidP="00110B3D">
            <w:pPr>
              <w:jc w:val="center"/>
              <w:rPr>
                <w:rFonts w:eastAsia="Calibri"/>
                <w:b/>
                <w:bCs/>
                <w:sz w:val="20"/>
                <w:szCs w:val="20"/>
              </w:rPr>
            </w:pPr>
            <w:r w:rsidRPr="0088154E">
              <w:rPr>
                <w:rFonts w:eastAsia="Calibri"/>
                <w:b/>
                <w:bCs/>
                <w:sz w:val="20"/>
                <w:szCs w:val="20"/>
              </w:rPr>
              <w:t>Benchmark Achieved?</w:t>
            </w:r>
          </w:p>
        </w:tc>
      </w:tr>
      <w:tr w:rsidR="0086533B" w:rsidRPr="0088154E" w14:paraId="30BCA6E4" w14:textId="77777777" w:rsidTr="00B62394">
        <w:trPr>
          <w:trHeight w:val="350"/>
        </w:trPr>
        <w:tc>
          <w:tcPr>
            <w:tcW w:w="3240" w:type="dxa"/>
            <w:shd w:val="clear" w:color="auto" w:fill="auto"/>
          </w:tcPr>
          <w:p w14:paraId="13624B99" w14:textId="77777777" w:rsidR="0086533B" w:rsidRPr="0088154E" w:rsidRDefault="0086533B" w:rsidP="0086533B">
            <w:pPr>
              <w:rPr>
                <w:rFonts w:eastAsia="Calibri"/>
                <w:sz w:val="20"/>
                <w:szCs w:val="20"/>
              </w:rPr>
            </w:pPr>
            <w:r w:rsidRPr="0088154E">
              <w:rPr>
                <w:sz w:val="20"/>
                <w:szCs w:val="20"/>
              </w:rPr>
              <w:t>Number of households able to move to a better unit and/or neighborhood of opportunity as a result of the activity (increase).</w:t>
            </w:r>
          </w:p>
        </w:tc>
        <w:tc>
          <w:tcPr>
            <w:tcW w:w="1714" w:type="dxa"/>
            <w:shd w:val="clear" w:color="auto" w:fill="auto"/>
          </w:tcPr>
          <w:p w14:paraId="3CFAFB42" w14:textId="0A08C80A" w:rsidR="0086533B" w:rsidRPr="0088154E" w:rsidRDefault="00D0771C" w:rsidP="008D7DC4">
            <w:pPr>
              <w:jc w:val="center"/>
              <w:rPr>
                <w:rFonts w:eastAsia="Calibri"/>
                <w:sz w:val="20"/>
                <w:szCs w:val="20"/>
              </w:rPr>
            </w:pPr>
            <w:r w:rsidRPr="0088154E">
              <w:rPr>
                <w:rFonts w:eastAsia="Calibri"/>
                <w:bCs/>
                <w:iCs/>
                <w:sz w:val="20"/>
                <w:szCs w:val="20"/>
              </w:rPr>
              <w:t>0 households</w:t>
            </w:r>
          </w:p>
        </w:tc>
        <w:tc>
          <w:tcPr>
            <w:tcW w:w="1627" w:type="dxa"/>
            <w:shd w:val="clear" w:color="auto" w:fill="auto"/>
          </w:tcPr>
          <w:p w14:paraId="0385E22E" w14:textId="38B14B4F" w:rsidR="0086533B" w:rsidRPr="0088154E" w:rsidRDefault="00F27AA3" w:rsidP="008D7DC4">
            <w:pPr>
              <w:jc w:val="center"/>
              <w:rPr>
                <w:rFonts w:eastAsia="Calibri"/>
                <w:sz w:val="20"/>
                <w:szCs w:val="20"/>
              </w:rPr>
            </w:pPr>
            <w:r w:rsidRPr="0088154E">
              <w:rPr>
                <w:rFonts w:eastAsia="Calibri"/>
                <w:sz w:val="20"/>
                <w:szCs w:val="20"/>
              </w:rPr>
              <w:t>40</w:t>
            </w:r>
            <w:r w:rsidR="00D0771C" w:rsidRPr="0088154E">
              <w:rPr>
                <w:rFonts w:eastAsia="Calibri"/>
                <w:sz w:val="20"/>
                <w:szCs w:val="20"/>
              </w:rPr>
              <w:t xml:space="preserve"> households</w:t>
            </w:r>
          </w:p>
        </w:tc>
        <w:tc>
          <w:tcPr>
            <w:tcW w:w="1354" w:type="dxa"/>
            <w:shd w:val="clear" w:color="auto" w:fill="auto"/>
          </w:tcPr>
          <w:p w14:paraId="4242B1F6" w14:textId="3D8E9713" w:rsidR="0086533B" w:rsidRPr="0088154E" w:rsidRDefault="0086533B" w:rsidP="008D7DC4">
            <w:pPr>
              <w:jc w:val="center"/>
              <w:rPr>
                <w:rFonts w:eastAsia="Calibri"/>
                <w:sz w:val="20"/>
                <w:szCs w:val="20"/>
              </w:rPr>
            </w:pPr>
          </w:p>
        </w:tc>
        <w:tc>
          <w:tcPr>
            <w:tcW w:w="1440" w:type="dxa"/>
            <w:shd w:val="clear" w:color="auto" w:fill="auto"/>
          </w:tcPr>
          <w:p w14:paraId="13B20D80" w14:textId="607E2E1D" w:rsidR="0086533B" w:rsidRPr="0088154E" w:rsidRDefault="0086533B" w:rsidP="008D7DC4">
            <w:pPr>
              <w:jc w:val="center"/>
              <w:rPr>
                <w:rFonts w:eastAsia="Calibri"/>
                <w:sz w:val="20"/>
                <w:szCs w:val="20"/>
              </w:rPr>
            </w:pPr>
          </w:p>
        </w:tc>
      </w:tr>
    </w:tbl>
    <w:p w14:paraId="1AD91D2F" w14:textId="0357B1CE" w:rsidR="0098594D" w:rsidRPr="0088154E" w:rsidRDefault="0098594D" w:rsidP="002F3C7A">
      <w:pPr>
        <w:rPr>
          <w:color w:val="000000"/>
          <w:sz w:val="22"/>
          <w:szCs w:val="22"/>
        </w:rPr>
      </w:pPr>
    </w:p>
    <w:p w14:paraId="465F730E" w14:textId="77777777" w:rsidR="0098594D" w:rsidRPr="0088154E" w:rsidRDefault="0098594D" w:rsidP="0098594D">
      <w:pPr>
        <w:jc w:val="both"/>
        <w:rPr>
          <w:b/>
          <w:color w:val="000000"/>
          <w:sz w:val="22"/>
          <w:szCs w:val="22"/>
        </w:rPr>
      </w:pPr>
      <w:r w:rsidRPr="0088154E">
        <w:rPr>
          <w:b/>
          <w:color w:val="000000"/>
          <w:sz w:val="22"/>
          <w:szCs w:val="22"/>
        </w:rPr>
        <w:t>Planned Significant Changes</w:t>
      </w:r>
    </w:p>
    <w:p w14:paraId="56CDABD6" w14:textId="77777777" w:rsidR="0098594D" w:rsidRPr="0088154E" w:rsidRDefault="0098594D" w:rsidP="0098594D">
      <w:pPr>
        <w:jc w:val="both"/>
        <w:rPr>
          <w:color w:val="000000" w:themeColor="text1"/>
          <w:sz w:val="22"/>
          <w:szCs w:val="22"/>
        </w:rPr>
      </w:pPr>
      <w:r w:rsidRPr="0088154E">
        <w:rPr>
          <w:color w:val="000000" w:themeColor="text1"/>
          <w:sz w:val="22"/>
          <w:szCs w:val="22"/>
        </w:rPr>
        <w:t>No significant changes are planned.</w:t>
      </w:r>
    </w:p>
    <w:p w14:paraId="564CCE9A" w14:textId="77777777" w:rsidR="0098594D" w:rsidRPr="0088154E" w:rsidRDefault="0098594D" w:rsidP="002F3C7A">
      <w:pPr>
        <w:rPr>
          <w:color w:val="000000"/>
        </w:rPr>
        <w:sectPr w:rsidR="0098594D" w:rsidRPr="0088154E" w:rsidSect="00F61294">
          <w:pgSz w:w="12240" w:h="15840"/>
          <w:pgMar w:top="1440" w:right="1440" w:bottom="1440" w:left="1440" w:header="720" w:footer="720" w:gutter="0"/>
          <w:cols w:space="720"/>
          <w:docGrid w:linePitch="360"/>
        </w:sectPr>
      </w:pPr>
    </w:p>
    <w:p w14:paraId="589691C7" w14:textId="77777777" w:rsidR="00A35358" w:rsidRPr="0088154E" w:rsidRDefault="00A35358" w:rsidP="001F2A56">
      <w:pPr>
        <w:pStyle w:val="Heading3"/>
      </w:pPr>
      <w:bookmarkStart w:id="63" w:name="_Toc33016946"/>
      <w:r w:rsidRPr="0088154E">
        <w:t xml:space="preserve">Activity </w:t>
      </w:r>
      <w:r w:rsidR="006D6981" w:rsidRPr="0088154E">
        <w:t>2018-4</w:t>
      </w:r>
      <w:r w:rsidRPr="0088154E">
        <w:t>: Support for the Secure Jobs Initiative: Services Only</w:t>
      </w:r>
      <w:bookmarkEnd w:id="63"/>
    </w:p>
    <w:p w14:paraId="236362BA" w14:textId="77777777" w:rsidR="00A35358" w:rsidRPr="0088154E" w:rsidRDefault="00A35358" w:rsidP="00A35358">
      <w:pPr>
        <w:rPr>
          <w:b/>
          <w:color w:val="000000"/>
          <w:sz w:val="22"/>
          <w:szCs w:val="22"/>
          <w:u w:val="single"/>
        </w:rPr>
      </w:pPr>
    </w:p>
    <w:p w14:paraId="100621E6" w14:textId="77777777" w:rsidR="00C73902" w:rsidRPr="0088154E" w:rsidRDefault="00C73902" w:rsidP="00C73902">
      <w:pPr>
        <w:jc w:val="both"/>
        <w:rPr>
          <w:color w:val="000000"/>
          <w:sz w:val="22"/>
          <w:szCs w:val="22"/>
        </w:rPr>
      </w:pPr>
      <w:r w:rsidRPr="0088154E">
        <w:rPr>
          <w:b/>
          <w:color w:val="000000"/>
          <w:sz w:val="22"/>
          <w:szCs w:val="22"/>
        </w:rPr>
        <w:t>Plan Year Approved, Implemented, Amended</w:t>
      </w:r>
      <w:r w:rsidRPr="0088154E">
        <w:rPr>
          <w:color w:val="000000"/>
          <w:sz w:val="22"/>
          <w:szCs w:val="22"/>
        </w:rPr>
        <w:t xml:space="preserve"> </w:t>
      </w:r>
    </w:p>
    <w:p w14:paraId="564F2D46" w14:textId="77777777" w:rsidR="00C73902" w:rsidRPr="0088154E" w:rsidRDefault="00C73902" w:rsidP="00C73902">
      <w:pPr>
        <w:rPr>
          <w:sz w:val="22"/>
          <w:szCs w:val="22"/>
        </w:rPr>
      </w:pPr>
      <w:r w:rsidRPr="0088154E">
        <w:rPr>
          <w:sz w:val="22"/>
          <w:szCs w:val="22"/>
        </w:rPr>
        <w:t xml:space="preserve">Approved FY 2018 and implemented FY 2019. </w:t>
      </w:r>
    </w:p>
    <w:p w14:paraId="3688C387" w14:textId="77777777" w:rsidR="00C73902" w:rsidRPr="0088154E" w:rsidRDefault="00C73902" w:rsidP="00C73902">
      <w:pPr>
        <w:jc w:val="both"/>
        <w:rPr>
          <w:color w:val="000000"/>
          <w:sz w:val="22"/>
          <w:szCs w:val="22"/>
        </w:rPr>
      </w:pPr>
    </w:p>
    <w:p w14:paraId="36CF2E78" w14:textId="77777777" w:rsidR="00A35358" w:rsidRPr="0088154E" w:rsidRDefault="00A35358" w:rsidP="00A35358">
      <w:pPr>
        <w:tabs>
          <w:tab w:val="left" w:pos="450"/>
        </w:tabs>
        <w:jc w:val="both"/>
        <w:rPr>
          <w:b/>
          <w:color w:val="000000"/>
          <w:sz w:val="22"/>
          <w:szCs w:val="22"/>
        </w:rPr>
      </w:pPr>
      <w:r w:rsidRPr="0088154E">
        <w:rPr>
          <w:b/>
          <w:color w:val="000000"/>
          <w:sz w:val="22"/>
          <w:szCs w:val="22"/>
        </w:rPr>
        <w:t>Description</w:t>
      </w:r>
      <w:r w:rsidR="007131A6" w:rsidRPr="0088154E">
        <w:rPr>
          <w:b/>
          <w:color w:val="000000"/>
          <w:sz w:val="22"/>
          <w:szCs w:val="22"/>
        </w:rPr>
        <w:t>/Update</w:t>
      </w:r>
      <w:r w:rsidRPr="0088154E">
        <w:rPr>
          <w:b/>
          <w:color w:val="000000"/>
          <w:sz w:val="22"/>
          <w:szCs w:val="22"/>
        </w:rPr>
        <w:t xml:space="preserve"> </w:t>
      </w:r>
    </w:p>
    <w:p w14:paraId="45369493" w14:textId="460C819A" w:rsidR="00E001F8" w:rsidRPr="000B6E14" w:rsidRDefault="00A35358" w:rsidP="00300F7D">
      <w:pPr>
        <w:tabs>
          <w:tab w:val="left" w:pos="0"/>
          <w:tab w:val="left" w:pos="90"/>
        </w:tabs>
        <w:jc w:val="both"/>
        <w:rPr>
          <w:sz w:val="22"/>
          <w:szCs w:val="22"/>
        </w:rPr>
      </w:pPr>
      <w:r w:rsidRPr="0088154E">
        <w:rPr>
          <w:color w:val="000000"/>
          <w:sz w:val="22"/>
          <w:szCs w:val="22"/>
        </w:rPr>
        <w:t>In FY 2018</w:t>
      </w:r>
      <w:r w:rsidR="006F27D5" w:rsidRPr="0088154E">
        <w:rPr>
          <w:color w:val="000000"/>
          <w:sz w:val="22"/>
          <w:szCs w:val="22"/>
        </w:rPr>
        <w:t>,</w:t>
      </w:r>
      <w:r w:rsidRPr="0088154E">
        <w:rPr>
          <w:color w:val="000000"/>
          <w:sz w:val="22"/>
          <w:szCs w:val="22"/>
        </w:rPr>
        <w:t xml:space="preserve"> HUD approved DHCD’s Support for the Secure Jobs Initiative: Services Only activity</w:t>
      </w:r>
      <w:r w:rsidR="00376247" w:rsidRPr="0088154E">
        <w:rPr>
          <w:color w:val="000000"/>
          <w:sz w:val="22"/>
          <w:szCs w:val="22"/>
        </w:rPr>
        <w:t xml:space="preserve"> and DHCD began implementation planning</w:t>
      </w:r>
      <w:r w:rsidR="00D93AF7" w:rsidRPr="0088154E">
        <w:rPr>
          <w:color w:val="000000"/>
          <w:sz w:val="22"/>
          <w:szCs w:val="22"/>
        </w:rPr>
        <w:t xml:space="preserve">. </w:t>
      </w:r>
      <w:r w:rsidR="00EE323A" w:rsidRPr="0088154E">
        <w:rPr>
          <w:color w:val="000000"/>
          <w:sz w:val="22"/>
          <w:szCs w:val="22"/>
        </w:rPr>
        <w:t xml:space="preserve">Using </w:t>
      </w:r>
      <w:r w:rsidR="00EE323A" w:rsidRPr="0088154E">
        <w:rPr>
          <w:sz w:val="22"/>
          <w:szCs w:val="22"/>
        </w:rPr>
        <w:t>MTW</w:t>
      </w:r>
      <w:r w:rsidR="007131A6" w:rsidRPr="0088154E">
        <w:rPr>
          <w:sz w:val="22"/>
          <w:szCs w:val="22"/>
        </w:rPr>
        <w:t xml:space="preserve"> Block Grant funding flexibility</w:t>
      </w:r>
      <w:r w:rsidR="00EE323A" w:rsidRPr="0088154E">
        <w:rPr>
          <w:sz w:val="22"/>
          <w:szCs w:val="22"/>
        </w:rPr>
        <w:t xml:space="preserve">, this activity builds </w:t>
      </w:r>
      <w:r w:rsidR="00115FD3" w:rsidRPr="0088154E">
        <w:rPr>
          <w:sz w:val="22"/>
          <w:szCs w:val="22"/>
        </w:rPr>
        <w:t>up</w:t>
      </w:r>
      <w:r w:rsidR="002F1CAD" w:rsidRPr="0088154E">
        <w:rPr>
          <w:sz w:val="22"/>
          <w:szCs w:val="22"/>
        </w:rPr>
        <w:t xml:space="preserve">on </w:t>
      </w:r>
      <w:r w:rsidR="00EE323A" w:rsidRPr="0088154E">
        <w:rPr>
          <w:sz w:val="22"/>
          <w:szCs w:val="22"/>
        </w:rPr>
        <w:t>t</w:t>
      </w:r>
      <w:r w:rsidR="00115FD3" w:rsidRPr="0088154E">
        <w:rPr>
          <w:sz w:val="22"/>
          <w:szCs w:val="22"/>
        </w:rPr>
        <w:t xml:space="preserve">he services portion </w:t>
      </w:r>
      <w:r w:rsidR="007131A6" w:rsidRPr="0088154E">
        <w:rPr>
          <w:sz w:val="22"/>
          <w:szCs w:val="22"/>
        </w:rPr>
        <w:t>of the Secure</w:t>
      </w:r>
      <w:r w:rsidR="0080163C" w:rsidRPr="0088154E">
        <w:rPr>
          <w:sz w:val="22"/>
          <w:szCs w:val="22"/>
        </w:rPr>
        <w:t xml:space="preserve"> Jobs Initiative (SJI) P</w:t>
      </w:r>
      <w:r w:rsidR="00D93AF7" w:rsidRPr="0088154E">
        <w:rPr>
          <w:sz w:val="22"/>
          <w:szCs w:val="22"/>
        </w:rPr>
        <w:t>rogram.</w:t>
      </w:r>
      <w:r w:rsidR="007131A6" w:rsidRPr="0088154E">
        <w:rPr>
          <w:sz w:val="22"/>
          <w:szCs w:val="22"/>
        </w:rPr>
        <w:t xml:space="preserve"> </w:t>
      </w:r>
      <w:r w:rsidR="00E001F8" w:rsidRPr="0088154E">
        <w:rPr>
          <w:rFonts w:eastAsia="Calibri"/>
          <w:sz w:val="22"/>
          <w:szCs w:val="22"/>
        </w:rPr>
        <w:t xml:space="preserve">The clients served under this activity </w:t>
      </w:r>
      <w:r w:rsidR="00EE323A" w:rsidRPr="0088154E">
        <w:rPr>
          <w:rFonts w:eastAsia="Calibri"/>
          <w:sz w:val="22"/>
          <w:szCs w:val="22"/>
        </w:rPr>
        <w:t>are</w:t>
      </w:r>
      <w:r w:rsidR="00EE323A" w:rsidRPr="000B6E14">
        <w:rPr>
          <w:rFonts w:eastAsia="Calibri"/>
          <w:sz w:val="22"/>
          <w:szCs w:val="22"/>
        </w:rPr>
        <w:t xml:space="preserve"> not</w:t>
      </w:r>
      <w:r w:rsidR="00E001F8" w:rsidRPr="000B6E14">
        <w:rPr>
          <w:rFonts w:eastAsia="Calibri"/>
          <w:sz w:val="22"/>
          <w:szCs w:val="22"/>
        </w:rPr>
        <w:t xml:space="preserve"> participants</w:t>
      </w:r>
      <w:r w:rsidR="0080163C">
        <w:rPr>
          <w:rFonts w:eastAsia="Calibri"/>
          <w:sz w:val="22"/>
          <w:szCs w:val="22"/>
        </w:rPr>
        <w:t xml:space="preserve"> in the Housing Choice Voucher P</w:t>
      </w:r>
      <w:r w:rsidR="00E001F8" w:rsidRPr="000B6E14">
        <w:rPr>
          <w:rFonts w:eastAsia="Calibri"/>
          <w:sz w:val="22"/>
          <w:szCs w:val="22"/>
        </w:rPr>
        <w:t>rogram or reside</w:t>
      </w:r>
      <w:r w:rsidR="00D93AF7" w:rsidRPr="000B6E14">
        <w:rPr>
          <w:rFonts w:eastAsia="Calibri"/>
          <w:sz w:val="22"/>
          <w:szCs w:val="22"/>
        </w:rPr>
        <w:t xml:space="preserve">nts of federal public housing. </w:t>
      </w:r>
      <w:r w:rsidR="007131A6" w:rsidRPr="000B6E14">
        <w:rPr>
          <w:sz w:val="22"/>
          <w:szCs w:val="22"/>
        </w:rPr>
        <w:t>Low-income pa</w:t>
      </w:r>
      <w:r w:rsidR="00EE323A" w:rsidRPr="000B6E14">
        <w:rPr>
          <w:sz w:val="22"/>
          <w:szCs w:val="22"/>
        </w:rPr>
        <w:t>rticipants in this activity</w:t>
      </w:r>
      <w:r w:rsidR="007131A6" w:rsidRPr="000B6E14">
        <w:rPr>
          <w:sz w:val="22"/>
          <w:szCs w:val="22"/>
        </w:rPr>
        <w:t xml:space="preserve"> receive supportive services, but not vouchers. </w:t>
      </w:r>
      <w:r w:rsidR="00E001F8" w:rsidRPr="000B6E14">
        <w:rPr>
          <w:sz w:val="22"/>
          <w:szCs w:val="22"/>
        </w:rPr>
        <w:t xml:space="preserve">Leveraging other state and private dollars, MTW Block Grant funds partially support recruitment and referral, intake and assessment, completion of IEPs, job readiness training, career counseling, job development and connecting participants to employers and post-employment placement services. MTW Block Grant service dollars </w:t>
      </w:r>
      <w:r w:rsidR="00EE323A" w:rsidRPr="000B6E14">
        <w:rPr>
          <w:sz w:val="22"/>
          <w:szCs w:val="22"/>
        </w:rPr>
        <w:t xml:space="preserve">are </w:t>
      </w:r>
      <w:r w:rsidR="00E001F8" w:rsidRPr="000B6E14">
        <w:rPr>
          <w:sz w:val="22"/>
          <w:szCs w:val="22"/>
        </w:rPr>
        <w:t>used flexibly to pay for small expenses such as licensure tests, RMV fees, transportation passes, uniforms and other expenses that may act as barriers to successful employment.</w:t>
      </w:r>
    </w:p>
    <w:p w14:paraId="59EEA338" w14:textId="77777777" w:rsidR="00A35358" w:rsidRPr="000B6E14" w:rsidRDefault="00A35358" w:rsidP="00E001F8">
      <w:pPr>
        <w:tabs>
          <w:tab w:val="left" w:pos="0"/>
          <w:tab w:val="left" w:pos="90"/>
        </w:tabs>
        <w:rPr>
          <w:color w:val="000000"/>
          <w:sz w:val="22"/>
          <w:szCs w:val="22"/>
        </w:rPr>
      </w:pPr>
    </w:p>
    <w:p w14:paraId="516AB835" w14:textId="64780CE2" w:rsidR="005464C2" w:rsidRPr="000B6E14" w:rsidRDefault="005464C2" w:rsidP="00074854">
      <w:pPr>
        <w:jc w:val="both"/>
        <w:rPr>
          <w:color w:val="000000"/>
          <w:sz w:val="22"/>
          <w:szCs w:val="22"/>
        </w:rPr>
      </w:pPr>
      <w:r w:rsidRPr="000B6E14">
        <w:rPr>
          <w:color w:val="000000"/>
          <w:sz w:val="22"/>
          <w:szCs w:val="22"/>
        </w:rPr>
        <w:t>DHCD has completed the</w:t>
      </w:r>
      <w:r w:rsidR="00957A48" w:rsidRPr="000B6E14">
        <w:rPr>
          <w:color w:val="000000"/>
          <w:sz w:val="22"/>
          <w:szCs w:val="22"/>
        </w:rPr>
        <w:t xml:space="preserve"> procurement </w:t>
      </w:r>
      <w:r w:rsidR="00B73623" w:rsidRPr="000B6E14">
        <w:rPr>
          <w:color w:val="000000"/>
          <w:sz w:val="22"/>
          <w:szCs w:val="22"/>
        </w:rPr>
        <w:t xml:space="preserve">for </w:t>
      </w:r>
      <w:r w:rsidR="00957A48" w:rsidRPr="000B6E14">
        <w:rPr>
          <w:color w:val="000000"/>
          <w:sz w:val="22"/>
          <w:szCs w:val="22"/>
        </w:rPr>
        <w:t xml:space="preserve">service providers </w:t>
      </w:r>
      <w:r w:rsidRPr="000B6E14">
        <w:rPr>
          <w:color w:val="000000"/>
          <w:sz w:val="22"/>
          <w:szCs w:val="22"/>
        </w:rPr>
        <w:t xml:space="preserve">and the State </w:t>
      </w:r>
      <w:r w:rsidR="00376247" w:rsidRPr="000B6E14">
        <w:rPr>
          <w:color w:val="000000"/>
          <w:sz w:val="22"/>
          <w:szCs w:val="22"/>
        </w:rPr>
        <w:t>executed contract</w:t>
      </w:r>
      <w:r w:rsidR="006F27D5" w:rsidRPr="000B6E14">
        <w:rPr>
          <w:color w:val="000000"/>
          <w:sz w:val="22"/>
          <w:szCs w:val="22"/>
        </w:rPr>
        <w:t>s with 8 partnering agencies that</w:t>
      </w:r>
      <w:r w:rsidR="00376247" w:rsidRPr="000B6E14">
        <w:rPr>
          <w:color w:val="000000"/>
          <w:sz w:val="22"/>
          <w:szCs w:val="22"/>
        </w:rPr>
        <w:t xml:space="preserve"> began providing services.</w:t>
      </w:r>
      <w:r w:rsidR="00D93AF7" w:rsidRPr="000B6E14">
        <w:rPr>
          <w:color w:val="000000"/>
          <w:sz w:val="22"/>
          <w:szCs w:val="22"/>
        </w:rPr>
        <w:t xml:space="preserve"> It is anticipated that MTW Block Grant funds will support up to </w:t>
      </w:r>
      <w:r w:rsidR="00F0512F" w:rsidRPr="000B6E14">
        <w:rPr>
          <w:color w:val="000000"/>
          <w:sz w:val="22"/>
          <w:szCs w:val="22"/>
        </w:rPr>
        <w:t>900</w:t>
      </w:r>
      <w:r w:rsidR="00D93AF7" w:rsidRPr="000B6E14">
        <w:rPr>
          <w:color w:val="000000"/>
          <w:sz w:val="22"/>
          <w:szCs w:val="22"/>
        </w:rPr>
        <w:t xml:space="preserve"> participants</w:t>
      </w:r>
      <w:r w:rsidR="00957A48" w:rsidRPr="000B6E14">
        <w:rPr>
          <w:color w:val="000000"/>
          <w:sz w:val="22"/>
          <w:szCs w:val="22"/>
        </w:rPr>
        <w:t xml:space="preserve"> in </w:t>
      </w:r>
      <w:r w:rsidR="006D6331" w:rsidRPr="000B6E14">
        <w:rPr>
          <w:color w:val="000000"/>
          <w:sz w:val="22"/>
          <w:szCs w:val="22"/>
        </w:rPr>
        <w:t>FY 2021</w:t>
      </w:r>
      <w:r w:rsidR="00855C5F" w:rsidRPr="000B6E14">
        <w:rPr>
          <w:color w:val="000000"/>
          <w:sz w:val="22"/>
          <w:szCs w:val="22"/>
        </w:rPr>
        <w:t xml:space="preserve"> and that funding will continue through FY 2024.</w:t>
      </w:r>
    </w:p>
    <w:p w14:paraId="0007E583" w14:textId="77777777" w:rsidR="003D1EF0" w:rsidRPr="000B6E14" w:rsidRDefault="003D1EF0" w:rsidP="00E001F8">
      <w:pPr>
        <w:tabs>
          <w:tab w:val="left" w:pos="0"/>
          <w:tab w:val="left" w:pos="90"/>
        </w:tabs>
        <w:rPr>
          <w:color w:val="000000"/>
          <w:sz w:val="22"/>
          <w:szCs w:val="22"/>
        </w:rPr>
      </w:pPr>
    </w:p>
    <w:p w14:paraId="3E555690" w14:textId="77777777" w:rsidR="00D93AF7" w:rsidRPr="000B6E14" w:rsidRDefault="00D93AF7" w:rsidP="00D93AF7">
      <w:pPr>
        <w:jc w:val="both"/>
        <w:rPr>
          <w:b/>
          <w:color w:val="000000"/>
          <w:sz w:val="22"/>
          <w:szCs w:val="22"/>
        </w:rPr>
      </w:pPr>
      <w:r w:rsidRPr="000B6E14">
        <w:rPr>
          <w:b/>
          <w:color w:val="000000"/>
          <w:sz w:val="22"/>
          <w:szCs w:val="22"/>
        </w:rPr>
        <w:t>Planned Non-Significant Changes</w:t>
      </w:r>
    </w:p>
    <w:p w14:paraId="6AE6B6B7" w14:textId="77777777" w:rsidR="00D93AF7" w:rsidRPr="000B6E14" w:rsidRDefault="00D93AF7" w:rsidP="00D93AF7">
      <w:pPr>
        <w:jc w:val="both"/>
        <w:rPr>
          <w:b/>
          <w:strike/>
          <w:color w:val="FF0000"/>
          <w:sz w:val="22"/>
          <w:szCs w:val="22"/>
        </w:rPr>
      </w:pPr>
      <w:r w:rsidRPr="000B6E14">
        <w:rPr>
          <w:color w:val="000000" w:themeColor="text1"/>
          <w:sz w:val="22"/>
          <w:szCs w:val="22"/>
        </w:rPr>
        <w:t xml:space="preserve">No non-significant changes are planned. </w:t>
      </w:r>
    </w:p>
    <w:p w14:paraId="2FFC739B" w14:textId="77777777" w:rsidR="00D93AF7" w:rsidRPr="000B6E14" w:rsidRDefault="00D93AF7" w:rsidP="00D93AF7">
      <w:pPr>
        <w:pStyle w:val="ListParagraph"/>
        <w:numPr>
          <w:ilvl w:val="0"/>
          <w:numId w:val="0"/>
        </w:numPr>
        <w:ind w:left="360"/>
        <w:jc w:val="both"/>
        <w:rPr>
          <w:color w:val="000000" w:themeColor="text1"/>
        </w:rPr>
      </w:pPr>
    </w:p>
    <w:p w14:paraId="02EBD528" w14:textId="39289960" w:rsidR="00D93AF7" w:rsidRPr="000B6E14" w:rsidRDefault="00D93AF7" w:rsidP="00D93AF7">
      <w:pPr>
        <w:jc w:val="both"/>
        <w:rPr>
          <w:b/>
          <w:sz w:val="22"/>
          <w:szCs w:val="22"/>
        </w:rPr>
      </w:pPr>
      <w:r w:rsidRPr="000B6E14">
        <w:rPr>
          <w:b/>
          <w:sz w:val="22"/>
          <w:szCs w:val="22"/>
        </w:rPr>
        <w:t>Planned Changes to Metrics/Data Collection</w:t>
      </w:r>
    </w:p>
    <w:p w14:paraId="24351C7C" w14:textId="0E0D5C62" w:rsidR="0015640A" w:rsidRPr="000B6E14" w:rsidRDefault="00793635" w:rsidP="0015640A">
      <w:pPr>
        <w:jc w:val="both"/>
        <w:rPr>
          <w:bCs/>
          <w:sz w:val="22"/>
          <w:szCs w:val="22"/>
        </w:rPr>
      </w:pPr>
      <w:r w:rsidRPr="000B6E14">
        <w:rPr>
          <w:sz w:val="22"/>
          <w:szCs w:val="22"/>
        </w:rPr>
        <w:t xml:space="preserve">Benchmarks were updated to reflect planned participation and anticipated outcomes for FY 2021. </w:t>
      </w:r>
      <w:r w:rsidR="0015640A" w:rsidRPr="000B6E14">
        <w:rPr>
          <w:bCs/>
          <w:sz w:val="22"/>
          <w:szCs w:val="22"/>
        </w:rPr>
        <w:t xml:space="preserve"> </w:t>
      </w:r>
    </w:p>
    <w:p w14:paraId="3694346A" w14:textId="3B73B3EF" w:rsidR="00CF5240" w:rsidRPr="000B6E14" w:rsidRDefault="00CF5240" w:rsidP="00F0512F">
      <w:pPr>
        <w:jc w:val="both"/>
        <w:rPr>
          <w:bCs/>
        </w:rPr>
      </w:pPr>
    </w:p>
    <w:p w14:paraId="08773A21" w14:textId="59BF31C4" w:rsidR="00D93AF7" w:rsidRPr="000B6E14" w:rsidRDefault="00D93AF7" w:rsidP="00D93AF7">
      <w:pPr>
        <w:jc w:val="both"/>
        <w:rPr>
          <w:b/>
          <w:color w:val="000000"/>
          <w:szCs w:val="22"/>
        </w:rPr>
      </w:pPr>
      <w:r w:rsidRPr="000B6E14">
        <w:rPr>
          <w:bCs/>
          <w:sz w:val="22"/>
          <w:szCs w:val="22"/>
        </w:rPr>
        <w:t xml:space="preserve"> </w:t>
      </w:r>
      <w:r w:rsidRPr="000B6E14">
        <w:rPr>
          <w:b/>
          <w:color w:val="000000"/>
          <w:sz w:val="22"/>
          <w:szCs w:val="22"/>
        </w:rPr>
        <w:t>Metrics</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55"/>
        <w:gridCol w:w="1627"/>
        <w:gridCol w:w="1354"/>
        <w:gridCol w:w="1440"/>
      </w:tblGrid>
      <w:tr w:rsidR="00110B3D" w:rsidRPr="000B6E14" w14:paraId="59F8D9B2" w14:textId="77777777" w:rsidTr="00A416D1">
        <w:trPr>
          <w:trHeight w:hRule="exact" w:val="317"/>
        </w:trPr>
        <w:tc>
          <w:tcPr>
            <w:tcW w:w="9416" w:type="dxa"/>
            <w:gridSpan w:val="5"/>
            <w:shd w:val="clear" w:color="auto" w:fill="C6D9F1" w:themeFill="text2" w:themeFillTint="33"/>
          </w:tcPr>
          <w:p w14:paraId="72DB1671" w14:textId="77777777" w:rsidR="00110B3D" w:rsidRPr="000B6E14" w:rsidRDefault="00110B3D" w:rsidP="00110B3D">
            <w:pPr>
              <w:jc w:val="center"/>
              <w:rPr>
                <w:rFonts w:eastAsia="Calibri"/>
                <w:b/>
                <w:bCs/>
                <w:i/>
                <w:iCs/>
                <w:sz w:val="20"/>
                <w:szCs w:val="20"/>
              </w:rPr>
            </w:pPr>
            <w:r w:rsidRPr="000B6E14">
              <w:rPr>
                <w:rFonts w:eastAsia="Calibri"/>
                <w:b/>
                <w:bCs/>
                <w:i/>
                <w:iCs/>
                <w:sz w:val="20"/>
                <w:szCs w:val="20"/>
              </w:rPr>
              <w:t>CE #4: Increase in Resources Leveraged</w:t>
            </w:r>
          </w:p>
        </w:tc>
      </w:tr>
      <w:tr w:rsidR="00110B3D" w:rsidRPr="000B6E14" w14:paraId="5950A117" w14:textId="77777777" w:rsidTr="00A416D1">
        <w:trPr>
          <w:trHeight w:hRule="exact" w:val="576"/>
        </w:trPr>
        <w:tc>
          <w:tcPr>
            <w:tcW w:w="3240" w:type="dxa"/>
            <w:shd w:val="clear" w:color="auto" w:fill="D9D9D9" w:themeFill="background1" w:themeFillShade="D9"/>
          </w:tcPr>
          <w:p w14:paraId="3AC46A31" w14:textId="77777777" w:rsidR="00110B3D" w:rsidRPr="000B6E14" w:rsidRDefault="00110B3D" w:rsidP="00110B3D">
            <w:pPr>
              <w:jc w:val="center"/>
              <w:rPr>
                <w:rFonts w:eastAsia="Calibri"/>
                <w:b/>
                <w:bCs/>
                <w:i/>
                <w:iCs/>
                <w:sz w:val="20"/>
                <w:szCs w:val="20"/>
              </w:rPr>
            </w:pPr>
            <w:r w:rsidRPr="000B6E14">
              <w:rPr>
                <w:rFonts w:eastAsia="Calibri"/>
                <w:b/>
                <w:bCs/>
                <w:sz w:val="20"/>
                <w:szCs w:val="20"/>
              </w:rPr>
              <w:t>Unit of Measurement</w:t>
            </w:r>
          </w:p>
        </w:tc>
        <w:tc>
          <w:tcPr>
            <w:tcW w:w="1755" w:type="dxa"/>
            <w:shd w:val="clear" w:color="auto" w:fill="D9D9D9" w:themeFill="background1" w:themeFillShade="D9"/>
          </w:tcPr>
          <w:p w14:paraId="1C2A9C31" w14:textId="77777777" w:rsidR="00110B3D" w:rsidRPr="000B6E14" w:rsidRDefault="00110B3D" w:rsidP="00110B3D">
            <w:pPr>
              <w:jc w:val="center"/>
              <w:rPr>
                <w:rFonts w:eastAsia="Calibri"/>
                <w:b/>
                <w:bCs/>
                <w:i/>
                <w:iCs/>
                <w:sz w:val="20"/>
                <w:szCs w:val="20"/>
              </w:rPr>
            </w:pPr>
            <w:r w:rsidRPr="000B6E14">
              <w:rPr>
                <w:rFonts w:eastAsia="Calibri"/>
                <w:b/>
                <w:bCs/>
                <w:sz w:val="20"/>
                <w:szCs w:val="20"/>
              </w:rPr>
              <w:t>Baseline</w:t>
            </w:r>
          </w:p>
        </w:tc>
        <w:tc>
          <w:tcPr>
            <w:tcW w:w="1627" w:type="dxa"/>
            <w:shd w:val="clear" w:color="auto" w:fill="D9D9D9" w:themeFill="background1" w:themeFillShade="D9"/>
          </w:tcPr>
          <w:p w14:paraId="29B6B4BB" w14:textId="77777777" w:rsidR="00110B3D" w:rsidRPr="000B6E14" w:rsidRDefault="00110B3D" w:rsidP="00110B3D">
            <w:pPr>
              <w:jc w:val="center"/>
              <w:rPr>
                <w:rFonts w:eastAsia="Calibri"/>
                <w:b/>
                <w:bCs/>
                <w:i/>
                <w:iCs/>
                <w:sz w:val="20"/>
                <w:szCs w:val="20"/>
              </w:rPr>
            </w:pPr>
            <w:r w:rsidRPr="000B6E14">
              <w:rPr>
                <w:rFonts w:eastAsia="Calibri"/>
                <w:b/>
                <w:bCs/>
                <w:sz w:val="20"/>
                <w:szCs w:val="20"/>
              </w:rPr>
              <w:t>Benchmark</w:t>
            </w:r>
          </w:p>
        </w:tc>
        <w:tc>
          <w:tcPr>
            <w:tcW w:w="1354" w:type="dxa"/>
            <w:shd w:val="clear" w:color="auto" w:fill="D9D9D9" w:themeFill="background1" w:themeFillShade="D9"/>
          </w:tcPr>
          <w:p w14:paraId="614034DC" w14:textId="77777777" w:rsidR="00110B3D" w:rsidRPr="000B6E14" w:rsidRDefault="00110B3D" w:rsidP="00110B3D">
            <w:pPr>
              <w:jc w:val="center"/>
              <w:rPr>
                <w:rFonts w:eastAsia="Calibri"/>
                <w:b/>
                <w:bCs/>
                <w:i/>
                <w:iCs/>
                <w:sz w:val="20"/>
                <w:szCs w:val="20"/>
              </w:rPr>
            </w:pPr>
            <w:r w:rsidRPr="000B6E14">
              <w:rPr>
                <w:rFonts w:eastAsia="Calibri"/>
                <w:b/>
                <w:bCs/>
                <w:sz w:val="20"/>
                <w:szCs w:val="20"/>
              </w:rPr>
              <w:t>Outcome</w:t>
            </w:r>
          </w:p>
        </w:tc>
        <w:tc>
          <w:tcPr>
            <w:tcW w:w="1440" w:type="dxa"/>
            <w:shd w:val="clear" w:color="auto" w:fill="D9D9D9" w:themeFill="background1" w:themeFillShade="D9"/>
          </w:tcPr>
          <w:p w14:paraId="7738CE56" w14:textId="77777777" w:rsidR="00110B3D" w:rsidRPr="000B6E14" w:rsidRDefault="00110B3D" w:rsidP="00110B3D">
            <w:pPr>
              <w:jc w:val="center"/>
              <w:rPr>
                <w:rFonts w:eastAsia="Calibri"/>
                <w:b/>
                <w:bCs/>
                <w:i/>
                <w:iCs/>
                <w:sz w:val="20"/>
                <w:szCs w:val="20"/>
              </w:rPr>
            </w:pPr>
            <w:r w:rsidRPr="000B6E14">
              <w:rPr>
                <w:rFonts w:eastAsia="Calibri"/>
                <w:b/>
                <w:bCs/>
                <w:sz w:val="20"/>
                <w:szCs w:val="20"/>
              </w:rPr>
              <w:t>Benchmark Achieved?</w:t>
            </w:r>
          </w:p>
        </w:tc>
      </w:tr>
      <w:tr w:rsidR="005F03EC" w:rsidRPr="000B6E14" w14:paraId="7B106EFE" w14:textId="77777777" w:rsidTr="00A416D1">
        <w:trPr>
          <w:trHeight w:hRule="exact" w:val="550"/>
        </w:trPr>
        <w:tc>
          <w:tcPr>
            <w:tcW w:w="3240" w:type="dxa"/>
            <w:shd w:val="clear" w:color="auto" w:fill="auto"/>
          </w:tcPr>
          <w:p w14:paraId="0540E645" w14:textId="77777777" w:rsidR="005F03EC" w:rsidRPr="000B6E14" w:rsidRDefault="005F03EC" w:rsidP="005F03EC">
            <w:pPr>
              <w:rPr>
                <w:rFonts w:eastAsia="Calibri"/>
                <w:bCs/>
                <w:iCs/>
                <w:sz w:val="20"/>
                <w:szCs w:val="20"/>
              </w:rPr>
            </w:pPr>
            <w:r w:rsidRPr="000B6E14">
              <w:rPr>
                <w:rFonts w:eastAsia="Calibri"/>
                <w:bCs/>
                <w:iCs/>
                <w:sz w:val="20"/>
                <w:szCs w:val="20"/>
              </w:rPr>
              <w:t>Amount of funds leveraged in dollars (increase)</w:t>
            </w:r>
          </w:p>
        </w:tc>
        <w:tc>
          <w:tcPr>
            <w:tcW w:w="1755" w:type="dxa"/>
            <w:shd w:val="clear" w:color="auto" w:fill="auto"/>
          </w:tcPr>
          <w:p w14:paraId="25CEA2A9" w14:textId="0A240861" w:rsidR="005F03EC" w:rsidRPr="000B6E14" w:rsidRDefault="00D93AF7" w:rsidP="008D7DC4">
            <w:pPr>
              <w:jc w:val="center"/>
              <w:rPr>
                <w:rFonts w:eastAsia="Calibri"/>
                <w:bCs/>
                <w:iCs/>
                <w:sz w:val="20"/>
                <w:szCs w:val="20"/>
              </w:rPr>
            </w:pPr>
            <w:r w:rsidRPr="000B6E14">
              <w:rPr>
                <w:rFonts w:eastAsia="Calibri"/>
                <w:bCs/>
                <w:iCs/>
                <w:sz w:val="20"/>
                <w:szCs w:val="20"/>
              </w:rPr>
              <w:t>$0</w:t>
            </w:r>
          </w:p>
        </w:tc>
        <w:tc>
          <w:tcPr>
            <w:tcW w:w="1627" w:type="dxa"/>
            <w:shd w:val="clear" w:color="auto" w:fill="auto"/>
          </w:tcPr>
          <w:p w14:paraId="0342ECB7" w14:textId="005D6999" w:rsidR="005F03EC" w:rsidRPr="000B6E14" w:rsidRDefault="00D93AF7" w:rsidP="008D7DC4">
            <w:pPr>
              <w:jc w:val="center"/>
              <w:rPr>
                <w:rFonts w:eastAsia="Calibri"/>
                <w:bCs/>
                <w:iCs/>
                <w:sz w:val="20"/>
                <w:szCs w:val="20"/>
              </w:rPr>
            </w:pPr>
            <w:r w:rsidRPr="000B6E14">
              <w:rPr>
                <w:rFonts w:eastAsia="Calibri"/>
                <w:bCs/>
                <w:iCs/>
                <w:sz w:val="20"/>
                <w:szCs w:val="20"/>
              </w:rPr>
              <w:t>$</w:t>
            </w:r>
            <w:r w:rsidR="00F27AA3" w:rsidRPr="000B6E14">
              <w:rPr>
                <w:rFonts w:eastAsia="Calibri"/>
                <w:bCs/>
                <w:iCs/>
                <w:sz w:val="20"/>
                <w:szCs w:val="20"/>
              </w:rPr>
              <w:t>1,912,000</w:t>
            </w:r>
          </w:p>
        </w:tc>
        <w:tc>
          <w:tcPr>
            <w:tcW w:w="1354" w:type="dxa"/>
            <w:shd w:val="clear" w:color="auto" w:fill="auto"/>
          </w:tcPr>
          <w:p w14:paraId="397FC840" w14:textId="2E4DC40E" w:rsidR="005F03EC" w:rsidRPr="000B6E14" w:rsidRDefault="005F03EC" w:rsidP="008D7DC4">
            <w:pPr>
              <w:jc w:val="center"/>
              <w:rPr>
                <w:rFonts w:eastAsia="Calibri"/>
                <w:b/>
                <w:bCs/>
                <w:i/>
                <w:iCs/>
                <w:sz w:val="20"/>
                <w:szCs w:val="20"/>
              </w:rPr>
            </w:pPr>
          </w:p>
        </w:tc>
        <w:tc>
          <w:tcPr>
            <w:tcW w:w="1440" w:type="dxa"/>
            <w:shd w:val="clear" w:color="auto" w:fill="auto"/>
          </w:tcPr>
          <w:p w14:paraId="763219B0" w14:textId="0E1AD919" w:rsidR="005F03EC" w:rsidRPr="000B6E14" w:rsidRDefault="005F03EC" w:rsidP="008D7DC4">
            <w:pPr>
              <w:jc w:val="center"/>
              <w:rPr>
                <w:rFonts w:eastAsia="Calibri"/>
                <w:b/>
                <w:bCs/>
                <w:i/>
                <w:iCs/>
                <w:sz w:val="20"/>
                <w:szCs w:val="20"/>
              </w:rPr>
            </w:pPr>
          </w:p>
        </w:tc>
      </w:tr>
      <w:tr w:rsidR="005F03EC" w:rsidRPr="000B6E14" w14:paraId="638D0F0D" w14:textId="77777777" w:rsidTr="00A416D1">
        <w:trPr>
          <w:trHeight w:hRule="exact" w:val="317"/>
        </w:trPr>
        <w:tc>
          <w:tcPr>
            <w:tcW w:w="9416" w:type="dxa"/>
            <w:gridSpan w:val="5"/>
            <w:shd w:val="clear" w:color="auto" w:fill="C6D9F1" w:themeFill="text2" w:themeFillTint="33"/>
            <w:hideMark/>
          </w:tcPr>
          <w:p w14:paraId="407F026E" w14:textId="77777777" w:rsidR="005F03EC" w:rsidRPr="000B6E14" w:rsidRDefault="005F03EC" w:rsidP="005F03EC">
            <w:pPr>
              <w:jc w:val="center"/>
              <w:rPr>
                <w:rFonts w:eastAsia="Calibri"/>
                <w:b/>
                <w:bCs/>
                <w:i/>
                <w:iCs/>
                <w:sz w:val="20"/>
                <w:szCs w:val="20"/>
              </w:rPr>
            </w:pPr>
            <w:r w:rsidRPr="000B6E14">
              <w:rPr>
                <w:rFonts w:eastAsia="Calibri"/>
                <w:b/>
                <w:bCs/>
                <w:i/>
                <w:iCs/>
                <w:sz w:val="20"/>
                <w:szCs w:val="20"/>
              </w:rPr>
              <w:t>SS #1: Increase in Household Income</w:t>
            </w:r>
          </w:p>
        </w:tc>
      </w:tr>
      <w:tr w:rsidR="005F03EC" w:rsidRPr="000B6E14" w14:paraId="442481AB" w14:textId="77777777" w:rsidTr="00A416D1">
        <w:trPr>
          <w:trHeight w:hRule="exact" w:val="576"/>
        </w:trPr>
        <w:tc>
          <w:tcPr>
            <w:tcW w:w="3240" w:type="dxa"/>
            <w:shd w:val="clear" w:color="auto" w:fill="D9D9D9" w:themeFill="background1" w:themeFillShade="D9"/>
            <w:hideMark/>
          </w:tcPr>
          <w:p w14:paraId="35873E70" w14:textId="77777777" w:rsidR="005F03EC" w:rsidRPr="000B6E14" w:rsidRDefault="005F03EC" w:rsidP="005F03EC">
            <w:pPr>
              <w:jc w:val="center"/>
              <w:rPr>
                <w:rFonts w:eastAsia="Calibri"/>
                <w:b/>
                <w:bCs/>
                <w:sz w:val="20"/>
                <w:szCs w:val="20"/>
              </w:rPr>
            </w:pPr>
            <w:r w:rsidRPr="000B6E14">
              <w:rPr>
                <w:rFonts w:eastAsia="Calibri"/>
                <w:b/>
                <w:bCs/>
                <w:sz w:val="20"/>
                <w:szCs w:val="20"/>
              </w:rPr>
              <w:t>Unit of Measurement</w:t>
            </w:r>
          </w:p>
        </w:tc>
        <w:tc>
          <w:tcPr>
            <w:tcW w:w="1755" w:type="dxa"/>
            <w:shd w:val="clear" w:color="auto" w:fill="D9D9D9" w:themeFill="background1" w:themeFillShade="D9"/>
            <w:hideMark/>
          </w:tcPr>
          <w:p w14:paraId="20732AED" w14:textId="77777777" w:rsidR="005F03EC" w:rsidRPr="000B6E14" w:rsidRDefault="005F03EC" w:rsidP="005F03EC">
            <w:pPr>
              <w:jc w:val="center"/>
              <w:rPr>
                <w:rFonts w:eastAsia="Calibri"/>
                <w:b/>
                <w:bCs/>
                <w:sz w:val="20"/>
                <w:szCs w:val="20"/>
              </w:rPr>
            </w:pPr>
            <w:r w:rsidRPr="000B6E14">
              <w:rPr>
                <w:rFonts w:eastAsia="Calibri"/>
                <w:b/>
                <w:bCs/>
                <w:sz w:val="20"/>
                <w:szCs w:val="20"/>
              </w:rPr>
              <w:t>Baseline</w:t>
            </w:r>
          </w:p>
        </w:tc>
        <w:tc>
          <w:tcPr>
            <w:tcW w:w="1627" w:type="dxa"/>
            <w:shd w:val="clear" w:color="auto" w:fill="D9D9D9" w:themeFill="background1" w:themeFillShade="D9"/>
            <w:hideMark/>
          </w:tcPr>
          <w:p w14:paraId="7D429093" w14:textId="77777777" w:rsidR="005F03EC" w:rsidRPr="000B6E14" w:rsidRDefault="005F03EC" w:rsidP="005F03EC">
            <w:pPr>
              <w:jc w:val="center"/>
              <w:rPr>
                <w:rFonts w:eastAsia="Calibri"/>
                <w:b/>
                <w:bCs/>
                <w:sz w:val="20"/>
                <w:szCs w:val="20"/>
              </w:rPr>
            </w:pPr>
            <w:r w:rsidRPr="000B6E14">
              <w:rPr>
                <w:rFonts w:eastAsia="Calibri"/>
                <w:b/>
                <w:bCs/>
                <w:sz w:val="20"/>
                <w:szCs w:val="20"/>
              </w:rPr>
              <w:t>Benchmark</w:t>
            </w:r>
          </w:p>
        </w:tc>
        <w:tc>
          <w:tcPr>
            <w:tcW w:w="1354" w:type="dxa"/>
            <w:shd w:val="clear" w:color="auto" w:fill="D9D9D9" w:themeFill="background1" w:themeFillShade="D9"/>
            <w:hideMark/>
          </w:tcPr>
          <w:p w14:paraId="7DB1465E" w14:textId="77777777" w:rsidR="005F03EC" w:rsidRPr="000B6E14" w:rsidRDefault="005F03EC" w:rsidP="005F03EC">
            <w:pPr>
              <w:jc w:val="center"/>
              <w:rPr>
                <w:rFonts w:eastAsia="Calibri"/>
                <w:b/>
                <w:bCs/>
                <w:sz w:val="20"/>
                <w:szCs w:val="20"/>
              </w:rPr>
            </w:pPr>
            <w:r w:rsidRPr="000B6E14">
              <w:rPr>
                <w:rFonts w:eastAsia="Calibri"/>
                <w:b/>
                <w:bCs/>
                <w:sz w:val="20"/>
                <w:szCs w:val="20"/>
              </w:rPr>
              <w:t>Outcome</w:t>
            </w:r>
          </w:p>
        </w:tc>
        <w:tc>
          <w:tcPr>
            <w:tcW w:w="1440" w:type="dxa"/>
            <w:shd w:val="clear" w:color="auto" w:fill="D9D9D9" w:themeFill="background1" w:themeFillShade="D9"/>
            <w:hideMark/>
          </w:tcPr>
          <w:p w14:paraId="14E584CE" w14:textId="77777777" w:rsidR="005F03EC" w:rsidRPr="000B6E14" w:rsidRDefault="005F03EC" w:rsidP="005F03EC">
            <w:pPr>
              <w:jc w:val="center"/>
              <w:rPr>
                <w:rFonts w:eastAsia="Calibri"/>
                <w:b/>
                <w:bCs/>
                <w:sz w:val="20"/>
                <w:szCs w:val="20"/>
              </w:rPr>
            </w:pPr>
            <w:r w:rsidRPr="000B6E14">
              <w:rPr>
                <w:rFonts w:eastAsia="Calibri"/>
                <w:b/>
                <w:bCs/>
                <w:sz w:val="20"/>
                <w:szCs w:val="20"/>
              </w:rPr>
              <w:t>Benchmark Achieved?</w:t>
            </w:r>
          </w:p>
        </w:tc>
      </w:tr>
      <w:tr w:rsidR="005F03EC" w:rsidRPr="000B6E14" w14:paraId="390E9C7C" w14:textId="77777777" w:rsidTr="00A416D1">
        <w:trPr>
          <w:trHeight w:val="773"/>
        </w:trPr>
        <w:tc>
          <w:tcPr>
            <w:tcW w:w="3240" w:type="dxa"/>
            <w:shd w:val="clear" w:color="auto" w:fill="auto"/>
            <w:hideMark/>
          </w:tcPr>
          <w:p w14:paraId="478F44C1" w14:textId="77777777" w:rsidR="005F03EC" w:rsidRPr="000B6E14" w:rsidRDefault="005F03EC" w:rsidP="005F03EC">
            <w:pPr>
              <w:rPr>
                <w:rFonts w:eastAsia="Calibri"/>
                <w:sz w:val="20"/>
                <w:szCs w:val="20"/>
              </w:rPr>
            </w:pPr>
            <w:r w:rsidRPr="000B6E14">
              <w:rPr>
                <w:rFonts w:eastAsia="Calibri"/>
                <w:sz w:val="20"/>
                <w:szCs w:val="20"/>
              </w:rPr>
              <w:t>Average earned income of households affected by this policy in dollars (increase).</w:t>
            </w:r>
          </w:p>
        </w:tc>
        <w:tc>
          <w:tcPr>
            <w:tcW w:w="1755" w:type="dxa"/>
            <w:shd w:val="clear" w:color="auto" w:fill="auto"/>
          </w:tcPr>
          <w:p w14:paraId="5E4D6C77" w14:textId="09DE975A" w:rsidR="005F03EC" w:rsidRPr="000B6E14" w:rsidRDefault="00042C13" w:rsidP="005F03EC">
            <w:pPr>
              <w:jc w:val="center"/>
              <w:rPr>
                <w:rFonts w:eastAsia="Calibri"/>
                <w:sz w:val="20"/>
                <w:szCs w:val="20"/>
              </w:rPr>
            </w:pPr>
            <w:r w:rsidRPr="000B6E14">
              <w:rPr>
                <w:rFonts w:eastAsia="Calibri"/>
                <w:sz w:val="20"/>
                <w:szCs w:val="20"/>
              </w:rPr>
              <w:t>$4,341</w:t>
            </w:r>
          </w:p>
        </w:tc>
        <w:tc>
          <w:tcPr>
            <w:tcW w:w="1627" w:type="dxa"/>
            <w:shd w:val="clear" w:color="auto" w:fill="auto"/>
          </w:tcPr>
          <w:p w14:paraId="5B46EE97" w14:textId="3D618D6E" w:rsidR="005F03EC" w:rsidRPr="000B6E14" w:rsidRDefault="00042C13" w:rsidP="005F03EC">
            <w:pPr>
              <w:jc w:val="center"/>
              <w:rPr>
                <w:rFonts w:eastAsia="Calibri"/>
                <w:sz w:val="20"/>
                <w:szCs w:val="20"/>
              </w:rPr>
            </w:pPr>
            <w:r w:rsidRPr="000B6E14">
              <w:rPr>
                <w:rFonts w:eastAsia="Calibri"/>
                <w:sz w:val="20"/>
                <w:szCs w:val="20"/>
              </w:rPr>
              <w:t>$6,212</w:t>
            </w:r>
          </w:p>
        </w:tc>
        <w:tc>
          <w:tcPr>
            <w:tcW w:w="1354" w:type="dxa"/>
            <w:shd w:val="clear" w:color="auto" w:fill="auto"/>
          </w:tcPr>
          <w:p w14:paraId="4B3BFD22" w14:textId="32396490" w:rsidR="005F03EC" w:rsidRPr="000B6E14" w:rsidRDefault="005F03EC" w:rsidP="005F03EC">
            <w:pPr>
              <w:jc w:val="center"/>
              <w:rPr>
                <w:rFonts w:eastAsia="Calibri"/>
                <w:sz w:val="20"/>
                <w:szCs w:val="20"/>
              </w:rPr>
            </w:pPr>
          </w:p>
        </w:tc>
        <w:tc>
          <w:tcPr>
            <w:tcW w:w="1440" w:type="dxa"/>
            <w:shd w:val="clear" w:color="auto" w:fill="auto"/>
          </w:tcPr>
          <w:p w14:paraId="576AD8DE" w14:textId="26251309" w:rsidR="005F03EC" w:rsidRPr="000B6E14" w:rsidRDefault="005F03EC" w:rsidP="005F03EC">
            <w:pPr>
              <w:rPr>
                <w:rFonts w:eastAsia="Calibri"/>
                <w:sz w:val="20"/>
                <w:szCs w:val="20"/>
              </w:rPr>
            </w:pPr>
          </w:p>
        </w:tc>
      </w:tr>
      <w:tr w:rsidR="005F03EC" w:rsidRPr="000B6E14" w14:paraId="15A71546" w14:textId="77777777" w:rsidTr="00A416D1">
        <w:trPr>
          <w:trHeight w:hRule="exact" w:val="317"/>
        </w:trPr>
        <w:tc>
          <w:tcPr>
            <w:tcW w:w="9416" w:type="dxa"/>
            <w:gridSpan w:val="5"/>
            <w:shd w:val="clear" w:color="auto" w:fill="C6D9F1" w:themeFill="text2" w:themeFillTint="33"/>
            <w:hideMark/>
          </w:tcPr>
          <w:p w14:paraId="009600BD" w14:textId="77777777" w:rsidR="005F03EC" w:rsidRPr="000B6E14" w:rsidRDefault="005F03EC" w:rsidP="005F03EC">
            <w:pPr>
              <w:jc w:val="center"/>
              <w:rPr>
                <w:rFonts w:eastAsia="Calibri"/>
                <w:b/>
                <w:bCs/>
                <w:i/>
                <w:iCs/>
                <w:sz w:val="20"/>
                <w:szCs w:val="20"/>
              </w:rPr>
            </w:pPr>
            <w:r w:rsidRPr="000B6E14">
              <w:rPr>
                <w:rFonts w:eastAsia="Calibri"/>
                <w:b/>
                <w:bCs/>
                <w:i/>
                <w:iCs/>
                <w:sz w:val="20"/>
                <w:szCs w:val="20"/>
              </w:rPr>
              <w:t>SS #3: Increase in Positive Outcomes in Employment Status</w:t>
            </w:r>
          </w:p>
        </w:tc>
      </w:tr>
      <w:tr w:rsidR="005F03EC" w:rsidRPr="000B6E14" w14:paraId="4851D009" w14:textId="77777777" w:rsidTr="00A416D1">
        <w:trPr>
          <w:trHeight w:hRule="exact" w:val="576"/>
        </w:trPr>
        <w:tc>
          <w:tcPr>
            <w:tcW w:w="3240" w:type="dxa"/>
            <w:shd w:val="clear" w:color="auto" w:fill="D9D9D9" w:themeFill="background1" w:themeFillShade="D9"/>
            <w:hideMark/>
          </w:tcPr>
          <w:p w14:paraId="45E7E444" w14:textId="77777777" w:rsidR="005F03EC" w:rsidRPr="000B6E14" w:rsidRDefault="005F03EC" w:rsidP="005F03EC">
            <w:pPr>
              <w:jc w:val="center"/>
              <w:rPr>
                <w:rFonts w:eastAsia="Calibri"/>
                <w:b/>
                <w:bCs/>
                <w:sz w:val="20"/>
                <w:szCs w:val="20"/>
              </w:rPr>
            </w:pPr>
            <w:r w:rsidRPr="000B6E14">
              <w:rPr>
                <w:rFonts w:eastAsia="Calibri"/>
                <w:b/>
                <w:bCs/>
                <w:sz w:val="20"/>
                <w:szCs w:val="20"/>
              </w:rPr>
              <w:t>Unit of Measurement</w:t>
            </w:r>
          </w:p>
        </w:tc>
        <w:tc>
          <w:tcPr>
            <w:tcW w:w="1755" w:type="dxa"/>
            <w:shd w:val="clear" w:color="auto" w:fill="D9D9D9" w:themeFill="background1" w:themeFillShade="D9"/>
            <w:hideMark/>
          </w:tcPr>
          <w:p w14:paraId="6C2CCEC4" w14:textId="77777777" w:rsidR="005F03EC" w:rsidRPr="000B6E14" w:rsidRDefault="005F03EC" w:rsidP="005F03EC">
            <w:pPr>
              <w:jc w:val="center"/>
              <w:rPr>
                <w:rFonts w:eastAsia="Calibri"/>
                <w:b/>
                <w:bCs/>
                <w:sz w:val="20"/>
                <w:szCs w:val="20"/>
              </w:rPr>
            </w:pPr>
            <w:r w:rsidRPr="000B6E14">
              <w:rPr>
                <w:rFonts w:eastAsia="Calibri"/>
                <w:b/>
                <w:bCs/>
                <w:sz w:val="20"/>
                <w:szCs w:val="20"/>
              </w:rPr>
              <w:t>Baseline</w:t>
            </w:r>
          </w:p>
        </w:tc>
        <w:tc>
          <w:tcPr>
            <w:tcW w:w="1627" w:type="dxa"/>
            <w:shd w:val="clear" w:color="auto" w:fill="D9D9D9" w:themeFill="background1" w:themeFillShade="D9"/>
            <w:hideMark/>
          </w:tcPr>
          <w:p w14:paraId="0E05376F" w14:textId="77777777" w:rsidR="005F03EC" w:rsidRPr="000B6E14" w:rsidRDefault="005F03EC" w:rsidP="005F03EC">
            <w:pPr>
              <w:jc w:val="center"/>
              <w:rPr>
                <w:rFonts w:eastAsia="Calibri"/>
                <w:b/>
                <w:bCs/>
                <w:sz w:val="20"/>
                <w:szCs w:val="20"/>
              </w:rPr>
            </w:pPr>
            <w:r w:rsidRPr="000B6E14">
              <w:rPr>
                <w:rFonts w:eastAsia="Calibri"/>
                <w:b/>
                <w:bCs/>
                <w:sz w:val="20"/>
                <w:szCs w:val="20"/>
              </w:rPr>
              <w:t>Benchmark</w:t>
            </w:r>
          </w:p>
        </w:tc>
        <w:tc>
          <w:tcPr>
            <w:tcW w:w="1354" w:type="dxa"/>
            <w:shd w:val="clear" w:color="auto" w:fill="D9D9D9" w:themeFill="background1" w:themeFillShade="D9"/>
            <w:hideMark/>
          </w:tcPr>
          <w:p w14:paraId="792C451C" w14:textId="77777777" w:rsidR="005F03EC" w:rsidRPr="000B6E14" w:rsidRDefault="005F03EC" w:rsidP="005F03EC">
            <w:pPr>
              <w:jc w:val="center"/>
              <w:rPr>
                <w:rFonts w:eastAsia="Calibri"/>
                <w:b/>
                <w:bCs/>
                <w:sz w:val="20"/>
                <w:szCs w:val="20"/>
              </w:rPr>
            </w:pPr>
            <w:r w:rsidRPr="000B6E14">
              <w:rPr>
                <w:rFonts w:eastAsia="Calibri"/>
                <w:b/>
                <w:bCs/>
                <w:sz w:val="20"/>
                <w:szCs w:val="20"/>
              </w:rPr>
              <w:t>Outcome</w:t>
            </w:r>
          </w:p>
        </w:tc>
        <w:tc>
          <w:tcPr>
            <w:tcW w:w="1440" w:type="dxa"/>
            <w:shd w:val="clear" w:color="auto" w:fill="D9D9D9" w:themeFill="background1" w:themeFillShade="D9"/>
            <w:hideMark/>
          </w:tcPr>
          <w:p w14:paraId="32642E52" w14:textId="77777777" w:rsidR="005F03EC" w:rsidRPr="000B6E14" w:rsidRDefault="005F03EC" w:rsidP="005F03EC">
            <w:pPr>
              <w:jc w:val="center"/>
              <w:rPr>
                <w:rFonts w:eastAsia="Calibri"/>
                <w:b/>
                <w:bCs/>
                <w:sz w:val="20"/>
                <w:szCs w:val="20"/>
              </w:rPr>
            </w:pPr>
            <w:r w:rsidRPr="000B6E14">
              <w:rPr>
                <w:rFonts w:eastAsia="Calibri"/>
                <w:b/>
                <w:bCs/>
                <w:sz w:val="20"/>
                <w:szCs w:val="20"/>
              </w:rPr>
              <w:t>Benchmark Achieved?</w:t>
            </w:r>
          </w:p>
        </w:tc>
      </w:tr>
      <w:tr w:rsidR="00042C13" w:rsidRPr="000B6E14" w14:paraId="0EEBE512" w14:textId="77777777" w:rsidTr="00A416D1">
        <w:trPr>
          <w:trHeight w:val="315"/>
        </w:trPr>
        <w:tc>
          <w:tcPr>
            <w:tcW w:w="3240" w:type="dxa"/>
            <w:vMerge w:val="restart"/>
            <w:shd w:val="clear" w:color="auto" w:fill="auto"/>
          </w:tcPr>
          <w:p w14:paraId="05A6D7B8" w14:textId="77777777" w:rsidR="00042C13" w:rsidRPr="000B6E14" w:rsidRDefault="00042C13" w:rsidP="00042C13">
            <w:pPr>
              <w:rPr>
                <w:rFonts w:eastAsia="Calibri"/>
                <w:sz w:val="20"/>
                <w:szCs w:val="20"/>
              </w:rPr>
            </w:pPr>
            <w:r w:rsidRPr="000B6E14">
              <w:rPr>
                <w:rFonts w:eastAsia="Calibri"/>
                <w:sz w:val="20"/>
                <w:szCs w:val="20"/>
              </w:rPr>
              <w:t>Unemployed</w:t>
            </w:r>
          </w:p>
        </w:tc>
        <w:tc>
          <w:tcPr>
            <w:tcW w:w="1755" w:type="dxa"/>
            <w:shd w:val="clear" w:color="auto" w:fill="auto"/>
          </w:tcPr>
          <w:p w14:paraId="6CAE5747" w14:textId="0B1AB024" w:rsidR="00042C13" w:rsidRPr="000B6E14" w:rsidRDefault="00042C13" w:rsidP="001A3248">
            <w:pPr>
              <w:jc w:val="center"/>
              <w:rPr>
                <w:rFonts w:eastAsia="Calibri"/>
                <w:sz w:val="20"/>
                <w:szCs w:val="22"/>
              </w:rPr>
            </w:pPr>
            <w:r w:rsidRPr="000B6E14">
              <w:rPr>
                <w:rFonts w:eastAsia="Calibri"/>
                <w:sz w:val="20"/>
                <w:szCs w:val="22"/>
              </w:rPr>
              <w:t>630</w:t>
            </w:r>
          </w:p>
        </w:tc>
        <w:tc>
          <w:tcPr>
            <w:tcW w:w="1627" w:type="dxa"/>
            <w:shd w:val="clear" w:color="auto" w:fill="auto"/>
          </w:tcPr>
          <w:p w14:paraId="775729CA" w14:textId="67159FE1" w:rsidR="00042C13" w:rsidRPr="000B6E14" w:rsidRDefault="00485549" w:rsidP="001A3248">
            <w:pPr>
              <w:jc w:val="center"/>
              <w:rPr>
                <w:rFonts w:eastAsia="Calibri"/>
                <w:sz w:val="20"/>
                <w:szCs w:val="22"/>
              </w:rPr>
            </w:pPr>
            <w:r>
              <w:rPr>
                <w:sz w:val="20"/>
                <w:szCs w:val="22"/>
              </w:rPr>
              <w:t>540</w:t>
            </w:r>
          </w:p>
        </w:tc>
        <w:tc>
          <w:tcPr>
            <w:tcW w:w="1354" w:type="dxa"/>
            <w:shd w:val="clear" w:color="auto" w:fill="auto"/>
          </w:tcPr>
          <w:p w14:paraId="65EB12E8" w14:textId="555D4AF9" w:rsidR="00042C13" w:rsidRPr="000B6E14" w:rsidRDefault="00042C13" w:rsidP="001A3248">
            <w:pPr>
              <w:jc w:val="center"/>
              <w:rPr>
                <w:rFonts w:eastAsia="Calibri"/>
                <w:sz w:val="20"/>
                <w:szCs w:val="20"/>
              </w:rPr>
            </w:pPr>
          </w:p>
        </w:tc>
        <w:tc>
          <w:tcPr>
            <w:tcW w:w="1440" w:type="dxa"/>
            <w:shd w:val="clear" w:color="auto" w:fill="auto"/>
          </w:tcPr>
          <w:p w14:paraId="0641371C" w14:textId="0F68953E" w:rsidR="00042C13" w:rsidRPr="000B6E14" w:rsidRDefault="00042C13" w:rsidP="001A3248">
            <w:pPr>
              <w:jc w:val="center"/>
              <w:rPr>
                <w:rFonts w:eastAsia="Calibri"/>
                <w:sz w:val="20"/>
                <w:szCs w:val="20"/>
              </w:rPr>
            </w:pPr>
          </w:p>
        </w:tc>
      </w:tr>
      <w:tr w:rsidR="00042C13" w:rsidRPr="000B6E14" w14:paraId="11AF8B77" w14:textId="77777777" w:rsidTr="00A416D1">
        <w:trPr>
          <w:trHeight w:val="315"/>
        </w:trPr>
        <w:tc>
          <w:tcPr>
            <w:tcW w:w="3240" w:type="dxa"/>
            <w:vMerge/>
            <w:shd w:val="clear" w:color="auto" w:fill="auto"/>
          </w:tcPr>
          <w:p w14:paraId="0ABFAA5A" w14:textId="77777777" w:rsidR="00042C13" w:rsidRPr="000B6E14" w:rsidRDefault="00042C13" w:rsidP="00042C13">
            <w:pPr>
              <w:rPr>
                <w:rFonts w:eastAsia="Calibri"/>
                <w:sz w:val="20"/>
                <w:szCs w:val="20"/>
              </w:rPr>
            </w:pPr>
          </w:p>
        </w:tc>
        <w:tc>
          <w:tcPr>
            <w:tcW w:w="1755" w:type="dxa"/>
            <w:shd w:val="clear" w:color="auto" w:fill="auto"/>
          </w:tcPr>
          <w:p w14:paraId="75F6E4C2" w14:textId="10F68A3D" w:rsidR="00042C13" w:rsidRPr="000B6E14" w:rsidRDefault="00042C13" w:rsidP="001A3248">
            <w:pPr>
              <w:jc w:val="center"/>
              <w:rPr>
                <w:rFonts w:eastAsia="Calibri"/>
                <w:sz w:val="20"/>
                <w:szCs w:val="22"/>
              </w:rPr>
            </w:pPr>
            <w:r w:rsidRPr="000B6E14">
              <w:rPr>
                <w:rFonts w:eastAsia="Calibri"/>
                <w:sz w:val="20"/>
                <w:szCs w:val="22"/>
              </w:rPr>
              <w:t>74%</w:t>
            </w:r>
          </w:p>
        </w:tc>
        <w:tc>
          <w:tcPr>
            <w:tcW w:w="1627" w:type="dxa"/>
            <w:shd w:val="clear" w:color="auto" w:fill="auto"/>
          </w:tcPr>
          <w:p w14:paraId="1BB2CACF" w14:textId="4B8B8E74" w:rsidR="00042C13" w:rsidRPr="000B6E14" w:rsidRDefault="00485549" w:rsidP="001A3248">
            <w:pPr>
              <w:jc w:val="center"/>
              <w:rPr>
                <w:rFonts w:eastAsia="Calibri"/>
                <w:sz w:val="20"/>
                <w:szCs w:val="22"/>
              </w:rPr>
            </w:pPr>
            <w:r>
              <w:rPr>
                <w:sz w:val="20"/>
                <w:szCs w:val="22"/>
              </w:rPr>
              <w:t>60</w:t>
            </w:r>
            <w:r w:rsidR="00855C5F" w:rsidRPr="000B6E14">
              <w:rPr>
                <w:sz w:val="20"/>
                <w:szCs w:val="22"/>
              </w:rPr>
              <w:t>%</w:t>
            </w:r>
          </w:p>
        </w:tc>
        <w:tc>
          <w:tcPr>
            <w:tcW w:w="1354" w:type="dxa"/>
            <w:shd w:val="clear" w:color="auto" w:fill="auto"/>
          </w:tcPr>
          <w:p w14:paraId="351B2311" w14:textId="75EDD17F" w:rsidR="00042C13" w:rsidRPr="000B6E14" w:rsidRDefault="00042C13" w:rsidP="001A3248">
            <w:pPr>
              <w:jc w:val="center"/>
              <w:rPr>
                <w:rFonts w:eastAsia="Calibri"/>
                <w:sz w:val="20"/>
                <w:szCs w:val="20"/>
              </w:rPr>
            </w:pPr>
          </w:p>
        </w:tc>
        <w:tc>
          <w:tcPr>
            <w:tcW w:w="1440" w:type="dxa"/>
            <w:shd w:val="clear" w:color="auto" w:fill="auto"/>
          </w:tcPr>
          <w:p w14:paraId="6D1D2208" w14:textId="3A321363" w:rsidR="00042C13" w:rsidRPr="000B6E14" w:rsidRDefault="00042C13" w:rsidP="001A3248">
            <w:pPr>
              <w:jc w:val="center"/>
              <w:rPr>
                <w:rFonts w:eastAsia="Calibri"/>
                <w:sz w:val="20"/>
                <w:szCs w:val="20"/>
              </w:rPr>
            </w:pPr>
          </w:p>
        </w:tc>
      </w:tr>
      <w:tr w:rsidR="00042C13" w:rsidRPr="000B6E14" w14:paraId="5CC84F90" w14:textId="77777777" w:rsidTr="00A416D1">
        <w:trPr>
          <w:trHeight w:val="315"/>
        </w:trPr>
        <w:tc>
          <w:tcPr>
            <w:tcW w:w="3240" w:type="dxa"/>
            <w:vMerge w:val="restart"/>
            <w:shd w:val="clear" w:color="auto" w:fill="auto"/>
            <w:hideMark/>
          </w:tcPr>
          <w:p w14:paraId="1685FFC4" w14:textId="75FAB802" w:rsidR="00042C13" w:rsidRPr="000B6E14" w:rsidRDefault="001E7A7F" w:rsidP="00042C13">
            <w:pPr>
              <w:rPr>
                <w:rFonts w:eastAsia="Calibri"/>
                <w:sz w:val="20"/>
                <w:szCs w:val="20"/>
              </w:rPr>
            </w:pPr>
            <w:r w:rsidRPr="000B6E14">
              <w:rPr>
                <w:rFonts w:eastAsia="Calibri"/>
                <w:sz w:val="20"/>
                <w:szCs w:val="20"/>
              </w:rPr>
              <w:t>Employed Part-Time or Full-Time</w:t>
            </w:r>
          </w:p>
        </w:tc>
        <w:tc>
          <w:tcPr>
            <w:tcW w:w="1755" w:type="dxa"/>
            <w:shd w:val="clear" w:color="auto" w:fill="auto"/>
          </w:tcPr>
          <w:p w14:paraId="2DB1CA23" w14:textId="4D09D377" w:rsidR="00042C13" w:rsidRPr="000B6E14" w:rsidRDefault="00042C13" w:rsidP="001A3248">
            <w:pPr>
              <w:jc w:val="center"/>
              <w:rPr>
                <w:rFonts w:eastAsia="Calibri"/>
                <w:sz w:val="20"/>
                <w:szCs w:val="22"/>
              </w:rPr>
            </w:pPr>
            <w:r w:rsidRPr="000B6E14">
              <w:rPr>
                <w:rFonts w:eastAsia="Calibri"/>
                <w:sz w:val="20"/>
                <w:szCs w:val="22"/>
              </w:rPr>
              <w:t>177</w:t>
            </w:r>
          </w:p>
        </w:tc>
        <w:tc>
          <w:tcPr>
            <w:tcW w:w="1627" w:type="dxa"/>
            <w:shd w:val="clear" w:color="auto" w:fill="auto"/>
          </w:tcPr>
          <w:p w14:paraId="18A46294" w14:textId="6242B680" w:rsidR="00042C13" w:rsidRPr="000B6E14" w:rsidRDefault="00485549" w:rsidP="001A3248">
            <w:pPr>
              <w:jc w:val="center"/>
              <w:rPr>
                <w:rFonts w:eastAsia="Calibri"/>
                <w:sz w:val="20"/>
                <w:szCs w:val="22"/>
              </w:rPr>
            </w:pPr>
            <w:r>
              <w:rPr>
                <w:sz w:val="20"/>
                <w:szCs w:val="22"/>
              </w:rPr>
              <w:t>360</w:t>
            </w:r>
          </w:p>
        </w:tc>
        <w:tc>
          <w:tcPr>
            <w:tcW w:w="1354" w:type="dxa"/>
            <w:shd w:val="clear" w:color="auto" w:fill="auto"/>
          </w:tcPr>
          <w:p w14:paraId="756694A4" w14:textId="15CA9781" w:rsidR="00042C13" w:rsidRPr="000B6E14" w:rsidRDefault="00042C13" w:rsidP="001A3248">
            <w:pPr>
              <w:jc w:val="center"/>
              <w:rPr>
                <w:rFonts w:eastAsia="Calibri"/>
                <w:sz w:val="20"/>
                <w:szCs w:val="20"/>
              </w:rPr>
            </w:pPr>
          </w:p>
        </w:tc>
        <w:tc>
          <w:tcPr>
            <w:tcW w:w="1440" w:type="dxa"/>
            <w:shd w:val="clear" w:color="auto" w:fill="auto"/>
          </w:tcPr>
          <w:p w14:paraId="7B613F5A" w14:textId="6575DA19" w:rsidR="00042C13" w:rsidRPr="000B6E14" w:rsidRDefault="00042C13" w:rsidP="001A3248">
            <w:pPr>
              <w:jc w:val="center"/>
              <w:rPr>
                <w:rFonts w:eastAsia="Calibri"/>
                <w:sz w:val="20"/>
                <w:szCs w:val="20"/>
              </w:rPr>
            </w:pPr>
          </w:p>
        </w:tc>
      </w:tr>
      <w:tr w:rsidR="00042C13" w:rsidRPr="000B6E14" w14:paraId="1C87E6F2" w14:textId="77777777" w:rsidTr="00A416D1">
        <w:trPr>
          <w:trHeight w:val="315"/>
        </w:trPr>
        <w:tc>
          <w:tcPr>
            <w:tcW w:w="3240" w:type="dxa"/>
            <w:vMerge/>
            <w:shd w:val="clear" w:color="auto" w:fill="auto"/>
            <w:hideMark/>
          </w:tcPr>
          <w:p w14:paraId="0BA1287F" w14:textId="77777777" w:rsidR="00042C13" w:rsidRPr="000B6E14" w:rsidRDefault="00042C13" w:rsidP="00042C13">
            <w:pPr>
              <w:rPr>
                <w:rFonts w:eastAsia="Calibri"/>
                <w:sz w:val="20"/>
                <w:szCs w:val="20"/>
              </w:rPr>
            </w:pPr>
          </w:p>
        </w:tc>
        <w:tc>
          <w:tcPr>
            <w:tcW w:w="1755" w:type="dxa"/>
            <w:shd w:val="clear" w:color="auto" w:fill="auto"/>
          </w:tcPr>
          <w:p w14:paraId="38C5C853" w14:textId="77777777" w:rsidR="00042C13" w:rsidRDefault="00042C13" w:rsidP="001A3248">
            <w:pPr>
              <w:jc w:val="center"/>
              <w:rPr>
                <w:rFonts w:eastAsia="Calibri"/>
                <w:sz w:val="20"/>
                <w:szCs w:val="22"/>
              </w:rPr>
            </w:pPr>
            <w:r w:rsidRPr="000B6E14">
              <w:rPr>
                <w:rFonts w:eastAsia="Calibri"/>
                <w:sz w:val="20"/>
                <w:szCs w:val="22"/>
              </w:rPr>
              <w:t>22%</w:t>
            </w:r>
          </w:p>
          <w:p w14:paraId="409B5A2B" w14:textId="08D6F01A" w:rsidR="00A416D1" w:rsidRPr="000B6E14" w:rsidRDefault="00A416D1" w:rsidP="001A3248">
            <w:pPr>
              <w:jc w:val="center"/>
              <w:rPr>
                <w:rFonts w:eastAsia="Calibri"/>
                <w:sz w:val="20"/>
                <w:szCs w:val="22"/>
              </w:rPr>
            </w:pPr>
          </w:p>
        </w:tc>
        <w:tc>
          <w:tcPr>
            <w:tcW w:w="1627" w:type="dxa"/>
            <w:shd w:val="clear" w:color="auto" w:fill="auto"/>
          </w:tcPr>
          <w:p w14:paraId="22DEE8C8" w14:textId="1180FB9E" w:rsidR="00042C13" w:rsidRPr="000B6E14" w:rsidRDefault="00485549" w:rsidP="001A3248">
            <w:pPr>
              <w:jc w:val="center"/>
              <w:rPr>
                <w:rFonts w:eastAsia="Calibri"/>
                <w:sz w:val="20"/>
                <w:szCs w:val="22"/>
              </w:rPr>
            </w:pPr>
            <w:r>
              <w:rPr>
                <w:sz w:val="20"/>
                <w:szCs w:val="22"/>
              </w:rPr>
              <w:t>4</w:t>
            </w:r>
            <w:r w:rsidR="00903E12" w:rsidRPr="000B6E14">
              <w:rPr>
                <w:sz w:val="20"/>
                <w:szCs w:val="22"/>
              </w:rPr>
              <w:t>0</w:t>
            </w:r>
            <w:r w:rsidR="00042C13" w:rsidRPr="000B6E14">
              <w:rPr>
                <w:sz w:val="20"/>
                <w:szCs w:val="22"/>
              </w:rPr>
              <w:t>%</w:t>
            </w:r>
          </w:p>
        </w:tc>
        <w:tc>
          <w:tcPr>
            <w:tcW w:w="1354" w:type="dxa"/>
            <w:shd w:val="clear" w:color="auto" w:fill="auto"/>
          </w:tcPr>
          <w:p w14:paraId="5C950D3B" w14:textId="3719FA29" w:rsidR="00042C13" w:rsidRPr="000B6E14" w:rsidRDefault="00042C13" w:rsidP="001A3248">
            <w:pPr>
              <w:jc w:val="center"/>
              <w:rPr>
                <w:rFonts w:eastAsia="Calibri"/>
                <w:sz w:val="20"/>
                <w:szCs w:val="20"/>
              </w:rPr>
            </w:pPr>
          </w:p>
        </w:tc>
        <w:tc>
          <w:tcPr>
            <w:tcW w:w="1440" w:type="dxa"/>
            <w:shd w:val="clear" w:color="auto" w:fill="auto"/>
          </w:tcPr>
          <w:p w14:paraId="5D2982B3" w14:textId="753CEA77" w:rsidR="00042C13" w:rsidRPr="000B6E14" w:rsidRDefault="00042C13" w:rsidP="001A3248">
            <w:pPr>
              <w:jc w:val="center"/>
              <w:rPr>
                <w:rFonts w:eastAsia="Calibri"/>
                <w:sz w:val="20"/>
                <w:szCs w:val="20"/>
              </w:rPr>
            </w:pPr>
          </w:p>
        </w:tc>
      </w:tr>
      <w:tr w:rsidR="00A416D1" w:rsidRPr="000B6E14" w14:paraId="0DA81979" w14:textId="77777777" w:rsidTr="00A416D1">
        <w:trPr>
          <w:trHeight w:val="315"/>
        </w:trPr>
        <w:tc>
          <w:tcPr>
            <w:tcW w:w="3240" w:type="dxa"/>
            <w:vMerge w:val="restart"/>
            <w:shd w:val="clear" w:color="auto" w:fill="auto"/>
          </w:tcPr>
          <w:p w14:paraId="42B37DD8" w14:textId="69001152" w:rsidR="00A416D1" w:rsidRPr="000B6E14" w:rsidRDefault="00A416D1" w:rsidP="00A416D1">
            <w:pPr>
              <w:rPr>
                <w:rFonts w:eastAsia="Calibri"/>
                <w:sz w:val="20"/>
                <w:szCs w:val="20"/>
              </w:rPr>
            </w:pPr>
            <w:r>
              <w:rPr>
                <w:rFonts w:eastAsia="Calibri"/>
                <w:sz w:val="20"/>
                <w:szCs w:val="20"/>
              </w:rPr>
              <w:t>Enrolled in an Educational Program or Job Training</w:t>
            </w:r>
          </w:p>
        </w:tc>
        <w:tc>
          <w:tcPr>
            <w:tcW w:w="1755" w:type="dxa"/>
            <w:shd w:val="clear" w:color="auto" w:fill="auto"/>
          </w:tcPr>
          <w:p w14:paraId="7AEF8E46" w14:textId="3E4C277E" w:rsidR="00A416D1" w:rsidRPr="000B6E14" w:rsidRDefault="00A416D1" w:rsidP="00A416D1">
            <w:pPr>
              <w:jc w:val="center"/>
              <w:rPr>
                <w:rFonts w:eastAsia="Calibri"/>
                <w:sz w:val="20"/>
                <w:szCs w:val="20"/>
              </w:rPr>
            </w:pPr>
            <w:r w:rsidRPr="000B6E14">
              <w:rPr>
                <w:rFonts w:eastAsia="Calibri"/>
                <w:sz w:val="20"/>
                <w:szCs w:val="20"/>
              </w:rPr>
              <w:t>642*</w:t>
            </w:r>
          </w:p>
        </w:tc>
        <w:tc>
          <w:tcPr>
            <w:tcW w:w="1627" w:type="dxa"/>
            <w:shd w:val="clear" w:color="auto" w:fill="auto"/>
          </w:tcPr>
          <w:p w14:paraId="53320638" w14:textId="0A93E26C" w:rsidR="00A416D1" w:rsidRDefault="00A416D1" w:rsidP="00A416D1">
            <w:pPr>
              <w:jc w:val="center"/>
              <w:rPr>
                <w:sz w:val="20"/>
                <w:szCs w:val="20"/>
              </w:rPr>
            </w:pPr>
            <w:r>
              <w:rPr>
                <w:sz w:val="20"/>
                <w:szCs w:val="20"/>
              </w:rPr>
              <w:t>135</w:t>
            </w:r>
            <w:r w:rsidRPr="000B6E14">
              <w:rPr>
                <w:sz w:val="20"/>
                <w:szCs w:val="20"/>
              </w:rPr>
              <w:t>**</w:t>
            </w:r>
          </w:p>
        </w:tc>
        <w:tc>
          <w:tcPr>
            <w:tcW w:w="1354" w:type="dxa"/>
            <w:shd w:val="clear" w:color="auto" w:fill="auto"/>
          </w:tcPr>
          <w:p w14:paraId="412576AC" w14:textId="77777777" w:rsidR="00A416D1" w:rsidRPr="000B6E14" w:rsidRDefault="00A416D1" w:rsidP="00A416D1">
            <w:pPr>
              <w:jc w:val="center"/>
              <w:rPr>
                <w:rFonts w:eastAsia="Calibri"/>
                <w:sz w:val="20"/>
                <w:szCs w:val="20"/>
              </w:rPr>
            </w:pPr>
          </w:p>
        </w:tc>
        <w:tc>
          <w:tcPr>
            <w:tcW w:w="1440" w:type="dxa"/>
            <w:shd w:val="clear" w:color="auto" w:fill="auto"/>
          </w:tcPr>
          <w:p w14:paraId="554686A4" w14:textId="77777777" w:rsidR="00A416D1" w:rsidRPr="000B6E14" w:rsidRDefault="00A416D1" w:rsidP="00A416D1">
            <w:pPr>
              <w:jc w:val="center"/>
              <w:rPr>
                <w:rFonts w:eastAsia="Calibri"/>
                <w:sz w:val="20"/>
                <w:szCs w:val="20"/>
              </w:rPr>
            </w:pPr>
          </w:p>
        </w:tc>
      </w:tr>
      <w:tr w:rsidR="00042C13" w:rsidRPr="000B6E14" w14:paraId="31B1F18C" w14:textId="77777777" w:rsidTr="00A416D1">
        <w:trPr>
          <w:trHeight w:val="315"/>
        </w:trPr>
        <w:tc>
          <w:tcPr>
            <w:tcW w:w="3240" w:type="dxa"/>
            <w:vMerge/>
            <w:shd w:val="clear" w:color="auto" w:fill="auto"/>
          </w:tcPr>
          <w:p w14:paraId="69644C8A" w14:textId="77777777" w:rsidR="00042C13" w:rsidRPr="000B6E14" w:rsidRDefault="00042C13" w:rsidP="00042C13">
            <w:pPr>
              <w:rPr>
                <w:rFonts w:eastAsia="Calibri"/>
                <w:sz w:val="20"/>
                <w:szCs w:val="20"/>
              </w:rPr>
            </w:pPr>
          </w:p>
        </w:tc>
        <w:tc>
          <w:tcPr>
            <w:tcW w:w="1755" w:type="dxa"/>
            <w:shd w:val="clear" w:color="auto" w:fill="auto"/>
          </w:tcPr>
          <w:p w14:paraId="47D92BD7" w14:textId="7340B054" w:rsidR="00042C13" w:rsidRPr="000B6E14" w:rsidRDefault="00AC6328" w:rsidP="001A3248">
            <w:pPr>
              <w:jc w:val="center"/>
              <w:rPr>
                <w:rFonts w:eastAsia="Calibri"/>
                <w:sz w:val="20"/>
                <w:szCs w:val="20"/>
              </w:rPr>
            </w:pPr>
            <w:r w:rsidRPr="000B6E14">
              <w:rPr>
                <w:rFonts w:eastAsia="Calibri"/>
                <w:sz w:val="20"/>
                <w:szCs w:val="20"/>
              </w:rPr>
              <w:t>78</w:t>
            </w:r>
            <w:r w:rsidR="00042C13" w:rsidRPr="000B6E14">
              <w:rPr>
                <w:rFonts w:eastAsia="Calibri"/>
                <w:sz w:val="20"/>
                <w:szCs w:val="20"/>
              </w:rPr>
              <w:t>%</w:t>
            </w:r>
          </w:p>
        </w:tc>
        <w:tc>
          <w:tcPr>
            <w:tcW w:w="1627" w:type="dxa"/>
            <w:shd w:val="clear" w:color="auto" w:fill="auto"/>
          </w:tcPr>
          <w:p w14:paraId="7173AB8C" w14:textId="3637111A" w:rsidR="00042C13" w:rsidRPr="000B6E14" w:rsidRDefault="00485549" w:rsidP="001A3248">
            <w:pPr>
              <w:jc w:val="center"/>
              <w:rPr>
                <w:rFonts w:eastAsia="Calibri"/>
                <w:sz w:val="20"/>
                <w:szCs w:val="20"/>
              </w:rPr>
            </w:pPr>
            <w:r>
              <w:rPr>
                <w:sz w:val="20"/>
                <w:szCs w:val="20"/>
              </w:rPr>
              <w:t>15</w:t>
            </w:r>
            <w:r w:rsidR="00042C13" w:rsidRPr="000B6E14">
              <w:rPr>
                <w:sz w:val="20"/>
                <w:szCs w:val="20"/>
              </w:rPr>
              <w:t>%</w:t>
            </w:r>
          </w:p>
        </w:tc>
        <w:tc>
          <w:tcPr>
            <w:tcW w:w="1354" w:type="dxa"/>
            <w:shd w:val="clear" w:color="auto" w:fill="auto"/>
          </w:tcPr>
          <w:p w14:paraId="7D890EE5" w14:textId="15A0A888" w:rsidR="00042C13" w:rsidRPr="000B6E14" w:rsidRDefault="00042C13" w:rsidP="001A3248">
            <w:pPr>
              <w:jc w:val="center"/>
              <w:rPr>
                <w:rFonts w:eastAsia="Calibri"/>
                <w:sz w:val="20"/>
                <w:szCs w:val="20"/>
              </w:rPr>
            </w:pPr>
          </w:p>
        </w:tc>
        <w:tc>
          <w:tcPr>
            <w:tcW w:w="1440" w:type="dxa"/>
            <w:shd w:val="clear" w:color="auto" w:fill="auto"/>
          </w:tcPr>
          <w:p w14:paraId="0E0D5CE8" w14:textId="20404038" w:rsidR="00042C13" w:rsidRPr="000B6E14" w:rsidRDefault="00042C13" w:rsidP="001A3248">
            <w:pPr>
              <w:jc w:val="center"/>
              <w:rPr>
                <w:rFonts w:eastAsia="Calibri"/>
                <w:sz w:val="20"/>
                <w:szCs w:val="20"/>
              </w:rPr>
            </w:pPr>
          </w:p>
        </w:tc>
      </w:tr>
      <w:tr w:rsidR="00042C13" w:rsidRPr="000B6E14" w14:paraId="31FB3547" w14:textId="77777777" w:rsidTr="00A416D1">
        <w:trPr>
          <w:trHeight w:hRule="exact" w:val="775"/>
        </w:trPr>
        <w:tc>
          <w:tcPr>
            <w:tcW w:w="9416" w:type="dxa"/>
            <w:gridSpan w:val="5"/>
            <w:shd w:val="clear" w:color="auto" w:fill="FFFFFF" w:themeFill="background1"/>
          </w:tcPr>
          <w:p w14:paraId="668FEA52" w14:textId="6963B4A2" w:rsidR="00042C13" w:rsidRPr="000B6E14" w:rsidRDefault="00042C13" w:rsidP="00042C13">
            <w:pPr>
              <w:rPr>
                <w:rFonts w:eastAsia="Calibri"/>
                <w:i/>
                <w:sz w:val="20"/>
                <w:szCs w:val="22"/>
              </w:rPr>
            </w:pPr>
            <w:r w:rsidRPr="000B6E14">
              <w:rPr>
                <w:rFonts w:eastAsia="Calibri"/>
                <w:i/>
                <w:sz w:val="20"/>
                <w:szCs w:val="22"/>
              </w:rPr>
              <w:t>*Represents SJ</w:t>
            </w:r>
            <w:r w:rsidR="002F1CAD" w:rsidRPr="000B6E14">
              <w:rPr>
                <w:rFonts w:eastAsia="Calibri"/>
                <w:i/>
                <w:sz w:val="20"/>
                <w:szCs w:val="22"/>
              </w:rPr>
              <w:t>I</w:t>
            </w:r>
            <w:r w:rsidRPr="000B6E14">
              <w:rPr>
                <w:rFonts w:eastAsia="Calibri"/>
                <w:i/>
                <w:sz w:val="20"/>
                <w:szCs w:val="22"/>
              </w:rPr>
              <w:t xml:space="preserve"> participants who have a high school level education or less.</w:t>
            </w:r>
          </w:p>
          <w:p w14:paraId="798D04B9" w14:textId="1BC9B4E3" w:rsidR="00042C13" w:rsidRPr="000B6E14" w:rsidRDefault="00042C13" w:rsidP="00042C13">
            <w:pPr>
              <w:rPr>
                <w:b/>
                <w:bCs/>
                <w:i/>
                <w:iCs/>
                <w:sz w:val="20"/>
                <w:szCs w:val="20"/>
              </w:rPr>
            </w:pPr>
            <w:r w:rsidRPr="000B6E14">
              <w:rPr>
                <w:rFonts w:eastAsia="Calibri"/>
                <w:i/>
                <w:sz w:val="20"/>
                <w:szCs w:val="22"/>
              </w:rPr>
              <w:t>** Represents SJ</w:t>
            </w:r>
            <w:r w:rsidR="002F1CAD" w:rsidRPr="000B6E14">
              <w:rPr>
                <w:rFonts w:eastAsia="Calibri"/>
                <w:i/>
                <w:sz w:val="20"/>
                <w:szCs w:val="22"/>
              </w:rPr>
              <w:t>I</w:t>
            </w:r>
            <w:r w:rsidRPr="000B6E14">
              <w:rPr>
                <w:rFonts w:eastAsia="Calibri"/>
                <w:i/>
                <w:sz w:val="20"/>
                <w:szCs w:val="22"/>
              </w:rPr>
              <w:t xml:space="preserve"> participants who have a high school level education or less and who enroll in an education or job training program</w:t>
            </w:r>
            <w:r w:rsidR="00A416D1">
              <w:rPr>
                <w:rFonts w:eastAsia="Calibri"/>
                <w:i/>
                <w:sz w:val="20"/>
                <w:szCs w:val="22"/>
              </w:rPr>
              <w:t>.</w:t>
            </w:r>
          </w:p>
        </w:tc>
      </w:tr>
      <w:tr w:rsidR="00042C13" w:rsidRPr="000B6E14" w14:paraId="2A00B614" w14:textId="77777777" w:rsidTr="00A416D1">
        <w:trPr>
          <w:trHeight w:hRule="exact" w:val="317"/>
        </w:trPr>
        <w:tc>
          <w:tcPr>
            <w:tcW w:w="9416" w:type="dxa"/>
            <w:gridSpan w:val="5"/>
            <w:shd w:val="clear" w:color="auto" w:fill="C6D9F1" w:themeFill="text2" w:themeFillTint="33"/>
          </w:tcPr>
          <w:p w14:paraId="128C435B" w14:textId="77777777" w:rsidR="00042C13" w:rsidRPr="000B6E14" w:rsidRDefault="00042C13" w:rsidP="00042C13">
            <w:pPr>
              <w:jc w:val="center"/>
              <w:rPr>
                <w:rFonts w:eastAsia="Calibri"/>
                <w:b/>
                <w:bCs/>
                <w:i/>
                <w:iCs/>
                <w:sz w:val="20"/>
                <w:szCs w:val="20"/>
              </w:rPr>
            </w:pPr>
            <w:r w:rsidRPr="000B6E14">
              <w:rPr>
                <w:b/>
                <w:bCs/>
                <w:i/>
                <w:iCs/>
                <w:sz w:val="20"/>
                <w:szCs w:val="20"/>
              </w:rPr>
              <w:t>SS #4: Households Removed from Temporary Assistance for Needy Families (TANF)</w:t>
            </w:r>
          </w:p>
        </w:tc>
      </w:tr>
      <w:tr w:rsidR="00042C13" w:rsidRPr="000B6E14" w14:paraId="799A2C82" w14:textId="77777777" w:rsidTr="00A416D1">
        <w:trPr>
          <w:trHeight w:hRule="exact" w:val="576"/>
        </w:trPr>
        <w:tc>
          <w:tcPr>
            <w:tcW w:w="3240" w:type="dxa"/>
            <w:shd w:val="clear" w:color="auto" w:fill="D9D9D9" w:themeFill="background1" w:themeFillShade="D9"/>
          </w:tcPr>
          <w:p w14:paraId="7855E3B2" w14:textId="77777777" w:rsidR="00042C13" w:rsidRPr="000B6E14" w:rsidRDefault="00042C13" w:rsidP="00042C13">
            <w:pPr>
              <w:jc w:val="center"/>
              <w:rPr>
                <w:rFonts w:eastAsia="Calibri"/>
                <w:b/>
                <w:bCs/>
                <w:sz w:val="20"/>
                <w:szCs w:val="20"/>
              </w:rPr>
            </w:pPr>
            <w:r w:rsidRPr="000B6E14">
              <w:rPr>
                <w:rFonts w:eastAsia="Calibri"/>
                <w:b/>
                <w:bCs/>
                <w:sz w:val="20"/>
                <w:szCs w:val="20"/>
              </w:rPr>
              <w:t>Unit of Measurement</w:t>
            </w:r>
          </w:p>
        </w:tc>
        <w:tc>
          <w:tcPr>
            <w:tcW w:w="1755" w:type="dxa"/>
            <w:shd w:val="clear" w:color="auto" w:fill="D9D9D9" w:themeFill="background1" w:themeFillShade="D9"/>
          </w:tcPr>
          <w:p w14:paraId="120D19FB" w14:textId="77777777" w:rsidR="00042C13" w:rsidRPr="000B6E14" w:rsidRDefault="00042C13" w:rsidP="00042C13">
            <w:pPr>
              <w:jc w:val="center"/>
              <w:rPr>
                <w:rFonts w:eastAsia="Calibri"/>
                <w:b/>
                <w:bCs/>
                <w:sz w:val="20"/>
                <w:szCs w:val="20"/>
              </w:rPr>
            </w:pPr>
            <w:r w:rsidRPr="000B6E14">
              <w:rPr>
                <w:rFonts w:eastAsia="Calibri"/>
                <w:b/>
                <w:bCs/>
                <w:sz w:val="20"/>
                <w:szCs w:val="20"/>
              </w:rPr>
              <w:t>Baseline</w:t>
            </w:r>
          </w:p>
        </w:tc>
        <w:tc>
          <w:tcPr>
            <w:tcW w:w="1627" w:type="dxa"/>
            <w:shd w:val="clear" w:color="auto" w:fill="D9D9D9" w:themeFill="background1" w:themeFillShade="D9"/>
          </w:tcPr>
          <w:p w14:paraId="1BAA5E78" w14:textId="77777777" w:rsidR="00042C13" w:rsidRPr="000B6E14" w:rsidRDefault="00042C13" w:rsidP="00042C13">
            <w:pPr>
              <w:jc w:val="center"/>
              <w:rPr>
                <w:rFonts w:eastAsia="Calibri"/>
                <w:b/>
                <w:bCs/>
                <w:sz w:val="20"/>
                <w:szCs w:val="20"/>
              </w:rPr>
            </w:pPr>
            <w:r w:rsidRPr="000B6E14">
              <w:rPr>
                <w:rFonts w:eastAsia="Calibri"/>
                <w:b/>
                <w:bCs/>
                <w:sz w:val="20"/>
                <w:szCs w:val="20"/>
              </w:rPr>
              <w:t>Benchmark</w:t>
            </w:r>
          </w:p>
        </w:tc>
        <w:tc>
          <w:tcPr>
            <w:tcW w:w="1354" w:type="dxa"/>
            <w:shd w:val="clear" w:color="auto" w:fill="D9D9D9" w:themeFill="background1" w:themeFillShade="D9"/>
          </w:tcPr>
          <w:p w14:paraId="71F6E27B" w14:textId="77777777" w:rsidR="00042C13" w:rsidRPr="000B6E14" w:rsidRDefault="00042C13" w:rsidP="00042C13">
            <w:pPr>
              <w:jc w:val="center"/>
              <w:rPr>
                <w:rFonts w:eastAsia="Calibri"/>
                <w:b/>
                <w:bCs/>
                <w:sz w:val="20"/>
                <w:szCs w:val="20"/>
              </w:rPr>
            </w:pPr>
            <w:r w:rsidRPr="000B6E14">
              <w:rPr>
                <w:rFonts w:eastAsia="Calibri"/>
                <w:b/>
                <w:bCs/>
                <w:sz w:val="20"/>
                <w:szCs w:val="20"/>
              </w:rPr>
              <w:t>Outcome</w:t>
            </w:r>
          </w:p>
        </w:tc>
        <w:tc>
          <w:tcPr>
            <w:tcW w:w="1440" w:type="dxa"/>
            <w:shd w:val="clear" w:color="auto" w:fill="D9D9D9" w:themeFill="background1" w:themeFillShade="D9"/>
          </w:tcPr>
          <w:p w14:paraId="275B6E10" w14:textId="77777777" w:rsidR="00042C13" w:rsidRPr="000B6E14" w:rsidRDefault="00042C13" w:rsidP="00042C13">
            <w:pPr>
              <w:jc w:val="center"/>
              <w:rPr>
                <w:rFonts w:eastAsia="Calibri"/>
                <w:b/>
                <w:bCs/>
                <w:sz w:val="20"/>
                <w:szCs w:val="20"/>
              </w:rPr>
            </w:pPr>
            <w:r w:rsidRPr="000B6E14">
              <w:rPr>
                <w:rFonts w:eastAsia="Calibri"/>
                <w:b/>
                <w:bCs/>
                <w:sz w:val="20"/>
                <w:szCs w:val="20"/>
              </w:rPr>
              <w:t>Benchmark Achieved?</w:t>
            </w:r>
          </w:p>
        </w:tc>
      </w:tr>
      <w:tr w:rsidR="00042C13" w:rsidRPr="000B6E14" w14:paraId="235962B6" w14:textId="77777777" w:rsidTr="00A416D1">
        <w:trPr>
          <w:trHeight w:val="305"/>
        </w:trPr>
        <w:tc>
          <w:tcPr>
            <w:tcW w:w="3240" w:type="dxa"/>
            <w:shd w:val="clear" w:color="auto" w:fill="auto"/>
          </w:tcPr>
          <w:p w14:paraId="2AAA691F" w14:textId="77777777" w:rsidR="00042C13" w:rsidRPr="000B6E14" w:rsidRDefault="00042C13" w:rsidP="00042C13">
            <w:pPr>
              <w:rPr>
                <w:rFonts w:eastAsia="Calibri"/>
                <w:b/>
                <w:bCs/>
                <w:i/>
                <w:iCs/>
                <w:sz w:val="20"/>
                <w:szCs w:val="20"/>
              </w:rPr>
            </w:pPr>
            <w:r w:rsidRPr="000B6E14">
              <w:rPr>
                <w:sz w:val="20"/>
                <w:szCs w:val="20"/>
              </w:rPr>
              <w:t>Number of households receiving TANF assistance (decrease).</w:t>
            </w:r>
          </w:p>
        </w:tc>
        <w:tc>
          <w:tcPr>
            <w:tcW w:w="1755" w:type="dxa"/>
            <w:shd w:val="clear" w:color="auto" w:fill="auto"/>
          </w:tcPr>
          <w:p w14:paraId="668F8155" w14:textId="7B7AE6FE" w:rsidR="00042C13" w:rsidRPr="000B6E14" w:rsidRDefault="001B4029" w:rsidP="001A3248">
            <w:pPr>
              <w:jc w:val="center"/>
              <w:rPr>
                <w:rFonts w:eastAsia="Calibri"/>
                <w:bCs/>
                <w:iCs/>
                <w:sz w:val="20"/>
                <w:szCs w:val="20"/>
              </w:rPr>
            </w:pPr>
            <w:r w:rsidRPr="000B6E14">
              <w:rPr>
                <w:rFonts w:eastAsia="Calibri"/>
                <w:bCs/>
                <w:iCs/>
                <w:sz w:val="20"/>
                <w:szCs w:val="20"/>
              </w:rPr>
              <w:t>477</w:t>
            </w:r>
          </w:p>
        </w:tc>
        <w:tc>
          <w:tcPr>
            <w:tcW w:w="1627" w:type="dxa"/>
            <w:shd w:val="clear" w:color="auto" w:fill="auto"/>
          </w:tcPr>
          <w:p w14:paraId="2A618720" w14:textId="23874C79" w:rsidR="00042C13" w:rsidRPr="000B6E14" w:rsidRDefault="001B4029" w:rsidP="001A3248">
            <w:pPr>
              <w:jc w:val="center"/>
              <w:rPr>
                <w:rFonts w:eastAsia="Calibri"/>
                <w:bCs/>
                <w:iCs/>
                <w:sz w:val="20"/>
                <w:szCs w:val="20"/>
              </w:rPr>
            </w:pPr>
            <w:r w:rsidRPr="000B6E14">
              <w:rPr>
                <w:rFonts w:eastAsia="Calibri"/>
                <w:bCs/>
                <w:iCs/>
                <w:sz w:val="20"/>
                <w:szCs w:val="20"/>
              </w:rPr>
              <w:t>239</w:t>
            </w:r>
          </w:p>
        </w:tc>
        <w:tc>
          <w:tcPr>
            <w:tcW w:w="1354" w:type="dxa"/>
            <w:shd w:val="clear" w:color="auto" w:fill="auto"/>
          </w:tcPr>
          <w:p w14:paraId="7A89AA04" w14:textId="3B4EC99B" w:rsidR="00042C13" w:rsidRPr="000B6E14" w:rsidRDefault="00042C13" w:rsidP="001A3248">
            <w:pPr>
              <w:jc w:val="center"/>
              <w:rPr>
                <w:rFonts w:eastAsia="Calibri"/>
                <w:bCs/>
                <w:iCs/>
                <w:sz w:val="20"/>
                <w:szCs w:val="20"/>
              </w:rPr>
            </w:pPr>
          </w:p>
        </w:tc>
        <w:tc>
          <w:tcPr>
            <w:tcW w:w="1440" w:type="dxa"/>
            <w:shd w:val="clear" w:color="auto" w:fill="auto"/>
          </w:tcPr>
          <w:p w14:paraId="0E4C6207" w14:textId="3EE15CD9" w:rsidR="00042C13" w:rsidRPr="000B6E14" w:rsidRDefault="00042C13" w:rsidP="001A3248">
            <w:pPr>
              <w:jc w:val="center"/>
              <w:rPr>
                <w:rFonts w:eastAsia="Calibri"/>
                <w:b/>
                <w:bCs/>
                <w:i/>
                <w:iCs/>
                <w:sz w:val="20"/>
                <w:szCs w:val="20"/>
              </w:rPr>
            </w:pPr>
          </w:p>
        </w:tc>
      </w:tr>
      <w:tr w:rsidR="00042C13" w:rsidRPr="000B6E14" w14:paraId="4914E71E" w14:textId="77777777" w:rsidTr="00A416D1">
        <w:trPr>
          <w:trHeight w:hRule="exact" w:val="317"/>
        </w:trPr>
        <w:tc>
          <w:tcPr>
            <w:tcW w:w="9416" w:type="dxa"/>
            <w:gridSpan w:val="5"/>
            <w:shd w:val="clear" w:color="auto" w:fill="C6D9F1" w:themeFill="text2" w:themeFillTint="33"/>
            <w:hideMark/>
          </w:tcPr>
          <w:p w14:paraId="372CB47D" w14:textId="77777777" w:rsidR="00042C13" w:rsidRPr="000B6E14" w:rsidRDefault="00042C13" w:rsidP="00042C13">
            <w:pPr>
              <w:jc w:val="center"/>
              <w:rPr>
                <w:rFonts w:eastAsia="Calibri"/>
                <w:b/>
                <w:bCs/>
                <w:i/>
                <w:iCs/>
                <w:sz w:val="20"/>
                <w:szCs w:val="20"/>
              </w:rPr>
            </w:pPr>
            <w:r w:rsidRPr="000B6E14">
              <w:rPr>
                <w:rFonts w:eastAsia="Calibri"/>
                <w:b/>
                <w:bCs/>
                <w:i/>
                <w:iCs/>
                <w:sz w:val="20"/>
                <w:szCs w:val="20"/>
              </w:rPr>
              <w:t>SS #5: Households Assisted by Services that Increase Self Sufficiency</w:t>
            </w:r>
          </w:p>
        </w:tc>
      </w:tr>
      <w:tr w:rsidR="00042C13" w:rsidRPr="000B6E14" w14:paraId="7E0899FC" w14:textId="77777777" w:rsidTr="00A416D1">
        <w:trPr>
          <w:trHeight w:hRule="exact" w:val="576"/>
        </w:trPr>
        <w:tc>
          <w:tcPr>
            <w:tcW w:w="3240" w:type="dxa"/>
            <w:shd w:val="clear" w:color="auto" w:fill="D9D9D9" w:themeFill="background1" w:themeFillShade="D9"/>
            <w:hideMark/>
          </w:tcPr>
          <w:p w14:paraId="41F33D38" w14:textId="77777777" w:rsidR="00042C13" w:rsidRPr="000B6E14" w:rsidRDefault="00042C13" w:rsidP="00042C13">
            <w:pPr>
              <w:jc w:val="center"/>
              <w:rPr>
                <w:rFonts w:eastAsia="Calibri"/>
                <w:b/>
                <w:bCs/>
                <w:sz w:val="20"/>
                <w:szCs w:val="20"/>
              </w:rPr>
            </w:pPr>
            <w:r w:rsidRPr="000B6E14">
              <w:rPr>
                <w:rFonts w:eastAsia="Calibri"/>
                <w:b/>
                <w:bCs/>
                <w:sz w:val="20"/>
                <w:szCs w:val="20"/>
              </w:rPr>
              <w:t>Unit of Measurement</w:t>
            </w:r>
          </w:p>
        </w:tc>
        <w:tc>
          <w:tcPr>
            <w:tcW w:w="1755" w:type="dxa"/>
            <w:shd w:val="clear" w:color="auto" w:fill="D9D9D9" w:themeFill="background1" w:themeFillShade="D9"/>
            <w:hideMark/>
          </w:tcPr>
          <w:p w14:paraId="2B806696" w14:textId="77777777" w:rsidR="00042C13" w:rsidRPr="000B6E14" w:rsidRDefault="00042C13" w:rsidP="00042C13">
            <w:pPr>
              <w:jc w:val="center"/>
              <w:rPr>
                <w:rFonts w:eastAsia="Calibri"/>
                <w:b/>
                <w:bCs/>
                <w:sz w:val="20"/>
                <w:szCs w:val="20"/>
              </w:rPr>
            </w:pPr>
            <w:r w:rsidRPr="000B6E14">
              <w:rPr>
                <w:rFonts w:eastAsia="Calibri"/>
                <w:b/>
                <w:bCs/>
                <w:sz w:val="20"/>
                <w:szCs w:val="20"/>
              </w:rPr>
              <w:t>Baseline</w:t>
            </w:r>
          </w:p>
        </w:tc>
        <w:tc>
          <w:tcPr>
            <w:tcW w:w="1627" w:type="dxa"/>
            <w:shd w:val="clear" w:color="auto" w:fill="D9D9D9" w:themeFill="background1" w:themeFillShade="D9"/>
            <w:hideMark/>
          </w:tcPr>
          <w:p w14:paraId="77EC48C7" w14:textId="77777777" w:rsidR="00042C13" w:rsidRPr="000B6E14" w:rsidRDefault="00042C13" w:rsidP="00042C13">
            <w:pPr>
              <w:jc w:val="center"/>
              <w:rPr>
                <w:rFonts w:eastAsia="Calibri"/>
                <w:b/>
                <w:bCs/>
                <w:sz w:val="20"/>
                <w:szCs w:val="20"/>
              </w:rPr>
            </w:pPr>
            <w:r w:rsidRPr="000B6E14">
              <w:rPr>
                <w:rFonts w:eastAsia="Calibri"/>
                <w:b/>
                <w:bCs/>
                <w:sz w:val="20"/>
                <w:szCs w:val="20"/>
              </w:rPr>
              <w:t>Benchmark</w:t>
            </w:r>
          </w:p>
        </w:tc>
        <w:tc>
          <w:tcPr>
            <w:tcW w:w="1354" w:type="dxa"/>
            <w:shd w:val="clear" w:color="auto" w:fill="D9D9D9" w:themeFill="background1" w:themeFillShade="D9"/>
            <w:hideMark/>
          </w:tcPr>
          <w:p w14:paraId="3EB0F4A7" w14:textId="77777777" w:rsidR="00042C13" w:rsidRPr="000B6E14" w:rsidRDefault="00042C13" w:rsidP="00042C13">
            <w:pPr>
              <w:jc w:val="center"/>
              <w:rPr>
                <w:rFonts w:eastAsia="Calibri"/>
                <w:b/>
                <w:bCs/>
                <w:sz w:val="20"/>
                <w:szCs w:val="20"/>
              </w:rPr>
            </w:pPr>
            <w:r w:rsidRPr="000B6E14">
              <w:rPr>
                <w:rFonts w:eastAsia="Calibri"/>
                <w:b/>
                <w:bCs/>
                <w:sz w:val="20"/>
                <w:szCs w:val="20"/>
              </w:rPr>
              <w:t>Outcome</w:t>
            </w:r>
          </w:p>
        </w:tc>
        <w:tc>
          <w:tcPr>
            <w:tcW w:w="1440" w:type="dxa"/>
            <w:shd w:val="clear" w:color="auto" w:fill="D9D9D9" w:themeFill="background1" w:themeFillShade="D9"/>
            <w:hideMark/>
          </w:tcPr>
          <w:p w14:paraId="25A675F9" w14:textId="77777777" w:rsidR="00042C13" w:rsidRPr="000B6E14" w:rsidRDefault="00042C13" w:rsidP="00042C13">
            <w:pPr>
              <w:jc w:val="center"/>
              <w:rPr>
                <w:rFonts w:eastAsia="Calibri"/>
                <w:b/>
                <w:bCs/>
                <w:sz w:val="20"/>
                <w:szCs w:val="20"/>
              </w:rPr>
            </w:pPr>
            <w:r w:rsidRPr="000B6E14">
              <w:rPr>
                <w:rFonts w:eastAsia="Calibri"/>
                <w:b/>
                <w:bCs/>
                <w:sz w:val="20"/>
                <w:szCs w:val="20"/>
              </w:rPr>
              <w:t>Benchmark Achieved?</w:t>
            </w:r>
          </w:p>
        </w:tc>
      </w:tr>
      <w:tr w:rsidR="00042C13" w:rsidRPr="000B6E14" w14:paraId="67C9CA23" w14:textId="77777777" w:rsidTr="00A416D1">
        <w:trPr>
          <w:trHeight w:val="719"/>
        </w:trPr>
        <w:tc>
          <w:tcPr>
            <w:tcW w:w="3240" w:type="dxa"/>
            <w:shd w:val="clear" w:color="auto" w:fill="auto"/>
            <w:hideMark/>
          </w:tcPr>
          <w:p w14:paraId="2B085228" w14:textId="77777777" w:rsidR="00042C13" w:rsidRPr="000B6E14" w:rsidRDefault="00042C13" w:rsidP="00042C13">
            <w:pPr>
              <w:rPr>
                <w:rFonts w:eastAsia="Calibri"/>
                <w:sz w:val="20"/>
                <w:szCs w:val="20"/>
              </w:rPr>
            </w:pPr>
            <w:r w:rsidRPr="000B6E14">
              <w:rPr>
                <w:rFonts w:eastAsia="Calibri"/>
                <w:sz w:val="20"/>
                <w:szCs w:val="20"/>
              </w:rPr>
              <w:t>Number of households receiving services aimed to increase self-sufficiency (increase).</w:t>
            </w:r>
          </w:p>
        </w:tc>
        <w:tc>
          <w:tcPr>
            <w:tcW w:w="1755" w:type="dxa"/>
            <w:shd w:val="clear" w:color="auto" w:fill="auto"/>
            <w:hideMark/>
          </w:tcPr>
          <w:p w14:paraId="79449AE0" w14:textId="2F49D6C6" w:rsidR="00042C13" w:rsidRPr="000B6E14" w:rsidRDefault="00957A48" w:rsidP="001A3248">
            <w:pPr>
              <w:jc w:val="center"/>
              <w:rPr>
                <w:rFonts w:eastAsia="Calibri"/>
                <w:sz w:val="20"/>
                <w:szCs w:val="20"/>
              </w:rPr>
            </w:pPr>
            <w:r w:rsidRPr="000B6E14">
              <w:rPr>
                <w:rFonts w:eastAsia="Calibri"/>
                <w:sz w:val="20"/>
                <w:szCs w:val="20"/>
              </w:rPr>
              <w:t xml:space="preserve">0 </w:t>
            </w:r>
            <w:r w:rsidR="00042C13" w:rsidRPr="000B6E14">
              <w:rPr>
                <w:rFonts w:eastAsia="Calibri"/>
                <w:sz w:val="20"/>
                <w:szCs w:val="20"/>
              </w:rPr>
              <w:t>households</w:t>
            </w:r>
          </w:p>
        </w:tc>
        <w:tc>
          <w:tcPr>
            <w:tcW w:w="1627" w:type="dxa"/>
            <w:shd w:val="clear" w:color="auto" w:fill="auto"/>
            <w:hideMark/>
          </w:tcPr>
          <w:p w14:paraId="57F6751D" w14:textId="106B8EE8" w:rsidR="00042C13" w:rsidRPr="000B6E14" w:rsidRDefault="00793635" w:rsidP="001A3248">
            <w:pPr>
              <w:jc w:val="center"/>
              <w:rPr>
                <w:rFonts w:eastAsia="Calibri"/>
                <w:sz w:val="20"/>
                <w:szCs w:val="20"/>
              </w:rPr>
            </w:pPr>
            <w:r w:rsidRPr="000B6E14">
              <w:rPr>
                <w:rFonts w:eastAsia="Calibri"/>
                <w:sz w:val="20"/>
                <w:szCs w:val="20"/>
              </w:rPr>
              <w:t>900</w:t>
            </w:r>
            <w:r w:rsidR="00042C13" w:rsidRPr="000B6E14">
              <w:rPr>
                <w:rFonts w:eastAsia="Calibri"/>
                <w:sz w:val="20"/>
                <w:szCs w:val="20"/>
              </w:rPr>
              <w:t xml:space="preserve"> households</w:t>
            </w:r>
          </w:p>
        </w:tc>
        <w:tc>
          <w:tcPr>
            <w:tcW w:w="1354" w:type="dxa"/>
            <w:shd w:val="clear" w:color="auto" w:fill="auto"/>
          </w:tcPr>
          <w:p w14:paraId="24F7CF8D" w14:textId="64B247CB" w:rsidR="00042C13" w:rsidRPr="000B6E14" w:rsidRDefault="00042C13" w:rsidP="001A3248">
            <w:pPr>
              <w:jc w:val="center"/>
              <w:rPr>
                <w:rFonts w:eastAsia="Calibri"/>
                <w:sz w:val="20"/>
                <w:szCs w:val="20"/>
              </w:rPr>
            </w:pPr>
          </w:p>
        </w:tc>
        <w:tc>
          <w:tcPr>
            <w:tcW w:w="1440" w:type="dxa"/>
            <w:shd w:val="clear" w:color="auto" w:fill="auto"/>
          </w:tcPr>
          <w:p w14:paraId="51E20AEB" w14:textId="52CAD29D" w:rsidR="00042C13" w:rsidRPr="000B6E14" w:rsidRDefault="00042C13" w:rsidP="001A3248">
            <w:pPr>
              <w:jc w:val="center"/>
              <w:rPr>
                <w:rFonts w:eastAsia="Calibri"/>
                <w:sz w:val="20"/>
                <w:szCs w:val="20"/>
              </w:rPr>
            </w:pPr>
          </w:p>
        </w:tc>
      </w:tr>
      <w:tr w:rsidR="00042C13" w:rsidRPr="000B6E14" w14:paraId="4FF5B2D1" w14:textId="77777777" w:rsidTr="00A416D1">
        <w:trPr>
          <w:trHeight w:hRule="exact" w:val="317"/>
        </w:trPr>
        <w:tc>
          <w:tcPr>
            <w:tcW w:w="9416" w:type="dxa"/>
            <w:gridSpan w:val="5"/>
            <w:shd w:val="clear" w:color="auto" w:fill="C6D9F1" w:themeFill="text2" w:themeFillTint="33"/>
          </w:tcPr>
          <w:p w14:paraId="435C88B7" w14:textId="77777777" w:rsidR="00042C13" w:rsidRPr="000B6E14" w:rsidRDefault="00042C13" w:rsidP="00042C13">
            <w:pPr>
              <w:jc w:val="center"/>
              <w:rPr>
                <w:rFonts w:eastAsia="Calibri"/>
                <w:b/>
                <w:bCs/>
                <w:i/>
                <w:iCs/>
                <w:sz w:val="20"/>
                <w:szCs w:val="20"/>
              </w:rPr>
            </w:pPr>
            <w:r w:rsidRPr="000B6E14">
              <w:rPr>
                <w:b/>
                <w:bCs/>
                <w:i/>
                <w:iCs/>
                <w:sz w:val="20"/>
                <w:szCs w:val="20"/>
              </w:rPr>
              <w:t>SS #6: Reducing Per Unit Subsidy Costs for Participating Households</w:t>
            </w:r>
          </w:p>
        </w:tc>
      </w:tr>
      <w:tr w:rsidR="00042C13" w:rsidRPr="000B6E14" w14:paraId="5BA3F3B5" w14:textId="77777777" w:rsidTr="00A416D1">
        <w:trPr>
          <w:trHeight w:hRule="exact" w:val="576"/>
        </w:trPr>
        <w:tc>
          <w:tcPr>
            <w:tcW w:w="3240" w:type="dxa"/>
            <w:shd w:val="clear" w:color="auto" w:fill="D9D9D9" w:themeFill="background1" w:themeFillShade="D9"/>
          </w:tcPr>
          <w:p w14:paraId="1FD9C9B4" w14:textId="77777777" w:rsidR="00042C13" w:rsidRPr="000B6E14" w:rsidRDefault="00042C13" w:rsidP="00042C13">
            <w:pPr>
              <w:jc w:val="center"/>
              <w:rPr>
                <w:rFonts w:eastAsia="Calibri"/>
                <w:b/>
                <w:bCs/>
                <w:sz w:val="20"/>
                <w:szCs w:val="20"/>
              </w:rPr>
            </w:pPr>
            <w:r w:rsidRPr="000B6E14">
              <w:rPr>
                <w:rFonts w:eastAsia="Calibri"/>
                <w:b/>
                <w:bCs/>
                <w:sz w:val="20"/>
                <w:szCs w:val="20"/>
              </w:rPr>
              <w:t>Unit of Measurement</w:t>
            </w:r>
          </w:p>
        </w:tc>
        <w:tc>
          <w:tcPr>
            <w:tcW w:w="1755" w:type="dxa"/>
            <w:shd w:val="clear" w:color="auto" w:fill="D9D9D9" w:themeFill="background1" w:themeFillShade="D9"/>
          </w:tcPr>
          <w:p w14:paraId="011BC6B3" w14:textId="77777777" w:rsidR="00042C13" w:rsidRPr="000B6E14" w:rsidRDefault="00042C13" w:rsidP="00042C13">
            <w:pPr>
              <w:jc w:val="center"/>
              <w:rPr>
                <w:rFonts w:eastAsia="Calibri"/>
                <w:b/>
                <w:bCs/>
                <w:sz w:val="20"/>
                <w:szCs w:val="20"/>
              </w:rPr>
            </w:pPr>
            <w:r w:rsidRPr="000B6E14">
              <w:rPr>
                <w:rFonts w:eastAsia="Calibri"/>
                <w:b/>
                <w:bCs/>
                <w:sz w:val="20"/>
                <w:szCs w:val="20"/>
              </w:rPr>
              <w:t>Baseline</w:t>
            </w:r>
          </w:p>
        </w:tc>
        <w:tc>
          <w:tcPr>
            <w:tcW w:w="1627" w:type="dxa"/>
            <w:shd w:val="clear" w:color="auto" w:fill="D9D9D9" w:themeFill="background1" w:themeFillShade="D9"/>
          </w:tcPr>
          <w:p w14:paraId="21A27F5F" w14:textId="77777777" w:rsidR="00042C13" w:rsidRPr="000B6E14" w:rsidRDefault="00042C13" w:rsidP="00042C13">
            <w:pPr>
              <w:jc w:val="center"/>
              <w:rPr>
                <w:rFonts w:eastAsia="Calibri"/>
                <w:b/>
                <w:bCs/>
                <w:sz w:val="20"/>
                <w:szCs w:val="20"/>
              </w:rPr>
            </w:pPr>
            <w:r w:rsidRPr="000B6E14">
              <w:rPr>
                <w:rFonts w:eastAsia="Calibri"/>
                <w:b/>
                <w:bCs/>
                <w:sz w:val="20"/>
                <w:szCs w:val="20"/>
              </w:rPr>
              <w:t>Benchmark</w:t>
            </w:r>
          </w:p>
        </w:tc>
        <w:tc>
          <w:tcPr>
            <w:tcW w:w="1354" w:type="dxa"/>
            <w:shd w:val="clear" w:color="auto" w:fill="D9D9D9" w:themeFill="background1" w:themeFillShade="D9"/>
          </w:tcPr>
          <w:p w14:paraId="71FD17C8" w14:textId="77777777" w:rsidR="00042C13" w:rsidRPr="000B6E14" w:rsidRDefault="00042C13" w:rsidP="00042C13">
            <w:pPr>
              <w:jc w:val="center"/>
              <w:rPr>
                <w:rFonts w:eastAsia="Calibri"/>
                <w:b/>
                <w:bCs/>
                <w:sz w:val="20"/>
                <w:szCs w:val="20"/>
              </w:rPr>
            </w:pPr>
            <w:r w:rsidRPr="000B6E14">
              <w:rPr>
                <w:rFonts w:eastAsia="Calibri"/>
                <w:b/>
                <w:bCs/>
                <w:sz w:val="20"/>
                <w:szCs w:val="20"/>
              </w:rPr>
              <w:t>Outcome</w:t>
            </w:r>
          </w:p>
        </w:tc>
        <w:tc>
          <w:tcPr>
            <w:tcW w:w="1440" w:type="dxa"/>
            <w:shd w:val="clear" w:color="auto" w:fill="D9D9D9" w:themeFill="background1" w:themeFillShade="D9"/>
          </w:tcPr>
          <w:p w14:paraId="158648CF" w14:textId="77777777" w:rsidR="00042C13" w:rsidRPr="000B6E14" w:rsidRDefault="00042C13" w:rsidP="00042C13">
            <w:pPr>
              <w:jc w:val="center"/>
              <w:rPr>
                <w:rFonts w:eastAsia="Calibri"/>
                <w:b/>
                <w:bCs/>
                <w:sz w:val="20"/>
                <w:szCs w:val="20"/>
              </w:rPr>
            </w:pPr>
            <w:r w:rsidRPr="000B6E14">
              <w:rPr>
                <w:rFonts w:eastAsia="Calibri"/>
                <w:b/>
                <w:bCs/>
                <w:sz w:val="20"/>
                <w:szCs w:val="20"/>
              </w:rPr>
              <w:t>Benchmark Achieved?</w:t>
            </w:r>
          </w:p>
        </w:tc>
      </w:tr>
      <w:tr w:rsidR="00042C13" w:rsidRPr="000B6E14" w14:paraId="79D8305E" w14:textId="77777777" w:rsidTr="00A416D1">
        <w:trPr>
          <w:trHeight w:val="296"/>
        </w:trPr>
        <w:tc>
          <w:tcPr>
            <w:tcW w:w="3240" w:type="dxa"/>
            <w:shd w:val="clear" w:color="auto" w:fill="auto"/>
          </w:tcPr>
          <w:p w14:paraId="3BC93DAC" w14:textId="77777777" w:rsidR="00042C13" w:rsidRPr="000B6E14" w:rsidRDefault="00042C13" w:rsidP="00042C13">
            <w:pPr>
              <w:rPr>
                <w:rFonts w:eastAsia="Calibri"/>
                <w:b/>
                <w:bCs/>
                <w:i/>
                <w:iCs/>
                <w:sz w:val="20"/>
                <w:szCs w:val="20"/>
              </w:rPr>
            </w:pPr>
            <w:r w:rsidRPr="000B6E14">
              <w:rPr>
                <w:sz w:val="20"/>
                <w:szCs w:val="20"/>
              </w:rPr>
              <w:t>Average amount of Section 8 subsidy per household affected by this policy in dollars (decrease).</w:t>
            </w:r>
          </w:p>
        </w:tc>
        <w:tc>
          <w:tcPr>
            <w:tcW w:w="1755" w:type="dxa"/>
            <w:shd w:val="clear" w:color="auto" w:fill="auto"/>
          </w:tcPr>
          <w:p w14:paraId="324FBDEF" w14:textId="45A0303E" w:rsidR="00042C13" w:rsidRPr="000B6E14" w:rsidRDefault="001B4029" w:rsidP="001A3248">
            <w:pPr>
              <w:jc w:val="center"/>
              <w:rPr>
                <w:rFonts w:eastAsia="Calibri"/>
                <w:bCs/>
                <w:iCs/>
                <w:sz w:val="20"/>
                <w:szCs w:val="20"/>
              </w:rPr>
            </w:pPr>
            <w:r w:rsidRPr="000B6E14">
              <w:rPr>
                <w:rFonts w:eastAsia="Calibri"/>
                <w:bCs/>
                <w:iCs/>
                <w:sz w:val="20"/>
                <w:szCs w:val="20"/>
              </w:rPr>
              <w:t>N/A*</w:t>
            </w:r>
          </w:p>
        </w:tc>
        <w:tc>
          <w:tcPr>
            <w:tcW w:w="1627" w:type="dxa"/>
            <w:shd w:val="clear" w:color="auto" w:fill="auto"/>
          </w:tcPr>
          <w:p w14:paraId="38365A7C" w14:textId="3510F93A" w:rsidR="00042C13" w:rsidRPr="000B6E14" w:rsidRDefault="001B4029" w:rsidP="001A3248">
            <w:pPr>
              <w:jc w:val="center"/>
              <w:rPr>
                <w:rFonts w:eastAsia="Calibri"/>
                <w:bCs/>
                <w:iCs/>
                <w:sz w:val="20"/>
                <w:szCs w:val="20"/>
              </w:rPr>
            </w:pPr>
            <w:r w:rsidRPr="000B6E14">
              <w:rPr>
                <w:rFonts w:eastAsia="Calibri"/>
                <w:bCs/>
                <w:iCs/>
                <w:sz w:val="20"/>
                <w:szCs w:val="20"/>
              </w:rPr>
              <w:t>N/A*</w:t>
            </w:r>
          </w:p>
        </w:tc>
        <w:tc>
          <w:tcPr>
            <w:tcW w:w="1354" w:type="dxa"/>
            <w:shd w:val="clear" w:color="auto" w:fill="auto"/>
          </w:tcPr>
          <w:p w14:paraId="183A06AA" w14:textId="1A1DD1E9" w:rsidR="00042C13" w:rsidRPr="000B6E14" w:rsidRDefault="00042C13" w:rsidP="001A3248">
            <w:pPr>
              <w:jc w:val="center"/>
              <w:rPr>
                <w:rFonts w:eastAsia="Calibri"/>
                <w:b/>
                <w:bCs/>
                <w:i/>
                <w:iCs/>
                <w:sz w:val="20"/>
                <w:szCs w:val="20"/>
              </w:rPr>
            </w:pPr>
          </w:p>
        </w:tc>
        <w:tc>
          <w:tcPr>
            <w:tcW w:w="1440" w:type="dxa"/>
            <w:shd w:val="clear" w:color="auto" w:fill="auto"/>
          </w:tcPr>
          <w:p w14:paraId="051E6368" w14:textId="70023E1E" w:rsidR="00042C13" w:rsidRPr="000B6E14" w:rsidRDefault="00042C13" w:rsidP="001A3248">
            <w:pPr>
              <w:jc w:val="center"/>
              <w:rPr>
                <w:rFonts w:eastAsia="Calibri"/>
                <w:b/>
                <w:bCs/>
                <w:i/>
                <w:iCs/>
                <w:sz w:val="20"/>
                <w:szCs w:val="20"/>
              </w:rPr>
            </w:pPr>
          </w:p>
        </w:tc>
      </w:tr>
      <w:tr w:rsidR="001B4029" w:rsidRPr="000B6E14" w14:paraId="4231F152" w14:textId="77777777" w:rsidTr="00A416D1">
        <w:trPr>
          <w:trHeight w:val="296"/>
        </w:trPr>
        <w:tc>
          <w:tcPr>
            <w:tcW w:w="9416" w:type="dxa"/>
            <w:gridSpan w:val="5"/>
            <w:tcBorders>
              <w:top w:val="single" w:sz="4" w:space="0" w:color="auto"/>
              <w:left w:val="single" w:sz="4" w:space="0" w:color="auto"/>
              <w:bottom w:val="single" w:sz="4" w:space="0" w:color="auto"/>
              <w:right w:val="single" w:sz="4" w:space="0" w:color="auto"/>
            </w:tcBorders>
          </w:tcPr>
          <w:p w14:paraId="12397B0A" w14:textId="77777777" w:rsidR="001B4029" w:rsidRPr="000B6E14" w:rsidRDefault="001B4029" w:rsidP="00F23D78">
            <w:pPr>
              <w:rPr>
                <w:rFonts w:eastAsia="Calibri"/>
                <w:bCs/>
                <w:i/>
                <w:iCs/>
                <w:sz w:val="20"/>
                <w:szCs w:val="20"/>
              </w:rPr>
            </w:pPr>
            <w:r w:rsidRPr="000B6E14">
              <w:rPr>
                <w:rFonts w:eastAsia="Calibri"/>
                <w:bCs/>
                <w:i/>
                <w:iCs/>
                <w:sz w:val="20"/>
                <w:szCs w:val="20"/>
              </w:rPr>
              <w:t>*Participants in this activity do not receive a Section 8 subsidy.</w:t>
            </w:r>
          </w:p>
        </w:tc>
      </w:tr>
      <w:tr w:rsidR="00042C13" w:rsidRPr="000B6E14" w14:paraId="10FE0A07" w14:textId="77777777" w:rsidTr="00A416D1">
        <w:trPr>
          <w:trHeight w:hRule="exact" w:val="317"/>
        </w:trPr>
        <w:tc>
          <w:tcPr>
            <w:tcW w:w="9416" w:type="dxa"/>
            <w:gridSpan w:val="5"/>
            <w:shd w:val="clear" w:color="auto" w:fill="C6D9F1" w:themeFill="text2" w:themeFillTint="33"/>
          </w:tcPr>
          <w:p w14:paraId="75C49110" w14:textId="3AFE834F" w:rsidR="00042C13" w:rsidRPr="000B6E14" w:rsidRDefault="00042C13" w:rsidP="00042C13">
            <w:pPr>
              <w:jc w:val="center"/>
              <w:rPr>
                <w:rFonts w:eastAsia="Calibri"/>
                <w:b/>
                <w:bCs/>
                <w:i/>
                <w:iCs/>
                <w:sz w:val="20"/>
                <w:szCs w:val="20"/>
              </w:rPr>
            </w:pPr>
            <w:r w:rsidRPr="000B6E14">
              <w:rPr>
                <w:b/>
                <w:bCs/>
                <w:i/>
                <w:iCs/>
                <w:sz w:val="20"/>
                <w:szCs w:val="20"/>
              </w:rPr>
              <w:t>SS #7: Increase in Agency Rental Revenue</w:t>
            </w:r>
            <w:r w:rsidR="00256314" w:rsidRPr="000B6E14">
              <w:rPr>
                <w:b/>
                <w:bCs/>
                <w:i/>
                <w:iCs/>
                <w:sz w:val="20"/>
                <w:szCs w:val="20"/>
              </w:rPr>
              <w:t>*</w:t>
            </w:r>
          </w:p>
        </w:tc>
      </w:tr>
      <w:tr w:rsidR="00042C13" w:rsidRPr="000B6E14" w14:paraId="726EF469" w14:textId="77777777" w:rsidTr="00A416D1">
        <w:trPr>
          <w:trHeight w:hRule="exact" w:val="576"/>
        </w:trPr>
        <w:tc>
          <w:tcPr>
            <w:tcW w:w="3240" w:type="dxa"/>
            <w:shd w:val="clear" w:color="auto" w:fill="D9D9D9" w:themeFill="background1" w:themeFillShade="D9"/>
          </w:tcPr>
          <w:p w14:paraId="7CD361B7" w14:textId="77777777" w:rsidR="00042C13" w:rsidRPr="000B6E14" w:rsidRDefault="00042C13" w:rsidP="00042C13">
            <w:pPr>
              <w:jc w:val="center"/>
              <w:rPr>
                <w:rFonts w:eastAsia="Calibri"/>
                <w:b/>
                <w:bCs/>
                <w:sz w:val="20"/>
                <w:szCs w:val="20"/>
              </w:rPr>
            </w:pPr>
            <w:r w:rsidRPr="000B6E14">
              <w:rPr>
                <w:rFonts w:eastAsia="Calibri"/>
                <w:b/>
                <w:bCs/>
                <w:sz w:val="20"/>
                <w:szCs w:val="20"/>
              </w:rPr>
              <w:t>Unit of Measurement</w:t>
            </w:r>
          </w:p>
        </w:tc>
        <w:tc>
          <w:tcPr>
            <w:tcW w:w="1755" w:type="dxa"/>
            <w:shd w:val="clear" w:color="auto" w:fill="D9D9D9" w:themeFill="background1" w:themeFillShade="D9"/>
          </w:tcPr>
          <w:p w14:paraId="5458AC01" w14:textId="77777777" w:rsidR="00042C13" w:rsidRPr="000B6E14" w:rsidRDefault="00042C13" w:rsidP="00042C13">
            <w:pPr>
              <w:jc w:val="center"/>
              <w:rPr>
                <w:rFonts w:eastAsia="Calibri"/>
                <w:b/>
                <w:bCs/>
                <w:sz w:val="20"/>
                <w:szCs w:val="20"/>
              </w:rPr>
            </w:pPr>
            <w:r w:rsidRPr="000B6E14">
              <w:rPr>
                <w:rFonts w:eastAsia="Calibri"/>
                <w:b/>
                <w:bCs/>
                <w:sz w:val="20"/>
                <w:szCs w:val="20"/>
              </w:rPr>
              <w:t>Baseline</w:t>
            </w:r>
          </w:p>
        </w:tc>
        <w:tc>
          <w:tcPr>
            <w:tcW w:w="1627" w:type="dxa"/>
            <w:shd w:val="clear" w:color="auto" w:fill="D9D9D9" w:themeFill="background1" w:themeFillShade="D9"/>
          </w:tcPr>
          <w:p w14:paraId="68CB8C62" w14:textId="77777777" w:rsidR="00042C13" w:rsidRPr="000B6E14" w:rsidRDefault="00042C13" w:rsidP="00042C13">
            <w:pPr>
              <w:jc w:val="center"/>
              <w:rPr>
                <w:rFonts w:eastAsia="Calibri"/>
                <w:b/>
                <w:bCs/>
                <w:sz w:val="20"/>
                <w:szCs w:val="20"/>
              </w:rPr>
            </w:pPr>
            <w:r w:rsidRPr="000B6E14">
              <w:rPr>
                <w:rFonts w:eastAsia="Calibri"/>
                <w:b/>
                <w:bCs/>
                <w:sz w:val="20"/>
                <w:szCs w:val="20"/>
              </w:rPr>
              <w:t>Benchmark</w:t>
            </w:r>
          </w:p>
        </w:tc>
        <w:tc>
          <w:tcPr>
            <w:tcW w:w="1354" w:type="dxa"/>
            <w:shd w:val="clear" w:color="auto" w:fill="D9D9D9" w:themeFill="background1" w:themeFillShade="D9"/>
          </w:tcPr>
          <w:p w14:paraId="63D58CA0" w14:textId="77777777" w:rsidR="00042C13" w:rsidRPr="000B6E14" w:rsidRDefault="00042C13" w:rsidP="00042C13">
            <w:pPr>
              <w:jc w:val="center"/>
              <w:rPr>
                <w:rFonts w:eastAsia="Calibri"/>
                <w:b/>
                <w:bCs/>
                <w:sz w:val="20"/>
                <w:szCs w:val="20"/>
              </w:rPr>
            </w:pPr>
            <w:r w:rsidRPr="000B6E14">
              <w:rPr>
                <w:rFonts w:eastAsia="Calibri"/>
                <w:b/>
                <w:bCs/>
                <w:sz w:val="20"/>
                <w:szCs w:val="20"/>
              </w:rPr>
              <w:t>Outcome</w:t>
            </w:r>
          </w:p>
        </w:tc>
        <w:tc>
          <w:tcPr>
            <w:tcW w:w="1440" w:type="dxa"/>
            <w:shd w:val="clear" w:color="auto" w:fill="D9D9D9" w:themeFill="background1" w:themeFillShade="D9"/>
          </w:tcPr>
          <w:p w14:paraId="1280CE17" w14:textId="77777777" w:rsidR="00042C13" w:rsidRPr="000B6E14" w:rsidRDefault="00042C13" w:rsidP="00042C13">
            <w:pPr>
              <w:jc w:val="center"/>
              <w:rPr>
                <w:rFonts w:eastAsia="Calibri"/>
                <w:b/>
                <w:bCs/>
                <w:sz w:val="20"/>
                <w:szCs w:val="20"/>
              </w:rPr>
            </w:pPr>
            <w:r w:rsidRPr="000B6E14">
              <w:rPr>
                <w:rFonts w:eastAsia="Calibri"/>
                <w:b/>
                <w:bCs/>
                <w:sz w:val="20"/>
                <w:szCs w:val="20"/>
              </w:rPr>
              <w:t>Benchmark Achieved?</w:t>
            </w:r>
          </w:p>
        </w:tc>
      </w:tr>
      <w:tr w:rsidR="001B4029" w:rsidRPr="000B6E14" w14:paraId="048A3821" w14:textId="77777777" w:rsidTr="00A416D1">
        <w:trPr>
          <w:trHeight w:val="296"/>
        </w:trPr>
        <w:tc>
          <w:tcPr>
            <w:tcW w:w="3240" w:type="dxa"/>
            <w:shd w:val="clear" w:color="auto" w:fill="auto"/>
          </w:tcPr>
          <w:p w14:paraId="25A358DB" w14:textId="6FF66CFB" w:rsidR="001B4029" w:rsidRPr="000B6E14" w:rsidRDefault="00256314" w:rsidP="001B4029">
            <w:pPr>
              <w:rPr>
                <w:rFonts w:eastAsia="Calibri"/>
                <w:b/>
                <w:bCs/>
                <w:i/>
                <w:iCs/>
                <w:sz w:val="20"/>
                <w:szCs w:val="20"/>
              </w:rPr>
            </w:pPr>
            <w:r w:rsidRPr="000B6E14">
              <w:rPr>
                <w:sz w:val="20"/>
                <w:szCs w:val="20"/>
              </w:rPr>
              <w:t>Total Household contributions towards housing assistance (increase).</w:t>
            </w:r>
          </w:p>
        </w:tc>
        <w:tc>
          <w:tcPr>
            <w:tcW w:w="1755" w:type="dxa"/>
            <w:shd w:val="clear" w:color="auto" w:fill="auto"/>
          </w:tcPr>
          <w:p w14:paraId="06949504" w14:textId="6724316B" w:rsidR="001B4029" w:rsidRPr="000B6E14" w:rsidRDefault="001B4029" w:rsidP="001A3248">
            <w:pPr>
              <w:jc w:val="center"/>
              <w:rPr>
                <w:rFonts w:eastAsia="Calibri"/>
                <w:bCs/>
                <w:iCs/>
                <w:sz w:val="20"/>
                <w:szCs w:val="20"/>
              </w:rPr>
            </w:pPr>
            <w:r w:rsidRPr="000B6E14">
              <w:rPr>
                <w:rFonts w:eastAsia="Calibri"/>
                <w:bCs/>
                <w:iCs/>
                <w:sz w:val="20"/>
                <w:szCs w:val="20"/>
              </w:rPr>
              <w:t>N/A</w:t>
            </w:r>
          </w:p>
        </w:tc>
        <w:tc>
          <w:tcPr>
            <w:tcW w:w="1627" w:type="dxa"/>
            <w:shd w:val="clear" w:color="auto" w:fill="auto"/>
          </w:tcPr>
          <w:p w14:paraId="0D256A8F" w14:textId="60BCEC8B" w:rsidR="001B4029" w:rsidRPr="000B6E14" w:rsidRDefault="001B4029" w:rsidP="001A3248">
            <w:pPr>
              <w:jc w:val="center"/>
              <w:rPr>
                <w:rFonts w:eastAsia="Calibri"/>
                <w:bCs/>
                <w:iCs/>
                <w:sz w:val="20"/>
                <w:szCs w:val="20"/>
              </w:rPr>
            </w:pPr>
            <w:r w:rsidRPr="000B6E14">
              <w:rPr>
                <w:rFonts w:eastAsia="Calibri"/>
                <w:bCs/>
                <w:iCs/>
                <w:sz w:val="20"/>
                <w:szCs w:val="20"/>
              </w:rPr>
              <w:t>N/A</w:t>
            </w:r>
          </w:p>
        </w:tc>
        <w:tc>
          <w:tcPr>
            <w:tcW w:w="1354" w:type="dxa"/>
            <w:shd w:val="clear" w:color="auto" w:fill="auto"/>
          </w:tcPr>
          <w:p w14:paraId="6F75BAF3" w14:textId="209F3D67" w:rsidR="001B4029" w:rsidRPr="000B6E14" w:rsidRDefault="001B4029" w:rsidP="001A3248">
            <w:pPr>
              <w:jc w:val="center"/>
              <w:rPr>
                <w:rFonts w:eastAsia="Calibri"/>
                <w:b/>
                <w:bCs/>
                <w:iCs/>
                <w:sz w:val="20"/>
                <w:szCs w:val="20"/>
              </w:rPr>
            </w:pPr>
          </w:p>
        </w:tc>
        <w:tc>
          <w:tcPr>
            <w:tcW w:w="1440" w:type="dxa"/>
            <w:shd w:val="clear" w:color="auto" w:fill="auto"/>
          </w:tcPr>
          <w:p w14:paraId="1291F5AA" w14:textId="6C7DC56C" w:rsidR="001B4029" w:rsidRPr="000B6E14" w:rsidRDefault="001B4029" w:rsidP="001A3248">
            <w:pPr>
              <w:jc w:val="center"/>
              <w:rPr>
                <w:rFonts w:eastAsia="Calibri"/>
                <w:b/>
                <w:bCs/>
                <w:i/>
                <w:iCs/>
                <w:sz w:val="20"/>
                <w:szCs w:val="20"/>
              </w:rPr>
            </w:pPr>
          </w:p>
        </w:tc>
      </w:tr>
      <w:tr w:rsidR="001B4029" w:rsidRPr="000B6E14" w14:paraId="40C402D6" w14:textId="77777777" w:rsidTr="00A416D1">
        <w:trPr>
          <w:trHeight w:val="296"/>
        </w:trPr>
        <w:tc>
          <w:tcPr>
            <w:tcW w:w="9416" w:type="dxa"/>
            <w:gridSpan w:val="5"/>
            <w:shd w:val="clear" w:color="auto" w:fill="auto"/>
          </w:tcPr>
          <w:p w14:paraId="14920484" w14:textId="6B9BAF11" w:rsidR="001B4029" w:rsidRPr="000B6E14" w:rsidRDefault="001B4029" w:rsidP="001B4029">
            <w:pPr>
              <w:rPr>
                <w:rFonts w:eastAsia="Calibri"/>
                <w:b/>
                <w:bCs/>
                <w:i/>
                <w:iCs/>
                <w:sz w:val="20"/>
                <w:szCs w:val="20"/>
              </w:rPr>
            </w:pPr>
            <w:r w:rsidRPr="000B6E14">
              <w:rPr>
                <w:rFonts w:eastAsia="Calibri"/>
                <w:bCs/>
                <w:i/>
                <w:iCs/>
                <w:sz w:val="20"/>
                <w:szCs w:val="20"/>
              </w:rPr>
              <w:t>*Participants in this activity are not assisted in PH or Section 8.</w:t>
            </w:r>
          </w:p>
        </w:tc>
      </w:tr>
      <w:tr w:rsidR="001B4029" w:rsidRPr="000B6E14" w14:paraId="7187BF8C" w14:textId="77777777" w:rsidTr="00A416D1">
        <w:trPr>
          <w:trHeight w:hRule="exact" w:val="317"/>
        </w:trPr>
        <w:tc>
          <w:tcPr>
            <w:tcW w:w="9416" w:type="dxa"/>
            <w:gridSpan w:val="5"/>
            <w:shd w:val="clear" w:color="auto" w:fill="C6D9F1" w:themeFill="text2" w:themeFillTint="33"/>
            <w:hideMark/>
          </w:tcPr>
          <w:p w14:paraId="4597F466" w14:textId="77777777" w:rsidR="001B4029" w:rsidRPr="000B6E14" w:rsidRDefault="001B4029" w:rsidP="001B4029">
            <w:pPr>
              <w:jc w:val="center"/>
              <w:rPr>
                <w:rFonts w:eastAsia="Calibri"/>
                <w:b/>
                <w:bCs/>
                <w:i/>
                <w:iCs/>
                <w:sz w:val="20"/>
                <w:szCs w:val="20"/>
              </w:rPr>
            </w:pPr>
            <w:r w:rsidRPr="000B6E14">
              <w:rPr>
                <w:rFonts w:eastAsia="Calibri"/>
                <w:b/>
                <w:bCs/>
                <w:i/>
                <w:iCs/>
                <w:sz w:val="20"/>
                <w:szCs w:val="20"/>
              </w:rPr>
              <w:t>SS #8: Households Transitioned to Self Sufficiency*</w:t>
            </w:r>
          </w:p>
        </w:tc>
      </w:tr>
      <w:tr w:rsidR="001B4029" w:rsidRPr="000B6E14" w14:paraId="4A0345AD" w14:textId="77777777" w:rsidTr="00A416D1">
        <w:trPr>
          <w:trHeight w:hRule="exact" w:val="576"/>
        </w:trPr>
        <w:tc>
          <w:tcPr>
            <w:tcW w:w="3240" w:type="dxa"/>
            <w:shd w:val="clear" w:color="auto" w:fill="D9D9D9" w:themeFill="background1" w:themeFillShade="D9"/>
            <w:hideMark/>
          </w:tcPr>
          <w:p w14:paraId="7FCC5D89" w14:textId="77777777" w:rsidR="001B4029" w:rsidRPr="000B6E14" w:rsidRDefault="001B4029" w:rsidP="001B4029">
            <w:pPr>
              <w:jc w:val="center"/>
              <w:rPr>
                <w:rFonts w:eastAsia="Calibri"/>
                <w:b/>
                <w:bCs/>
                <w:sz w:val="20"/>
                <w:szCs w:val="20"/>
              </w:rPr>
            </w:pPr>
            <w:r w:rsidRPr="000B6E14">
              <w:rPr>
                <w:rFonts w:eastAsia="Calibri"/>
                <w:b/>
                <w:bCs/>
                <w:sz w:val="20"/>
                <w:szCs w:val="20"/>
              </w:rPr>
              <w:t>Unit of Measurement</w:t>
            </w:r>
          </w:p>
        </w:tc>
        <w:tc>
          <w:tcPr>
            <w:tcW w:w="1755" w:type="dxa"/>
            <w:shd w:val="clear" w:color="auto" w:fill="D9D9D9" w:themeFill="background1" w:themeFillShade="D9"/>
            <w:hideMark/>
          </w:tcPr>
          <w:p w14:paraId="5E2D3E63" w14:textId="77777777" w:rsidR="001B4029" w:rsidRPr="000B6E14" w:rsidRDefault="001B4029" w:rsidP="001B4029">
            <w:pPr>
              <w:jc w:val="center"/>
              <w:rPr>
                <w:rFonts w:eastAsia="Calibri"/>
                <w:b/>
                <w:bCs/>
                <w:sz w:val="20"/>
                <w:szCs w:val="20"/>
              </w:rPr>
            </w:pPr>
            <w:r w:rsidRPr="000B6E14">
              <w:rPr>
                <w:rFonts w:eastAsia="Calibri"/>
                <w:b/>
                <w:bCs/>
                <w:sz w:val="20"/>
                <w:szCs w:val="20"/>
              </w:rPr>
              <w:t>Baseline</w:t>
            </w:r>
          </w:p>
        </w:tc>
        <w:tc>
          <w:tcPr>
            <w:tcW w:w="1627" w:type="dxa"/>
            <w:shd w:val="clear" w:color="auto" w:fill="D9D9D9" w:themeFill="background1" w:themeFillShade="D9"/>
            <w:hideMark/>
          </w:tcPr>
          <w:p w14:paraId="08BF5248" w14:textId="77777777" w:rsidR="001B4029" w:rsidRPr="000B6E14" w:rsidRDefault="001B4029" w:rsidP="001B4029">
            <w:pPr>
              <w:jc w:val="center"/>
              <w:rPr>
                <w:rFonts w:eastAsia="Calibri"/>
                <w:b/>
                <w:bCs/>
                <w:sz w:val="20"/>
                <w:szCs w:val="20"/>
              </w:rPr>
            </w:pPr>
            <w:r w:rsidRPr="000B6E14">
              <w:rPr>
                <w:rFonts w:eastAsia="Calibri"/>
                <w:b/>
                <w:bCs/>
                <w:sz w:val="20"/>
                <w:szCs w:val="20"/>
              </w:rPr>
              <w:t>Benchmark</w:t>
            </w:r>
          </w:p>
        </w:tc>
        <w:tc>
          <w:tcPr>
            <w:tcW w:w="1354" w:type="dxa"/>
            <w:shd w:val="clear" w:color="auto" w:fill="D9D9D9" w:themeFill="background1" w:themeFillShade="D9"/>
            <w:hideMark/>
          </w:tcPr>
          <w:p w14:paraId="2EC4405E" w14:textId="77777777" w:rsidR="001B4029" w:rsidRPr="000B6E14" w:rsidRDefault="001B4029" w:rsidP="001B4029">
            <w:pPr>
              <w:jc w:val="center"/>
              <w:rPr>
                <w:rFonts w:eastAsia="Calibri"/>
                <w:b/>
                <w:bCs/>
                <w:sz w:val="20"/>
                <w:szCs w:val="20"/>
              </w:rPr>
            </w:pPr>
            <w:r w:rsidRPr="000B6E14">
              <w:rPr>
                <w:rFonts w:eastAsia="Calibri"/>
                <w:b/>
                <w:bCs/>
                <w:sz w:val="20"/>
                <w:szCs w:val="20"/>
              </w:rPr>
              <w:t>Outcome</w:t>
            </w:r>
          </w:p>
        </w:tc>
        <w:tc>
          <w:tcPr>
            <w:tcW w:w="1440" w:type="dxa"/>
            <w:shd w:val="clear" w:color="auto" w:fill="D9D9D9" w:themeFill="background1" w:themeFillShade="D9"/>
            <w:hideMark/>
          </w:tcPr>
          <w:p w14:paraId="39E61012" w14:textId="77777777" w:rsidR="001B4029" w:rsidRPr="000B6E14" w:rsidRDefault="001B4029" w:rsidP="001B4029">
            <w:pPr>
              <w:jc w:val="center"/>
              <w:rPr>
                <w:rFonts w:eastAsia="Calibri"/>
                <w:b/>
                <w:bCs/>
                <w:sz w:val="20"/>
                <w:szCs w:val="20"/>
              </w:rPr>
            </w:pPr>
            <w:r w:rsidRPr="000B6E14">
              <w:rPr>
                <w:rFonts w:eastAsia="Calibri"/>
                <w:b/>
                <w:bCs/>
                <w:sz w:val="20"/>
                <w:szCs w:val="20"/>
              </w:rPr>
              <w:t>Benchmark Achieved?</w:t>
            </w:r>
          </w:p>
        </w:tc>
      </w:tr>
      <w:tr w:rsidR="001B4029" w:rsidRPr="000B6E14" w14:paraId="44A40F53" w14:textId="77777777" w:rsidTr="00A416D1">
        <w:trPr>
          <w:trHeight w:val="350"/>
        </w:trPr>
        <w:tc>
          <w:tcPr>
            <w:tcW w:w="3240" w:type="dxa"/>
            <w:shd w:val="clear" w:color="auto" w:fill="auto"/>
            <w:hideMark/>
          </w:tcPr>
          <w:p w14:paraId="7A94CE18" w14:textId="77777777" w:rsidR="001B4029" w:rsidRPr="000B6E14" w:rsidRDefault="001B4029" w:rsidP="001B4029">
            <w:pPr>
              <w:rPr>
                <w:rFonts w:eastAsia="Calibri"/>
                <w:sz w:val="20"/>
                <w:szCs w:val="20"/>
              </w:rPr>
            </w:pPr>
            <w:r w:rsidRPr="000B6E14">
              <w:rPr>
                <w:rFonts w:eastAsia="Calibri"/>
                <w:sz w:val="20"/>
                <w:szCs w:val="20"/>
              </w:rPr>
              <w:t xml:space="preserve">Number of households transitioned to self-sufficiency (increase). </w:t>
            </w:r>
          </w:p>
        </w:tc>
        <w:tc>
          <w:tcPr>
            <w:tcW w:w="1755" w:type="dxa"/>
            <w:shd w:val="clear" w:color="auto" w:fill="auto"/>
          </w:tcPr>
          <w:p w14:paraId="39B35D2A" w14:textId="77777777" w:rsidR="001B4029" w:rsidRPr="000B6E14" w:rsidRDefault="001B4029" w:rsidP="001A3248">
            <w:pPr>
              <w:jc w:val="center"/>
              <w:rPr>
                <w:rFonts w:eastAsia="Calibri"/>
                <w:sz w:val="20"/>
                <w:szCs w:val="20"/>
              </w:rPr>
            </w:pPr>
            <w:r w:rsidRPr="000B6E14">
              <w:rPr>
                <w:rFonts w:eastAsia="Calibri"/>
                <w:sz w:val="20"/>
                <w:szCs w:val="20"/>
              </w:rPr>
              <w:t>0 households</w:t>
            </w:r>
          </w:p>
        </w:tc>
        <w:tc>
          <w:tcPr>
            <w:tcW w:w="1627" w:type="dxa"/>
            <w:shd w:val="clear" w:color="auto" w:fill="auto"/>
          </w:tcPr>
          <w:p w14:paraId="3109E435" w14:textId="4A48610D" w:rsidR="001B4029" w:rsidRPr="000B6E14" w:rsidRDefault="00903E12" w:rsidP="001A3248">
            <w:pPr>
              <w:jc w:val="center"/>
              <w:rPr>
                <w:rFonts w:eastAsia="Calibri"/>
                <w:sz w:val="20"/>
                <w:szCs w:val="20"/>
              </w:rPr>
            </w:pPr>
            <w:r w:rsidRPr="000B6E14">
              <w:rPr>
                <w:rFonts w:eastAsia="Calibri"/>
                <w:sz w:val="20"/>
                <w:szCs w:val="20"/>
              </w:rPr>
              <w:t>270</w:t>
            </w:r>
            <w:r w:rsidR="001B4029" w:rsidRPr="000B6E14">
              <w:rPr>
                <w:rFonts w:eastAsia="Calibri"/>
                <w:sz w:val="20"/>
                <w:szCs w:val="20"/>
              </w:rPr>
              <w:t xml:space="preserve"> households</w:t>
            </w:r>
          </w:p>
        </w:tc>
        <w:tc>
          <w:tcPr>
            <w:tcW w:w="1354" w:type="dxa"/>
            <w:shd w:val="clear" w:color="auto" w:fill="auto"/>
          </w:tcPr>
          <w:p w14:paraId="638497D3" w14:textId="22727F2F" w:rsidR="001B4029" w:rsidRPr="000B6E14" w:rsidRDefault="001B4029" w:rsidP="001A3248">
            <w:pPr>
              <w:jc w:val="center"/>
              <w:rPr>
                <w:rFonts w:eastAsia="Calibri"/>
                <w:sz w:val="20"/>
                <w:szCs w:val="20"/>
              </w:rPr>
            </w:pPr>
          </w:p>
        </w:tc>
        <w:tc>
          <w:tcPr>
            <w:tcW w:w="1440" w:type="dxa"/>
            <w:shd w:val="clear" w:color="auto" w:fill="auto"/>
          </w:tcPr>
          <w:p w14:paraId="70C159EF" w14:textId="7F5EF8F3" w:rsidR="001B4029" w:rsidRPr="000B6E14" w:rsidRDefault="001B4029" w:rsidP="001A3248">
            <w:pPr>
              <w:jc w:val="center"/>
              <w:rPr>
                <w:rFonts w:eastAsia="Calibri"/>
                <w:sz w:val="20"/>
                <w:szCs w:val="20"/>
              </w:rPr>
            </w:pPr>
          </w:p>
        </w:tc>
      </w:tr>
      <w:tr w:rsidR="001B4029" w:rsidRPr="000B6E14" w14:paraId="67AB3E7F" w14:textId="77777777" w:rsidTr="00A416D1">
        <w:trPr>
          <w:trHeight w:val="395"/>
        </w:trPr>
        <w:tc>
          <w:tcPr>
            <w:tcW w:w="9416" w:type="dxa"/>
            <w:gridSpan w:val="5"/>
            <w:shd w:val="clear" w:color="auto" w:fill="auto"/>
          </w:tcPr>
          <w:p w14:paraId="64ECB366" w14:textId="3D7387DD" w:rsidR="001B4029" w:rsidRPr="000B6E14" w:rsidRDefault="001B4029" w:rsidP="001B4029">
            <w:pPr>
              <w:rPr>
                <w:bCs/>
                <w:i/>
                <w:iCs/>
                <w:sz w:val="20"/>
                <w:szCs w:val="20"/>
              </w:rPr>
            </w:pPr>
            <w:r w:rsidRPr="000B6E14">
              <w:rPr>
                <w:bCs/>
                <w:i/>
                <w:iCs/>
                <w:sz w:val="20"/>
                <w:szCs w:val="18"/>
              </w:rPr>
              <w:t>*Self-sufficiency is defined as participants who have secured subsidized or market rate housing</w:t>
            </w:r>
            <w:r w:rsidR="00471289" w:rsidRPr="000B6E14">
              <w:rPr>
                <w:bCs/>
                <w:i/>
                <w:iCs/>
                <w:sz w:val="20"/>
                <w:szCs w:val="18"/>
              </w:rPr>
              <w:t>.</w:t>
            </w:r>
          </w:p>
        </w:tc>
      </w:tr>
      <w:tr w:rsidR="001B4029" w:rsidRPr="000B6E14" w14:paraId="49A5429B" w14:textId="77777777" w:rsidTr="00A416D1">
        <w:trPr>
          <w:trHeight w:hRule="exact" w:val="317"/>
        </w:trPr>
        <w:tc>
          <w:tcPr>
            <w:tcW w:w="9416" w:type="dxa"/>
            <w:gridSpan w:val="5"/>
            <w:shd w:val="clear" w:color="auto" w:fill="C6D9F1" w:themeFill="text2" w:themeFillTint="33"/>
          </w:tcPr>
          <w:p w14:paraId="2F89844D" w14:textId="77777777" w:rsidR="001B4029" w:rsidRPr="000B6E14" w:rsidRDefault="001B4029" w:rsidP="001B4029">
            <w:pPr>
              <w:jc w:val="center"/>
              <w:rPr>
                <w:rFonts w:eastAsia="Calibri"/>
                <w:sz w:val="20"/>
                <w:szCs w:val="20"/>
              </w:rPr>
            </w:pPr>
            <w:r w:rsidRPr="000B6E14">
              <w:rPr>
                <w:b/>
                <w:bCs/>
                <w:i/>
                <w:iCs/>
                <w:sz w:val="20"/>
                <w:szCs w:val="20"/>
              </w:rPr>
              <w:t>HC #5: Increase in Resident Mobility</w:t>
            </w:r>
          </w:p>
        </w:tc>
      </w:tr>
      <w:tr w:rsidR="001B4029" w:rsidRPr="000B6E14" w14:paraId="03712FDA" w14:textId="77777777" w:rsidTr="00A416D1">
        <w:trPr>
          <w:trHeight w:hRule="exact" w:val="576"/>
        </w:trPr>
        <w:tc>
          <w:tcPr>
            <w:tcW w:w="3240" w:type="dxa"/>
            <w:shd w:val="clear" w:color="auto" w:fill="D9D9D9" w:themeFill="background1" w:themeFillShade="D9"/>
          </w:tcPr>
          <w:p w14:paraId="63F91CD5" w14:textId="77777777" w:rsidR="001B4029" w:rsidRPr="000B6E14" w:rsidRDefault="001B4029" w:rsidP="001B4029">
            <w:pPr>
              <w:jc w:val="center"/>
              <w:rPr>
                <w:rFonts w:eastAsia="Calibri"/>
                <w:b/>
                <w:bCs/>
                <w:sz w:val="20"/>
                <w:szCs w:val="20"/>
              </w:rPr>
            </w:pPr>
            <w:r w:rsidRPr="000B6E14">
              <w:rPr>
                <w:rFonts w:eastAsia="Calibri"/>
                <w:b/>
                <w:bCs/>
                <w:sz w:val="20"/>
                <w:szCs w:val="20"/>
              </w:rPr>
              <w:t>Unit of Measurement</w:t>
            </w:r>
          </w:p>
        </w:tc>
        <w:tc>
          <w:tcPr>
            <w:tcW w:w="1755" w:type="dxa"/>
            <w:shd w:val="clear" w:color="auto" w:fill="D9D9D9" w:themeFill="background1" w:themeFillShade="D9"/>
          </w:tcPr>
          <w:p w14:paraId="66D40020" w14:textId="77777777" w:rsidR="001B4029" w:rsidRPr="000B6E14" w:rsidRDefault="001B4029" w:rsidP="001B4029">
            <w:pPr>
              <w:jc w:val="center"/>
              <w:rPr>
                <w:rFonts w:eastAsia="Calibri"/>
                <w:b/>
                <w:bCs/>
                <w:sz w:val="20"/>
                <w:szCs w:val="20"/>
              </w:rPr>
            </w:pPr>
            <w:r w:rsidRPr="000B6E14">
              <w:rPr>
                <w:rFonts w:eastAsia="Calibri"/>
                <w:b/>
                <w:bCs/>
                <w:sz w:val="20"/>
                <w:szCs w:val="20"/>
              </w:rPr>
              <w:t>Baseline</w:t>
            </w:r>
          </w:p>
        </w:tc>
        <w:tc>
          <w:tcPr>
            <w:tcW w:w="1627" w:type="dxa"/>
            <w:shd w:val="clear" w:color="auto" w:fill="D9D9D9" w:themeFill="background1" w:themeFillShade="D9"/>
          </w:tcPr>
          <w:p w14:paraId="6E15C947" w14:textId="77777777" w:rsidR="001B4029" w:rsidRPr="000B6E14" w:rsidRDefault="001B4029" w:rsidP="001B4029">
            <w:pPr>
              <w:jc w:val="center"/>
              <w:rPr>
                <w:rFonts w:eastAsia="Calibri"/>
                <w:b/>
                <w:bCs/>
                <w:sz w:val="20"/>
                <w:szCs w:val="20"/>
              </w:rPr>
            </w:pPr>
            <w:r w:rsidRPr="000B6E14">
              <w:rPr>
                <w:rFonts w:eastAsia="Calibri"/>
                <w:b/>
                <w:bCs/>
                <w:sz w:val="20"/>
                <w:szCs w:val="20"/>
              </w:rPr>
              <w:t>Benchmark</w:t>
            </w:r>
          </w:p>
        </w:tc>
        <w:tc>
          <w:tcPr>
            <w:tcW w:w="1354" w:type="dxa"/>
            <w:shd w:val="clear" w:color="auto" w:fill="D9D9D9" w:themeFill="background1" w:themeFillShade="D9"/>
          </w:tcPr>
          <w:p w14:paraId="54D79A15" w14:textId="77777777" w:rsidR="001B4029" w:rsidRPr="000B6E14" w:rsidRDefault="001B4029" w:rsidP="001B4029">
            <w:pPr>
              <w:jc w:val="center"/>
              <w:rPr>
                <w:rFonts w:eastAsia="Calibri"/>
                <w:b/>
                <w:bCs/>
                <w:sz w:val="20"/>
                <w:szCs w:val="20"/>
              </w:rPr>
            </w:pPr>
            <w:r w:rsidRPr="000B6E14">
              <w:rPr>
                <w:rFonts w:eastAsia="Calibri"/>
                <w:b/>
                <w:bCs/>
                <w:sz w:val="20"/>
                <w:szCs w:val="20"/>
              </w:rPr>
              <w:t>Outcome</w:t>
            </w:r>
          </w:p>
        </w:tc>
        <w:tc>
          <w:tcPr>
            <w:tcW w:w="1440" w:type="dxa"/>
            <w:shd w:val="clear" w:color="auto" w:fill="D9D9D9" w:themeFill="background1" w:themeFillShade="D9"/>
          </w:tcPr>
          <w:p w14:paraId="6E3F0A0B" w14:textId="77777777" w:rsidR="001B4029" w:rsidRPr="000B6E14" w:rsidRDefault="001B4029" w:rsidP="001B4029">
            <w:pPr>
              <w:jc w:val="center"/>
              <w:rPr>
                <w:rFonts w:eastAsia="Calibri"/>
                <w:b/>
                <w:bCs/>
                <w:sz w:val="20"/>
                <w:szCs w:val="20"/>
              </w:rPr>
            </w:pPr>
            <w:r w:rsidRPr="000B6E14">
              <w:rPr>
                <w:rFonts w:eastAsia="Calibri"/>
                <w:b/>
                <w:bCs/>
                <w:sz w:val="20"/>
                <w:szCs w:val="20"/>
              </w:rPr>
              <w:t>Benchmark Achieved?</w:t>
            </w:r>
          </w:p>
        </w:tc>
      </w:tr>
      <w:tr w:rsidR="001B4029" w:rsidRPr="000B6E14" w14:paraId="028018D8" w14:textId="77777777" w:rsidTr="00A416D1">
        <w:trPr>
          <w:trHeight w:val="350"/>
        </w:trPr>
        <w:tc>
          <w:tcPr>
            <w:tcW w:w="3240" w:type="dxa"/>
            <w:shd w:val="clear" w:color="auto" w:fill="auto"/>
          </w:tcPr>
          <w:p w14:paraId="28456862" w14:textId="77777777" w:rsidR="001B4029" w:rsidRPr="000B6E14" w:rsidRDefault="001B4029" w:rsidP="001B4029">
            <w:pPr>
              <w:rPr>
                <w:rFonts w:eastAsia="Calibri"/>
                <w:sz w:val="20"/>
                <w:szCs w:val="20"/>
              </w:rPr>
            </w:pPr>
            <w:r w:rsidRPr="000B6E14">
              <w:rPr>
                <w:sz w:val="20"/>
                <w:szCs w:val="20"/>
              </w:rPr>
              <w:t>Number of households able to move to a better unit and/or neighborhood of opportunity as a result of the activity (increase).</w:t>
            </w:r>
          </w:p>
        </w:tc>
        <w:tc>
          <w:tcPr>
            <w:tcW w:w="1755" w:type="dxa"/>
            <w:shd w:val="clear" w:color="auto" w:fill="auto"/>
          </w:tcPr>
          <w:p w14:paraId="09C23532" w14:textId="0A0D9C1B" w:rsidR="001B4029" w:rsidRPr="000B6E14" w:rsidRDefault="001B4029" w:rsidP="001A3248">
            <w:pPr>
              <w:jc w:val="center"/>
              <w:rPr>
                <w:rFonts w:eastAsia="Calibri"/>
                <w:sz w:val="20"/>
                <w:szCs w:val="20"/>
              </w:rPr>
            </w:pPr>
            <w:r w:rsidRPr="000B6E14">
              <w:rPr>
                <w:rFonts w:eastAsia="Calibri"/>
                <w:bCs/>
                <w:iCs/>
                <w:sz w:val="20"/>
                <w:szCs w:val="20"/>
              </w:rPr>
              <w:t>0</w:t>
            </w:r>
          </w:p>
        </w:tc>
        <w:tc>
          <w:tcPr>
            <w:tcW w:w="1627" w:type="dxa"/>
            <w:shd w:val="clear" w:color="auto" w:fill="auto"/>
          </w:tcPr>
          <w:p w14:paraId="7A7F7E7A" w14:textId="4F849262" w:rsidR="001B4029" w:rsidRPr="000B6E14" w:rsidRDefault="00903E12" w:rsidP="001A3248">
            <w:pPr>
              <w:jc w:val="center"/>
              <w:rPr>
                <w:rFonts w:eastAsia="Calibri"/>
                <w:sz w:val="20"/>
                <w:szCs w:val="20"/>
              </w:rPr>
            </w:pPr>
            <w:r w:rsidRPr="000B6E14">
              <w:rPr>
                <w:rFonts w:eastAsia="Calibri"/>
                <w:sz w:val="20"/>
                <w:szCs w:val="20"/>
              </w:rPr>
              <w:t>270</w:t>
            </w:r>
            <w:r w:rsidR="00793635" w:rsidRPr="000B6E14">
              <w:rPr>
                <w:rFonts w:eastAsia="Calibri"/>
                <w:sz w:val="20"/>
                <w:szCs w:val="20"/>
              </w:rPr>
              <w:t xml:space="preserve"> households</w:t>
            </w:r>
          </w:p>
        </w:tc>
        <w:tc>
          <w:tcPr>
            <w:tcW w:w="1354" w:type="dxa"/>
            <w:shd w:val="clear" w:color="auto" w:fill="auto"/>
          </w:tcPr>
          <w:p w14:paraId="0823FAD2" w14:textId="0B4906CE" w:rsidR="001B4029" w:rsidRPr="000B6E14" w:rsidRDefault="001B4029" w:rsidP="001A3248">
            <w:pPr>
              <w:jc w:val="center"/>
              <w:rPr>
                <w:rFonts w:eastAsia="Calibri"/>
                <w:sz w:val="20"/>
                <w:szCs w:val="20"/>
              </w:rPr>
            </w:pPr>
          </w:p>
        </w:tc>
        <w:tc>
          <w:tcPr>
            <w:tcW w:w="1440" w:type="dxa"/>
            <w:shd w:val="clear" w:color="auto" w:fill="auto"/>
          </w:tcPr>
          <w:p w14:paraId="6759FE5D" w14:textId="76D9A538" w:rsidR="001B4029" w:rsidRPr="000B6E14" w:rsidRDefault="001B4029" w:rsidP="001A3248">
            <w:pPr>
              <w:jc w:val="center"/>
              <w:rPr>
                <w:rFonts w:eastAsia="Calibri"/>
                <w:sz w:val="20"/>
                <w:szCs w:val="20"/>
              </w:rPr>
            </w:pPr>
          </w:p>
        </w:tc>
      </w:tr>
    </w:tbl>
    <w:p w14:paraId="5B2715ED" w14:textId="77777777" w:rsidR="0098594D" w:rsidRPr="000B6E14" w:rsidRDefault="0098594D" w:rsidP="0098594D">
      <w:pPr>
        <w:jc w:val="both"/>
        <w:rPr>
          <w:b/>
          <w:color w:val="000000"/>
          <w:sz w:val="22"/>
          <w:szCs w:val="22"/>
        </w:rPr>
      </w:pPr>
    </w:p>
    <w:p w14:paraId="703D6E0C" w14:textId="48CF7E24" w:rsidR="0098594D" w:rsidRPr="000B6E14" w:rsidRDefault="0098594D" w:rsidP="0098594D">
      <w:pPr>
        <w:jc w:val="both"/>
        <w:rPr>
          <w:b/>
          <w:color w:val="000000"/>
          <w:sz w:val="22"/>
          <w:szCs w:val="22"/>
        </w:rPr>
      </w:pPr>
      <w:r w:rsidRPr="000B6E14">
        <w:rPr>
          <w:b/>
          <w:color w:val="000000"/>
          <w:sz w:val="22"/>
          <w:szCs w:val="22"/>
        </w:rPr>
        <w:t>Planned Significant Changes</w:t>
      </w:r>
    </w:p>
    <w:p w14:paraId="7FB3A8DC" w14:textId="77777777" w:rsidR="0098594D" w:rsidRPr="00E11226" w:rsidRDefault="0098594D" w:rsidP="0098594D">
      <w:pPr>
        <w:jc w:val="both"/>
        <w:rPr>
          <w:color w:val="000000" w:themeColor="text1"/>
          <w:sz w:val="22"/>
          <w:szCs w:val="22"/>
        </w:rPr>
      </w:pPr>
      <w:r w:rsidRPr="000B6E14">
        <w:rPr>
          <w:color w:val="000000" w:themeColor="text1"/>
          <w:sz w:val="22"/>
          <w:szCs w:val="22"/>
        </w:rPr>
        <w:t>No significant changes are planned.</w:t>
      </w:r>
    </w:p>
    <w:p w14:paraId="0745CEE5" w14:textId="77777777" w:rsidR="006D6981" w:rsidRPr="00E94B9C" w:rsidRDefault="006D6981" w:rsidP="002F3C7A">
      <w:pPr>
        <w:rPr>
          <w:color w:val="000000"/>
        </w:rPr>
        <w:sectPr w:rsidR="006D6981" w:rsidRPr="00E94B9C" w:rsidSect="001E7A7F">
          <w:pgSz w:w="12240" w:h="15840"/>
          <w:pgMar w:top="1440" w:right="1440" w:bottom="1440" w:left="1440" w:header="720" w:footer="720" w:gutter="0"/>
          <w:cols w:space="720"/>
          <w:docGrid w:linePitch="360"/>
        </w:sectPr>
      </w:pPr>
    </w:p>
    <w:p w14:paraId="1C1ED20E" w14:textId="77777777" w:rsidR="006D6981" w:rsidRPr="0088154E" w:rsidRDefault="006D6981" w:rsidP="001F2A56">
      <w:pPr>
        <w:pStyle w:val="Heading3"/>
      </w:pPr>
      <w:bookmarkStart w:id="64" w:name="_Toc33016947"/>
      <w:r w:rsidRPr="0088154E">
        <w:t>Activity 2018-5: A Better Life Program Model</w:t>
      </w:r>
      <w:bookmarkEnd w:id="64"/>
    </w:p>
    <w:p w14:paraId="656D29A8" w14:textId="77777777" w:rsidR="006D6981" w:rsidRPr="0088154E" w:rsidRDefault="006D6981" w:rsidP="006D6981">
      <w:pPr>
        <w:rPr>
          <w:b/>
          <w:color w:val="000000"/>
          <w:sz w:val="22"/>
          <w:szCs w:val="22"/>
          <w:u w:val="single"/>
        </w:rPr>
      </w:pPr>
    </w:p>
    <w:p w14:paraId="28E11322" w14:textId="77777777" w:rsidR="00C73902" w:rsidRPr="0088154E" w:rsidRDefault="00C73902" w:rsidP="00C73902">
      <w:pPr>
        <w:jc w:val="both"/>
        <w:rPr>
          <w:color w:val="000000"/>
          <w:sz w:val="22"/>
          <w:szCs w:val="22"/>
        </w:rPr>
      </w:pPr>
      <w:r w:rsidRPr="0088154E">
        <w:rPr>
          <w:b/>
          <w:color w:val="000000"/>
          <w:sz w:val="22"/>
          <w:szCs w:val="22"/>
        </w:rPr>
        <w:t>Plan Year Approved, Implemented, Amended</w:t>
      </w:r>
      <w:r w:rsidRPr="0088154E">
        <w:rPr>
          <w:color w:val="000000"/>
          <w:sz w:val="22"/>
          <w:szCs w:val="22"/>
        </w:rPr>
        <w:t xml:space="preserve"> </w:t>
      </w:r>
    </w:p>
    <w:p w14:paraId="5DA7C8DB" w14:textId="77777777" w:rsidR="00C73902" w:rsidRPr="0088154E" w:rsidRDefault="00C73902" w:rsidP="00C73902">
      <w:pPr>
        <w:rPr>
          <w:sz w:val="22"/>
          <w:szCs w:val="22"/>
        </w:rPr>
      </w:pPr>
      <w:r w:rsidRPr="0088154E">
        <w:rPr>
          <w:sz w:val="22"/>
          <w:szCs w:val="22"/>
        </w:rPr>
        <w:t>Approved and implemented FY 2018.</w:t>
      </w:r>
    </w:p>
    <w:p w14:paraId="08D15AAB" w14:textId="77777777" w:rsidR="00C73902" w:rsidRPr="0088154E" w:rsidRDefault="00C73902" w:rsidP="00C73902">
      <w:pPr>
        <w:jc w:val="both"/>
        <w:rPr>
          <w:color w:val="000000"/>
          <w:sz w:val="22"/>
          <w:szCs w:val="22"/>
        </w:rPr>
      </w:pPr>
    </w:p>
    <w:p w14:paraId="706905E5" w14:textId="1EAB2815" w:rsidR="000B2FE4" w:rsidRPr="0088154E" w:rsidRDefault="00E001F8" w:rsidP="000B2FE4">
      <w:pPr>
        <w:tabs>
          <w:tab w:val="left" w:pos="450"/>
        </w:tabs>
        <w:jc w:val="both"/>
        <w:rPr>
          <w:b/>
          <w:color w:val="000000"/>
          <w:sz w:val="22"/>
          <w:szCs w:val="22"/>
        </w:rPr>
      </w:pPr>
      <w:r w:rsidRPr="0088154E">
        <w:rPr>
          <w:b/>
          <w:color w:val="000000"/>
          <w:sz w:val="22"/>
          <w:szCs w:val="22"/>
        </w:rPr>
        <w:t>Description/Update</w:t>
      </w:r>
    </w:p>
    <w:p w14:paraId="1FA90F15" w14:textId="0C61030C" w:rsidR="000B2FE4" w:rsidRPr="0088154E" w:rsidRDefault="000B2FE4" w:rsidP="000B2FE4">
      <w:pPr>
        <w:pStyle w:val="CommentText"/>
        <w:jc w:val="both"/>
        <w:rPr>
          <w:sz w:val="22"/>
          <w:szCs w:val="22"/>
        </w:rPr>
      </w:pPr>
      <w:r w:rsidRPr="0088154E">
        <w:rPr>
          <w:color w:val="000000"/>
          <w:sz w:val="22"/>
          <w:szCs w:val="22"/>
        </w:rPr>
        <w:t xml:space="preserve">In FY 2018, HUD approved and DHCD implemented the A Better Life Program Model activity. The program is intended to </w:t>
      </w:r>
      <w:r w:rsidRPr="0088154E">
        <w:rPr>
          <w:sz w:val="22"/>
          <w:szCs w:val="22"/>
        </w:rPr>
        <w:t>provide eligible families with skills necessary for meaningful employment and effectively remove barriers to obtaining self-sufficiency.</w:t>
      </w:r>
      <w:r w:rsidRPr="0088154E">
        <w:rPr>
          <w:color w:val="000000"/>
          <w:sz w:val="22"/>
          <w:szCs w:val="22"/>
        </w:rPr>
        <w:t xml:space="preserve"> Under this activity, </w:t>
      </w:r>
      <w:r w:rsidRPr="0088154E">
        <w:rPr>
          <w:sz w:val="22"/>
          <w:szCs w:val="22"/>
        </w:rPr>
        <w:t>four Local Housing Authorities (LHAs), Chelsea, Gloucester, New Bedford and Taunton, recei</w:t>
      </w:r>
      <w:r w:rsidR="00485549" w:rsidRPr="0088154E">
        <w:rPr>
          <w:sz w:val="22"/>
          <w:szCs w:val="22"/>
        </w:rPr>
        <w:t>ved funding from DHCD to plan for the operation of</w:t>
      </w:r>
      <w:r w:rsidRPr="0088154E">
        <w:rPr>
          <w:sz w:val="22"/>
          <w:szCs w:val="22"/>
        </w:rPr>
        <w:t xml:space="preserve"> the “A Better Life Self-Sufficiency (ABL) Program” at state-aided public housing developments. </w:t>
      </w:r>
      <w:r w:rsidRPr="0088154E">
        <w:rPr>
          <w:bCs/>
          <w:sz w:val="22"/>
          <w:szCs w:val="22"/>
        </w:rPr>
        <w:t xml:space="preserve">Eligibility for the ABL program is limited to low-income applicants and existing residents in the LHA’s state housing programs. In FY2019, DHCD awarded three of the four LHAs implementation grants (Gloucester, New Bedford and Taunton) and they have begun enrolling participants in the program. </w:t>
      </w:r>
    </w:p>
    <w:p w14:paraId="33B4643C" w14:textId="77777777" w:rsidR="000B2FE4" w:rsidRPr="0088154E" w:rsidRDefault="000B2FE4" w:rsidP="000B2FE4">
      <w:pPr>
        <w:pStyle w:val="CommentText"/>
        <w:jc w:val="both"/>
        <w:rPr>
          <w:rFonts w:eastAsia="Calibri"/>
          <w:sz w:val="22"/>
          <w:szCs w:val="22"/>
        </w:rPr>
      </w:pPr>
    </w:p>
    <w:p w14:paraId="2A760FD7" w14:textId="649129E0" w:rsidR="000B2FE4" w:rsidRPr="0088154E" w:rsidRDefault="000B2FE4" w:rsidP="000B2FE4">
      <w:pPr>
        <w:pStyle w:val="CommentText"/>
        <w:jc w:val="both"/>
        <w:rPr>
          <w:bCs/>
          <w:sz w:val="22"/>
          <w:szCs w:val="22"/>
        </w:rPr>
      </w:pPr>
      <w:r w:rsidRPr="0088154E">
        <w:rPr>
          <w:rFonts w:eastAsia="Calibri"/>
          <w:sz w:val="22"/>
          <w:szCs w:val="22"/>
        </w:rPr>
        <w:t xml:space="preserve">To date, </w:t>
      </w:r>
      <w:r w:rsidRPr="0088154E">
        <w:rPr>
          <w:bCs/>
          <w:sz w:val="22"/>
          <w:szCs w:val="22"/>
        </w:rPr>
        <w:t>MTW Block Grant servi</w:t>
      </w:r>
      <w:r w:rsidR="00990F72" w:rsidRPr="0088154E">
        <w:rPr>
          <w:bCs/>
          <w:sz w:val="22"/>
          <w:szCs w:val="22"/>
        </w:rPr>
        <w:t>ce dollars have gone to support</w:t>
      </w:r>
      <w:r w:rsidRPr="0088154E">
        <w:rPr>
          <w:bCs/>
          <w:sz w:val="22"/>
          <w:szCs w:val="22"/>
        </w:rPr>
        <w:t xml:space="preserve"> Family Life Coaches at each of the LHAs who do outreach to residents to inform them about the work </w:t>
      </w:r>
      <w:r w:rsidR="00485549" w:rsidRPr="0088154E">
        <w:rPr>
          <w:bCs/>
          <w:sz w:val="22"/>
          <w:szCs w:val="22"/>
        </w:rPr>
        <w:t>requirement and the opportunity</w:t>
      </w:r>
      <w:r w:rsidR="00A416D1" w:rsidRPr="0088154E">
        <w:rPr>
          <w:bCs/>
          <w:sz w:val="22"/>
          <w:szCs w:val="22"/>
        </w:rPr>
        <w:t xml:space="preserve"> to receive</w:t>
      </w:r>
      <w:r w:rsidRPr="0088154E">
        <w:rPr>
          <w:bCs/>
          <w:sz w:val="22"/>
          <w:szCs w:val="22"/>
        </w:rPr>
        <w:t xml:space="preserve"> coaching support to meet the requirement as well as to set personal goals in the area of work, education, family health and stability</w:t>
      </w:r>
      <w:r w:rsidR="00485549" w:rsidRPr="0088154E">
        <w:rPr>
          <w:bCs/>
          <w:sz w:val="22"/>
          <w:szCs w:val="22"/>
        </w:rPr>
        <w:t>,</w:t>
      </w:r>
      <w:r w:rsidRPr="0088154E">
        <w:rPr>
          <w:bCs/>
          <w:sz w:val="22"/>
          <w:szCs w:val="22"/>
        </w:rPr>
        <w:t xml:space="preserve"> and asset building.  LHAs are leveraging existing relationships with local service providers and using the ABL grant to partner with new ones.  </w:t>
      </w:r>
      <w:r w:rsidR="00BB256E" w:rsidRPr="0088154E">
        <w:rPr>
          <w:bCs/>
          <w:sz w:val="22"/>
          <w:szCs w:val="22"/>
        </w:rPr>
        <w:t>In FY 2021, DHCD anticipates that approximately 488 total households</w:t>
      </w:r>
      <w:r w:rsidR="00191F7B" w:rsidRPr="0088154E">
        <w:rPr>
          <w:bCs/>
          <w:sz w:val="22"/>
          <w:szCs w:val="22"/>
        </w:rPr>
        <w:t xml:space="preserve"> will receive services under this activity.</w:t>
      </w:r>
    </w:p>
    <w:p w14:paraId="59CC47C9" w14:textId="7EBAE16C" w:rsidR="006D6981" w:rsidRPr="0088154E" w:rsidRDefault="006D6981" w:rsidP="006D6981">
      <w:pPr>
        <w:tabs>
          <w:tab w:val="left" w:pos="0"/>
          <w:tab w:val="left" w:pos="90"/>
        </w:tabs>
        <w:jc w:val="both"/>
        <w:rPr>
          <w:color w:val="000000"/>
          <w:sz w:val="22"/>
          <w:szCs w:val="22"/>
        </w:rPr>
      </w:pPr>
    </w:p>
    <w:p w14:paraId="78718118" w14:textId="77777777" w:rsidR="007640F6" w:rsidRPr="0088154E" w:rsidRDefault="007640F6" w:rsidP="007640F6">
      <w:pPr>
        <w:jc w:val="both"/>
        <w:rPr>
          <w:b/>
          <w:color w:val="000000"/>
          <w:sz w:val="22"/>
          <w:szCs w:val="22"/>
        </w:rPr>
      </w:pPr>
      <w:r w:rsidRPr="0088154E">
        <w:rPr>
          <w:b/>
          <w:color w:val="000000"/>
          <w:sz w:val="22"/>
          <w:szCs w:val="22"/>
        </w:rPr>
        <w:t>Planned Non-Significant Changes</w:t>
      </w:r>
    </w:p>
    <w:p w14:paraId="35725C12" w14:textId="77777777" w:rsidR="007640F6" w:rsidRPr="0088154E" w:rsidRDefault="007640F6" w:rsidP="007640F6">
      <w:pPr>
        <w:jc w:val="both"/>
        <w:rPr>
          <w:b/>
          <w:strike/>
          <w:color w:val="FF0000"/>
          <w:sz w:val="22"/>
          <w:szCs w:val="22"/>
        </w:rPr>
      </w:pPr>
      <w:r w:rsidRPr="0088154E">
        <w:rPr>
          <w:color w:val="000000" w:themeColor="text1"/>
          <w:sz w:val="22"/>
          <w:szCs w:val="22"/>
        </w:rPr>
        <w:t xml:space="preserve">No non-significant changes are planned. </w:t>
      </w:r>
    </w:p>
    <w:p w14:paraId="7F42FD2C" w14:textId="77777777" w:rsidR="007640F6" w:rsidRPr="0088154E" w:rsidRDefault="007640F6" w:rsidP="007640F6">
      <w:pPr>
        <w:pStyle w:val="ListParagraph"/>
        <w:numPr>
          <w:ilvl w:val="0"/>
          <w:numId w:val="0"/>
        </w:numPr>
        <w:ind w:left="360"/>
        <w:jc w:val="both"/>
        <w:rPr>
          <w:color w:val="000000" w:themeColor="text1"/>
        </w:rPr>
      </w:pPr>
    </w:p>
    <w:p w14:paraId="47F76AA2" w14:textId="77777777" w:rsidR="007640F6" w:rsidRPr="0088154E" w:rsidRDefault="007640F6" w:rsidP="007640F6">
      <w:pPr>
        <w:jc w:val="both"/>
        <w:rPr>
          <w:b/>
          <w:sz w:val="22"/>
          <w:szCs w:val="22"/>
        </w:rPr>
      </w:pPr>
      <w:r w:rsidRPr="0088154E">
        <w:rPr>
          <w:b/>
          <w:sz w:val="22"/>
          <w:szCs w:val="22"/>
        </w:rPr>
        <w:t>Planned Changes to Metrics/Data Collection</w:t>
      </w:r>
    </w:p>
    <w:p w14:paraId="455277BD" w14:textId="6DF915BA" w:rsidR="000B6E14" w:rsidRPr="0088154E" w:rsidRDefault="00A416D1" w:rsidP="00220326">
      <w:pPr>
        <w:pStyle w:val="CommentText"/>
        <w:rPr>
          <w:sz w:val="22"/>
          <w:szCs w:val="22"/>
        </w:rPr>
      </w:pPr>
      <w:r w:rsidRPr="0088154E">
        <w:rPr>
          <w:sz w:val="22"/>
          <w:szCs w:val="22"/>
        </w:rPr>
        <w:t>The b</w:t>
      </w:r>
      <w:r w:rsidR="000B6E14" w:rsidRPr="0088154E">
        <w:rPr>
          <w:sz w:val="22"/>
          <w:szCs w:val="22"/>
        </w:rPr>
        <w:t xml:space="preserve">aseline for SS#2 was updated to $0 to reflect the escrow at program onset. Benchmarks were updated to reflect planned participation and anticipated outcomes for FY 2021. </w:t>
      </w:r>
      <w:r w:rsidR="000B6E14" w:rsidRPr="0088154E">
        <w:rPr>
          <w:bCs/>
          <w:sz w:val="22"/>
          <w:szCs w:val="22"/>
        </w:rPr>
        <w:t xml:space="preserve"> DHCD </w:t>
      </w:r>
      <w:r w:rsidR="00220326" w:rsidRPr="0088154E">
        <w:rPr>
          <w:bCs/>
          <w:sz w:val="22"/>
          <w:szCs w:val="22"/>
        </w:rPr>
        <w:t xml:space="preserve">also updated the definition of </w:t>
      </w:r>
      <w:r w:rsidR="000B6E14" w:rsidRPr="0088154E">
        <w:rPr>
          <w:bCs/>
          <w:sz w:val="22"/>
          <w:szCs w:val="22"/>
        </w:rPr>
        <w:t xml:space="preserve">self-sufficiency to reflect </w:t>
      </w:r>
      <w:r w:rsidR="000B6E14" w:rsidRPr="0088154E">
        <w:rPr>
          <w:sz w:val="22"/>
          <w:szCs w:val="22"/>
        </w:rPr>
        <w:t>24 hours of employment</w:t>
      </w:r>
      <w:r w:rsidR="00220326" w:rsidRPr="0088154E">
        <w:rPr>
          <w:sz w:val="22"/>
          <w:szCs w:val="22"/>
        </w:rPr>
        <w:t xml:space="preserve"> per week for a period of 24 consecutive months at minimum wage.</w:t>
      </w:r>
    </w:p>
    <w:p w14:paraId="3B94AA37" w14:textId="11AA1774" w:rsidR="007640F6" w:rsidRPr="0088154E" w:rsidRDefault="007640F6" w:rsidP="007640F6">
      <w:pPr>
        <w:jc w:val="both"/>
        <w:rPr>
          <w:bCs/>
          <w:sz w:val="22"/>
          <w:szCs w:val="22"/>
        </w:rPr>
      </w:pPr>
      <w:r w:rsidRPr="0088154E">
        <w:rPr>
          <w:bCs/>
          <w:sz w:val="22"/>
          <w:szCs w:val="22"/>
        </w:rPr>
        <w:t xml:space="preserve"> </w:t>
      </w:r>
    </w:p>
    <w:p w14:paraId="0290D64C" w14:textId="0F7B6864" w:rsidR="00110B3D" w:rsidRPr="0088154E" w:rsidRDefault="007640F6" w:rsidP="006D6981">
      <w:pPr>
        <w:jc w:val="both"/>
        <w:rPr>
          <w:b/>
          <w:color w:val="000000"/>
          <w:sz w:val="22"/>
          <w:szCs w:val="22"/>
        </w:rPr>
      </w:pPr>
      <w:r w:rsidRPr="0088154E">
        <w:rPr>
          <w:b/>
          <w:color w:val="000000"/>
          <w:sz w:val="22"/>
          <w:szCs w:val="22"/>
        </w:rPr>
        <w:t>Metrics</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14"/>
        <w:gridCol w:w="1627"/>
        <w:gridCol w:w="1354"/>
        <w:gridCol w:w="1440"/>
      </w:tblGrid>
      <w:tr w:rsidR="00110B3D" w:rsidRPr="0088154E" w14:paraId="1F2D5E7C" w14:textId="77777777" w:rsidTr="00B62394">
        <w:trPr>
          <w:trHeight w:val="317"/>
        </w:trPr>
        <w:tc>
          <w:tcPr>
            <w:tcW w:w="9375" w:type="dxa"/>
            <w:gridSpan w:val="5"/>
            <w:shd w:val="clear" w:color="auto" w:fill="B8CCE4" w:themeFill="accent1" w:themeFillTint="66"/>
          </w:tcPr>
          <w:p w14:paraId="0979C2A8" w14:textId="0E1F9F8A" w:rsidR="00110B3D" w:rsidRPr="0088154E" w:rsidRDefault="00110B3D" w:rsidP="00110B3D">
            <w:pPr>
              <w:jc w:val="center"/>
              <w:rPr>
                <w:rFonts w:eastAsia="Calibri"/>
                <w:sz w:val="20"/>
                <w:szCs w:val="20"/>
              </w:rPr>
            </w:pPr>
            <w:r w:rsidRPr="0088154E">
              <w:rPr>
                <w:rFonts w:eastAsia="Calibri"/>
                <w:b/>
                <w:bCs/>
                <w:i/>
                <w:iCs/>
                <w:sz w:val="20"/>
                <w:szCs w:val="20"/>
              </w:rPr>
              <w:t xml:space="preserve">SS #1: Increase in Household </w:t>
            </w:r>
            <w:r w:rsidRPr="0088154E">
              <w:rPr>
                <w:rFonts w:eastAsia="Calibri"/>
                <w:b/>
                <w:bCs/>
                <w:i/>
                <w:iCs/>
                <w:sz w:val="20"/>
                <w:szCs w:val="20"/>
                <w:shd w:val="clear" w:color="auto" w:fill="B8CCE4" w:themeFill="accent1" w:themeFillTint="66"/>
              </w:rPr>
              <w:t>Income</w:t>
            </w:r>
            <w:r w:rsidR="00903E12" w:rsidRPr="0088154E">
              <w:rPr>
                <w:rFonts w:eastAsia="Calibri"/>
                <w:b/>
                <w:bCs/>
                <w:i/>
                <w:iCs/>
                <w:sz w:val="20"/>
                <w:szCs w:val="20"/>
                <w:shd w:val="clear" w:color="auto" w:fill="B8CCE4" w:themeFill="accent1" w:themeFillTint="66"/>
              </w:rPr>
              <w:t>*</w:t>
            </w:r>
          </w:p>
        </w:tc>
      </w:tr>
      <w:tr w:rsidR="00110B3D" w:rsidRPr="0088154E" w14:paraId="340B45E6" w14:textId="77777777" w:rsidTr="00B62394">
        <w:trPr>
          <w:trHeight w:val="530"/>
        </w:trPr>
        <w:tc>
          <w:tcPr>
            <w:tcW w:w="3240" w:type="dxa"/>
            <w:shd w:val="clear" w:color="auto" w:fill="D9D9D9" w:themeFill="background1" w:themeFillShade="D9"/>
          </w:tcPr>
          <w:p w14:paraId="2A8E6F0A" w14:textId="77777777" w:rsidR="00110B3D" w:rsidRPr="0088154E" w:rsidRDefault="00110B3D" w:rsidP="00110B3D">
            <w:pPr>
              <w:jc w:val="center"/>
              <w:rPr>
                <w:rFonts w:eastAsia="Calibri"/>
                <w:sz w:val="20"/>
                <w:szCs w:val="20"/>
              </w:rPr>
            </w:pPr>
            <w:r w:rsidRPr="0088154E">
              <w:rPr>
                <w:rFonts w:eastAsia="Calibri"/>
                <w:b/>
                <w:bCs/>
                <w:sz w:val="20"/>
                <w:szCs w:val="20"/>
              </w:rPr>
              <w:t>Unit of Measurement</w:t>
            </w:r>
          </w:p>
        </w:tc>
        <w:tc>
          <w:tcPr>
            <w:tcW w:w="1714" w:type="dxa"/>
            <w:shd w:val="clear" w:color="auto" w:fill="D9D9D9" w:themeFill="background1" w:themeFillShade="D9"/>
          </w:tcPr>
          <w:p w14:paraId="35469F79" w14:textId="77777777" w:rsidR="00110B3D" w:rsidRPr="0088154E" w:rsidRDefault="00110B3D" w:rsidP="00110B3D">
            <w:pPr>
              <w:jc w:val="center"/>
              <w:rPr>
                <w:rFonts w:eastAsia="Calibri"/>
                <w:sz w:val="20"/>
                <w:szCs w:val="20"/>
              </w:rPr>
            </w:pPr>
            <w:r w:rsidRPr="0088154E">
              <w:rPr>
                <w:rFonts w:eastAsia="Calibri"/>
                <w:b/>
                <w:bCs/>
                <w:sz w:val="20"/>
                <w:szCs w:val="20"/>
              </w:rPr>
              <w:t>Baseline</w:t>
            </w:r>
          </w:p>
        </w:tc>
        <w:tc>
          <w:tcPr>
            <w:tcW w:w="1627" w:type="dxa"/>
            <w:shd w:val="clear" w:color="auto" w:fill="D9D9D9" w:themeFill="background1" w:themeFillShade="D9"/>
          </w:tcPr>
          <w:p w14:paraId="7160B610" w14:textId="77777777" w:rsidR="00110B3D" w:rsidRPr="0088154E" w:rsidRDefault="00110B3D" w:rsidP="00110B3D">
            <w:pPr>
              <w:jc w:val="center"/>
              <w:rPr>
                <w:rFonts w:eastAsia="Calibri"/>
                <w:sz w:val="20"/>
                <w:szCs w:val="20"/>
              </w:rPr>
            </w:pPr>
            <w:r w:rsidRPr="0088154E">
              <w:rPr>
                <w:rFonts w:eastAsia="Calibri"/>
                <w:b/>
                <w:bCs/>
                <w:sz w:val="20"/>
                <w:szCs w:val="20"/>
              </w:rPr>
              <w:t>Benchmark</w:t>
            </w:r>
          </w:p>
        </w:tc>
        <w:tc>
          <w:tcPr>
            <w:tcW w:w="1354" w:type="dxa"/>
            <w:shd w:val="clear" w:color="auto" w:fill="D9D9D9" w:themeFill="background1" w:themeFillShade="D9"/>
          </w:tcPr>
          <w:p w14:paraId="263588D9" w14:textId="77777777" w:rsidR="00110B3D" w:rsidRPr="0088154E" w:rsidRDefault="00110B3D" w:rsidP="00110B3D">
            <w:pPr>
              <w:jc w:val="center"/>
              <w:rPr>
                <w:rFonts w:eastAsia="Calibri"/>
                <w:sz w:val="20"/>
                <w:szCs w:val="20"/>
              </w:rPr>
            </w:pPr>
            <w:r w:rsidRPr="0088154E">
              <w:rPr>
                <w:rFonts w:eastAsia="Calibri"/>
                <w:b/>
                <w:bCs/>
                <w:sz w:val="20"/>
                <w:szCs w:val="20"/>
              </w:rPr>
              <w:t>Outcome</w:t>
            </w:r>
          </w:p>
        </w:tc>
        <w:tc>
          <w:tcPr>
            <w:tcW w:w="1440" w:type="dxa"/>
            <w:shd w:val="clear" w:color="auto" w:fill="D9D9D9" w:themeFill="background1" w:themeFillShade="D9"/>
          </w:tcPr>
          <w:p w14:paraId="6ECFC6D2" w14:textId="77777777" w:rsidR="00110B3D" w:rsidRPr="0088154E" w:rsidRDefault="00110B3D" w:rsidP="00110B3D">
            <w:pPr>
              <w:jc w:val="center"/>
              <w:rPr>
                <w:rFonts w:eastAsia="Calibri"/>
                <w:sz w:val="20"/>
                <w:szCs w:val="20"/>
              </w:rPr>
            </w:pPr>
            <w:r w:rsidRPr="0088154E">
              <w:rPr>
                <w:rFonts w:eastAsia="Calibri"/>
                <w:b/>
                <w:bCs/>
                <w:sz w:val="20"/>
                <w:szCs w:val="20"/>
              </w:rPr>
              <w:t>Benchmark Achieved?</w:t>
            </w:r>
          </w:p>
        </w:tc>
      </w:tr>
      <w:tr w:rsidR="00476F47" w:rsidRPr="0088154E" w14:paraId="0769E75D" w14:textId="77777777" w:rsidTr="00B62394">
        <w:trPr>
          <w:trHeight w:val="530"/>
        </w:trPr>
        <w:tc>
          <w:tcPr>
            <w:tcW w:w="3240" w:type="dxa"/>
            <w:shd w:val="clear" w:color="auto" w:fill="auto"/>
          </w:tcPr>
          <w:p w14:paraId="2F8559B4" w14:textId="77777777" w:rsidR="00476F47" w:rsidRPr="0088154E" w:rsidRDefault="00476F47" w:rsidP="00476F47">
            <w:pPr>
              <w:rPr>
                <w:rFonts w:eastAsia="Calibri"/>
                <w:sz w:val="20"/>
                <w:szCs w:val="20"/>
              </w:rPr>
            </w:pPr>
            <w:r w:rsidRPr="0088154E">
              <w:rPr>
                <w:rFonts w:eastAsia="Calibri"/>
                <w:sz w:val="20"/>
                <w:szCs w:val="20"/>
              </w:rPr>
              <w:t>Average earned income of households affected by this policy in dollars (increase).</w:t>
            </w:r>
          </w:p>
        </w:tc>
        <w:tc>
          <w:tcPr>
            <w:tcW w:w="1714" w:type="dxa"/>
            <w:shd w:val="clear" w:color="auto" w:fill="auto"/>
          </w:tcPr>
          <w:p w14:paraId="29CF1D5E" w14:textId="6600509E" w:rsidR="00476F47" w:rsidRPr="0088154E" w:rsidRDefault="00513244" w:rsidP="001A3248">
            <w:pPr>
              <w:jc w:val="center"/>
              <w:rPr>
                <w:rFonts w:eastAsia="Calibri"/>
                <w:sz w:val="20"/>
                <w:szCs w:val="20"/>
              </w:rPr>
            </w:pPr>
            <w:r w:rsidRPr="0088154E">
              <w:rPr>
                <w:rFonts w:eastAsia="Calibri"/>
                <w:sz w:val="20"/>
                <w:szCs w:val="20"/>
              </w:rPr>
              <w:t>$</w:t>
            </w:r>
            <w:r w:rsidR="00F075AF" w:rsidRPr="0088154E">
              <w:rPr>
                <w:rFonts w:eastAsia="Calibri"/>
                <w:sz w:val="20"/>
                <w:szCs w:val="20"/>
              </w:rPr>
              <w:t>24,659</w:t>
            </w:r>
          </w:p>
        </w:tc>
        <w:tc>
          <w:tcPr>
            <w:tcW w:w="1627" w:type="dxa"/>
            <w:shd w:val="clear" w:color="auto" w:fill="auto"/>
          </w:tcPr>
          <w:p w14:paraId="09A663DC" w14:textId="2A268CD0" w:rsidR="00476F47" w:rsidRPr="0088154E" w:rsidRDefault="00513244" w:rsidP="001A3248">
            <w:pPr>
              <w:jc w:val="center"/>
              <w:rPr>
                <w:rFonts w:eastAsia="Calibri"/>
                <w:sz w:val="20"/>
                <w:szCs w:val="20"/>
              </w:rPr>
            </w:pPr>
            <w:r w:rsidRPr="0088154E">
              <w:rPr>
                <w:rFonts w:eastAsia="Calibri"/>
                <w:sz w:val="20"/>
                <w:szCs w:val="20"/>
              </w:rPr>
              <w:t>$25,589</w:t>
            </w:r>
          </w:p>
        </w:tc>
        <w:tc>
          <w:tcPr>
            <w:tcW w:w="1354" w:type="dxa"/>
            <w:shd w:val="clear" w:color="auto" w:fill="auto"/>
          </w:tcPr>
          <w:p w14:paraId="4F51B80D" w14:textId="14DB4E42" w:rsidR="00476F47" w:rsidRPr="0088154E" w:rsidRDefault="00476F47" w:rsidP="001A3248">
            <w:pPr>
              <w:jc w:val="center"/>
              <w:rPr>
                <w:rFonts w:eastAsia="Calibri"/>
                <w:sz w:val="20"/>
                <w:szCs w:val="20"/>
              </w:rPr>
            </w:pPr>
          </w:p>
        </w:tc>
        <w:tc>
          <w:tcPr>
            <w:tcW w:w="1440" w:type="dxa"/>
            <w:shd w:val="clear" w:color="auto" w:fill="auto"/>
          </w:tcPr>
          <w:p w14:paraId="0D0EAF5B" w14:textId="116D5B62" w:rsidR="00476F47" w:rsidRPr="0088154E" w:rsidRDefault="00476F47" w:rsidP="001A3248">
            <w:pPr>
              <w:jc w:val="center"/>
              <w:rPr>
                <w:rFonts w:eastAsia="Calibri"/>
                <w:sz w:val="20"/>
                <w:szCs w:val="20"/>
              </w:rPr>
            </w:pPr>
          </w:p>
        </w:tc>
      </w:tr>
      <w:tr w:rsidR="00903E12" w:rsidRPr="0088154E" w14:paraId="10033EC7" w14:textId="77777777" w:rsidTr="00441A37">
        <w:trPr>
          <w:trHeight w:val="332"/>
        </w:trPr>
        <w:tc>
          <w:tcPr>
            <w:tcW w:w="9375" w:type="dxa"/>
            <w:gridSpan w:val="5"/>
            <w:shd w:val="clear" w:color="auto" w:fill="auto"/>
          </w:tcPr>
          <w:p w14:paraId="76D2CCAF" w14:textId="6CEA0C9B" w:rsidR="00903E12" w:rsidRPr="0088154E" w:rsidRDefault="00903E12" w:rsidP="00903E12">
            <w:pPr>
              <w:rPr>
                <w:rFonts w:eastAsia="Calibri"/>
                <w:i/>
                <w:sz w:val="20"/>
                <w:szCs w:val="20"/>
              </w:rPr>
            </w:pPr>
            <w:r w:rsidRPr="0088154E">
              <w:rPr>
                <w:rFonts w:eastAsia="Calibri"/>
                <w:i/>
                <w:sz w:val="20"/>
                <w:szCs w:val="20"/>
              </w:rPr>
              <w:t>*Metrics reflect avg</w:t>
            </w:r>
            <w:r w:rsidR="00F934ED" w:rsidRPr="0088154E">
              <w:rPr>
                <w:rFonts w:eastAsia="Calibri"/>
                <w:i/>
                <w:sz w:val="20"/>
                <w:szCs w:val="20"/>
              </w:rPr>
              <w:t>.</w:t>
            </w:r>
            <w:r w:rsidRPr="0088154E">
              <w:rPr>
                <w:rFonts w:eastAsia="Calibri"/>
                <w:i/>
                <w:sz w:val="20"/>
                <w:szCs w:val="20"/>
              </w:rPr>
              <w:t xml:space="preserve"> earned income of participants who are receiving services under this program.</w:t>
            </w:r>
          </w:p>
        </w:tc>
      </w:tr>
      <w:tr w:rsidR="00476F47" w:rsidRPr="0088154E" w14:paraId="45A40F9C" w14:textId="77777777" w:rsidTr="00B62394">
        <w:trPr>
          <w:trHeight w:val="317"/>
        </w:trPr>
        <w:tc>
          <w:tcPr>
            <w:tcW w:w="9375" w:type="dxa"/>
            <w:gridSpan w:val="5"/>
            <w:shd w:val="clear" w:color="auto" w:fill="C6D9F1" w:themeFill="text2" w:themeFillTint="33"/>
          </w:tcPr>
          <w:p w14:paraId="04DDA232" w14:textId="0FCA612D" w:rsidR="00476F47" w:rsidRPr="0088154E" w:rsidRDefault="00476F47" w:rsidP="00476F47">
            <w:pPr>
              <w:jc w:val="center"/>
              <w:rPr>
                <w:rFonts w:eastAsia="Calibri"/>
                <w:b/>
                <w:i/>
                <w:sz w:val="20"/>
                <w:szCs w:val="20"/>
              </w:rPr>
            </w:pPr>
            <w:r w:rsidRPr="0088154E">
              <w:rPr>
                <w:rFonts w:eastAsia="Calibri"/>
                <w:b/>
                <w:i/>
                <w:sz w:val="20"/>
                <w:szCs w:val="20"/>
              </w:rPr>
              <w:t>SS #2: Increase in Household Savings</w:t>
            </w:r>
            <w:r w:rsidR="00441A37" w:rsidRPr="0088154E">
              <w:rPr>
                <w:rFonts w:eastAsia="Calibri"/>
                <w:b/>
                <w:i/>
                <w:sz w:val="20"/>
                <w:szCs w:val="20"/>
              </w:rPr>
              <w:t>*</w:t>
            </w:r>
          </w:p>
        </w:tc>
      </w:tr>
      <w:tr w:rsidR="00476F47" w:rsidRPr="0088154E" w14:paraId="79CD3372" w14:textId="77777777" w:rsidTr="00B62394">
        <w:trPr>
          <w:trHeight w:val="530"/>
        </w:trPr>
        <w:tc>
          <w:tcPr>
            <w:tcW w:w="3240" w:type="dxa"/>
            <w:shd w:val="clear" w:color="auto" w:fill="D9D9D9" w:themeFill="background1" w:themeFillShade="D9"/>
          </w:tcPr>
          <w:p w14:paraId="41F7BD65" w14:textId="77777777" w:rsidR="00476F47" w:rsidRPr="0088154E" w:rsidRDefault="00476F47" w:rsidP="00476F47">
            <w:pPr>
              <w:rPr>
                <w:rFonts w:eastAsia="Calibri"/>
                <w:sz w:val="20"/>
                <w:szCs w:val="20"/>
              </w:rPr>
            </w:pPr>
            <w:r w:rsidRPr="0088154E">
              <w:rPr>
                <w:rFonts w:eastAsia="Calibri"/>
                <w:b/>
                <w:bCs/>
                <w:sz w:val="20"/>
                <w:szCs w:val="20"/>
              </w:rPr>
              <w:t>Unit of Measurement</w:t>
            </w:r>
          </w:p>
        </w:tc>
        <w:tc>
          <w:tcPr>
            <w:tcW w:w="1714" w:type="dxa"/>
            <w:shd w:val="clear" w:color="auto" w:fill="D9D9D9" w:themeFill="background1" w:themeFillShade="D9"/>
          </w:tcPr>
          <w:p w14:paraId="5829B0D8" w14:textId="77777777" w:rsidR="00476F47" w:rsidRPr="0088154E" w:rsidRDefault="00476F47" w:rsidP="00476F47">
            <w:pPr>
              <w:jc w:val="center"/>
              <w:rPr>
                <w:rFonts w:eastAsia="Calibri"/>
                <w:sz w:val="20"/>
                <w:szCs w:val="20"/>
              </w:rPr>
            </w:pPr>
            <w:r w:rsidRPr="0088154E">
              <w:rPr>
                <w:rFonts w:eastAsia="Calibri"/>
                <w:b/>
                <w:bCs/>
                <w:sz w:val="20"/>
                <w:szCs w:val="20"/>
              </w:rPr>
              <w:t>Baseline</w:t>
            </w:r>
          </w:p>
        </w:tc>
        <w:tc>
          <w:tcPr>
            <w:tcW w:w="1627" w:type="dxa"/>
            <w:shd w:val="clear" w:color="auto" w:fill="D9D9D9" w:themeFill="background1" w:themeFillShade="D9"/>
          </w:tcPr>
          <w:p w14:paraId="5272308D" w14:textId="77777777" w:rsidR="00476F47" w:rsidRPr="0088154E" w:rsidRDefault="00476F47" w:rsidP="00476F47">
            <w:pPr>
              <w:jc w:val="center"/>
              <w:rPr>
                <w:rFonts w:eastAsia="Calibri"/>
                <w:sz w:val="20"/>
                <w:szCs w:val="20"/>
              </w:rPr>
            </w:pPr>
            <w:r w:rsidRPr="0088154E">
              <w:rPr>
                <w:rFonts w:eastAsia="Calibri"/>
                <w:b/>
                <w:bCs/>
                <w:sz w:val="20"/>
                <w:szCs w:val="20"/>
              </w:rPr>
              <w:t>Benchmark</w:t>
            </w:r>
          </w:p>
        </w:tc>
        <w:tc>
          <w:tcPr>
            <w:tcW w:w="1354" w:type="dxa"/>
            <w:shd w:val="clear" w:color="auto" w:fill="D9D9D9" w:themeFill="background1" w:themeFillShade="D9"/>
          </w:tcPr>
          <w:p w14:paraId="01BD6226" w14:textId="77777777" w:rsidR="00476F47" w:rsidRPr="0088154E" w:rsidRDefault="00476F47" w:rsidP="00476F47">
            <w:pPr>
              <w:jc w:val="center"/>
              <w:rPr>
                <w:rFonts w:eastAsia="Calibri"/>
                <w:sz w:val="20"/>
                <w:szCs w:val="20"/>
              </w:rPr>
            </w:pPr>
            <w:r w:rsidRPr="0088154E">
              <w:rPr>
                <w:rFonts w:eastAsia="Calibri"/>
                <w:b/>
                <w:bCs/>
                <w:sz w:val="20"/>
                <w:szCs w:val="20"/>
              </w:rPr>
              <w:t>Outcome</w:t>
            </w:r>
          </w:p>
        </w:tc>
        <w:tc>
          <w:tcPr>
            <w:tcW w:w="1440" w:type="dxa"/>
            <w:shd w:val="clear" w:color="auto" w:fill="D9D9D9" w:themeFill="background1" w:themeFillShade="D9"/>
          </w:tcPr>
          <w:p w14:paraId="596B05DF" w14:textId="77777777" w:rsidR="00476F47" w:rsidRPr="0088154E" w:rsidRDefault="00476F47" w:rsidP="00476F47">
            <w:pPr>
              <w:rPr>
                <w:rFonts w:eastAsia="Calibri"/>
                <w:sz w:val="20"/>
                <w:szCs w:val="20"/>
              </w:rPr>
            </w:pPr>
            <w:r w:rsidRPr="0088154E">
              <w:rPr>
                <w:rFonts w:eastAsia="Calibri"/>
                <w:b/>
                <w:bCs/>
                <w:sz w:val="20"/>
                <w:szCs w:val="20"/>
              </w:rPr>
              <w:t>Benchmark Achieved?</w:t>
            </w:r>
          </w:p>
        </w:tc>
      </w:tr>
      <w:tr w:rsidR="00476F47" w:rsidRPr="0088154E" w14:paraId="00841237" w14:textId="77777777" w:rsidTr="00F934ED">
        <w:trPr>
          <w:trHeight w:val="782"/>
        </w:trPr>
        <w:tc>
          <w:tcPr>
            <w:tcW w:w="3240" w:type="dxa"/>
            <w:shd w:val="clear" w:color="auto" w:fill="auto"/>
          </w:tcPr>
          <w:p w14:paraId="503BA1C9" w14:textId="77777777" w:rsidR="00476F47" w:rsidRPr="0088154E" w:rsidRDefault="00476F47" w:rsidP="00476F47">
            <w:pPr>
              <w:rPr>
                <w:rFonts w:eastAsia="Calibri"/>
                <w:sz w:val="20"/>
                <w:szCs w:val="20"/>
              </w:rPr>
            </w:pPr>
            <w:r w:rsidRPr="0088154E">
              <w:rPr>
                <w:rFonts w:eastAsia="Calibri"/>
                <w:sz w:val="20"/>
                <w:szCs w:val="20"/>
              </w:rPr>
              <w:t>Average amount of savings/escrow of households affected by this policy (in dollars)</w:t>
            </w:r>
          </w:p>
        </w:tc>
        <w:tc>
          <w:tcPr>
            <w:tcW w:w="1714" w:type="dxa"/>
            <w:shd w:val="clear" w:color="auto" w:fill="auto"/>
          </w:tcPr>
          <w:p w14:paraId="1ABA8226" w14:textId="2B810F30" w:rsidR="00476F47" w:rsidRPr="0088154E" w:rsidRDefault="003C023D" w:rsidP="001A3248">
            <w:pPr>
              <w:jc w:val="center"/>
              <w:rPr>
                <w:rFonts w:eastAsia="Calibri"/>
                <w:sz w:val="20"/>
                <w:szCs w:val="20"/>
              </w:rPr>
            </w:pPr>
            <w:r w:rsidRPr="0088154E">
              <w:rPr>
                <w:rFonts w:eastAsia="Calibri"/>
                <w:sz w:val="20"/>
                <w:szCs w:val="20"/>
              </w:rPr>
              <w:t>$</w:t>
            </w:r>
            <w:r w:rsidR="00441A37" w:rsidRPr="0088154E">
              <w:rPr>
                <w:rFonts w:eastAsia="Calibri"/>
                <w:sz w:val="20"/>
                <w:szCs w:val="20"/>
              </w:rPr>
              <w:t>0</w:t>
            </w:r>
          </w:p>
        </w:tc>
        <w:tc>
          <w:tcPr>
            <w:tcW w:w="1627" w:type="dxa"/>
            <w:shd w:val="clear" w:color="auto" w:fill="auto"/>
          </w:tcPr>
          <w:p w14:paraId="001FB563" w14:textId="2FE96A27" w:rsidR="00476F47" w:rsidRPr="0088154E" w:rsidRDefault="003C023D" w:rsidP="001A3248">
            <w:pPr>
              <w:jc w:val="center"/>
              <w:rPr>
                <w:rFonts w:eastAsia="Calibri"/>
                <w:sz w:val="20"/>
                <w:szCs w:val="20"/>
              </w:rPr>
            </w:pPr>
            <w:r w:rsidRPr="0088154E">
              <w:rPr>
                <w:rFonts w:eastAsia="Calibri"/>
                <w:sz w:val="20"/>
                <w:szCs w:val="20"/>
              </w:rPr>
              <w:t>$</w:t>
            </w:r>
            <w:r w:rsidR="00441A37" w:rsidRPr="0088154E">
              <w:rPr>
                <w:rFonts w:eastAsia="Calibri"/>
                <w:sz w:val="20"/>
                <w:szCs w:val="20"/>
              </w:rPr>
              <w:t>900</w:t>
            </w:r>
          </w:p>
        </w:tc>
        <w:tc>
          <w:tcPr>
            <w:tcW w:w="1354" w:type="dxa"/>
            <w:shd w:val="clear" w:color="auto" w:fill="auto"/>
          </w:tcPr>
          <w:p w14:paraId="5B7E58AD" w14:textId="0B335282" w:rsidR="00476F47" w:rsidRPr="0088154E" w:rsidRDefault="00476F47" w:rsidP="001A3248">
            <w:pPr>
              <w:jc w:val="center"/>
              <w:rPr>
                <w:rFonts w:eastAsia="Calibri"/>
                <w:sz w:val="20"/>
                <w:szCs w:val="20"/>
              </w:rPr>
            </w:pPr>
          </w:p>
        </w:tc>
        <w:tc>
          <w:tcPr>
            <w:tcW w:w="1440" w:type="dxa"/>
            <w:shd w:val="clear" w:color="auto" w:fill="auto"/>
          </w:tcPr>
          <w:p w14:paraId="191CCA28" w14:textId="17EDBCE6" w:rsidR="00476F47" w:rsidRPr="0088154E" w:rsidRDefault="00476F47" w:rsidP="001A3248">
            <w:pPr>
              <w:jc w:val="center"/>
              <w:rPr>
                <w:rFonts w:eastAsia="Calibri"/>
                <w:sz w:val="20"/>
                <w:szCs w:val="20"/>
              </w:rPr>
            </w:pPr>
          </w:p>
        </w:tc>
      </w:tr>
      <w:tr w:rsidR="00441A37" w:rsidRPr="0088154E" w14:paraId="4B663C02" w14:textId="77777777" w:rsidTr="00F934ED">
        <w:trPr>
          <w:trHeight w:val="341"/>
        </w:trPr>
        <w:tc>
          <w:tcPr>
            <w:tcW w:w="9375" w:type="dxa"/>
            <w:gridSpan w:val="5"/>
            <w:shd w:val="clear" w:color="auto" w:fill="auto"/>
          </w:tcPr>
          <w:p w14:paraId="1CDFA915" w14:textId="30ACBD0D" w:rsidR="00441A37" w:rsidRPr="0088154E" w:rsidRDefault="00441A37" w:rsidP="00441A37">
            <w:pPr>
              <w:rPr>
                <w:rFonts w:eastAsia="Calibri"/>
                <w:i/>
                <w:sz w:val="20"/>
                <w:szCs w:val="20"/>
              </w:rPr>
            </w:pPr>
            <w:r w:rsidRPr="0088154E">
              <w:rPr>
                <w:rFonts w:eastAsia="Calibri"/>
                <w:i/>
                <w:sz w:val="20"/>
                <w:szCs w:val="20"/>
              </w:rPr>
              <w:t xml:space="preserve">*Metric reflects </w:t>
            </w:r>
            <w:r w:rsidR="00F934ED" w:rsidRPr="0088154E">
              <w:rPr>
                <w:rFonts w:eastAsia="Calibri"/>
                <w:i/>
                <w:sz w:val="20"/>
                <w:szCs w:val="20"/>
              </w:rPr>
              <w:t>avg.</w:t>
            </w:r>
            <w:r w:rsidRPr="0088154E">
              <w:rPr>
                <w:rFonts w:eastAsia="Calibri"/>
                <w:i/>
                <w:sz w:val="20"/>
                <w:szCs w:val="20"/>
              </w:rPr>
              <w:t xml:space="preserve"> participant escrow which </w:t>
            </w:r>
            <w:r w:rsidR="000B6E14" w:rsidRPr="0088154E">
              <w:rPr>
                <w:rFonts w:eastAsia="Calibri"/>
                <w:i/>
                <w:sz w:val="20"/>
                <w:szCs w:val="20"/>
              </w:rPr>
              <w:t>is one of the identified</w:t>
            </w:r>
            <w:r w:rsidRPr="0088154E">
              <w:rPr>
                <w:rFonts w:eastAsia="Calibri"/>
                <w:i/>
                <w:sz w:val="20"/>
                <w:szCs w:val="20"/>
              </w:rPr>
              <w:t xml:space="preserve"> indicator</w:t>
            </w:r>
            <w:r w:rsidR="000B6E14" w:rsidRPr="0088154E">
              <w:rPr>
                <w:rFonts w:eastAsia="Calibri"/>
                <w:i/>
                <w:sz w:val="20"/>
                <w:szCs w:val="20"/>
              </w:rPr>
              <w:t>s</w:t>
            </w:r>
            <w:r w:rsidRPr="0088154E">
              <w:rPr>
                <w:rFonts w:eastAsia="Calibri"/>
                <w:i/>
                <w:sz w:val="20"/>
                <w:szCs w:val="20"/>
              </w:rPr>
              <w:t xml:space="preserve"> of program success.</w:t>
            </w:r>
          </w:p>
        </w:tc>
      </w:tr>
      <w:tr w:rsidR="00476F47" w:rsidRPr="0088154E" w14:paraId="6131CF11" w14:textId="77777777" w:rsidTr="00B62394">
        <w:trPr>
          <w:trHeight w:hRule="exact" w:val="317"/>
        </w:trPr>
        <w:tc>
          <w:tcPr>
            <w:tcW w:w="9375" w:type="dxa"/>
            <w:gridSpan w:val="5"/>
            <w:shd w:val="clear" w:color="auto" w:fill="C6D9F1" w:themeFill="text2" w:themeFillTint="33"/>
            <w:hideMark/>
          </w:tcPr>
          <w:p w14:paraId="65BB6580" w14:textId="77777777" w:rsidR="00476F47" w:rsidRPr="0088154E" w:rsidRDefault="00476F47" w:rsidP="00476F47">
            <w:pPr>
              <w:jc w:val="center"/>
              <w:rPr>
                <w:rFonts w:eastAsia="Calibri"/>
                <w:b/>
                <w:bCs/>
                <w:i/>
                <w:iCs/>
                <w:sz w:val="20"/>
                <w:szCs w:val="20"/>
              </w:rPr>
            </w:pPr>
            <w:r w:rsidRPr="0088154E">
              <w:rPr>
                <w:rFonts w:eastAsia="Calibri"/>
                <w:b/>
                <w:bCs/>
                <w:i/>
                <w:iCs/>
                <w:sz w:val="20"/>
                <w:szCs w:val="20"/>
              </w:rPr>
              <w:t>SS #3: Increase in Positive Outcomes in Employment Status</w:t>
            </w:r>
          </w:p>
        </w:tc>
      </w:tr>
      <w:tr w:rsidR="00476F47" w:rsidRPr="0088154E" w14:paraId="61177B4B" w14:textId="77777777" w:rsidTr="00B62394">
        <w:trPr>
          <w:trHeight w:val="576"/>
        </w:trPr>
        <w:tc>
          <w:tcPr>
            <w:tcW w:w="3240" w:type="dxa"/>
            <w:shd w:val="clear" w:color="auto" w:fill="D9D9D9" w:themeFill="background1" w:themeFillShade="D9"/>
            <w:hideMark/>
          </w:tcPr>
          <w:p w14:paraId="4EE1B63C" w14:textId="77777777" w:rsidR="00476F47" w:rsidRPr="0088154E" w:rsidRDefault="00476F47" w:rsidP="00476F47">
            <w:pPr>
              <w:jc w:val="center"/>
              <w:rPr>
                <w:rFonts w:eastAsia="Calibri"/>
                <w:b/>
                <w:bCs/>
                <w:sz w:val="20"/>
                <w:szCs w:val="20"/>
              </w:rPr>
            </w:pPr>
            <w:r w:rsidRPr="0088154E">
              <w:rPr>
                <w:rFonts w:eastAsia="Calibri"/>
                <w:b/>
                <w:bCs/>
                <w:sz w:val="20"/>
                <w:szCs w:val="20"/>
              </w:rPr>
              <w:t>Unit of Measurement</w:t>
            </w:r>
          </w:p>
        </w:tc>
        <w:tc>
          <w:tcPr>
            <w:tcW w:w="1714" w:type="dxa"/>
            <w:shd w:val="clear" w:color="auto" w:fill="D9D9D9" w:themeFill="background1" w:themeFillShade="D9"/>
            <w:hideMark/>
          </w:tcPr>
          <w:p w14:paraId="44190DB0" w14:textId="77777777" w:rsidR="00476F47" w:rsidRPr="0088154E" w:rsidRDefault="00476F47" w:rsidP="00476F47">
            <w:pPr>
              <w:jc w:val="center"/>
              <w:rPr>
                <w:rFonts w:eastAsia="Calibri"/>
                <w:b/>
                <w:bCs/>
                <w:sz w:val="20"/>
                <w:szCs w:val="20"/>
              </w:rPr>
            </w:pPr>
            <w:r w:rsidRPr="0088154E">
              <w:rPr>
                <w:rFonts w:eastAsia="Calibri"/>
                <w:b/>
                <w:bCs/>
                <w:sz w:val="20"/>
                <w:szCs w:val="20"/>
              </w:rPr>
              <w:t>Baseline</w:t>
            </w:r>
          </w:p>
        </w:tc>
        <w:tc>
          <w:tcPr>
            <w:tcW w:w="1627" w:type="dxa"/>
            <w:shd w:val="clear" w:color="auto" w:fill="D9D9D9" w:themeFill="background1" w:themeFillShade="D9"/>
            <w:hideMark/>
          </w:tcPr>
          <w:p w14:paraId="102EF660" w14:textId="77777777" w:rsidR="00476F47" w:rsidRPr="0088154E" w:rsidRDefault="00476F47" w:rsidP="00476F47">
            <w:pPr>
              <w:jc w:val="center"/>
              <w:rPr>
                <w:rFonts w:eastAsia="Calibri"/>
                <w:b/>
                <w:bCs/>
                <w:sz w:val="20"/>
                <w:szCs w:val="20"/>
              </w:rPr>
            </w:pPr>
            <w:r w:rsidRPr="0088154E">
              <w:rPr>
                <w:rFonts w:eastAsia="Calibri"/>
                <w:b/>
                <w:bCs/>
                <w:sz w:val="20"/>
                <w:szCs w:val="20"/>
              </w:rPr>
              <w:t>Benchmark</w:t>
            </w:r>
          </w:p>
        </w:tc>
        <w:tc>
          <w:tcPr>
            <w:tcW w:w="1354" w:type="dxa"/>
            <w:shd w:val="clear" w:color="auto" w:fill="D9D9D9" w:themeFill="background1" w:themeFillShade="D9"/>
            <w:hideMark/>
          </w:tcPr>
          <w:p w14:paraId="74AE87C1" w14:textId="77777777" w:rsidR="00476F47" w:rsidRPr="0088154E" w:rsidRDefault="00476F47" w:rsidP="00476F47">
            <w:pPr>
              <w:jc w:val="center"/>
              <w:rPr>
                <w:rFonts w:eastAsia="Calibri"/>
                <w:b/>
                <w:bCs/>
                <w:sz w:val="20"/>
                <w:szCs w:val="20"/>
              </w:rPr>
            </w:pPr>
            <w:r w:rsidRPr="0088154E">
              <w:rPr>
                <w:rFonts w:eastAsia="Calibri"/>
                <w:b/>
                <w:bCs/>
                <w:sz w:val="20"/>
                <w:szCs w:val="20"/>
              </w:rPr>
              <w:t>Outcome</w:t>
            </w:r>
          </w:p>
        </w:tc>
        <w:tc>
          <w:tcPr>
            <w:tcW w:w="1440" w:type="dxa"/>
            <w:shd w:val="clear" w:color="auto" w:fill="D9D9D9" w:themeFill="background1" w:themeFillShade="D9"/>
            <w:hideMark/>
          </w:tcPr>
          <w:p w14:paraId="669AF0DF" w14:textId="77777777" w:rsidR="00476F47" w:rsidRPr="0088154E" w:rsidRDefault="00476F47" w:rsidP="00476F47">
            <w:pPr>
              <w:jc w:val="center"/>
              <w:rPr>
                <w:rFonts w:eastAsia="Calibri"/>
                <w:b/>
                <w:bCs/>
                <w:sz w:val="20"/>
                <w:szCs w:val="20"/>
              </w:rPr>
            </w:pPr>
            <w:r w:rsidRPr="0088154E">
              <w:rPr>
                <w:rFonts w:eastAsia="Calibri"/>
                <w:b/>
                <w:bCs/>
                <w:sz w:val="20"/>
                <w:szCs w:val="20"/>
              </w:rPr>
              <w:t>Benchmark Achieved?</w:t>
            </w:r>
          </w:p>
        </w:tc>
      </w:tr>
      <w:tr w:rsidR="00374410" w:rsidRPr="0088154E" w14:paraId="7C491ED1" w14:textId="77777777" w:rsidTr="002E1BDF">
        <w:trPr>
          <w:trHeight w:val="315"/>
        </w:trPr>
        <w:tc>
          <w:tcPr>
            <w:tcW w:w="3240" w:type="dxa"/>
            <w:vMerge w:val="restart"/>
            <w:shd w:val="clear" w:color="auto" w:fill="auto"/>
          </w:tcPr>
          <w:p w14:paraId="5CE1D5BE" w14:textId="77777777" w:rsidR="00374410" w:rsidRPr="0088154E" w:rsidRDefault="00374410" w:rsidP="00374410">
            <w:pPr>
              <w:rPr>
                <w:rFonts w:eastAsia="Calibri"/>
                <w:sz w:val="20"/>
                <w:szCs w:val="20"/>
              </w:rPr>
            </w:pPr>
            <w:r w:rsidRPr="0088154E">
              <w:rPr>
                <w:rFonts w:eastAsia="Calibri"/>
                <w:sz w:val="20"/>
                <w:szCs w:val="20"/>
              </w:rPr>
              <w:t>Unemployed</w:t>
            </w:r>
          </w:p>
        </w:tc>
        <w:tc>
          <w:tcPr>
            <w:tcW w:w="1714" w:type="dxa"/>
            <w:shd w:val="clear" w:color="auto" w:fill="FFFFFF" w:themeFill="background1"/>
          </w:tcPr>
          <w:p w14:paraId="5ED1D0A2" w14:textId="633B1097" w:rsidR="00374410" w:rsidRPr="0088154E" w:rsidRDefault="00903E12" w:rsidP="001A3248">
            <w:pPr>
              <w:jc w:val="center"/>
              <w:rPr>
                <w:rFonts w:eastAsia="Calibri"/>
                <w:sz w:val="20"/>
                <w:szCs w:val="20"/>
              </w:rPr>
            </w:pPr>
            <w:r w:rsidRPr="0088154E">
              <w:rPr>
                <w:rFonts w:eastAsia="Calibri"/>
                <w:sz w:val="20"/>
                <w:szCs w:val="20"/>
              </w:rPr>
              <w:t>189</w:t>
            </w:r>
          </w:p>
        </w:tc>
        <w:tc>
          <w:tcPr>
            <w:tcW w:w="1627" w:type="dxa"/>
            <w:shd w:val="clear" w:color="auto" w:fill="FFFFFF" w:themeFill="background1"/>
          </w:tcPr>
          <w:p w14:paraId="323DC54C" w14:textId="127230C0" w:rsidR="00374410" w:rsidRPr="0088154E" w:rsidRDefault="00441A37" w:rsidP="001A3248">
            <w:pPr>
              <w:jc w:val="center"/>
              <w:rPr>
                <w:rFonts w:eastAsia="Calibri"/>
                <w:sz w:val="20"/>
                <w:szCs w:val="20"/>
              </w:rPr>
            </w:pPr>
            <w:r w:rsidRPr="0088154E">
              <w:rPr>
                <w:rFonts w:eastAsia="Calibri"/>
                <w:sz w:val="20"/>
                <w:szCs w:val="20"/>
              </w:rPr>
              <w:t>293</w:t>
            </w:r>
          </w:p>
        </w:tc>
        <w:tc>
          <w:tcPr>
            <w:tcW w:w="1354" w:type="dxa"/>
            <w:shd w:val="clear" w:color="auto" w:fill="auto"/>
          </w:tcPr>
          <w:p w14:paraId="06C6C469" w14:textId="59C5A0B3" w:rsidR="00374410" w:rsidRPr="0088154E" w:rsidRDefault="00374410" w:rsidP="001A3248">
            <w:pPr>
              <w:jc w:val="center"/>
              <w:rPr>
                <w:rFonts w:eastAsia="Calibri"/>
                <w:sz w:val="20"/>
                <w:szCs w:val="20"/>
              </w:rPr>
            </w:pPr>
          </w:p>
        </w:tc>
        <w:tc>
          <w:tcPr>
            <w:tcW w:w="1440" w:type="dxa"/>
            <w:shd w:val="clear" w:color="auto" w:fill="auto"/>
          </w:tcPr>
          <w:p w14:paraId="1269B4C8" w14:textId="0A69D695" w:rsidR="00374410" w:rsidRPr="0088154E" w:rsidRDefault="00374410" w:rsidP="001A3248">
            <w:pPr>
              <w:jc w:val="center"/>
              <w:rPr>
                <w:rFonts w:eastAsia="Calibri"/>
                <w:sz w:val="20"/>
                <w:szCs w:val="20"/>
              </w:rPr>
            </w:pPr>
          </w:p>
        </w:tc>
      </w:tr>
      <w:tr w:rsidR="00374410" w:rsidRPr="0088154E" w14:paraId="4B6CDC5C" w14:textId="77777777" w:rsidTr="002E1BDF">
        <w:trPr>
          <w:trHeight w:val="315"/>
        </w:trPr>
        <w:tc>
          <w:tcPr>
            <w:tcW w:w="3240" w:type="dxa"/>
            <w:vMerge/>
            <w:shd w:val="clear" w:color="auto" w:fill="auto"/>
          </w:tcPr>
          <w:p w14:paraId="1C3020AE" w14:textId="77777777" w:rsidR="00374410" w:rsidRPr="0088154E" w:rsidRDefault="00374410" w:rsidP="00374410">
            <w:pPr>
              <w:rPr>
                <w:rFonts w:eastAsia="Calibri"/>
                <w:sz w:val="20"/>
                <w:szCs w:val="20"/>
              </w:rPr>
            </w:pPr>
          </w:p>
        </w:tc>
        <w:tc>
          <w:tcPr>
            <w:tcW w:w="1714" w:type="dxa"/>
            <w:shd w:val="clear" w:color="auto" w:fill="FFFFFF" w:themeFill="background1"/>
          </w:tcPr>
          <w:p w14:paraId="7D626449" w14:textId="3FAC7C4E" w:rsidR="00374410" w:rsidRPr="0088154E" w:rsidRDefault="0006262D" w:rsidP="001A3248">
            <w:pPr>
              <w:jc w:val="center"/>
              <w:rPr>
                <w:rFonts w:eastAsia="Calibri"/>
                <w:sz w:val="20"/>
                <w:szCs w:val="20"/>
              </w:rPr>
            </w:pPr>
            <w:r w:rsidRPr="0088154E">
              <w:rPr>
                <w:rFonts w:eastAsia="Calibri"/>
                <w:sz w:val="20"/>
                <w:szCs w:val="20"/>
              </w:rPr>
              <w:t>66</w:t>
            </w:r>
            <w:r w:rsidR="00351D8C" w:rsidRPr="0088154E">
              <w:rPr>
                <w:rFonts w:eastAsia="Calibri"/>
                <w:sz w:val="20"/>
                <w:szCs w:val="20"/>
              </w:rPr>
              <w:t>%</w:t>
            </w:r>
          </w:p>
        </w:tc>
        <w:tc>
          <w:tcPr>
            <w:tcW w:w="1627" w:type="dxa"/>
            <w:shd w:val="clear" w:color="auto" w:fill="FFFFFF" w:themeFill="background1"/>
          </w:tcPr>
          <w:p w14:paraId="42AE43BF" w14:textId="1113EA18" w:rsidR="00374410" w:rsidRPr="0088154E" w:rsidRDefault="00441A37" w:rsidP="001A3248">
            <w:pPr>
              <w:jc w:val="center"/>
              <w:rPr>
                <w:rFonts w:eastAsia="Calibri"/>
                <w:sz w:val="20"/>
                <w:szCs w:val="20"/>
              </w:rPr>
            </w:pPr>
            <w:r w:rsidRPr="0088154E">
              <w:rPr>
                <w:rFonts w:eastAsia="Calibri"/>
                <w:sz w:val="20"/>
                <w:szCs w:val="20"/>
              </w:rPr>
              <w:t>60</w:t>
            </w:r>
            <w:r w:rsidR="00351D8C" w:rsidRPr="0088154E">
              <w:rPr>
                <w:rFonts w:eastAsia="Calibri"/>
                <w:sz w:val="20"/>
                <w:szCs w:val="20"/>
              </w:rPr>
              <w:t>%</w:t>
            </w:r>
          </w:p>
        </w:tc>
        <w:tc>
          <w:tcPr>
            <w:tcW w:w="1354" w:type="dxa"/>
            <w:shd w:val="clear" w:color="auto" w:fill="auto"/>
          </w:tcPr>
          <w:p w14:paraId="3269E0B6" w14:textId="73398DEC" w:rsidR="00374410" w:rsidRPr="0088154E" w:rsidRDefault="00374410" w:rsidP="001A3248">
            <w:pPr>
              <w:jc w:val="center"/>
              <w:rPr>
                <w:rFonts w:eastAsia="Calibri"/>
                <w:sz w:val="20"/>
                <w:szCs w:val="20"/>
              </w:rPr>
            </w:pPr>
          </w:p>
        </w:tc>
        <w:tc>
          <w:tcPr>
            <w:tcW w:w="1440" w:type="dxa"/>
            <w:shd w:val="clear" w:color="auto" w:fill="auto"/>
          </w:tcPr>
          <w:p w14:paraId="22DE764B" w14:textId="1959D86A" w:rsidR="00374410" w:rsidRPr="0088154E" w:rsidRDefault="00374410" w:rsidP="001A3248">
            <w:pPr>
              <w:jc w:val="center"/>
              <w:rPr>
                <w:rFonts w:eastAsia="Calibri"/>
                <w:sz w:val="20"/>
                <w:szCs w:val="20"/>
              </w:rPr>
            </w:pPr>
          </w:p>
        </w:tc>
      </w:tr>
      <w:tr w:rsidR="00374410" w:rsidRPr="0088154E" w14:paraId="4447246C" w14:textId="77777777" w:rsidTr="002E1BDF">
        <w:trPr>
          <w:trHeight w:val="315"/>
        </w:trPr>
        <w:tc>
          <w:tcPr>
            <w:tcW w:w="3240" w:type="dxa"/>
            <w:vMerge w:val="restart"/>
            <w:shd w:val="clear" w:color="auto" w:fill="auto"/>
            <w:hideMark/>
          </w:tcPr>
          <w:p w14:paraId="2A4E8958" w14:textId="1E95C93B" w:rsidR="00374410" w:rsidRPr="0088154E" w:rsidRDefault="001E7A7F" w:rsidP="00374410">
            <w:pPr>
              <w:rPr>
                <w:rFonts w:eastAsia="Calibri"/>
                <w:sz w:val="20"/>
                <w:szCs w:val="20"/>
              </w:rPr>
            </w:pPr>
            <w:r w:rsidRPr="0088154E">
              <w:rPr>
                <w:rFonts w:eastAsia="Calibri"/>
                <w:sz w:val="20"/>
                <w:szCs w:val="20"/>
              </w:rPr>
              <w:t>Employed Part-Time or Full-Time</w:t>
            </w:r>
          </w:p>
        </w:tc>
        <w:tc>
          <w:tcPr>
            <w:tcW w:w="1714" w:type="dxa"/>
            <w:shd w:val="clear" w:color="auto" w:fill="FFFFFF" w:themeFill="background1"/>
            <w:hideMark/>
          </w:tcPr>
          <w:p w14:paraId="21F7B93B" w14:textId="35FE6F98" w:rsidR="00374410" w:rsidRPr="0088154E" w:rsidRDefault="0006262D" w:rsidP="001A3248">
            <w:pPr>
              <w:jc w:val="center"/>
              <w:rPr>
                <w:rFonts w:eastAsia="Calibri"/>
                <w:sz w:val="20"/>
                <w:szCs w:val="20"/>
              </w:rPr>
            </w:pPr>
            <w:r w:rsidRPr="0088154E">
              <w:rPr>
                <w:rFonts w:eastAsia="Calibri"/>
                <w:sz w:val="20"/>
                <w:szCs w:val="20"/>
              </w:rPr>
              <w:t>9</w:t>
            </w:r>
            <w:r w:rsidR="002E1BDF" w:rsidRPr="0088154E">
              <w:rPr>
                <w:rFonts w:eastAsia="Calibri"/>
                <w:sz w:val="20"/>
                <w:szCs w:val="20"/>
              </w:rPr>
              <w:t>7</w:t>
            </w:r>
          </w:p>
        </w:tc>
        <w:tc>
          <w:tcPr>
            <w:tcW w:w="1627" w:type="dxa"/>
            <w:shd w:val="clear" w:color="auto" w:fill="FFFFFF" w:themeFill="background1"/>
            <w:hideMark/>
          </w:tcPr>
          <w:p w14:paraId="3789D21E" w14:textId="1B1FB87C" w:rsidR="00374410" w:rsidRPr="0088154E" w:rsidRDefault="00441A37" w:rsidP="001A3248">
            <w:pPr>
              <w:jc w:val="center"/>
              <w:rPr>
                <w:rFonts w:eastAsia="Calibri"/>
                <w:sz w:val="20"/>
                <w:szCs w:val="20"/>
              </w:rPr>
            </w:pPr>
            <w:r w:rsidRPr="0088154E">
              <w:rPr>
                <w:rFonts w:eastAsia="Calibri"/>
                <w:sz w:val="20"/>
                <w:szCs w:val="20"/>
              </w:rPr>
              <w:t>195</w:t>
            </w:r>
          </w:p>
        </w:tc>
        <w:tc>
          <w:tcPr>
            <w:tcW w:w="1354" w:type="dxa"/>
            <w:shd w:val="clear" w:color="auto" w:fill="auto"/>
          </w:tcPr>
          <w:p w14:paraId="3D4E9FE4" w14:textId="41939258" w:rsidR="00374410" w:rsidRPr="0088154E" w:rsidRDefault="00374410" w:rsidP="001A3248">
            <w:pPr>
              <w:jc w:val="center"/>
              <w:rPr>
                <w:rFonts w:eastAsia="Calibri"/>
                <w:sz w:val="20"/>
                <w:szCs w:val="20"/>
              </w:rPr>
            </w:pPr>
          </w:p>
        </w:tc>
        <w:tc>
          <w:tcPr>
            <w:tcW w:w="1440" w:type="dxa"/>
            <w:shd w:val="clear" w:color="auto" w:fill="auto"/>
          </w:tcPr>
          <w:p w14:paraId="0C58C340" w14:textId="26D01C86" w:rsidR="00374410" w:rsidRPr="0088154E" w:rsidRDefault="00374410" w:rsidP="001A3248">
            <w:pPr>
              <w:jc w:val="center"/>
              <w:rPr>
                <w:rFonts w:eastAsia="Calibri"/>
                <w:sz w:val="20"/>
                <w:szCs w:val="20"/>
              </w:rPr>
            </w:pPr>
          </w:p>
        </w:tc>
      </w:tr>
      <w:tr w:rsidR="00374410" w:rsidRPr="0088154E" w14:paraId="3205C940" w14:textId="77777777" w:rsidTr="00B62394">
        <w:trPr>
          <w:trHeight w:val="315"/>
        </w:trPr>
        <w:tc>
          <w:tcPr>
            <w:tcW w:w="3240" w:type="dxa"/>
            <w:vMerge/>
            <w:shd w:val="clear" w:color="auto" w:fill="auto"/>
            <w:hideMark/>
          </w:tcPr>
          <w:p w14:paraId="784D2995" w14:textId="77777777" w:rsidR="00374410" w:rsidRPr="0088154E" w:rsidRDefault="00374410" w:rsidP="00374410">
            <w:pPr>
              <w:rPr>
                <w:rFonts w:eastAsia="Calibri"/>
                <w:sz w:val="20"/>
                <w:szCs w:val="20"/>
              </w:rPr>
            </w:pPr>
          </w:p>
        </w:tc>
        <w:tc>
          <w:tcPr>
            <w:tcW w:w="1714" w:type="dxa"/>
            <w:shd w:val="clear" w:color="auto" w:fill="auto"/>
            <w:hideMark/>
          </w:tcPr>
          <w:p w14:paraId="43413DFA" w14:textId="3A90F6CE" w:rsidR="00374410" w:rsidRPr="0088154E" w:rsidRDefault="0006262D" w:rsidP="001A3248">
            <w:pPr>
              <w:jc w:val="center"/>
              <w:rPr>
                <w:rFonts w:eastAsia="Calibri"/>
                <w:sz w:val="20"/>
                <w:szCs w:val="20"/>
              </w:rPr>
            </w:pPr>
            <w:r w:rsidRPr="0088154E">
              <w:rPr>
                <w:rFonts w:eastAsia="Calibri"/>
                <w:sz w:val="20"/>
                <w:szCs w:val="20"/>
              </w:rPr>
              <w:t>34</w:t>
            </w:r>
            <w:r w:rsidR="00351D8C" w:rsidRPr="0088154E">
              <w:rPr>
                <w:rFonts w:eastAsia="Calibri"/>
                <w:sz w:val="20"/>
                <w:szCs w:val="20"/>
              </w:rPr>
              <w:t>%</w:t>
            </w:r>
          </w:p>
        </w:tc>
        <w:tc>
          <w:tcPr>
            <w:tcW w:w="1627" w:type="dxa"/>
            <w:shd w:val="clear" w:color="auto" w:fill="auto"/>
            <w:hideMark/>
          </w:tcPr>
          <w:p w14:paraId="38F37B9C" w14:textId="3A1D7B42" w:rsidR="00374410" w:rsidRPr="0088154E" w:rsidRDefault="00441A37" w:rsidP="001A3248">
            <w:pPr>
              <w:jc w:val="center"/>
              <w:rPr>
                <w:rFonts w:eastAsia="Calibri"/>
                <w:sz w:val="20"/>
                <w:szCs w:val="20"/>
              </w:rPr>
            </w:pPr>
            <w:r w:rsidRPr="0088154E">
              <w:rPr>
                <w:rFonts w:eastAsia="Calibri"/>
                <w:sz w:val="20"/>
                <w:szCs w:val="20"/>
              </w:rPr>
              <w:t>40</w:t>
            </w:r>
            <w:r w:rsidR="00351D8C" w:rsidRPr="0088154E">
              <w:rPr>
                <w:rFonts w:eastAsia="Calibri"/>
                <w:sz w:val="20"/>
                <w:szCs w:val="20"/>
              </w:rPr>
              <w:t>%</w:t>
            </w:r>
          </w:p>
        </w:tc>
        <w:tc>
          <w:tcPr>
            <w:tcW w:w="1354" w:type="dxa"/>
            <w:shd w:val="clear" w:color="auto" w:fill="auto"/>
          </w:tcPr>
          <w:p w14:paraId="6FD9D6B4" w14:textId="74E8C012" w:rsidR="00374410" w:rsidRPr="0088154E" w:rsidRDefault="00374410" w:rsidP="001A3248">
            <w:pPr>
              <w:jc w:val="center"/>
              <w:rPr>
                <w:rFonts w:eastAsia="Calibri"/>
                <w:sz w:val="20"/>
                <w:szCs w:val="20"/>
              </w:rPr>
            </w:pPr>
          </w:p>
        </w:tc>
        <w:tc>
          <w:tcPr>
            <w:tcW w:w="1440" w:type="dxa"/>
            <w:shd w:val="clear" w:color="auto" w:fill="auto"/>
          </w:tcPr>
          <w:p w14:paraId="130E98BA" w14:textId="18E2F522" w:rsidR="00374410" w:rsidRPr="0088154E" w:rsidRDefault="00374410" w:rsidP="001A3248">
            <w:pPr>
              <w:jc w:val="center"/>
              <w:rPr>
                <w:rFonts w:eastAsia="Calibri"/>
                <w:sz w:val="20"/>
                <w:szCs w:val="20"/>
              </w:rPr>
            </w:pPr>
          </w:p>
        </w:tc>
      </w:tr>
      <w:tr w:rsidR="00B62394" w:rsidRPr="0088154E" w14:paraId="46AA7895" w14:textId="77777777" w:rsidTr="00B62394">
        <w:trPr>
          <w:trHeight w:val="315"/>
        </w:trPr>
        <w:tc>
          <w:tcPr>
            <w:tcW w:w="3240" w:type="dxa"/>
            <w:vMerge w:val="restart"/>
            <w:shd w:val="clear" w:color="auto" w:fill="auto"/>
          </w:tcPr>
          <w:p w14:paraId="23066023" w14:textId="43CEFFC9" w:rsidR="00B62394" w:rsidRPr="0088154E" w:rsidRDefault="00B62394" w:rsidP="00B62394">
            <w:pPr>
              <w:rPr>
                <w:rFonts w:eastAsia="Calibri"/>
                <w:sz w:val="20"/>
                <w:szCs w:val="20"/>
              </w:rPr>
            </w:pPr>
            <w:r w:rsidRPr="0088154E">
              <w:rPr>
                <w:rFonts w:eastAsia="Calibri"/>
                <w:sz w:val="20"/>
                <w:szCs w:val="20"/>
              </w:rPr>
              <w:t>Enrolled in an  Educational Program or Job Training</w:t>
            </w:r>
          </w:p>
        </w:tc>
        <w:tc>
          <w:tcPr>
            <w:tcW w:w="1714" w:type="dxa"/>
            <w:shd w:val="clear" w:color="auto" w:fill="auto"/>
          </w:tcPr>
          <w:p w14:paraId="46A2E7EB" w14:textId="4C5BA8AC" w:rsidR="00B62394" w:rsidRPr="0088154E" w:rsidRDefault="0006262D" w:rsidP="00B62394">
            <w:pPr>
              <w:jc w:val="center"/>
              <w:rPr>
                <w:rFonts w:eastAsia="Calibri"/>
                <w:sz w:val="20"/>
                <w:szCs w:val="20"/>
              </w:rPr>
            </w:pPr>
            <w:r w:rsidRPr="0088154E">
              <w:rPr>
                <w:rFonts w:eastAsia="Calibri"/>
                <w:sz w:val="20"/>
                <w:szCs w:val="20"/>
              </w:rPr>
              <w:t>0</w:t>
            </w:r>
          </w:p>
        </w:tc>
        <w:tc>
          <w:tcPr>
            <w:tcW w:w="1627" w:type="dxa"/>
            <w:shd w:val="clear" w:color="auto" w:fill="auto"/>
          </w:tcPr>
          <w:p w14:paraId="72A80DF7" w14:textId="50706B7D" w:rsidR="00B62394" w:rsidRPr="0088154E" w:rsidRDefault="000C596C" w:rsidP="00B62394">
            <w:pPr>
              <w:jc w:val="center"/>
              <w:rPr>
                <w:rFonts w:eastAsia="Calibri"/>
                <w:sz w:val="20"/>
                <w:szCs w:val="20"/>
              </w:rPr>
            </w:pPr>
            <w:r w:rsidRPr="0088154E">
              <w:rPr>
                <w:rFonts w:eastAsia="Calibri"/>
                <w:sz w:val="20"/>
                <w:szCs w:val="20"/>
              </w:rPr>
              <w:t>49</w:t>
            </w:r>
          </w:p>
        </w:tc>
        <w:tc>
          <w:tcPr>
            <w:tcW w:w="1354" w:type="dxa"/>
            <w:shd w:val="clear" w:color="auto" w:fill="auto"/>
          </w:tcPr>
          <w:p w14:paraId="342CB6A4" w14:textId="356ED581" w:rsidR="00B62394" w:rsidRPr="0088154E" w:rsidRDefault="00B62394" w:rsidP="00B62394">
            <w:pPr>
              <w:jc w:val="center"/>
              <w:rPr>
                <w:rFonts w:eastAsia="Calibri"/>
                <w:sz w:val="20"/>
                <w:szCs w:val="20"/>
              </w:rPr>
            </w:pPr>
          </w:p>
        </w:tc>
        <w:tc>
          <w:tcPr>
            <w:tcW w:w="1440" w:type="dxa"/>
            <w:shd w:val="clear" w:color="auto" w:fill="auto"/>
          </w:tcPr>
          <w:p w14:paraId="3267796F" w14:textId="55E2D285" w:rsidR="00B62394" w:rsidRPr="0088154E" w:rsidRDefault="00B62394" w:rsidP="00B62394">
            <w:pPr>
              <w:jc w:val="center"/>
              <w:rPr>
                <w:rFonts w:eastAsia="Calibri"/>
                <w:sz w:val="20"/>
                <w:szCs w:val="20"/>
              </w:rPr>
            </w:pPr>
          </w:p>
        </w:tc>
      </w:tr>
      <w:tr w:rsidR="00B62394" w:rsidRPr="0088154E" w14:paraId="6A4284A3" w14:textId="77777777" w:rsidTr="00B62394">
        <w:trPr>
          <w:trHeight w:val="315"/>
        </w:trPr>
        <w:tc>
          <w:tcPr>
            <w:tcW w:w="3240" w:type="dxa"/>
            <w:vMerge/>
            <w:shd w:val="clear" w:color="auto" w:fill="auto"/>
          </w:tcPr>
          <w:p w14:paraId="14E0BD21" w14:textId="77777777" w:rsidR="00B62394" w:rsidRPr="0088154E" w:rsidRDefault="00B62394" w:rsidP="00B62394">
            <w:pPr>
              <w:rPr>
                <w:rFonts w:eastAsia="Calibri"/>
                <w:sz w:val="20"/>
                <w:szCs w:val="20"/>
              </w:rPr>
            </w:pPr>
          </w:p>
        </w:tc>
        <w:tc>
          <w:tcPr>
            <w:tcW w:w="1714" w:type="dxa"/>
            <w:shd w:val="clear" w:color="auto" w:fill="auto"/>
          </w:tcPr>
          <w:p w14:paraId="0CC45C08" w14:textId="5DAD7BF6" w:rsidR="00B62394" w:rsidRPr="0088154E" w:rsidRDefault="0006262D" w:rsidP="00B62394">
            <w:pPr>
              <w:jc w:val="center"/>
              <w:rPr>
                <w:rFonts w:eastAsia="Calibri"/>
                <w:sz w:val="20"/>
                <w:szCs w:val="20"/>
              </w:rPr>
            </w:pPr>
            <w:r w:rsidRPr="0088154E">
              <w:rPr>
                <w:rFonts w:eastAsia="Calibri"/>
                <w:sz w:val="20"/>
                <w:szCs w:val="20"/>
              </w:rPr>
              <w:t>0</w:t>
            </w:r>
            <w:r w:rsidR="00BB256E" w:rsidRPr="0088154E">
              <w:rPr>
                <w:rFonts w:eastAsia="Calibri"/>
                <w:sz w:val="20"/>
                <w:szCs w:val="20"/>
              </w:rPr>
              <w:t>%</w:t>
            </w:r>
          </w:p>
        </w:tc>
        <w:tc>
          <w:tcPr>
            <w:tcW w:w="1627" w:type="dxa"/>
            <w:shd w:val="clear" w:color="auto" w:fill="auto"/>
          </w:tcPr>
          <w:p w14:paraId="640B457E" w14:textId="31D03313" w:rsidR="00B62394" w:rsidRPr="0088154E" w:rsidRDefault="000C596C" w:rsidP="00B62394">
            <w:pPr>
              <w:jc w:val="center"/>
              <w:rPr>
                <w:rFonts w:eastAsia="Calibri"/>
                <w:sz w:val="20"/>
                <w:szCs w:val="20"/>
              </w:rPr>
            </w:pPr>
            <w:r w:rsidRPr="0088154E">
              <w:rPr>
                <w:rFonts w:eastAsia="Calibri"/>
                <w:sz w:val="20"/>
                <w:szCs w:val="20"/>
              </w:rPr>
              <w:t>10%</w:t>
            </w:r>
          </w:p>
        </w:tc>
        <w:tc>
          <w:tcPr>
            <w:tcW w:w="1354" w:type="dxa"/>
            <w:shd w:val="clear" w:color="auto" w:fill="auto"/>
          </w:tcPr>
          <w:p w14:paraId="1F75E185" w14:textId="37A3932E" w:rsidR="00B62394" w:rsidRPr="0088154E" w:rsidRDefault="00B62394" w:rsidP="00B62394">
            <w:pPr>
              <w:jc w:val="center"/>
              <w:rPr>
                <w:rFonts w:eastAsia="Calibri"/>
                <w:sz w:val="20"/>
                <w:szCs w:val="20"/>
              </w:rPr>
            </w:pPr>
          </w:p>
        </w:tc>
        <w:tc>
          <w:tcPr>
            <w:tcW w:w="1440" w:type="dxa"/>
            <w:shd w:val="clear" w:color="auto" w:fill="auto"/>
          </w:tcPr>
          <w:p w14:paraId="085970A1" w14:textId="79B328DB" w:rsidR="00B62394" w:rsidRPr="0088154E" w:rsidRDefault="00B62394" w:rsidP="00B62394">
            <w:pPr>
              <w:jc w:val="center"/>
              <w:rPr>
                <w:rFonts w:eastAsia="Calibri"/>
                <w:sz w:val="20"/>
                <w:szCs w:val="20"/>
              </w:rPr>
            </w:pPr>
          </w:p>
        </w:tc>
      </w:tr>
      <w:tr w:rsidR="00B62394" w:rsidRPr="0088154E" w14:paraId="083E3DD4" w14:textId="77777777" w:rsidTr="00B62394">
        <w:trPr>
          <w:trHeight w:hRule="exact" w:val="302"/>
        </w:trPr>
        <w:tc>
          <w:tcPr>
            <w:tcW w:w="9375" w:type="dxa"/>
            <w:gridSpan w:val="5"/>
            <w:shd w:val="clear" w:color="auto" w:fill="C6D9F1" w:themeFill="text2" w:themeFillTint="33"/>
          </w:tcPr>
          <w:p w14:paraId="14E74B3E" w14:textId="77777777" w:rsidR="00B62394" w:rsidRPr="0088154E" w:rsidRDefault="00B62394" w:rsidP="00B62394">
            <w:pPr>
              <w:jc w:val="center"/>
              <w:rPr>
                <w:rFonts w:eastAsia="Calibri"/>
                <w:b/>
                <w:bCs/>
                <w:i/>
                <w:iCs/>
                <w:sz w:val="20"/>
                <w:szCs w:val="20"/>
              </w:rPr>
            </w:pPr>
            <w:r w:rsidRPr="0088154E">
              <w:rPr>
                <w:b/>
                <w:bCs/>
                <w:i/>
                <w:iCs/>
                <w:sz w:val="20"/>
                <w:szCs w:val="20"/>
              </w:rPr>
              <w:t>SS #4: Households Removed from Temporary Assistance for Needy Families (TANF)</w:t>
            </w:r>
          </w:p>
        </w:tc>
      </w:tr>
      <w:tr w:rsidR="00B62394" w:rsidRPr="0088154E" w14:paraId="09CD5B3C" w14:textId="77777777" w:rsidTr="00B62394">
        <w:trPr>
          <w:trHeight w:val="576"/>
        </w:trPr>
        <w:tc>
          <w:tcPr>
            <w:tcW w:w="3240" w:type="dxa"/>
            <w:shd w:val="clear" w:color="auto" w:fill="D9D9D9" w:themeFill="background1" w:themeFillShade="D9"/>
          </w:tcPr>
          <w:p w14:paraId="56D69940" w14:textId="77777777" w:rsidR="00B62394" w:rsidRPr="0088154E" w:rsidRDefault="00B62394" w:rsidP="00B62394">
            <w:pPr>
              <w:jc w:val="center"/>
              <w:rPr>
                <w:rFonts w:eastAsia="Calibri"/>
                <w:b/>
                <w:bCs/>
                <w:sz w:val="20"/>
                <w:szCs w:val="20"/>
              </w:rPr>
            </w:pPr>
            <w:r w:rsidRPr="0088154E">
              <w:rPr>
                <w:rFonts w:eastAsia="Calibri"/>
                <w:b/>
                <w:bCs/>
                <w:sz w:val="20"/>
                <w:szCs w:val="20"/>
              </w:rPr>
              <w:t>Unit of Measurement</w:t>
            </w:r>
          </w:p>
        </w:tc>
        <w:tc>
          <w:tcPr>
            <w:tcW w:w="1714" w:type="dxa"/>
            <w:shd w:val="clear" w:color="auto" w:fill="D9D9D9" w:themeFill="background1" w:themeFillShade="D9"/>
          </w:tcPr>
          <w:p w14:paraId="01C1FEAD" w14:textId="77777777" w:rsidR="00B62394" w:rsidRPr="0088154E" w:rsidRDefault="00B62394" w:rsidP="00B62394">
            <w:pPr>
              <w:jc w:val="center"/>
              <w:rPr>
                <w:rFonts w:eastAsia="Calibri"/>
                <w:b/>
                <w:bCs/>
                <w:sz w:val="20"/>
                <w:szCs w:val="20"/>
              </w:rPr>
            </w:pPr>
            <w:r w:rsidRPr="0088154E">
              <w:rPr>
                <w:rFonts w:eastAsia="Calibri"/>
                <w:b/>
                <w:bCs/>
                <w:sz w:val="20"/>
                <w:szCs w:val="20"/>
              </w:rPr>
              <w:t>Baseline</w:t>
            </w:r>
          </w:p>
        </w:tc>
        <w:tc>
          <w:tcPr>
            <w:tcW w:w="1627" w:type="dxa"/>
            <w:shd w:val="clear" w:color="auto" w:fill="D9D9D9" w:themeFill="background1" w:themeFillShade="D9"/>
          </w:tcPr>
          <w:p w14:paraId="0A53DED6" w14:textId="77777777" w:rsidR="00B62394" w:rsidRPr="0088154E" w:rsidRDefault="00B62394" w:rsidP="00B62394">
            <w:pPr>
              <w:jc w:val="center"/>
              <w:rPr>
                <w:rFonts w:eastAsia="Calibri"/>
                <w:b/>
                <w:bCs/>
                <w:sz w:val="20"/>
                <w:szCs w:val="20"/>
              </w:rPr>
            </w:pPr>
            <w:r w:rsidRPr="0088154E">
              <w:rPr>
                <w:rFonts w:eastAsia="Calibri"/>
                <w:b/>
                <w:bCs/>
                <w:sz w:val="20"/>
                <w:szCs w:val="20"/>
              </w:rPr>
              <w:t>Benchmark</w:t>
            </w:r>
          </w:p>
        </w:tc>
        <w:tc>
          <w:tcPr>
            <w:tcW w:w="1354" w:type="dxa"/>
            <w:shd w:val="clear" w:color="auto" w:fill="D9D9D9" w:themeFill="background1" w:themeFillShade="D9"/>
          </w:tcPr>
          <w:p w14:paraId="4E985CC2" w14:textId="77777777" w:rsidR="00B62394" w:rsidRPr="0088154E" w:rsidRDefault="00B62394" w:rsidP="00B62394">
            <w:pPr>
              <w:jc w:val="center"/>
              <w:rPr>
                <w:rFonts w:eastAsia="Calibri"/>
                <w:b/>
                <w:bCs/>
                <w:sz w:val="20"/>
                <w:szCs w:val="20"/>
              </w:rPr>
            </w:pPr>
            <w:r w:rsidRPr="0088154E">
              <w:rPr>
                <w:rFonts w:eastAsia="Calibri"/>
                <w:b/>
                <w:bCs/>
                <w:sz w:val="20"/>
                <w:szCs w:val="20"/>
              </w:rPr>
              <w:t>Outcome</w:t>
            </w:r>
          </w:p>
        </w:tc>
        <w:tc>
          <w:tcPr>
            <w:tcW w:w="1440" w:type="dxa"/>
            <w:shd w:val="clear" w:color="auto" w:fill="D9D9D9" w:themeFill="background1" w:themeFillShade="D9"/>
          </w:tcPr>
          <w:p w14:paraId="462B64F8" w14:textId="77777777" w:rsidR="00B62394" w:rsidRPr="0088154E" w:rsidRDefault="00B62394" w:rsidP="00B62394">
            <w:pPr>
              <w:jc w:val="center"/>
              <w:rPr>
                <w:rFonts w:eastAsia="Calibri"/>
                <w:b/>
                <w:bCs/>
                <w:sz w:val="20"/>
                <w:szCs w:val="20"/>
              </w:rPr>
            </w:pPr>
            <w:r w:rsidRPr="0088154E">
              <w:rPr>
                <w:rFonts w:eastAsia="Calibri"/>
                <w:b/>
                <w:bCs/>
                <w:sz w:val="20"/>
                <w:szCs w:val="20"/>
              </w:rPr>
              <w:t>Benchmark Achieved?</w:t>
            </w:r>
          </w:p>
        </w:tc>
      </w:tr>
      <w:tr w:rsidR="00B62394" w:rsidRPr="0088154E" w14:paraId="430ED562" w14:textId="77777777" w:rsidTr="00B62394">
        <w:trPr>
          <w:trHeight w:val="305"/>
        </w:trPr>
        <w:tc>
          <w:tcPr>
            <w:tcW w:w="3240" w:type="dxa"/>
            <w:shd w:val="clear" w:color="auto" w:fill="auto"/>
          </w:tcPr>
          <w:p w14:paraId="2631B7CF" w14:textId="77777777" w:rsidR="00B62394" w:rsidRPr="0088154E" w:rsidRDefault="00B62394" w:rsidP="00B62394">
            <w:pPr>
              <w:rPr>
                <w:rFonts w:eastAsia="Calibri"/>
                <w:b/>
                <w:bCs/>
                <w:i/>
                <w:iCs/>
                <w:sz w:val="20"/>
                <w:szCs w:val="20"/>
              </w:rPr>
            </w:pPr>
            <w:r w:rsidRPr="0088154E">
              <w:rPr>
                <w:sz w:val="20"/>
                <w:szCs w:val="20"/>
              </w:rPr>
              <w:t>Number of households receiving TANF assistance (decrease).</w:t>
            </w:r>
          </w:p>
        </w:tc>
        <w:tc>
          <w:tcPr>
            <w:tcW w:w="1714" w:type="dxa"/>
            <w:shd w:val="clear" w:color="auto" w:fill="auto"/>
          </w:tcPr>
          <w:p w14:paraId="5C653DB7" w14:textId="3EBFEE90" w:rsidR="00B62394" w:rsidRPr="0088154E" w:rsidRDefault="00BB256E" w:rsidP="00B62394">
            <w:pPr>
              <w:jc w:val="center"/>
              <w:rPr>
                <w:rFonts w:eastAsia="Calibri"/>
                <w:bCs/>
                <w:iCs/>
                <w:sz w:val="20"/>
                <w:szCs w:val="20"/>
              </w:rPr>
            </w:pPr>
            <w:r w:rsidRPr="0088154E">
              <w:rPr>
                <w:rFonts w:eastAsia="Calibri"/>
                <w:sz w:val="20"/>
                <w:szCs w:val="20"/>
              </w:rPr>
              <w:t>73</w:t>
            </w:r>
          </w:p>
        </w:tc>
        <w:tc>
          <w:tcPr>
            <w:tcW w:w="1627" w:type="dxa"/>
            <w:shd w:val="clear" w:color="auto" w:fill="auto"/>
          </w:tcPr>
          <w:p w14:paraId="32FD7431" w14:textId="309034A5" w:rsidR="00B62394" w:rsidRPr="0088154E" w:rsidRDefault="000C596C" w:rsidP="00B62394">
            <w:pPr>
              <w:jc w:val="center"/>
              <w:rPr>
                <w:rFonts w:eastAsia="Calibri"/>
                <w:bCs/>
                <w:iCs/>
                <w:sz w:val="20"/>
                <w:szCs w:val="20"/>
              </w:rPr>
            </w:pPr>
            <w:r w:rsidRPr="0088154E">
              <w:rPr>
                <w:rFonts w:eastAsia="Calibri"/>
                <w:bCs/>
                <w:iCs/>
                <w:sz w:val="20"/>
                <w:szCs w:val="20"/>
              </w:rPr>
              <w:t>127</w:t>
            </w:r>
          </w:p>
        </w:tc>
        <w:tc>
          <w:tcPr>
            <w:tcW w:w="1354" w:type="dxa"/>
            <w:shd w:val="clear" w:color="auto" w:fill="auto"/>
          </w:tcPr>
          <w:p w14:paraId="405F460E" w14:textId="27C8A799" w:rsidR="00B62394" w:rsidRPr="0088154E" w:rsidRDefault="00B62394" w:rsidP="00B62394">
            <w:pPr>
              <w:jc w:val="center"/>
              <w:rPr>
                <w:rFonts w:eastAsia="Calibri"/>
                <w:bCs/>
                <w:iCs/>
                <w:sz w:val="20"/>
                <w:szCs w:val="20"/>
              </w:rPr>
            </w:pPr>
          </w:p>
        </w:tc>
        <w:tc>
          <w:tcPr>
            <w:tcW w:w="1440" w:type="dxa"/>
            <w:shd w:val="clear" w:color="auto" w:fill="auto"/>
          </w:tcPr>
          <w:p w14:paraId="220F6127" w14:textId="7D5D20B3" w:rsidR="00B62394" w:rsidRPr="0088154E" w:rsidRDefault="00B62394" w:rsidP="00B62394">
            <w:pPr>
              <w:jc w:val="center"/>
              <w:rPr>
                <w:rFonts w:eastAsia="Calibri"/>
                <w:b/>
                <w:bCs/>
                <w:i/>
                <w:iCs/>
                <w:sz w:val="20"/>
                <w:szCs w:val="20"/>
              </w:rPr>
            </w:pPr>
          </w:p>
        </w:tc>
      </w:tr>
      <w:tr w:rsidR="000C596C" w:rsidRPr="0088154E" w14:paraId="26F79A34" w14:textId="77777777" w:rsidTr="00D95301">
        <w:trPr>
          <w:trHeight w:val="305"/>
        </w:trPr>
        <w:tc>
          <w:tcPr>
            <w:tcW w:w="9375" w:type="dxa"/>
            <w:gridSpan w:val="5"/>
            <w:shd w:val="clear" w:color="auto" w:fill="auto"/>
          </w:tcPr>
          <w:p w14:paraId="11814318" w14:textId="27D91E91" w:rsidR="000C596C" w:rsidRPr="0088154E" w:rsidRDefault="000C596C" w:rsidP="000C596C">
            <w:pPr>
              <w:rPr>
                <w:rFonts w:eastAsia="Calibri"/>
                <w:bCs/>
                <w:i/>
                <w:iCs/>
                <w:sz w:val="20"/>
                <w:szCs w:val="20"/>
              </w:rPr>
            </w:pPr>
            <w:r w:rsidRPr="0088154E">
              <w:rPr>
                <w:rFonts w:eastAsia="Calibri"/>
                <w:bCs/>
                <w:i/>
                <w:iCs/>
                <w:sz w:val="20"/>
                <w:szCs w:val="20"/>
              </w:rPr>
              <w:t>*Benchmark reflects the number of households as a percent of the anticipated households.</w:t>
            </w:r>
          </w:p>
        </w:tc>
      </w:tr>
      <w:tr w:rsidR="00B62394" w:rsidRPr="0088154E" w14:paraId="0D6F38D7" w14:textId="77777777" w:rsidTr="00B62394">
        <w:trPr>
          <w:trHeight w:hRule="exact" w:val="317"/>
        </w:trPr>
        <w:tc>
          <w:tcPr>
            <w:tcW w:w="9375" w:type="dxa"/>
            <w:gridSpan w:val="5"/>
            <w:shd w:val="clear" w:color="auto" w:fill="C6D9F1" w:themeFill="text2" w:themeFillTint="33"/>
            <w:hideMark/>
          </w:tcPr>
          <w:p w14:paraId="2B1CDDA1" w14:textId="77777777" w:rsidR="00B62394" w:rsidRPr="0088154E" w:rsidRDefault="00B62394" w:rsidP="00B62394">
            <w:pPr>
              <w:jc w:val="center"/>
              <w:rPr>
                <w:rFonts w:eastAsia="Calibri"/>
                <w:b/>
                <w:bCs/>
                <w:i/>
                <w:iCs/>
                <w:sz w:val="20"/>
                <w:szCs w:val="20"/>
              </w:rPr>
            </w:pPr>
            <w:r w:rsidRPr="0088154E">
              <w:rPr>
                <w:rFonts w:eastAsia="Calibri"/>
                <w:b/>
                <w:bCs/>
                <w:i/>
                <w:iCs/>
                <w:sz w:val="20"/>
                <w:szCs w:val="20"/>
              </w:rPr>
              <w:t>SS #5: Households Assisted by Services that Increase Self Sufficiency</w:t>
            </w:r>
          </w:p>
        </w:tc>
      </w:tr>
      <w:tr w:rsidR="00B62394" w:rsidRPr="0088154E" w14:paraId="00FC1608" w14:textId="77777777" w:rsidTr="00B62394">
        <w:trPr>
          <w:trHeight w:val="576"/>
        </w:trPr>
        <w:tc>
          <w:tcPr>
            <w:tcW w:w="3240" w:type="dxa"/>
            <w:shd w:val="clear" w:color="auto" w:fill="D9D9D9" w:themeFill="background1" w:themeFillShade="D9"/>
            <w:hideMark/>
          </w:tcPr>
          <w:p w14:paraId="7EE4514A" w14:textId="77777777" w:rsidR="00B62394" w:rsidRPr="0088154E" w:rsidRDefault="00B62394" w:rsidP="00B62394">
            <w:pPr>
              <w:jc w:val="center"/>
              <w:rPr>
                <w:rFonts w:eastAsia="Calibri"/>
                <w:b/>
                <w:bCs/>
                <w:sz w:val="20"/>
                <w:szCs w:val="20"/>
              </w:rPr>
            </w:pPr>
            <w:r w:rsidRPr="0088154E">
              <w:rPr>
                <w:rFonts w:eastAsia="Calibri"/>
                <w:b/>
                <w:bCs/>
                <w:sz w:val="20"/>
                <w:szCs w:val="20"/>
              </w:rPr>
              <w:t>Unit of Measurement</w:t>
            </w:r>
          </w:p>
        </w:tc>
        <w:tc>
          <w:tcPr>
            <w:tcW w:w="1714" w:type="dxa"/>
            <w:shd w:val="clear" w:color="auto" w:fill="D9D9D9" w:themeFill="background1" w:themeFillShade="D9"/>
            <w:hideMark/>
          </w:tcPr>
          <w:p w14:paraId="180F8523" w14:textId="77777777" w:rsidR="00B62394" w:rsidRPr="0088154E" w:rsidRDefault="00B62394" w:rsidP="00B62394">
            <w:pPr>
              <w:jc w:val="center"/>
              <w:rPr>
                <w:rFonts w:eastAsia="Calibri"/>
                <w:b/>
                <w:bCs/>
                <w:sz w:val="20"/>
                <w:szCs w:val="20"/>
              </w:rPr>
            </w:pPr>
            <w:r w:rsidRPr="0088154E">
              <w:rPr>
                <w:rFonts w:eastAsia="Calibri"/>
                <w:b/>
                <w:bCs/>
                <w:sz w:val="20"/>
                <w:szCs w:val="20"/>
              </w:rPr>
              <w:t>Baseline</w:t>
            </w:r>
          </w:p>
        </w:tc>
        <w:tc>
          <w:tcPr>
            <w:tcW w:w="1627" w:type="dxa"/>
            <w:shd w:val="clear" w:color="auto" w:fill="D9D9D9" w:themeFill="background1" w:themeFillShade="D9"/>
            <w:hideMark/>
          </w:tcPr>
          <w:p w14:paraId="26734FEE" w14:textId="77777777" w:rsidR="00B62394" w:rsidRPr="0088154E" w:rsidRDefault="00B62394" w:rsidP="00B62394">
            <w:pPr>
              <w:jc w:val="center"/>
              <w:rPr>
                <w:rFonts w:eastAsia="Calibri"/>
                <w:b/>
                <w:bCs/>
                <w:sz w:val="20"/>
                <w:szCs w:val="20"/>
              </w:rPr>
            </w:pPr>
            <w:r w:rsidRPr="0088154E">
              <w:rPr>
                <w:rFonts w:eastAsia="Calibri"/>
                <w:b/>
                <w:bCs/>
                <w:sz w:val="20"/>
                <w:szCs w:val="20"/>
              </w:rPr>
              <w:t>Benchmark</w:t>
            </w:r>
          </w:p>
        </w:tc>
        <w:tc>
          <w:tcPr>
            <w:tcW w:w="1354" w:type="dxa"/>
            <w:shd w:val="clear" w:color="auto" w:fill="D9D9D9" w:themeFill="background1" w:themeFillShade="D9"/>
            <w:hideMark/>
          </w:tcPr>
          <w:p w14:paraId="30CE2A7D" w14:textId="77777777" w:rsidR="00B62394" w:rsidRPr="0088154E" w:rsidRDefault="00B62394" w:rsidP="00B62394">
            <w:pPr>
              <w:jc w:val="center"/>
              <w:rPr>
                <w:rFonts w:eastAsia="Calibri"/>
                <w:b/>
                <w:bCs/>
                <w:sz w:val="20"/>
                <w:szCs w:val="20"/>
              </w:rPr>
            </w:pPr>
            <w:r w:rsidRPr="0088154E">
              <w:rPr>
                <w:rFonts w:eastAsia="Calibri"/>
                <w:b/>
                <w:bCs/>
                <w:sz w:val="20"/>
                <w:szCs w:val="20"/>
              </w:rPr>
              <w:t>Outcome</w:t>
            </w:r>
          </w:p>
        </w:tc>
        <w:tc>
          <w:tcPr>
            <w:tcW w:w="1440" w:type="dxa"/>
            <w:shd w:val="clear" w:color="auto" w:fill="D9D9D9" w:themeFill="background1" w:themeFillShade="D9"/>
            <w:hideMark/>
          </w:tcPr>
          <w:p w14:paraId="7040CCC2" w14:textId="77777777" w:rsidR="00B62394" w:rsidRPr="0088154E" w:rsidRDefault="00B62394" w:rsidP="00B62394">
            <w:pPr>
              <w:jc w:val="center"/>
              <w:rPr>
                <w:rFonts w:eastAsia="Calibri"/>
                <w:b/>
                <w:bCs/>
                <w:sz w:val="20"/>
                <w:szCs w:val="20"/>
              </w:rPr>
            </w:pPr>
            <w:r w:rsidRPr="0088154E">
              <w:rPr>
                <w:rFonts w:eastAsia="Calibri"/>
                <w:b/>
                <w:bCs/>
                <w:sz w:val="20"/>
                <w:szCs w:val="20"/>
              </w:rPr>
              <w:t>Benchmark Achieved?</w:t>
            </w:r>
          </w:p>
        </w:tc>
      </w:tr>
      <w:tr w:rsidR="00B62394" w:rsidRPr="0088154E" w14:paraId="6E847941" w14:textId="77777777" w:rsidTr="002E1BDF">
        <w:trPr>
          <w:trHeight w:val="818"/>
        </w:trPr>
        <w:tc>
          <w:tcPr>
            <w:tcW w:w="3240" w:type="dxa"/>
            <w:shd w:val="clear" w:color="auto" w:fill="auto"/>
            <w:hideMark/>
          </w:tcPr>
          <w:p w14:paraId="61E5E594" w14:textId="77777777" w:rsidR="00B62394" w:rsidRPr="0088154E" w:rsidRDefault="00B62394" w:rsidP="00B62394">
            <w:pPr>
              <w:rPr>
                <w:rFonts w:eastAsia="Calibri"/>
                <w:sz w:val="20"/>
                <w:szCs w:val="20"/>
              </w:rPr>
            </w:pPr>
            <w:r w:rsidRPr="0088154E">
              <w:rPr>
                <w:rFonts w:eastAsia="Calibri"/>
                <w:sz w:val="20"/>
                <w:szCs w:val="20"/>
              </w:rPr>
              <w:t>Number of households receiving services aimed to increase self-sufficiency (increase).</w:t>
            </w:r>
          </w:p>
        </w:tc>
        <w:tc>
          <w:tcPr>
            <w:tcW w:w="1714" w:type="dxa"/>
            <w:shd w:val="clear" w:color="auto" w:fill="auto"/>
            <w:hideMark/>
          </w:tcPr>
          <w:p w14:paraId="4BA55334" w14:textId="3F357778" w:rsidR="00B62394" w:rsidRPr="0088154E" w:rsidRDefault="00BB256E" w:rsidP="00B62394">
            <w:pPr>
              <w:jc w:val="center"/>
              <w:rPr>
                <w:rFonts w:eastAsia="Calibri"/>
                <w:sz w:val="20"/>
                <w:szCs w:val="20"/>
              </w:rPr>
            </w:pPr>
            <w:r w:rsidRPr="0088154E">
              <w:rPr>
                <w:rFonts w:eastAsia="Calibri"/>
                <w:sz w:val="20"/>
                <w:szCs w:val="20"/>
              </w:rPr>
              <w:t>286</w:t>
            </w:r>
          </w:p>
        </w:tc>
        <w:tc>
          <w:tcPr>
            <w:tcW w:w="1627" w:type="dxa"/>
            <w:shd w:val="clear" w:color="auto" w:fill="FFFFFF" w:themeFill="background1"/>
            <w:hideMark/>
          </w:tcPr>
          <w:p w14:paraId="2075E189" w14:textId="13518942" w:rsidR="00B62394" w:rsidRPr="0088154E" w:rsidRDefault="00BB256E" w:rsidP="00B62394">
            <w:pPr>
              <w:jc w:val="center"/>
              <w:rPr>
                <w:rFonts w:eastAsia="Calibri"/>
                <w:sz w:val="20"/>
                <w:szCs w:val="20"/>
              </w:rPr>
            </w:pPr>
            <w:r w:rsidRPr="0088154E">
              <w:rPr>
                <w:rFonts w:eastAsia="Calibri"/>
                <w:sz w:val="20"/>
                <w:szCs w:val="20"/>
              </w:rPr>
              <w:t>488</w:t>
            </w:r>
          </w:p>
        </w:tc>
        <w:tc>
          <w:tcPr>
            <w:tcW w:w="1354" w:type="dxa"/>
            <w:shd w:val="clear" w:color="auto" w:fill="auto"/>
          </w:tcPr>
          <w:p w14:paraId="655A10F8" w14:textId="3BC2FB74" w:rsidR="00B62394" w:rsidRPr="0088154E" w:rsidRDefault="00B62394" w:rsidP="00B62394">
            <w:pPr>
              <w:jc w:val="center"/>
              <w:rPr>
                <w:rFonts w:eastAsia="Calibri"/>
                <w:sz w:val="20"/>
                <w:szCs w:val="20"/>
              </w:rPr>
            </w:pPr>
          </w:p>
        </w:tc>
        <w:tc>
          <w:tcPr>
            <w:tcW w:w="1440" w:type="dxa"/>
            <w:shd w:val="clear" w:color="auto" w:fill="auto"/>
          </w:tcPr>
          <w:p w14:paraId="4B49EFE1" w14:textId="5A62BF2E" w:rsidR="00B62394" w:rsidRPr="0088154E" w:rsidRDefault="00B62394" w:rsidP="00B62394">
            <w:pPr>
              <w:jc w:val="center"/>
              <w:rPr>
                <w:rFonts w:eastAsia="Calibri"/>
                <w:sz w:val="20"/>
                <w:szCs w:val="20"/>
              </w:rPr>
            </w:pPr>
          </w:p>
        </w:tc>
      </w:tr>
      <w:tr w:rsidR="00B62394" w:rsidRPr="0088154E" w14:paraId="2C5EF30D" w14:textId="77777777" w:rsidTr="00B62394">
        <w:trPr>
          <w:trHeight w:val="317"/>
        </w:trPr>
        <w:tc>
          <w:tcPr>
            <w:tcW w:w="9375" w:type="dxa"/>
            <w:gridSpan w:val="5"/>
            <w:shd w:val="clear" w:color="auto" w:fill="C6D9F1" w:themeFill="text2" w:themeFillTint="33"/>
          </w:tcPr>
          <w:p w14:paraId="6B2CAFBE" w14:textId="682E2F43" w:rsidR="00B62394" w:rsidRPr="0088154E" w:rsidRDefault="00B62394" w:rsidP="00B62394">
            <w:pPr>
              <w:jc w:val="center"/>
              <w:rPr>
                <w:rFonts w:eastAsia="Calibri"/>
                <w:b/>
                <w:i/>
                <w:sz w:val="20"/>
                <w:szCs w:val="20"/>
              </w:rPr>
            </w:pPr>
            <w:r w:rsidRPr="0088154E">
              <w:rPr>
                <w:rFonts w:eastAsia="Calibri"/>
                <w:b/>
                <w:i/>
                <w:sz w:val="20"/>
                <w:szCs w:val="20"/>
              </w:rPr>
              <w:t>SS #6: Reducing Per Unit Subsidy Costs for Participating Households</w:t>
            </w:r>
            <w:r w:rsidR="00BB256E" w:rsidRPr="0088154E">
              <w:rPr>
                <w:rFonts w:eastAsia="Calibri"/>
                <w:b/>
                <w:i/>
                <w:sz w:val="20"/>
                <w:szCs w:val="20"/>
              </w:rPr>
              <w:t>*</w:t>
            </w:r>
          </w:p>
        </w:tc>
      </w:tr>
      <w:tr w:rsidR="00B62394" w:rsidRPr="0088154E" w14:paraId="0A5668FF" w14:textId="77777777" w:rsidTr="00B62394">
        <w:trPr>
          <w:trHeight w:val="576"/>
        </w:trPr>
        <w:tc>
          <w:tcPr>
            <w:tcW w:w="3240" w:type="dxa"/>
            <w:shd w:val="clear" w:color="auto" w:fill="D9D9D9" w:themeFill="background1" w:themeFillShade="D9"/>
          </w:tcPr>
          <w:p w14:paraId="519F0A45" w14:textId="77777777" w:rsidR="00B62394" w:rsidRPr="0088154E" w:rsidRDefault="00B62394" w:rsidP="00B62394">
            <w:pPr>
              <w:rPr>
                <w:rFonts w:eastAsia="Calibri"/>
                <w:sz w:val="20"/>
                <w:szCs w:val="20"/>
              </w:rPr>
            </w:pPr>
            <w:r w:rsidRPr="0088154E">
              <w:rPr>
                <w:rFonts w:eastAsia="Calibri"/>
                <w:b/>
                <w:bCs/>
                <w:sz w:val="20"/>
                <w:szCs w:val="20"/>
              </w:rPr>
              <w:t>Unit of Measurement</w:t>
            </w:r>
          </w:p>
        </w:tc>
        <w:tc>
          <w:tcPr>
            <w:tcW w:w="1714" w:type="dxa"/>
            <w:shd w:val="clear" w:color="auto" w:fill="D9D9D9" w:themeFill="background1" w:themeFillShade="D9"/>
          </w:tcPr>
          <w:p w14:paraId="5D59DD05" w14:textId="77777777" w:rsidR="00B62394" w:rsidRPr="0088154E" w:rsidRDefault="00B62394" w:rsidP="00B62394">
            <w:pPr>
              <w:jc w:val="center"/>
              <w:rPr>
                <w:rFonts w:eastAsia="Calibri"/>
                <w:sz w:val="20"/>
                <w:szCs w:val="20"/>
              </w:rPr>
            </w:pPr>
            <w:r w:rsidRPr="0088154E">
              <w:rPr>
                <w:rFonts w:eastAsia="Calibri"/>
                <w:b/>
                <w:bCs/>
                <w:sz w:val="20"/>
                <w:szCs w:val="20"/>
              </w:rPr>
              <w:t>Baseline</w:t>
            </w:r>
          </w:p>
        </w:tc>
        <w:tc>
          <w:tcPr>
            <w:tcW w:w="1627" w:type="dxa"/>
            <w:shd w:val="clear" w:color="auto" w:fill="D9D9D9" w:themeFill="background1" w:themeFillShade="D9"/>
          </w:tcPr>
          <w:p w14:paraId="5B80EE7E" w14:textId="77777777" w:rsidR="00B62394" w:rsidRPr="0088154E" w:rsidRDefault="00B62394" w:rsidP="00B62394">
            <w:pPr>
              <w:jc w:val="center"/>
              <w:rPr>
                <w:rFonts w:eastAsia="Calibri"/>
                <w:sz w:val="20"/>
                <w:szCs w:val="20"/>
              </w:rPr>
            </w:pPr>
            <w:r w:rsidRPr="0088154E">
              <w:rPr>
                <w:rFonts w:eastAsia="Calibri"/>
                <w:b/>
                <w:bCs/>
                <w:sz w:val="20"/>
                <w:szCs w:val="20"/>
              </w:rPr>
              <w:t>Benchmark</w:t>
            </w:r>
          </w:p>
        </w:tc>
        <w:tc>
          <w:tcPr>
            <w:tcW w:w="1354" w:type="dxa"/>
            <w:shd w:val="clear" w:color="auto" w:fill="D9D9D9" w:themeFill="background1" w:themeFillShade="D9"/>
          </w:tcPr>
          <w:p w14:paraId="7C4A4444" w14:textId="77777777" w:rsidR="00B62394" w:rsidRPr="0088154E" w:rsidRDefault="00B62394" w:rsidP="00B62394">
            <w:pPr>
              <w:rPr>
                <w:rFonts w:eastAsia="Calibri"/>
                <w:sz w:val="20"/>
                <w:szCs w:val="20"/>
              </w:rPr>
            </w:pPr>
            <w:r w:rsidRPr="0088154E">
              <w:rPr>
                <w:rFonts w:eastAsia="Calibri"/>
                <w:b/>
                <w:bCs/>
                <w:sz w:val="20"/>
                <w:szCs w:val="20"/>
              </w:rPr>
              <w:t>Outcome</w:t>
            </w:r>
          </w:p>
        </w:tc>
        <w:tc>
          <w:tcPr>
            <w:tcW w:w="1440" w:type="dxa"/>
            <w:shd w:val="clear" w:color="auto" w:fill="D9D9D9" w:themeFill="background1" w:themeFillShade="D9"/>
          </w:tcPr>
          <w:p w14:paraId="4829E581" w14:textId="77777777" w:rsidR="00B62394" w:rsidRPr="0088154E" w:rsidRDefault="00B62394" w:rsidP="00B62394">
            <w:pPr>
              <w:rPr>
                <w:rFonts w:eastAsia="Calibri"/>
                <w:sz w:val="20"/>
                <w:szCs w:val="20"/>
              </w:rPr>
            </w:pPr>
            <w:r w:rsidRPr="0088154E">
              <w:rPr>
                <w:rFonts w:eastAsia="Calibri"/>
                <w:b/>
                <w:bCs/>
                <w:sz w:val="20"/>
                <w:szCs w:val="20"/>
              </w:rPr>
              <w:t>Benchmark Achieved?</w:t>
            </w:r>
          </w:p>
        </w:tc>
      </w:tr>
      <w:tr w:rsidR="00B62394" w:rsidRPr="0088154E" w14:paraId="229893D9" w14:textId="77777777" w:rsidTr="00B62394">
        <w:trPr>
          <w:trHeight w:val="782"/>
        </w:trPr>
        <w:tc>
          <w:tcPr>
            <w:tcW w:w="3240" w:type="dxa"/>
            <w:shd w:val="clear" w:color="auto" w:fill="auto"/>
          </w:tcPr>
          <w:p w14:paraId="3006BE07" w14:textId="77777777" w:rsidR="00B62394" w:rsidRPr="0088154E" w:rsidRDefault="00B62394" w:rsidP="00B62394">
            <w:pPr>
              <w:rPr>
                <w:rFonts w:eastAsia="Calibri"/>
                <w:sz w:val="20"/>
                <w:szCs w:val="20"/>
              </w:rPr>
            </w:pPr>
            <w:r w:rsidRPr="0088154E">
              <w:rPr>
                <w:rFonts w:eastAsia="Calibri"/>
                <w:spacing w:val="-1"/>
                <w:sz w:val="20"/>
                <w:szCs w:val="20"/>
              </w:rPr>
              <w:t>Av</w:t>
            </w:r>
            <w:r w:rsidRPr="0088154E">
              <w:rPr>
                <w:rFonts w:eastAsia="Calibri"/>
                <w:sz w:val="20"/>
                <w:szCs w:val="20"/>
              </w:rPr>
              <w:t>e</w:t>
            </w:r>
            <w:r w:rsidRPr="0088154E">
              <w:rPr>
                <w:rFonts w:eastAsia="Calibri"/>
                <w:spacing w:val="1"/>
                <w:sz w:val="20"/>
                <w:szCs w:val="20"/>
              </w:rPr>
              <w:t>r</w:t>
            </w:r>
            <w:r w:rsidRPr="0088154E">
              <w:rPr>
                <w:rFonts w:eastAsia="Calibri"/>
                <w:sz w:val="20"/>
                <w:szCs w:val="20"/>
              </w:rPr>
              <w:t>a</w:t>
            </w:r>
            <w:r w:rsidRPr="0088154E">
              <w:rPr>
                <w:rFonts w:eastAsia="Calibri"/>
                <w:spacing w:val="-1"/>
                <w:sz w:val="20"/>
                <w:szCs w:val="20"/>
              </w:rPr>
              <w:t>g</w:t>
            </w:r>
            <w:r w:rsidRPr="0088154E">
              <w:rPr>
                <w:rFonts w:eastAsia="Calibri"/>
                <w:sz w:val="20"/>
                <w:szCs w:val="20"/>
              </w:rPr>
              <w:t>e</w:t>
            </w:r>
            <w:r w:rsidRPr="0088154E">
              <w:rPr>
                <w:rFonts w:eastAsia="Calibri"/>
                <w:spacing w:val="15"/>
                <w:sz w:val="20"/>
                <w:szCs w:val="20"/>
              </w:rPr>
              <w:t xml:space="preserve"> </w:t>
            </w:r>
            <w:r w:rsidRPr="0088154E">
              <w:rPr>
                <w:rFonts w:eastAsia="Calibri"/>
                <w:sz w:val="20"/>
                <w:szCs w:val="20"/>
              </w:rPr>
              <w:t>a</w:t>
            </w:r>
            <w:r w:rsidRPr="0088154E">
              <w:rPr>
                <w:rFonts w:eastAsia="Calibri"/>
                <w:spacing w:val="1"/>
                <w:sz w:val="20"/>
                <w:szCs w:val="20"/>
              </w:rPr>
              <w:t>mo</w:t>
            </w:r>
            <w:r w:rsidRPr="0088154E">
              <w:rPr>
                <w:rFonts w:eastAsia="Calibri"/>
                <w:spacing w:val="-1"/>
                <w:sz w:val="20"/>
                <w:szCs w:val="20"/>
              </w:rPr>
              <w:t>un</w:t>
            </w:r>
            <w:r w:rsidRPr="0088154E">
              <w:rPr>
                <w:rFonts w:eastAsia="Calibri"/>
                <w:sz w:val="20"/>
                <w:szCs w:val="20"/>
              </w:rPr>
              <w:t>t</w:t>
            </w:r>
            <w:r w:rsidRPr="0088154E">
              <w:rPr>
                <w:rFonts w:eastAsia="Calibri"/>
                <w:spacing w:val="14"/>
                <w:sz w:val="20"/>
                <w:szCs w:val="20"/>
              </w:rPr>
              <w:t xml:space="preserve"> </w:t>
            </w:r>
            <w:r w:rsidRPr="0088154E">
              <w:rPr>
                <w:rFonts w:eastAsia="Calibri"/>
                <w:spacing w:val="1"/>
                <w:sz w:val="20"/>
                <w:szCs w:val="20"/>
              </w:rPr>
              <w:t>o</w:t>
            </w:r>
            <w:r w:rsidRPr="0088154E">
              <w:rPr>
                <w:rFonts w:eastAsia="Calibri"/>
                <w:sz w:val="20"/>
                <w:szCs w:val="20"/>
              </w:rPr>
              <w:t>f</w:t>
            </w:r>
            <w:r w:rsidRPr="0088154E">
              <w:rPr>
                <w:rFonts w:eastAsia="Calibri"/>
                <w:spacing w:val="5"/>
                <w:sz w:val="20"/>
                <w:szCs w:val="20"/>
              </w:rPr>
              <w:t xml:space="preserve"> </w:t>
            </w:r>
            <w:r w:rsidRPr="0088154E">
              <w:rPr>
                <w:rFonts w:eastAsia="Calibri"/>
                <w:spacing w:val="1"/>
                <w:sz w:val="20"/>
                <w:szCs w:val="20"/>
              </w:rPr>
              <w:t>S</w:t>
            </w:r>
            <w:r w:rsidRPr="0088154E">
              <w:rPr>
                <w:rFonts w:eastAsia="Calibri"/>
                <w:sz w:val="20"/>
                <w:szCs w:val="20"/>
              </w:rPr>
              <w:t>e</w:t>
            </w:r>
            <w:r w:rsidRPr="0088154E">
              <w:rPr>
                <w:rFonts w:eastAsia="Calibri"/>
                <w:spacing w:val="1"/>
                <w:sz w:val="20"/>
                <w:szCs w:val="20"/>
              </w:rPr>
              <w:t>ct</w:t>
            </w:r>
            <w:r w:rsidRPr="0088154E">
              <w:rPr>
                <w:rFonts w:eastAsia="Calibri"/>
                <w:sz w:val="20"/>
                <w:szCs w:val="20"/>
              </w:rPr>
              <w:t>i</w:t>
            </w:r>
            <w:r w:rsidRPr="0088154E">
              <w:rPr>
                <w:rFonts w:eastAsia="Calibri"/>
                <w:spacing w:val="1"/>
                <w:sz w:val="20"/>
                <w:szCs w:val="20"/>
              </w:rPr>
              <w:t>o</w:t>
            </w:r>
            <w:r w:rsidRPr="0088154E">
              <w:rPr>
                <w:rFonts w:eastAsia="Calibri"/>
                <w:sz w:val="20"/>
                <w:szCs w:val="20"/>
              </w:rPr>
              <w:t>n</w:t>
            </w:r>
            <w:r w:rsidRPr="0088154E">
              <w:rPr>
                <w:rFonts w:eastAsia="Calibri"/>
                <w:spacing w:val="13"/>
                <w:sz w:val="20"/>
                <w:szCs w:val="20"/>
              </w:rPr>
              <w:t xml:space="preserve"> </w:t>
            </w:r>
            <w:r w:rsidRPr="0088154E">
              <w:rPr>
                <w:rFonts w:eastAsia="Calibri"/>
                <w:sz w:val="20"/>
                <w:szCs w:val="20"/>
              </w:rPr>
              <w:t>8</w:t>
            </w:r>
            <w:r w:rsidRPr="0088154E">
              <w:rPr>
                <w:rFonts w:eastAsia="Calibri"/>
                <w:spacing w:val="3"/>
                <w:sz w:val="20"/>
                <w:szCs w:val="20"/>
              </w:rPr>
              <w:t xml:space="preserve"> </w:t>
            </w:r>
            <w:r w:rsidRPr="0088154E">
              <w:rPr>
                <w:rFonts w:eastAsia="Calibri"/>
                <w:sz w:val="20"/>
                <w:szCs w:val="20"/>
              </w:rPr>
              <w:t>a</w:t>
            </w:r>
            <w:r w:rsidRPr="0088154E">
              <w:rPr>
                <w:rFonts w:eastAsia="Calibri"/>
                <w:spacing w:val="-1"/>
                <w:sz w:val="20"/>
                <w:szCs w:val="20"/>
              </w:rPr>
              <w:t>nd</w:t>
            </w:r>
            <w:r w:rsidRPr="0088154E">
              <w:rPr>
                <w:rFonts w:eastAsia="Calibri"/>
                <w:spacing w:val="1"/>
                <w:sz w:val="20"/>
                <w:szCs w:val="20"/>
              </w:rPr>
              <w:t>/o</w:t>
            </w:r>
            <w:r w:rsidRPr="0088154E">
              <w:rPr>
                <w:rFonts w:eastAsia="Calibri"/>
                <w:sz w:val="20"/>
                <w:szCs w:val="20"/>
              </w:rPr>
              <w:t>r</w:t>
            </w:r>
            <w:r w:rsidRPr="0088154E">
              <w:rPr>
                <w:rFonts w:eastAsia="Calibri"/>
                <w:spacing w:val="14"/>
                <w:sz w:val="20"/>
                <w:szCs w:val="20"/>
              </w:rPr>
              <w:t xml:space="preserve"> </w:t>
            </w:r>
            <w:r w:rsidRPr="0088154E">
              <w:rPr>
                <w:rFonts w:eastAsia="Calibri"/>
                <w:sz w:val="20"/>
                <w:szCs w:val="20"/>
              </w:rPr>
              <w:t>9</w:t>
            </w:r>
            <w:r w:rsidRPr="0088154E">
              <w:rPr>
                <w:rFonts w:eastAsia="Calibri"/>
                <w:spacing w:val="3"/>
                <w:sz w:val="20"/>
                <w:szCs w:val="20"/>
              </w:rPr>
              <w:t xml:space="preserve"> </w:t>
            </w:r>
            <w:r w:rsidRPr="0088154E">
              <w:rPr>
                <w:rFonts w:eastAsia="Calibri"/>
                <w:sz w:val="20"/>
                <w:szCs w:val="20"/>
              </w:rPr>
              <w:t>s</w:t>
            </w:r>
            <w:r w:rsidRPr="0088154E">
              <w:rPr>
                <w:rFonts w:eastAsia="Calibri"/>
                <w:spacing w:val="-1"/>
                <w:sz w:val="20"/>
                <w:szCs w:val="20"/>
              </w:rPr>
              <w:t>ub</w:t>
            </w:r>
            <w:r w:rsidRPr="0088154E">
              <w:rPr>
                <w:rFonts w:eastAsia="Calibri"/>
                <w:sz w:val="20"/>
                <w:szCs w:val="20"/>
              </w:rPr>
              <w:t>si</w:t>
            </w:r>
            <w:r w:rsidRPr="0088154E">
              <w:rPr>
                <w:rFonts w:eastAsia="Calibri"/>
                <w:spacing w:val="-1"/>
                <w:sz w:val="20"/>
                <w:szCs w:val="20"/>
              </w:rPr>
              <w:t>d</w:t>
            </w:r>
            <w:r w:rsidRPr="0088154E">
              <w:rPr>
                <w:rFonts w:eastAsia="Calibri"/>
                <w:sz w:val="20"/>
                <w:szCs w:val="20"/>
              </w:rPr>
              <w:t>y</w:t>
            </w:r>
            <w:r w:rsidRPr="0088154E">
              <w:rPr>
                <w:rFonts w:eastAsia="Calibri"/>
                <w:spacing w:val="13"/>
                <w:sz w:val="20"/>
                <w:szCs w:val="20"/>
              </w:rPr>
              <w:t xml:space="preserve"> </w:t>
            </w:r>
            <w:r w:rsidRPr="0088154E">
              <w:rPr>
                <w:rFonts w:eastAsia="Calibri"/>
                <w:spacing w:val="-1"/>
                <w:w w:val="103"/>
                <w:sz w:val="20"/>
                <w:szCs w:val="20"/>
              </w:rPr>
              <w:t>p</w:t>
            </w:r>
            <w:r w:rsidRPr="0088154E">
              <w:rPr>
                <w:rFonts w:eastAsia="Calibri"/>
                <w:w w:val="103"/>
                <w:sz w:val="20"/>
                <w:szCs w:val="20"/>
              </w:rPr>
              <w:t xml:space="preserve">er </w:t>
            </w:r>
            <w:r w:rsidRPr="0088154E">
              <w:rPr>
                <w:rFonts w:eastAsia="Calibri"/>
                <w:spacing w:val="-1"/>
                <w:sz w:val="20"/>
                <w:szCs w:val="20"/>
              </w:rPr>
              <w:t>h</w:t>
            </w:r>
            <w:r w:rsidRPr="0088154E">
              <w:rPr>
                <w:rFonts w:eastAsia="Calibri"/>
                <w:spacing w:val="1"/>
                <w:sz w:val="20"/>
                <w:szCs w:val="20"/>
              </w:rPr>
              <w:t>o</w:t>
            </w:r>
            <w:r w:rsidRPr="0088154E">
              <w:rPr>
                <w:rFonts w:eastAsia="Calibri"/>
                <w:spacing w:val="-1"/>
                <w:sz w:val="20"/>
                <w:szCs w:val="20"/>
              </w:rPr>
              <w:t>u</w:t>
            </w:r>
            <w:r w:rsidRPr="0088154E">
              <w:rPr>
                <w:rFonts w:eastAsia="Calibri"/>
                <w:sz w:val="20"/>
                <w:szCs w:val="20"/>
              </w:rPr>
              <w:t>se</w:t>
            </w:r>
            <w:r w:rsidRPr="0088154E">
              <w:rPr>
                <w:rFonts w:eastAsia="Calibri"/>
                <w:spacing w:val="-1"/>
                <w:sz w:val="20"/>
                <w:szCs w:val="20"/>
              </w:rPr>
              <w:t>h</w:t>
            </w:r>
            <w:r w:rsidRPr="0088154E">
              <w:rPr>
                <w:rFonts w:eastAsia="Calibri"/>
                <w:spacing w:val="1"/>
                <w:sz w:val="20"/>
                <w:szCs w:val="20"/>
              </w:rPr>
              <w:t>o</w:t>
            </w:r>
            <w:r w:rsidRPr="0088154E">
              <w:rPr>
                <w:rFonts w:eastAsia="Calibri"/>
                <w:sz w:val="20"/>
                <w:szCs w:val="20"/>
              </w:rPr>
              <w:t>ld</w:t>
            </w:r>
            <w:r w:rsidRPr="0088154E">
              <w:rPr>
                <w:rFonts w:eastAsia="Calibri"/>
                <w:spacing w:val="18"/>
                <w:sz w:val="20"/>
                <w:szCs w:val="20"/>
              </w:rPr>
              <w:t xml:space="preserve"> </w:t>
            </w:r>
            <w:r w:rsidRPr="0088154E">
              <w:rPr>
                <w:rFonts w:eastAsia="Calibri"/>
                <w:sz w:val="20"/>
                <w:szCs w:val="20"/>
              </w:rPr>
              <w:t>affe</w:t>
            </w:r>
            <w:r w:rsidRPr="0088154E">
              <w:rPr>
                <w:rFonts w:eastAsia="Calibri"/>
                <w:spacing w:val="1"/>
                <w:sz w:val="20"/>
                <w:szCs w:val="20"/>
              </w:rPr>
              <w:t>ct</w:t>
            </w:r>
            <w:r w:rsidRPr="0088154E">
              <w:rPr>
                <w:rFonts w:eastAsia="Calibri"/>
                <w:sz w:val="20"/>
                <w:szCs w:val="20"/>
              </w:rPr>
              <w:t>ed</w:t>
            </w:r>
            <w:r w:rsidRPr="0088154E">
              <w:rPr>
                <w:rFonts w:eastAsia="Calibri"/>
                <w:spacing w:val="14"/>
                <w:sz w:val="20"/>
                <w:szCs w:val="20"/>
              </w:rPr>
              <w:t xml:space="preserve"> </w:t>
            </w:r>
            <w:r w:rsidRPr="0088154E">
              <w:rPr>
                <w:rFonts w:eastAsia="Calibri"/>
                <w:spacing w:val="-1"/>
                <w:sz w:val="20"/>
                <w:szCs w:val="20"/>
              </w:rPr>
              <w:t>b</w:t>
            </w:r>
            <w:r w:rsidRPr="0088154E">
              <w:rPr>
                <w:rFonts w:eastAsia="Calibri"/>
                <w:sz w:val="20"/>
                <w:szCs w:val="20"/>
              </w:rPr>
              <w:t>y</w:t>
            </w:r>
            <w:r w:rsidRPr="0088154E">
              <w:rPr>
                <w:rFonts w:eastAsia="Calibri"/>
                <w:spacing w:val="5"/>
                <w:sz w:val="20"/>
                <w:szCs w:val="20"/>
              </w:rPr>
              <w:t xml:space="preserve"> </w:t>
            </w:r>
            <w:r w:rsidRPr="0088154E">
              <w:rPr>
                <w:rFonts w:eastAsia="Calibri"/>
                <w:spacing w:val="1"/>
                <w:sz w:val="20"/>
                <w:szCs w:val="20"/>
              </w:rPr>
              <w:t>t</w:t>
            </w:r>
            <w:r w:rsidRPr="0088154E">
              <w:rPr>
                <w:rFonts w:eastAsia="Calibri"/>
                <w:spacing w:val="-1"/>
                <w:sz w:val="20"/>
                <w:szCs w:val="20"/>
              </w:rPr>
              <w:t>h</w:t>
            </w:r>
            <w:r w:rsidRPr="0088154E">
              <w:rPr>
                <w:rFonts w:eastAsia="Calibri"/>
                <w:sz w:val="20"/>
                <w:szCs w:val="20"/>
              </w:rPr>
              <w:t>is</w:t>
            </w:r>
            <w:r w:rsidRPr="0088154E">
              <w:rPr>
                <w:rFonts w:eastAsia="Calibri"/>
                <w:spacing w:val="8"/>
                <w:sz w:val="20"/>
                <w:szCs w:val="20"/>
              </w:rPr>
              <w:t xml:space="preserve"> </w:t>
            </w:r>
            <w:r w:rsidRPr="0088154E">
              <w:rPr>
                <w:rFonts w:eastAsia="Calibri"/>
                <w:spacing w:val="-1"/>
                <w:sz w:val="20"/>
                <w:szCs w:val="20"/>
              </w:rPr>
              <w:t>p</w:t>
            </w:r>
            <w:r w:rsidRPr="0088154E">
              <w:rPr>
                <w:rFonts w:eastAsia="Calibri"/>
                <w:spacing w:val="1"/>
                <w:sz w:val="20"/>
                <w:szCs w:val="20"/>
              </w:rPr>
              <w:t>o</w:t>
            </w:r>
            <w:r w:rsidRPr="0088154E">
              <w:rPr>
                <w:rFonts w:eastAsia="Calibri"/>
                <w:sz w:val="20"/>
                <w:szCs w:val="20"/>
              </w:rPr>
              <w:t>li</w:t>
            </w:r>
            <w:r w:rsidRPr="0088154E">
              <w:rPr>
                <w:rFonts w:eastAsia="Calibri"/>
                <w:spacing w:val="1"/>
                <w:sz w:val="20"/>
                <w:szCs w:val="20"/>
              </w:rPr>
              <w:t>c</w:t>
            </w:r>
            <w:r w:rsidRPr="0088154E">
              <w:rPr>
                <w:rFonts w:eastAsia="Calibri"/>
                <w:sz w:val="20"/>
                <w:szCs w:val="20"/>
              </w:rPr>
              <w:t>y</w:t>
            </w:r>
            <w:r w:rsidRPr="0088154E">
              <w:rPr>
                <w:rFonts w:eastAsia="Calibri"/>
                <w:spacing w:val="10"/>
                <w:sz w:val="20"/>
                <w:szCs w:val="20"/>
              </w:rPr>
              <w:t xml:space="preserve"> </w:t>
            </w:r>
            <w:r w:rsidRPr="0088154E">
              <w:rPr>
                <w:rFonts w:eastAsia="Calibri"/>
                <w:sz w:val="20"/>
                <w:szCs w:val="20"/>
              </w:rPr>
              <w:t>in</w:t>
            </w:r>
            <w:r w:rsidRPr="0088154E">
              <w:rPr>
                <w:rFonts w:eastAsia="Calibri"/>
                <w:spacing w:val="4"/>
                <w:sz w:val="20"/>
                <w:szCs w:val="20"/>
              </w:rPr>
              <w:t xml:space="preserve"> </w:t>
            </w:r>
            <w:r w:rsidRPr="0088154E">
              <w:rPr>
                <w:rFonts w:eastAsia="Calibri"/>
                <w:spacing w:val="-1"/>
                <w:sz w:val="20"/>
                <w:szCs w:val="20"/>
              </w:rPr>
              <w:t>d</w:t>
            </w:r>
            <w:r w:rsidRPr="0088154E">
              <w:rPr>
                <w:rFonts w:eastAsia="Calibri"/>
                <w:spacing w:val="1"/>
                <w:sz w:val="20"/>
                <w:szCs w:val="20"/>
              </w:rPr>
              <w:t>o</w:t>
            </w:r>
            <w:r w:rsidRPr="0088154E">
              <w:rPr>
                <w:rFonts w:eastAsia="Calibri"/>
                <w:sz w:val="20"/>
                <w:szCs w:val="20"/>
              </w:rPr>
              <w:t>lla</w:t>
            </w:r>
            <w:r w:rsidRPr="0088154E">
              <w:rPr>
                <w:rFonts w:eastAsia="Calibri"/>
                <w:spacing w:val="1"/>
                <w:sz w:val="20"/>
                <w:szCs w:val="20"/>
              </w:rPr>
              <w:t>r</w:t>
            </w:r>
            <w:r w:rsidRPr="0088154E">
              <w:rPr>
                <w:rFonts w:eastAsia="Calibri"/>
                <w:sz w:val="20"/>
                <w:szCs w:val="20"/>
              </w:rPr>
              <w:t>s</w:t>
            </w:r>
            <w:r w:rsidRPr="0088154E">
              <w:rPr>
                <w:rFonts w:eastAsia="Calibri"/>
                <w:spacing w:val="13"/>
                <w:sz w:val="20"/>
                <w:szCs w:val="20"/>
              </w:rPr>
              <w:t xml:space="preserve"> </w:t>
            </w:r>
            <w:r w:rsidRPr="0088154E">
              <w:rPr>
                <w:rFonts w:eastAsia="Calibri"/>
                <w:w w:val="103"/>
                <w:sz w:val="20"/>
                <w:szCs w:val="20"/>
              </w:rPr>
              <w:t>(</w:t>
            </w:r>
            <w:r w:rsidRPr="0088154E">
              <w:rPr>
                <w:rFonts w:eastAsia="Calibri"/>
                <w:spacing w:val="-1"/>
                <w:w w:val="103"/>
                <w:sz w:val="20"/>
                <w:szCs w:val="20"/>
              </w:rPr>
              <w:t>d</w:t>
            </w:r>
            <w:r w:rsidRPr="0088154E">
              <w:rPr>
                <w:rFonts w:eastAsia="Calibri"/>
                <w:w w:val="103"/>
                <w:sz w:val="20"/>
                <w:szCs w:val="20"/>
              </w:rPr>
              <w:t>e</w:t>
            </w:r>
            <w:r w:rsidRPr="0088154E">
              <w:rPr>
                <w:rFonts w:eastAsia="Calibri"/>
                <w:spacing w:val="1"/>
                <w:w w:val="103"/>
                <w:sz w:val="20"/>
                <w:szCs w:val="20"/>
              </w:rPr>
              <w:t>cr</w:t>
            </w:r>
            <w:r w:rsidRPr="0088154E">
              <w:rPr>
                <w:rFonts w:eastAsia="Calibri"/>
                <w:w w:val="103"/>
                <w:sz w:val="20"/>
                <w:szCs w:val="20"/>
              </w:rPr>
              <w:t>ease).</w:t>
            </w:r>
          </w:p>
        </w:tc>
        <w:tc>
          <w:tcPr>
            <w:tcW w:w="1714" w:type="dxa"/>
            <w:shd w:val="clear" w:color="auto" w:fill="auto"/>
          </w:tcPr>
          <w:p w14:paraId="0DB4DFA6" w14:textId="6E019D35" w:rsidR="00B62394" w:rsidRPr="0088154E" w:rsidRDefault="00BB256E" w:rsidP="00B62394">
            <w:pPr>
              <w:jc w:val="center"/>
              <w:rPr>
                <w:rFonts w:eastAsia="Calibri"/>
                <w:sz w:val="20"/>
                <w:szCs w:val="20"/>
              </w:rPr>
            </w:pPr>
            <w:r w:rsidRPr="0088154E">
              <w:rPr>
                <w:rFonts w:eastAsia="Calibri"/>
                <w:sz w:val="20"/>
                <w:szCs w:val="20"/>
              </w:rPr>
              <w:t>Not applicable</w:t>
            </w:r>
          </w:p>
        </w:tc>
        <w:tc>
          <w:tcPr>
            <w:tcW w:w="1627" w:type="dxa"/>
            <w:shd w:val="clear" w:color="auto" w:fill="auto"/>
          </w:tcPr>
          <w:p w14:paraId="6EF49342" w14:textId="4DBDCDEB" w:rsidR="00B62394" w:rsidRPr="0088154E" w:rsidRDefault="00BB256E" w:rsidP="00B62394">
            <w:pPr>
              <w:jc w:val="center"/>
              <w:rPr>
                <w:rFonts w:eastAsia="Calibri"/>
                <w:sz w:val="20"/>
                <w:szCs w:val="20"/>
              </w:rPr>
            </w:pPr>
            <w:r w:rsidRPr="0088154E">
              <w:rPr>
                <w:rFonts w:eastAsia="Calibri"/>
                <w:sz w:val="20"/>
                <w:szCs w:val="20"/>
              </w:rPr>
              <w:t>Not applicable</w:t>
            </w:r>
          </w:p>
        </w:tc>
        <w:tc>
          <w:tcPr>
            <w:tcW w:w="1354" w:type="dxa"/>
            <w:shd w:val="clear" w:color="auto" w:fill="auto"/>
          </w:tcPr>
          <w:p w14:paraId="37C22E68" w14:textId="45F186AC" w:rsidR="00B62394" w:rsidRPr="0088154E" w:rsidRDefault="00B62394" w:rsidP="00B62394">
            <w:pPr>
              <w:jc w:val="center"/>
              <w:rPr>
                <w:rFonts w:eastAsia="Calibri"/>
                <w:sz w:val="20"/>
                <w:szCs w:val="20"/>
              </w:rPr>
            </w:pPr>
          </w:p>
        </w:tc>
        <w:tc>
          <w:tcPr>
            <w:tcW w:w="1440" w:type="dxa"/>
            <w:shd w:val="clear" w:color="auto" w:fill="auto"/>
          </w:tcPr>
          <w:p w14:paraId="2F7B271F" w14:textId="43B557EE" w:rsidR="00B62394" w:rsidRPr="0088154E" w:rsidRDefault="00B62394" w:rsidP="00B62394">
            <w:pPr>
              <w:jc w:val="center"/>
              <w:rPr>
                <w:rFonts w:eastAsia="Calibri"/>
                <w:sz w:val="20"/>
                <w:szCs w:val="20"/>
              </w:rPr>
            </w:pPr>
          </w:p>
        </w:tc>
      </w:tr>
      <w:tr w:rsidR="00BB256E" w:rsidRPr="0088154E" w14:paraId="1DBF5E45" w14:textId="77777777" w:rsidTr="00BB256E">
        <w:trPr>
          <w:trHeight w:val="341"/>
        </w:trPr>
        <w:tc>
          <w:tcPr>
            <w:tcW w:w="9375" w:type="dxa"/>
            <w:gridSpan w:val="5"/>
            <w:shd w:val="clear" w:color="auto" w:fill="auto"/>
          </w:tcPr>
          <w:p w14:paraId="2842979E" w14:textId="71012CAB" w:rsidR="00BB256E" w:rsidRPr="0088154E" w:rsidRDefault="00BB256E" w:rsidP="00BB256E">
            <w:pPr>
              <w:rPr>
                <w:rFonts w:eastAsia="Calibri"/>
                <w:i/>
                <w:sz w:val="20"/>
                <w:szCs w:val="20"/>
              </w:rPr>
            </w:pPr>
            <w:r w:rsidRPr="0088154E">
              <w:rPr>
                <w:rFonts w:eastAsia="Calibri"/>
                <w:i/>
                <w:sz w:val="20"/>
                <w:szCs w:val="20"/>
              </w:rPr>
              <w:t>*Enrollees are public housing households participating in the State funded program.</w:t>
            </w:r>
          </w:p>
        </w:tc>
      </w:tr>
      <w:tr w:rsidR="00B62394" w:rsidRPr="0088154E" w14:paraId="30FC73C3" w14:textId="77777777" w:rsidTr="00B62394">
        <w:trPr>
          <w:trHeight w:val="317"/>
        </w:trPr>
        <w:tc>
          <w:tcPr>
            <w:tcW w:w="9375" w:type="dxa"/>
            <w:gridSpan w:val="5"/>
            <w:shd w:val="clear" w:color="auto" w:fill="C6D9F1" w:themeFill="text2" w:themeFillTint="33"/>
          </w:tcPr>
          <w:p w14:paraId="526CBF87" w14:textId="77777777" w:rsidR="00B62394" w:rsidRPr="0088154E" w:rsidRDefault="00B62394" w:rsidP="00B62394">
            <w:pPr>
              <w:jc w:val="center"/>
              <w:rPr>
                <w:rFonts w:eastAsia="Calibri"/>
                <w:b/>
                <w:i/>
                <w:sz w:val="20"/>
                <w:szCs w:val="20"/>
              </w:rPr>
            </w:pPr>
            <w:r w:rsidRPr="0088154E">
              <w:rPr>
                <w:rFonts w:eastAsia="Calibri"/>
                <w:b/>
                <w:i/>
                <w:sz w:val="20"/>
                <w:szCs w:val="20"/>
              </w:rPr>
              <w:t>SS #7: Increase in Agency Rental Revenue</w:t>
            </w:r>
          </w:p>
        </w:tc>
      </w:tr>
      <w:tr w:rsidR="00B62394" w:rsidRPr="0088154E" w14:paraId="04D714D3" w14:textId="77777777" w:rsidTr="00B62394">
        <w:trPr>
          <w:trHeight w:val="576"/>
        </w:trPr>
        <w:tc>
          <w:tcPr>
            <w:tcW w:w="3240" w:type="dxa"/>
            <w:shd w:val="clear" w:color="auto" w:fill="D9D9D9" w:themeFill="background1" w:themeFillShade="D9"/>
          </w:tcPr>
          <w:p w14:paraId="5FF1D1E2" w14:textId="77777777" w:rsidR="00B62394" w:rsidRPr="0088154E" w:rsidRDefault="00B62394" w:rsidP="00B62394">
            <w:pPr>
              <w:rPr>
                <w:rFonts w:eastAsia="Calibri"/>
                <w:spacing w:val="-1"/>
                <w:sz w:val="20"/>
                <w:szCs w:val="20"/>
              </w:rPr>
            </w:pPr>
            <w:r w:rsidRPr="0088154E">
              <w:rPr>
                <w:rFonts w:eastAsia="Calibri"/>
                <w:b/>
                <w:bCs/>
                <w:sz w:val="20"/>
                <w:szCs w:val="20"/>
              </w:rPr>
              <w:t>Unit of Measurement</w:t>
            </w:r>
          </w:p>
        </w:tc>
        <w:tc>
          <w:tcPr>
            <w:tcW w:w="1714" w:type="dxa"/>
            <w:shd w:val="clear" w:color="auto" w:fill="D9D9D9" w:themeFill="background1" w:themeFillShade="D9"/>
          </w:tcPr>
          <w:p w14:paraId="5B0DC755" w14:textId="6AC9EEF8" w:rsidR="00B62394" w:rsidRPr="0088154E" w:rsidRDefault="00B62394" w:rsidP="00B62394">
            <w:pPr>
              <w:jc w:val="center"/>
              <w:rPr>
                <w:rFonts w:eastAsia="Calibri"/>
                <w:sz w:val="20"/>
                <w:szCs w:val="20"/>
              </w:rPr>
            </w:pPr>
            <w:r w:rsidRPr="0088154E">
              <w:rPr>
                <w:rFonts w:eastAsia="Calibri"/>
                <w:b/>
                <w:bCs/>
                <w:sz w:val="20"/>
                <w:szCs w:val="20"/>
              </w:rPr>
              <w:t>Baseline</w:t>
            </w:r>
            <w:r w:rsidR="00293692" w:rsidRPr="0088154E">
              <w:rPr>
                <w:rFonts w:eastAsia="Calibri"/>
                <w:b/>
                <w:bCs/>
                <w:sz w:val="20"/>
                <w:szCs w:val="20"/>
              </w:rPr>
              <w:t>*</w:t>
            </w:r>
          </w:p>
        </w:tc>
        <w:tc>
          <w:tcPr>
            <w:tcW w:w="1627" w:type="dxa"/>
            <w:shd w:val="clear" w:color="auto" w:fill="D9D9D9" w:themeFill="background1" w:themeFillShade="D9"/>
          </w:tcPr>
          <w:p w14:paraId="3AA4E7DD" w14:textId="77777777" w:rsidR="00B62394" w:rsidRPr="0088154E" w:rsidRDefault="00B62394" w:rsidP="00B62394">
            <w:pPr>
              <w:jc w:val="center"/>
              <w:rPr>
                <w:rFonts w:eastAsia="Calibri"/>
                <w:sz w:val="20"/>
                <w:szCs w:val="20"/>
              </w:rPr>
            </w:pPr>
            <w:r w:rsidRPr="0088154E">
              <w:rPr>
                <w:rFonts w:eastAsia="Calibri"/>
                <w:b/>
                <w:bCs/>
                <w:sz w:val="20"/>
                <w:szCs w:val="20"/>
              </w:rPr>
              <w:t>Benchmark</w:t>
            </w:r>
          </w:p>
        </w:tc>
        <w:tc>
          <w:tcPr>
            <w:tcW w:w="1354" w:type="dxa"/>
            <w:shd w:val="clear" w:color="auto" w:fill="D9D9D9" w:themeFill="background1" w:themeFillShade="D9"/>
          </w:tcPr>
          <w:p w14:paraId="635FD6E9" w14:textId="77777777" w:rsidR="00B62394" w:rsidRPr="0088154E" w:rsidRDefault="00B62394" w:rsidP="00B62394">
            <w:pPr>
              <w:rPr>
                <w:rFonts w:eastAsia="Calibri"/>
                <w:sz w:val="20"/>
                <w:szCs w:val="20"/>
              </w:rPr>
            </w:pPr>
            <w:r w:rsidRPr="0088154E">
              <w:rPr>
                <w:rFonts w:eastAsia="Calibri"/>
                <w:b/>
                <w:bCs/>
                <w:sz w:val="20"/>
                <w:szCs w:val="20"/>
              </w:rPr>
              <w:t>Outcome</w:t>
            </w:r>
          </w:p>
        </w:tc>
        <w:tc>
          <w:tcPr>
            <w:tcW w:w="1440" w:type="dxa"/>
            <w:shd w:val="clear" w:color="auto" w:fill="D9D9D9" w:themeFill="background1" w:themeFillShade="D9"/>
          </w:tcPr>
          <w:p w14:paraId="6EC48960" w14:textId="77777777" w:rsidR="00B62394" w:rsidRPr="0088154E" w:rsidRDefault="00B62394" w:rsidP="00B62394">
            <w:pPr>
              <w:rPr>
                <w:rFonts w:eastAsia="Calibri"/>
                <w:sz w:val="20"/>
                <w:szCs w:val="20"/>
              </w:rPr>
            </w:pPr>
            <w:r w:rsidRPr="0088154E">
              <w:rPr>
                <w:rFonts w:eastAsia="Calibri"/>
                <w:b/>
                <w:bCs/>
                <w:sz w:val="20"/>
                <w:szCs w:val="20"/>
              </w:rPr>
              <w:t>Benchmark Achieved?</w:t>
            </w:r>
          </w:p>
        </w:tc>
      </w:tr>
      <w:tr w:rsidR="00B62394" w:rsidRPr="0088154E" w14:paraId="38C1D064" w14:textId="77777777" w:rsidTr="00B62394">
        <w:trPr>
          <w:trHeight w:val="440"/>
        </w:trPr>
        <w:tc>
          <w:tcPr>
            <w:tcW w:w="3240" w:type="dxa"/>
            <w:shd w:val="clear" w:color="auto" w:fill="auto"/>
          </w:tcPr>
          <w:p w14:paraId="4A469A53" w14:textId="1BD66BEF" w:rsidR="00B62394" w:rsidRPr="0088154E" w:rsidRDefault="00256314" w:rsidP="00B62394">
            <w:pPr>
              <w:rPr>
                <w:rFonts w:eastAsia="Calibri"/>
                <w:spacing w:val="-1"/>
                <w:sz w:val="20"/>
                <w:szCs w:val="20"/>
              </w:rPr>
            </w:pPr>
            <w:r w:rsidRPr="0088154E">
              <w:rPr>
                <w:sz w:val="20"/>
                <w:szCs w:val="20"/>
              </w:rPr>
              <w:t>Total Household contributions towards housing assistance (increase).</w:t>
            </w:r>
          </w:p>
        </w:tc>
        <w:tc>
          <w:tcPr>
            <w:tcW w:w="1714" w:type="dxa"/>
            <w:shd w:val="clear" w:color="auto" w:fill="auto"/>
          </w:tcPr>
          <w:p w14:paraId="119B3A6C" w14:textId="47620618" w:rsidR="00B62394" w:rsidRPr="0088154E" w:rsidRDefault="00293692" w:rsidP="00B62394">
            <w:pPr>
              <w:jc w:val="center"/>
              <w:rPr>
                <w:rFonts w:eastAsia="Calibri"/>
                <w:sz w:val="20"/>
                <w:szCs w:val="20"/>
              </w:rPr>
            </w:pPr>
            <w:r w:rsidRPr="0088154E">
              <w:rPr>
                <w:rFonts w:eastAsia="Calibri"/>
                <w:sz w:val="20"/>
                <w:szCs w:val="20"/>
              </w:rPr>
              <w:t>$439</w:t>
            </w:r>
          </w:p>
        </w:tc>
        <w:tc>
          <w:tcPr>
            <w:tcW w:w="1627" w:type="dxa"/>
            <w:shd w:val="clear" w:color="auto" w:fill="auto"/>
          </w:tcPr>
          <w:p w14:paraId="0B1CF3AA" w14:textId="6E3F7FD0" w:rsidR="00B62394" w:rsidRPr="0088154E" w:rsidRDefault="00447F2D" w:rsidP="00B62394">
            <w:pPr>
              <w:jc w:val="center"/>
              <w:rPr>
                <w:rFonts w:eastAsia="Calibri"/>
                <w:sz w:val="20"/>
                <w:szCs w:val="20"/>
              </w:rPr>
            </w:pPr>
            <w:r w:rsidRPr="0088154E">
              <w:rPr>
                <w:rFonts w:eastAsia="Calibri"/>
                <w:sz w:val="20"/>
                <w:szCs w:val="20"/>
              </w:rPr>
              <w:t>$</w:t>
            </w:r>
            <w:r w:rsidR="00293692" w:rsidRPr="0088154E">
              <w:rPr>
                <w:rFonts w:eastAsia="Calibri"/>
                <w:sz w:val="20"/>
                <w:szCs w:val="20"/>
              </w:rPr>
              <w:t>446</w:t>
            </w:r>
          </w:p>
        </w:tc>
        <w:tc>
          <w:tcPr>
            <w:tcW w:w="1354" w:type="dxa"/>
            <w:shd w:val="clear" w:color="auto" w:fill="auto"/>
          </w:tcPr>
          <w:p w14:paraId="70BC7D99" w14:textId="719AA7AC" w:rsidR="00B62394" w:rsidRPr="0088154E" w:rsidRDefault="00B62394" w:rsidP="00B62394">
            <w:pPr>
              <w:jc w:val="center"/>
              <w:rPr>
                <w:rFonts w:eastAsia="Calibri"/>
                <w:sz w:val="20"/>
                <w:szCs w:val="20"/>
              </w:rPr>
            </w:pPr>
          </w:p>
        </w:tc>
        <w:tc>
          <w:tcPr>
            <w:tcW w:w="1440" w:type="dxa"/>
            <w:shd w:val="clear" w:color="auto" w:fill="auto"/>
          </w:tcPr>
          <w:p w14:paraId="0A2B434E" w14:textId="598B401A" w:rsidR="00B62394" w:rsidRPr="0088154E" w:rsidRDefault="00B62394" w:rsidP="00B62394">
            <w:pPr>
              <w:jc w:val="center"/>
              <w:rPr>
                <w:rFonts w:eastAsia="Calibri"/>
                <w:sz w:val="20"/>
                <w:szCs w:val="20"/>
              </w:rPr>
            </w:pPr>
          </w:p>
        </w:tc>
      </w:tr>
      <w:tr w:rsidR="000C596C" w:rsidRPr="0088154E" w14:paraId="65BE197C" w14:textId="77777777" w:rsidTr="000C596C">
        <w:trPr>
          <w:trHeight w:val="332"/>
        </w:trPr>
        <w:tc>
          <w:tcPr>
            <w:tcW w:w="9375" w:type="dxa"/>
            <w:gridSpan w:val="5"/>
            <w:shd w:val="clear" w:color="auto" w:fill="auto"/>
          </w:tcPr>
          <w:p w14:paraId="7234917B" w14:textId="625A50EE" w:rsidR="000C596C" w:rsidRPr="0088154E" w:rsidRDefault="00293692" w:rsidP="00293692">
            <w:pPr>
              <w:rPr>
                <w:rFonts w:eastAsia="Calibri"/>
                <w:i/>
                <w:sz w:val="20"/>
                <w:szCs w:val="20"/>
              </w:rPr>
            </w:pPr>
            <w:r w:rsidRPr="0088154E">
              <w:rPr>
                <w:rFonts w:eastAsia="Calibri"/>
                <w:i/>
                <w:sz w:val="20"/>
                <w:szCs w:val="20"/>
              </w:rPr>
              <w:t>*Represents the avg. tenant rent for the 286 initial participating households.</w:t>
            </w:r>
          </w:p>
        </w:tc>
      </w:tr>
      <w:tr w:rsidR="00B62394" w:rsidRPr="0088154E" w14:paraId="6D42EAB2" w14:textId="77777777" w:rsidTr="00B62394">
        <w:trPr>
          <w:trHeight w:hRule="exact" w:val="317"/>
        </w:trPr>
        <w:tc>
          <w:tcPr>
            <w:tcW w:w="9375" w:type="dxa"/>
            <w:gridSpan w:val="5"/>
            <w:shd w:val="clear" w:color="auto" w:fill="C6D9F1" w:themeFill="text2" w:themeFillTint="33"/>
            <w:hideMark/>
          </w:tcPr>
          <w:p w14:paraId="7E6469FC" w14:textId="082436A1" w:rsidR="00B62394" w:rsidRPr="0088154E" w:rsidRDefault="00B62394" w:rsidP="00B62394">
            <w:pPr>
              <w:jc w:val="center"/>
              <w:rPr>
                <w:rFonts w:eastAsia="Calibri"/>
                <w:b/>
                <w:bCs/>
                <w:i/>
                <w:iCs/>
                <w:sz w:val="20"/>
                <w:szCs w:val="20"/>
              </w:rPr>
            </w:pPr>
            <w:r w:rsidRPr="0088154E">
              <w:rPr>
                <w:rFonts w:eastAsia="Calibri"/>
                <w:b/>
                <w:bCs/>
                <w:i/>
                <w:iCs/>
                <w:sz w:val="20"/>
                <w:szCs w:val="20"/>
              </w:rPr>
              <w:t>SS #8: Households Transitioned to Self Sufficiency*</w:t>
            </w:r>
          </w:p>
        </w:tc>
      </w:tr>
      <w:tr w:rsidR="00B62394" w:rsidRPr="0088154E" w14:paraId="6F5A6149" w14:textId="77777777" w:rsidTr="00B62394">
        <w:trPr>
          <w:trHeight w:val="576"/>
        </w:trPr>
        <w:tc>
          <w:tcPr>
            <w:tcW w:w="3240" w:type="dxa"/>
            <w:shd w:val="clear" w:color="auto" w:fill="D9D9D9" w:themeFill="background1" w:themeFillShade="D9"/>
            <w:hideMark/>
          </w:tcPr>
          <w:p w14:paraId="3B329C23" w14:textId="77777777" w:rsidR="00B62394" w:rsidRPr="0088154E" w:rsidRDefault="00B62394" w:rsidP="00B62394">
            <w:pPr>
              <w:jc w:val="center"/>
              <w:rPr>
                <w:rFonts w:eastAsia="Calibri"/>
                <w:b/>
                <w:bCs/>
                <w:sz w:val="20"/>
                <w:szCs w:val="20"/>
              </w:rPr>
            </w:pPr>
            <w:r w:rsidRPr="0088154E">
              <w:rPr>
                <w:rFonts w:eastAsia="Calibri"/>
                <w:b/>
                <w:bCs/>
                <w:sz w:val="20"/>
                <w:szCs w:val="20"/>
              </w:rPr>
              <w:t>Unit of Measurement</w:t>
            </w:r>
          </w:p>
        </w:tc>
        <w:tc>
          <w:tcPr>
            <w:tcW w:w="1714" w:type="dxa"/>
            <w:shd w:val="clear" w:color="auto" w:fill="D9D9D9" w:themeFill="background1" w:themeFillShade="D9"/>
            <w:hideMark/>
          </w:tcPr>
          <w:p w14:paraId="1F9CACBB" w14:textId="77777777" w:rsidR="00B62394" w:rsidRPr="0088154E" w:rsidRDefault="00B62394" w:rsidP="00B62394">
            <w:pPr>
              <w:jc w:val="center"/>
              <w:rPr>
                <w:rFonts w:eastAsia="Calibri"/>
                <w:b/>
                <w:bCs/>
                <w:sz w:val="20"/>
                <w:szCs w:val="20"/>
              </w:rPr>
            </w:pPr>
            <w:r w:rsidRPr="0088154E">
              <w:rPr>
                <w:rFonts w:eastAsia="Calibri"/>
                <w:b/>
                <w:bCs/>
                <w:sz w:val="20"/>
                <w:szCs w:val="20"/>
              </w:rPr>
              <w:t>Baseline</w:t>
            </w:r>
          </w:p>
        </w:tc>
        <w:tc>
          <w:tcPr>
            <w:tcW w:w="1627" w:type="dxa"/>
            <w:shd w:val="clear" w:color="auto" w:fill="D9D9D9" w:themeFill="background1" w:themeFillShade="D9"/>
            <w:hideMark/>
          </w:tcPr>
          <w:p w14:paraId="589B3662" w14:textId="77777777" w:rsidR="00B62394" w:rsidRPr="0088154E" w:rsidRDefault="00B62394" w:rsidP="00B62394">
            <w:pPr>
              <w:jc w:val="center"/>
              <w:rPr>
                <w:rFonts w:eastAsia="Calibri"/>
                <w:b/>
                <w:bCs/>
                <w:sz w:val="20"/>
                <w:szCs w:val="20"/>
              </w:rPr>
            </w:pPr>
            <w:r w:rsidRPr="0088154E">
              <w:rPr>
                <w:rFonts w:eastAsia="Calibri"/>
                <w:b/>
                <w:bCs/>
                <w:sz w:val="20"/>
                <w:szCs w:val="20"/>
              </w:rPr>
              <w:t>Benchmark</w:t>
            </w:r>
          </w:p>
        </w:tc>
        <w:tc>
          <w:tcPr>
            <w:tcW w:w="1354" w:type="dxa"/>
            <w:shd w:val="clear" w:color="auto" w:fill="D9D9D9" w:themeFill="background1" w:themeFillShade="D9"/>
            <w:hideMark/>
          </w:tcPr>
          <w:p w14:paraId="55822D22" w14:textId="77777777" w:rsidR="00B62394" w:rsidRPr="0088154E" w:rsidRDefault="00B62394" w:rsidP="00B62394">
            <w:pPr>
              <w:jc w:val="center"/>
              <w:rPr>
                <w:rFonts w:eastAsia="Calibri"/>
                <w:b/>
                <w:bCs/>
                <w:sz w:val="20"/>
                <w:szCs w:val="20"/>
              </w:rPr>
            </w:pPr>
            <w:r w:rsidRPr="0088154E">
              <w:rPr>
                <w:rFonts w:eastAsia="Calibri"/>
                <w:b/>
                <w:bCs/>
                <w:sz w:val="20"/>
                <w:szCs w:val="20"/>
              </w:rPr>
              <w:t>Outcome</w:t>
            </w:r>
          </w:p>
        </w:tc>
        <w:tc>
          <w:tcPr>
            <w:tcW w:w="1440" w:type="dxa"/>
            <w:shd w:val="clear" w:color="auto" w:fill="D9D9D9" w:themeFill="background1" w:themeFillShade="D9"/>
            <w:hideMark/>
          </w:tcPr>
          <w:p w14:paraId="7E0A61E4" w14:textId="77777777" w:rsidR="00B62394" w:rsidRPr="0088154E" w:rsidRDefault="00B62394" w:rsidP="00B62394">
            <w:pPr>
              <w:jc w:val="center"/>
              <w:rPr>
                <w:rFonts w:eastAsia="Calibri"/>
                <w:b/>
                <w:bCs/>
                <w:sz w:val="20"/>
                <w:szCs w:val="20"/>
              </w:rPr>
            </w:pPr>
            <w:r w:rsidRPr="0088154E">
              <w:rPr>
                <w:rFonts w:eastAsia="Calibri"/>
                <w:b/>
                <w:bCs/>
                <w:sz w:val="20"/>
                <w:szCs w:val="20"/>
              </w:rPr>
              <w:t>Benchmark Achieved?</w:t>
            </w:r>
          </w:p>
        </w:tc>
      </w:tr>
      <w:tr w:rsidR="00B62394" w:rsidRPr="0088154E" w14:paraId="795D8D9A" w14:textId="77777777" w:rsidTr="00B62394">
        <w:trPr>
          <w:trHeight w:val="350"/>
        </w:trPr>
        <w:tc>
          <w:tcPr>
            <w:tcW w:w="3240" w:type="dxa"/>
            <w:shd w:val="clear" w:color="auto" w:fill="auto"/>
            <w:hideMark/>
          </w:tcPr>
          <w:p w14:paraId="7953184A" w14:textId="77777777" w:rsidR="00B62394" w:rsidRPr="0088154E" w:rsidRDefault="00B62394" w:rsidP="00B62394">
            <w:pPr>
              <w:rPr>
                <w:rFonts w:eastAsia="Calibri"/>
                <w:sz w:val="20"/>
                <w:szCs w:val="20"/>
              </w:rPr>
            </w:pPr>
            <w:r w:rsidRPr="0088154E">
              <w:rPr>
                <w:rFonts w:eastAsia="Calibri"/>
                <w:sz w:val="20"/>
                <w:szCs w:val="20"/>
              </w:rPr>
              <w:t xml:space="preserve">Number of households transitioned to self-sufficiency (increase). </w:t>
            </w:r>
          </w:p>
        </w:tc>
        <w:tc>
          <w:tcPr>
            <w:tcW w:w="1714" w:type="dxa"/>
            <w:shd w:val="clear" w:color="auto" w:fill="auto"/>
          </w:tcPr>
          <w:p w14:paraId="03D7C8F2" w14:textId="452DEB96" w:rsidR="00B62394" w:rsidRPr="0088154E" w:rsidRDefault="00542EDD" w:rsidP="00B62394">
            <w:pPr>
              <w:jc w:val="center"/>
              <w:rPr>
                <w:rFonts w:eastAsia="Calibri"/>
                <w:sz w:val="20"/>
                <w:szCs w:val="20"/>
              </w:rPr>
            </w:pPr>
            <w:r w:rsidRPr="0088154E">
              <w:rPr>
                <w:rFonts w:eastAsia="Calibri"/>
                <w:sz w:val="20"/>
                <w:szCs w:val="20"/>
              </w:rPr>
              <w:t>0 participants</w:t>
            </w:r>
          </w:p>
        </w:tc>
        <w:tc>
          <w:tcPr>
            <w:tcW w:w="1627" w:type="dxa"/>
            <w:shd w:val="clear" w:color="auto" w:fill="auto"/>
          </w:tcPr>
          <w:p w14:paraId="08449B59" w14:textId="1009694E" w:rsidR="00B62394" w:rsidRPr="0088154E" w:rsidRDefault="005055CB" w:rsidP="00B62394">
            <w:pPr>
              <w:jc w:val="center"/>
              <w:rPr>
                <w:rFonts w:eastAsia="Calibri"/>
                <w:sz w:val="20"/>
                <w:szCs w:val="20"/>
              </w:rPr>
            </w:pPr>
            <w:r w:rsidRPr="0088154E">
              <w:rPr>
                <w:rFonts w:eastAsia="Calibri"/>
                <w:sz w:val="20"/>
                <w:szCs w:val="20"/>
              </w:rPr>
              <w:t>97</w:t>
            </w:r>
            <w:r w:rsidR="00B62394" w:rsidRPr="0088154E">
              <w:rPr>
                <w:rFonts w:eastAsia="Calibri"/>
                <w:sz w:val="20"/>
                <w:szCs w:val="20"/>
              </w:rPr>
              <w:t xml:space="preserve"> </w:t>
            </w:r>
            <w:r w:rsidRPr="0088154E">
              <w:rPr>
                <w:rFonts w:eastAsia="Calibri"/>
                <w:sz w:val="20"/>
                <w:szCs w:val="20"/>
              </w:rPr>
              <w:t>participants</w:t>
            </w:r>
          </w:p>
        </w:tc>
        <w:tc>
          <w:tcPr>
            <w:tcW w:w="1354" w:type="dxa"/>
            <w:shd w:val="clear" w:color="auto" w:fill="auto"/>
          </w:tcPr>
          <w:p w14:paraId="4B0857FC" w14:textId="01039525" w:rsidR="00B62394" w:rsidRPr="0088154E" w:rsidRDefault="00B62394" w:rsidP="00B62394">
            <w:pPr>
              <w:jc w:val="center"/>
              <w:rPr>
                <w:rFonts w:eastAsia="Calibri"/>
                <w:sz w:val="20"/>
                <w:szCs w:val="20"/>
              </w:rPr>
            </w:pPr>
          </w:p>
        </w:tc>
        <w:tc>
          <w:tcPr>
            <w:tcW w:w="1440" w:type="dxa"/>
            <w:shd w:val="clear" w:color="auto" w:fill="auto"/>
          </w:tcPr>
          <w:p w14:paraId="1A24304C" w14:textId="5D46B799" w:rsidR="00B62394" w:rsidRPr="0088154E" w:rsidRDefault="00B62394" w:rsidP="00B62394">
            <w:pPr>
              <w:jc w:val="center"/>
              <w:rPr>
                <w:rFonts w:eastAsia="Calibri"/>
                <w:sz w:val="20"/>
                <w:szCs w:val="20"/>
              </w:rPr>
            </w:pPr>
          </w:p>
        </w:tc>
      </w:tr>
      <w:tr w:rsidR="00B62394" w:rsidRPr="0088154E" w14:paraId="5E56D7B5" w14:textId="77777777" w:rsidTr="00B62394">
        <w:trPr>
          <w:trHeight w:val="125"/>
        </w:trPr>
        <w:tc>
          <w:tcPr>
            <w:tcW w:w="9375" w:type="dxa"/>
            <w:gridSpan w:val="5"/>
            <w:shd w:val="clear" w:color="auto" w:fill="auto"/>
          </w:tcPr>
          <w:p w14:paraId="150E3D6A" w14:textId="73C3AD90" w:rsidR="00B62394" w:rsidRPr="0088154E" w:rsidRDefault="00B62394" w:rsidP="00220326">
            <w:pPr>
              <w:pStyle w:val="CommentText"/>
              <w:rPr>
                <w:i/>
                <w:sz w:val="22"/>
                <w:szCs w:val="22"/>
              </w:rPr>
            </w:pPr>
            <w:r w:rsidRPr="0088154E">
              <w:rPr>
                <w:bCs/>
                <w:i/>
                <w:iCs/>
              </w:rPr>
              <w:t>*Self-suffic</w:t>
            </w:r>
            <w:r w:rsidR="00542EDD" w:rsidRPr="0088154E">
              <w:rPr>
                <w:bCs/>
                <w:i/>
                <w:iCs/>
              </w:rPr>
              <w:t>iency is defined as</w:t>
            </w:r>
            <w:r w:rsidR="00220326" w:rsidRPr="0088154E">
              <w:rPr>
                <w:bCs/>
                <w:i/>
                <w:iCs/>
              </w:rPr>
              <w:t xml:space="preserve"> </w:t>
            </w:r>
            <w:r w:rsidR="00220326" w:rsidRPr="0088154E">
              <w:rPr>
                <w:i/>
              </w:rPr>
              <w:t>24 hours of employment per week for a period of 24 consecutive months at minimum wage</w:t>
            </w:r>
            <w:r w:rsidR="00485549" w:rsidRPr="0088154E">
              <w:rPr>
                <w:i/>
              </w:rPr>
              <w:t xml:space="preserve"> for an individual participant.</w:t>
            </w:r>
          </w:p>
        </w:tc>
      </w:tr>
    </w:tbl>
    <w:p w14:paraId="449E308B" w14:textId="77777777" w:rsidR="00110B3D" w:rsidRPr="0088154E" w:rsidRDefault="00110B3D" w:rsidP="006D6981">
      <w:pPr>
        <w:jc w:val="both"/>
        <w:rPr>
          <w:b/>
          <w:color w:val="000000"/>
          <w:sz w:val="22"/>
          <w:szCs w:val="22"/>
        </w:rPr>
      </w:pPr>
    </w:p>
    <w:p w14:paraId="36A718CB" w14:textId="77777777" w:rsidR="0098594D" w:rsidRPr="0088154E" w:rsidRDefault="0098594D" w:rsidP="0098594D">
      <w:pPr>
        <w:jc w:val="both"/>
        <w:rPr>
          <w:b/>
          <w:color w:val="000000"/>
          <w:sz w:val="22"/>
          <w:szCs w:val="22"/>
        </w:rPr>
      </w:pPr>
      <w:r w:rsidRPr="0088154E">
        <w:rPr>
          <w:b/>
          <w:color w:val="000000"/>
          <w:sz w:val="22"/>
          <w:szCs w:val="22"/>
        </w:rPr>
        <w:t>Planned Significant Changes</w:t>
      </w:r>
    </w:p>
    <w:p w14:paraId="436F06BA" w14:textId="77777777" w:rsidR="0098594D" w:rsidRPr="0088154E" w:rsidRDefault="0098594D" w:rsidP="0098594D">
      <w:pPr>
        <w:jc w:val="both"/>
        <w:rPr>
          <w:color w:val="000000" w:themeColor="text1"/>
          <w:sz w:val="22"/>
          <w:szCs w:val="22"/>
        </w:rPr>
      </w:pPr>
      <w:r w:rsidRPr="0088154E">
        <w:rPr>
          <w:color w:val="000000" w:themeColor="text1"/>
          <w:sz w:val="22"/>
          <w:szCs w:val="22"/>
        </w:rPr>
        <w:t>No significant changes are planned.</w:t>
      </w:r>
    </w:p>
    <w:p w14:paraId="6D27396F" w14:textId="77777777" w:rsidR="006D6981" w:rsidRPr="0088154E" w:rsidRDefault="006D6981" w:rsidP="002F3C7A">
      <w:pPr>
        <w:rPr>
          <w:color w:val="000000"/>
        </w:rPr>
        <w:sectPr w:rsidR="006D6981" w:rsidRPr="0088154E" w:rsidSect="00F61294">
          <w:pgSz w:w="12240" w:h="15840"/>
          <w:pgMar w:top="1440" w:right="1440" w:bottom="1440" w:left="1440" w:header="720" w:footer="720" w:gutter="0"/>
          <w:cols w:space="720"/>
          <w:docGrid w:linePitch="360"/>
        </w:sectPr>
      </w:pPr>
    </w:p>
    <w:p w14:paraId="14D33E34" w14:textId="77777777" w:rsidR="006D6981" w:rsidRPr="0088154E" w:rsidRDefault="006D6981" w:rsidP="001F2A56">
      <w:pPr>
        <w:pStyle w:val="Heading3"/>
      </w:pPr>
      <w:bookmarkStart w:id="65" w:name="_Toc33016948"/>
      <w:r w:rsidRPr="0088154E">
        <w:t>Activity 2018-6: Health Starts at Home</w:t>
      </w:r>
      <w:bookmarkEnd w:id="65"/>
    </w:p>
    <w:p w14:paraId="07061381" w14:textId="77777777" w:rsidR="006D6981" w:rsidRPr="0088154E" w:rsidRDefault="006D6981" w:rsidP="006D6981">
      <w:pPr>
        <w:rPr>
          <w:b/>
          <w:color w:val="000000"/>
          <w:sz w:val="22"/>
          <w:szCs w:val="22"/>
          <w:u w:val="single"/>
        </w:rPr>
      </w:pPr>
    </w:p>
    <w:p w14:paraId="05C44A82" w14:textId="77777777" w:rsidR="00C73902" w:rsidRPr="0088154E" w:rsidRDefault="00C73902" w:rsidP="00C73902">
      <w:pPr>
        <w:jc w:val="both"/>
        <w:rPr>
          <w:color w:val="000000"/>
          <w:sz w:val="22"/>
          <w:szCs w:val="22"/>
        </w:rPr>
      </w:pPr>
      <w:r w:rsidRPr="0088154E">
        <w:rPr>
          <w:b/>
          <w:color w:val="000000"/>
          <w:sz w:val="22"/>
          <w:szCs w:val="22"/>
        </w:rPr>
        <w:t>Plan Year Approved, Implemented, Amended</w:t>
      </w:r>
      <w:r w:rsidRPr="0088154E">
        <w:rPr>
          <w:color w:val="000000"/>
          <w:sz w:val="22"/>
          <w:szCs w:val="22"/>
        </w:rPr>
        <w:t xml:space="preserve"> </w:t>
      </w:r>
    </w:p>
    <w:p w14:paraId="566B05B0" w14:textId="77777777" w:rsidR="00C73902" w:rsidRPr="0088154E" w:rsidRDefault="00C73902" w:rsidP="00C73902">
      <w:pPr>
        <w:rPr>
          <w:sz w:val="22"/>
          <w:szCs w:val="22"/>
        </w:rPr>
      </w:pPr>
      <w:r w:rsidRPr="0088154E">
        <w:rPr>
          <w:sz w:val="22"/>
          <w:szCs w:val="22"/>
        </w:rPr>
        <w:t>Approved and implemented FY 2018.</w:t>
      </w:r>
    </w:p>
    <w:p w14:paraId="62C60E12" w14:textId="77777777" w:rsidR="00C73902" w:rsidRPr="0088154E" w:rsidRDefault="00C73902" w:rsidP="00C73902">
      <w:pPr>
        <w:jc w:val="both"/>
        <w:rPr>
          <w:color w:val="000000"/>
          <w:sz w:val="22"/>
          <w:szCs w:val="22"/>
        </w:rPr>
      </w:pPr>
    </w:p>
    <w:p w14:paraId="0F2701B3" w14:textId="77777777" w:rsidR="006D6981" w:rsidRPr="0088154E" w:rsidRDefault="006D6981" w:rsidP="006D6981">
      <w:pPr>
        <w:tabs>
          <w:tab w:val="left" w:pos="450"/>
        </w:tabs>
        <w:jc w:val="both"/>
        <w:rPr>
          <w:b/>
          <w:color w:val="000000"/>
          <w:sz w:val="22"/>
          <w:szCs w:val="22"/>
        </w:rPr>
      </w:pPr>
      <w:r w:rsidRPr="0088154E">
        <w:rPr>
          <w:b/>
          <w:color w:val="000000"/>
          <w:sz w:val="22"/>
          <w:szCs w:val="22"/>
        </w:rPr>
        <w:t>Description</w:t>
      </w:r>
      <w:r w:rsidR="004E5483" w:rsidRPr="0088154E">
        <w:rPr>
          <w:b/>
          <w:color w:val="000000"/>
          <w:sz w:val="22"/>
          <w:szCs w:val="22"/>
        </w:rPr>
        <w:t>/Update</w:t>
      </w:r>
      <w:r w:rsidRPr="0088154E">
        <w:rPr>
          <w:b/>
          <w:color w:val="000000"/>
          <w:sz w:val="22"/>
          <w:szCs w:val="22"/>
        </w:rPr>
        <w:t xml:space="preserve"> </w:t>
      </w:r>
    </w:p>
    <w:p w14:paraId="6678EE97" w14:textId="15B0013D" w:rsidR="00907BAC" w:rsidRPr="0088154E" w:rsidRDefault="001654DF" w:rsidP="0007503C">
      <w:pPr>
        <w:tabs>
          <w:tab w:val="left" w:pos="0"/>
          <w:tab w:val="left" w:pos="90"/>
        </w:tabs>
        <w:jc w:val="both"/>
        <w:rPr>
          <w:color w:val="000000"/>
          <w:sz w:val="22"/>
          <w:szCs w:val="22"/>
        </w:rPr>
      </w:pPr>
      <w:r w:rsidRPr="0088154E">
        <w:rPr>
          <w:color w:val="000000"/>
          <w:sz w:val="22"/>
          <w:szCs w:val="22"/>
        </w:rPr>
        <w:t>In FY 2018</w:t>
      </w:r>
      <w:r w:rsidR="004076A7" w:rsidRPr="0088154E">
        <w:rPr>
          <w:color w:val="000000"/>
          <w:sz w:val="22"/>
          <w:szCs w:val="22"/>
        </w:rPr>
        <w:t>,</w:t>
      </w:r>
      <w:r w:rsidRPr="0088154E">
        <w:rPr>
          <w:color w:val="000000"/>
          <w:sz w:val="22"/>
          <w:szCs w:val="22"/>
        </w:rPr>
        <w:t xml:space="preserve"> HUD approved</w:t>
      </w:r>
      <w:r w:rsidR="00CD182F" w:rsidRPr="0088154E">
        <w:rPr>
          <w:color w:val="000000"/>
          <w:sz w:val="22"/>
          <w:szCs w:val="22"/>
        </w:rPr>
        <w:t xml:space="preserve"> and DHCD implemented the</w:t>
      </w:r>
      <w:r w:rsidR="006D6981" w:rsidRPr="0088154E">
        <w:rPr>
          <w:color w:val="000000"/>
          <w:sz w:val="22"/>
          <w:szCs w:val="22"/>
        </w:rPr>
        <w:t xml:space="preserve"> Health Starts at Home</w:t>
      </w:r>
      <w:r w:rsidR="00C8158A" w:rsidRPr="0088154E">
        <w:rPr>
          <w:color w:val="000000"/>
          <w:sz w:val="22"/>
          <w:szCs w:val="22"/>
        </w:rPr>
        <w:t xml:space="preserve"> (HSH)</w:t>
      </w:r>
      <w:r w:rsidR="006D6981" w:rsidRPr="0088154E">
        <w:rPr>
          <w:color w:val="000000"/>
          <w:sz w:val="22"/>
          <w:szCs w:val="22"/>
        </w:rPr>
        <w:t xml:space="preserve"> activity.</w:t>
      </w:r>
      <w:r w:rsidR="00907BAC" w:rsidRPr="0088154E">
        <w:rPr>
          <w:color w:val="000000"/>
          <w:sz w:val="22"/>
          <w:szCs w:val="22"/>
        </w:rPr>
        <w:t xml:space="preserve"> Under this activity, DHCD </w:t>
      </w:r>
      <w:r w:rsidR="00CD182F" w:rsidRPr="0088154E">
        <w:rPr>
          <w:color w:val="000000"/>
          <w:sz w:val="22"/>
          <w:szCs w:val="22"/>
        </w:rPr>
        <w:t>is collaborating</w:t>
      </w:r>
      <w:r w:rsidR="00907BAC" w:rsidRPr="0088154E">
        <w:rPr>
          <w:color w:val="000000"/>
          <w:sz w:val="22"/>
          <w:szCs w:val="22"/>
        </w:rPr>
        <w:t xml:space="preserve"> with The Boston Foundation (TBF) to provide up to fifty (50) Housing Choice Vouchers to eligible participants in TBF’s </w:t>
      </w:r>
      <w:r w:rsidR="004076A7" w:rsidRPr="0088154E">
        <w:rPr>
          <w:color w:val="000000"/>
          <w:sz w:val="22"/>
          <w:szCs w:val="22"/>
        </w:rPr>
        <w:t>HSH</w:t>
      </w:r>
      <w:r w:rsidR="00907BAC" w:rsidRPr="0088154E">
        <w:rPr>
          <w:color w:val="000000"/>
          <w:sz w:val="22"/>
          <w:szCs w:val="22"/>
        </w:rPr>
        <w:t xml:space="preserve"> initiative. The vouchers allocated under this activity </w:t>
      </w:r>
      <w:r w:rsidR="00CD182F" w:rsidRPr="0088154E">
        <w:rPr>
          <w:color w:val="000000"/>
          <w:sz w:val="22"/>
          <w:szCs w:val="22"/>
        </w:rPr>
        <w:t>are</w:t>
      </w:r>
      <w:r w:rsidR="00907BAC" w:rsidRPr="0088154E">
        <w:rPr>
          <w:color w:val="000000"/>
          <w:sz w:val="22"/>
          <w:szCs w:val="22"/>
        </w:rPr>
        <w:t xml:space="preserve"> standard MTW vouchers and all MTW policies and applicable regulatory requirements apply. TBF is a community foundation that provides grants to nonprofit organizations and designs special funding initiatives to address critical challenges in the community.</w:t>
      </w:r>
    </w:p>
    <w:p w14:paraId="48660A65" w14:textId="77777777" w:rsidR="00907BAC" w:rsidRPr="0088154E" w:rsidRDefault="00907BAC" w:rsidP="0007503C">
      <w:pPr>
        <w:tabs>
          <w:tab w:val="left" w:pos="0"/>
          <w:tab w:val="left" w:pos="90"/>
        </w:tabs>
        <w:jc w:val="both"/>
        <w:rPr>
          <w:color w:val="000000"/>
          <w:sz w:val="22"/>
          <w:szCs w:val="22"/>
        </w:rPr>
      </w:pPr>
    </w:p>
    <w:p w14:paraId="0DA9A1FB" w14:textId="7118846B" w:rsidR="00907BAC" w:rsidRPr="0088154E" w:rsidRDefault="00907BAC" w:rsidP="0007503C">
      <w:pPr>
        <w:jc w:val="both"/>
        <w:rPr>
          <w:color w:val="000000"/>
          <w:sz w:val="22"/>
          <w:szCs w:val="22"/>
        </w:rPr>
      </w:pPr>
      <w:r w:rsidRPr="0088154E">
        <w:rPr>
          <w:color w:val="000000"/>
          <w:sz w:val="22"/>
          <w:szCs w:val="22"/>
        </w:rPr>
        <w:t xml:space="preserve">Applicants for HSH vouchers </w:t>
      </w:r>
      <w:r w:rsidR="00BA4470" w:rsidRPr="0088154E">
        <w:rPr>
          <w:color w:val="000000"/>
          <w:sz w:val="22"/>
          <w:szCs w:val="22"/>
        </w:rPr>
        <w:t>are</w:t>
      </w:r>
      <w:r w:rsidRPr="0088154E">
        <w:rPr>
          <w:color w:val="000000"/>
          <w:sz w:val="22"/>
          <w:szCs w:val="22"/>
        </w:rPr>
        <w:t xml:space="preserve"> referred to the applicable RAA from Building Bridges to Better Health (BB2BH), Chelsea Homes for Health</w:t>
      </w:r>
      <w:r w:rsidR="004643EE" w:rsidRPr="0088154E">
        <w:rPr>
          <w:color w:val="000000"/>
          <w:sz w:val="22"/>
          <w:szCs w:val="22"/>
        </w:rPr>
        <w:t>,</w:t>
      </w:r>
      <w:r w:rsidRPr="0088154E">
        <w:rPr>
          <w:color w:val="000000"/>
          <w:sz w:val="22"/>
          <w:szCs w:val="22"/>
        </w:rPr>
        <w:t xml:space="preserve"> and Mortar Between the Bricks and will be selected according to the date and time of referral. Applicants </w:t>
      </w:r>
      <w:r w:rsidR="00BA4470" w:rsidRPr="0088154E">
        <w:rPr>
          <w:color w:val="000000"/>
          <w:sz w:val="22"/>
          <w:szCs w:val="22"/>
        </w:rPr>
        <w:t xml:space="preserve">are </w:t>
      </w:r>
      <w:r w:rsidRPr="0088154E">
        <w:rPr>
          <w:color w:val="000000"/>
          <w:sz w:val="22"/>
          <w:szCs w:val="22"/>
        </w:rPr>
        <w:t xml:space="preserve">screened according to DHCD eligibility and screening requirements. </w:t>
      </w:r>
      <w:r w:rsidRPr="0088154E">
        <w:rPr>
          <w:sz w:val="22"/>
          <w:szCs w:val="22"/>
        </w:rPr>
        <w:t xml:space="preserve">Income, rent and subsidy </w:t>
      </w:r>
      <w:r w:rsidR="00BA4470" w:rsidRPr="0088154E">
        <w:rPr>
          <w:sz w:val="22"/>
          <w:szCs w:val="22"/>
        </w:rPr>
        <w:t>are</w:t>
      </w:r>
      <w:r w:rsidRPr="0088154E">
        <w:rPr>
          <w:sz w:val="22"/>
          <w:szCs w:val="22"/>
        </w:rPr>
        <w:t xml:space="preserve"> calculated per DHCD’s MTW income and rent policies. </w:t>
      </w:r>
      <w:r w:rsidR="00BA4470" w:rsidRPr="0088154E">
        <w:rPr>
          <w:color w:val="000000"/>
          <w:sz w:val="22"/>
          <w:szCs w:val="22"/>
        </w:rPr>
        <w:t>Vouchers are</w:t>
      </w:r>
      <w:r w:rsidRPr="0088154E">
        <w:rPr>
          <w:color w:val="000000"/>
          <w:sz w:val="22"/>
          <w:szCs w:val="22"/>
        </w:rPr>
        <w:t xml:space="preserve"> administered by the appropriate RAA. </w:t>
      </w:r>
    </w:p>
    <w:p w14:paraId="3FB7D321" w14:textId="77777777" w:rsidR="00907BAC" w:rsidRPr="0088154E" w:rsidRDefault="00907BAC" w:rsidP="0007503C">
      <w:pPr>
        <w:jc w:val="both"/>
        <w:rPr>
          <w:color w:val="000000"/>
          <w:sz w:val="22"/>
          <w:szCs w:val="22"/>
        </w:rPr>
      </w:pPr>
    </w:p>
    <w:p w14:paraId="0A2B74A1" w14:textId="5E5716EB" w:rsidR="00907BAC" w:rsidRPr="0088154E" w:rsidRDefault="00907BAC" w:rsidP="0007503C">
      <w:pPr>
        <w:jc w:val="both"/>
        <w:rPr>
          <w:color w:val="000000"/>
          <w:sz w:val="22"/>
          <w:szCs w:val="22"/>
        </w:rPr>
      </w:pPr>
      <w:r w:rsidRPr="0088154E">
        <w:rPr>
          <w:color w:val="000000"/>
          <w:sz w:val="22"/>
          <w:szCs w:val="22"/>
        </w:rPr>
        <w:t xml:space="preserve">HSH participants </w:t>
      </w:r>
      <w:r w:rsidR="004076A7" w:rsidRPr="0088154E">
        <w:rPr>
          <w:color w:val="000000"/>
          <w:sz w:val="22"/>
          <w:szCs w:val="22"/>
        </w:rPr>
        <w:t>are</w:t>
      </w:r>
      <w:r w:rsidR="00BA4470" w:rsidRPr="0088154E">
        <w:rPr>
          <w:color w:val="000000"/>
          <w:sz w:val="22"/>
          <w:szCs w:val="22"/>
        </w:rPr>
        <w:t xml:space="preserve"> </w:t>
      </w:r>
      <w:r w:rsidRPr="0088154E">
        <w:rPr>
          <w:color w:val="000000"/>
          <w:sz w:val="22"/>
          <w:szCs w:val="22"/>
        </w:rPr>
        <w:t>subject to all DHCD MTW pol</w:t>
      </w:r>
      <w:r w:rsidR="004643EE" w:rsidRPr="0088154E">
        <w:rPr>
          <w:color w:val="000000"/>
          <w:sz w:val="22"/>
          <w:szCs w:val="22"/>
        </w:rPr>
        <w:t>icies unless superseded by HSH P</w:t>
      </w:r>
      <w:r w:rsidRPr="0088154E">
        <w:rPr>
          <w:color w:val="000000"/>
          <w:sz w:val="22"/>
          <w:szCs w:val="22"/>
        </w:rPr>
        <w:t>rogram policies. HSH vouchers are not time-limited; however, DHCD will not reissue HSH vouchers upon turnover.</w:t>
      </w:r>
    </w:p>
    <w:p w14:paraId="4025FD95" w14:textId="77777777" w:rsidR="00907BAC" w:rsidRPr="0088154E" w:rsidRDefault="00907BAC" w:rsidP="006D6981">
      <w:pPr>
        <w:tabs>
          <w:tab w:val="left" w:pos="0"/>
          <w:tab w:val="left" w:pos="90"/>
        </w:tabs>
        <w:jc w:val="both"/>
        <w:rPr>
          <w:color w:val="000000"/>
          <w:sz w:val="22"/>
          <w:szCs w:val="22"/>
        </w:rPr>
      </w:pPr>
    </w:p>
    <w:p w14:paraId="0C7E26B5" w14:textId="2E3966C7" w:rsidR="006D6981" w:rsidRPr="0088154E" w:rsidRDefault="00BA4470" w:rsidP="006D6981">
      <w:pPr>
        <w:tabs>
          <w:tab w:val="left" w:pos="0"/>
          <w:tab w:val="left" w:pos="90"/>
        </w:tabs>
        <w:jc w:val="both"/>
        <w:rPr>
          <w:color w:val="000000"/>
          <w:sz w:val="22"/>
          <w:szCs w:val="22"/>
        </w:rPr>
      </w:pPr>
      <w:r w:rsidRPr="0088154E">
        <w:rPr>
          <w:color w:val="000000"/>
          <w:sz w:val="22"/>
          <w:szCs w:val="22"/>
        </w:rPr>
        <w:t xml:space="preserve">To date, </w:t>
      </w:r>
      <w:r w:rsidR="00651C69" w:rsidRPr="0088154E">
        <w:rPr>
          <w:color w:val="000000"/>
          <w:sz w:val="22"/>
          <w:szCs w:val="22"/>
        </w:rPr>
        <w:t>twenty-</w:t>
      </w:r>
      <w:r w:rsidR="00A62729" w:rsidRPr="0088154E">
        <w:rPr>
          <w:color w:val="000000"/>
          <w:sz w:val="22"/>
          <w:szCs w:val="22"/>
        </w:rPr>
        <w:t>six households are leased</w:t>
      </w:r>
      <w:r w:rsidR="004643EE" w:rsidRPr="0088154E">
        <w:rPr>
          <w:color w:val="000000"/>
          <w:sz w:val="22"/>
          <w:szCs w:val="22"/>
        </w:rPr>
        <w:t>,</w:t>
      </w:r>
      <w:r w:rsidR="00A62729" w:rsidRPr="0088154E">
        <w:rPr>
          <w:color w:val="000000"/>
          <w:sz w:val="22"/>
          <w:szCs w:val="22"/>
        </w:rPr>
        <w:t xml:space="preserve"> </w:t>
      </w:r>
      <w:r w:rsidR="005464C2" w:rsidRPr="0088154E">
        <w:rPr>
          <w:color w:val="000000"/>
          <w:sz w:val="22"/>
          <w:szCs w:val="22"/>
        </w:rPr>
        <w:t xml:space="preserve">which reflects the total participation for this activity. DHCD will not issue additional Health Starts at Home Vouchers and will close out this activity in the FY 2020 report. </w:t>
      </w:r>
    </w:p>
    <w:p w14:paraId="5E9F9E9B" w14:textId="58E8CC68" w:rsidR="006D6981" w:rsidRPr="0088154E" w:rsidRDefault="006D6981" w:rsidP="006D6981">
      <w:pPr>
        <w:tabs>
          <w:tab w:val="left" w:pos="0"/>
          <w:tab w:val="left" w:pos="90"/>
        </w:tabs>
        <w:jc w:val="both"/>
        <w:rPr>
          <w:color w:val="000000"/>
          <w:sz w:val="22"/>
          <w:szCs w:val="22"/>
        </w:rPr>
      </w:pPr>
    </w:p>
    <w:p w14:paraId="57C42983" w14:textId="77777777" w:rsidR="00E40203" w:rsidRPr="0088154E" w:rsidRDefault="00E40203" w:rsidP="00E40203">
      <w:pPr>
        <w:jc w:val="both"/>
        <w:rPr>
          <w:b/>
          <w:color w:val="000000"/>
          <w:sz w:val="22"/>
          <w:szCs w:val="22"/>
        </w:rPr>
      </w:pPr>
      <w:r w:rsidRPr="0088154E">
        <w:rPr>
          <w:b/>
          <w:color w:val="000000"/>
          <w:sz w:val="22"/>
          <w:szCs w:val="22"/>
        </w:rPr>
        <w:t>Planned Non-Significant Changes</w:t>
      </w:r>
    </w:p>
    <w:p w14:paraId="1B796F6B" w14:textId="77777777" w:rsidR="00E40203" w:rsidRPr="0088154E" w:rsidRDefault="00E40203" w:rsidP="00E40203">
      <w:pPr>
        <w:jc w:val="both"/>
        <w:rPr>
          <w:b/>
          <w:strike/>
          <w:color w:val="FF0000"/>
          <w:sz w:val="22"/>
          <w:szCs w:val="22"/>
        </w:rPr>
      </w:pPr>
      <w:r w:rsidRPr="0088154E">
        <w:rPr>
          <w:color w:val="000000" w:themeColor="text1"/>
          <w:sz w:val="22"/>
          <w:szCs w:val="22"/>
        </w:rPr>
        <w:t xml:space="preserve">No non-significant changes are planned. </w:t>
      </w:r>
    </w:p>
    <w:p w14:paraId="1CB413C5" w14:textId="77777777" w:rsidR="00E40203" w:rsidRPr="0088154E" w:rsidRDefault="00E40203" w:rsidP="00E40203">
      <w:pPr>
        <w:pStyle w:val="ListParagraph"/>
        <w:numPr>
          <w:ilvl w:val="0"/>
          <w:numId w:val="0"/>
        </w:numPr>
        <w:ind w:left="360"/>
        <w:jc w:val="both"/>
        <w:rPr>
          <w:color w:val="000000" w:themeColor="text1"/>
        </w:rPr>
      </w:pPr>
    </w:p>
    <w:p w14:paraId="43673360" w14:textId="77777777" w:rsidR="00E40203" w:rsidRPr="0088154E" w:rsidRDefault="00E40203" w:rsidP="00E40203">
      <w:pPr>
        <w:jc w:val="both"/>
        <w:rPr>
          <w:b/>
          <w:sz w:val="22"/>
          <w:szCs w:val="22"/>
        </w:rPr>
      </w:pPr>
      <w:r w:rsidRPr="0088154E">
        <w:rPr>
          <w:b/>
          <w:sz w:val="22"/>
          <w:szCs w:val="22"/>
        </w:rPr>
        <w:t>Planned Changes to Metrics/Data Collection</w:t>
      </w:r>
    </w:p>
    <w:p w14:paraId="692AB64D" w14:textId="0B7A8B32" w:rsidR="00E40203" w:rsidRPr="0088154E" w:rsidRDefault="00A62729" w:rsidP="00E40203">
      <w:pPr>
        <w:jc w:val="both"/>
        <w:rPr>
          <w:bCs/>
          <w:sz w:val="22"/>
          <w:szCs w:val="22"/>
        </w:rPr>
      </w:pPr>
      <w:r w:rsidRPr="0088154E">
        <w:rPr>
          <w:bCs/>
          <w:sz w:val="22"/>
          <w:szCs w:val="22"/>
        </w:rPr>
        <w:t>Benchmarks have been updated to reflect the final participation numbers for this activity.</w:t>
      </w:r>
    </w:p>
    <w:p w14:paraId="26A08C4E" w14:textId="77777777" w:rsidR="00E40203" w:rsidRPr="0088154E" w:rsidRDefault="00E40203" w:rsidP="00E40203">
      <w:pPr>
        <w:jc w:val="both"/>
        <w:rPr>
          <w:bCs/>
          <w:sz w:val="22"/>
          <w:szCs w:val="22"/>
        </w:rPr>
      </w:pPr>
      <w:r w:rsidRPr="0088154E">
        <w:rPr>
          <w:bCs/>
          <w:sz w:val="22"/>
          <w:szCs w:val="22"/>
        </w:rPr>
        <w:t xml:space="preserve"> </w:t>
      </w:r>
    </w:p>
    <w:p w14:paraId="78334820" w14:textId="77777777" w:rsidR="00E40203" w:rsidRPr="0088154E" w:rsidRDefault="00E40203" w:rsidP="00E40203">
      <w:pPr>
        <w:jc w:val="both"/>
        <w:rPr>
          <w:b/>
          <w:color w:val="000000"/>
          <w:sz w:val="22"/>
          <w:szCs w:val="22"/>
        </w:rPr>
      </w:pPr>
      <w:r w:rsidRPr="0088154E">
        <w:rPr>
          <w:b/>
          <w:color w:val="000000"/>
          <w:sz w:val="22"/>
          <w:szCs w:val="22"/>
        </w:rPr>
        <w:t>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14"/>
        <w:gridCol w:w="1627"/>
        <w:gridCol w:w="1354"/>
        <w:gridCol w:w="1440"/>
      </w:tblGrid>
      <w:tr w:rsidR="006D6981" w:rsidRPr="0088154E" w14:paraId="72C4783D" w14:textId="77777777" w:rsidTr="00EA781C">
        <w:trPr>
          <w:trHeight w:hRule="exact" w:val="317"/>
        </w:trPr>
        <w:tc>
          <w:tcPr>
            <w:tcW w:w="1440" w:type="dxa"/>
            <w:gridSpan w:val="5"/>
            <w:shd w:val="clear" w:color="auto" w:fill="C6D9F1" w:themeFill="text2" w:themeFillTint="33"/>
          </w:tcPr>
          <w:p w14:paraId="13E92887" w14:textId="77777777" w:rsidR="006D6981" w:rsidRPr="0088154E" w:rsidRDefault="006D6981" w:rsidP="008E2F4D">
            <w:pPr>
              <w:jc w:val="center"/>
              <w:rPr>
                <w:b/>
                <w:bCs/>
                <w:i/>
                <w:iCs/>
                <w:sz w:val="20"/>
                <w:szCs w:val="20"/>
              </w:rPr>
            </w:pPr>
            <w:r w:rsidRPr="0088154E">
              <w:rPr>
                <w:rFonts w:eastAsia="Calibri"/>
                <w:b/>
                <w:bCs/>
                <w:i/>
                <w:iCs/>
                <w:sz w:val="20"/>
                <w:szCs w:val="20"/>
              </w:rPr>
              <w:t>HC #4: Displacement Prevention</w:t>
            </w:r>
          </w:p>
        </w:tc>
      </w:tr>
      <w:tr w:rsidR="006D6981" w:rsidRPr="0088154E" w14:paraId="17788040" w14:textId="77777777" w:rsidTr="00EA781C">
        <w:trPr>
          <w:trHeight w:hRule="exact" w:val="533"/>
        </w:trPr>
        <w:tc>
          <w:tcPr>
            <w:tcW w:w="2446" w:type="dxa"/>
            <w:shd w:val="clear" w:color="auto" w:fill="D9D9D9" w:themeFill="background1" w:themeFillShade="D9"/>
          </w:tcPr>
          <w:p w14:paraId="7645BB03" w14:textId="77777777" w:rsidR="006D6981" w:rsidRPr="0088154E" w:rsidRDefault="006D6981" w:rsidP="008E2F4D">
            <w:pPr>
              <w:jc w:val="center"/>
              <w:rPr>
                <w:b/>
                <w:bCs/>
                <w:i/>
                <w:iCs/>
                <w:sz w:val="20"/>
                <w:szCs w:val="20"/>
              </w:rPr>
            </w:pPr>
            <w:r w:rsidRPr="0088154E">
              <w:rPr>
                <w:rFonts w:eastAsia="Calibri"/>
                <w:b/>
                <w:bCs/>
                <w:sz w:val="20"/>
                <w:szCs w:val="20"/>
              </w:rPr>
              <w:t>Unit of Measurement</w:t>
            </w:r>
          </w:p>
        </w:tc>
        <w:tc>
          <w:tcPr>
            <w:tcW w:w="1714" w:type="dxa"/>
            <w:shd w:val="clear" w:color="auto" w:fill="D9D9D9" w:themeFill="background1" w:themeFillShade="D9"/>
          </w:tcPr>
          <w:p w14:paraId="6C244FDC" w14:textId="77777777" w:rsidR="006D6981" w:rsidRPr="0088154E" w:rsidRDefault="006D6981" w:rsidP="008E2F4D">
            <w:pPr>
              <w:jc w:val="center"/>
              <w:rPr>
                <w:b/>
                <w:bCs/>
                <w:i/>
                <w:iCs/>
                <w:sz w:val="20"/>
                <w:szCs w:val="20"/>
              </w:rPr>
            </w:pPr>
            <w:r w:rsidRPr="0088154E">
              <w:rPr>
                <w:rFonts w:eastAsia="Calibri"/>
                <w:b/>
                <w:bCs/>
                <w:sz w:val="20"/>
                <w:szCs w:val="20"/>
              </w:rPr>
              <w:t>Baseline</w:t>
            </w:r>
          </w:p>
        </w:tc>
        <w:tc>
          <w:tcPr>
            <w:tcW w:w="1627" w:type="dxa"/>
            <w:shd w:val="clear" w:color="auto" w:fill="D9D9D9" w:themeFill="background1" w:themeFillShade="D9"/>
          </w:tcPr>
          <w:p w14:paraId="481888CF" w14:textId="77777777" w:rsidR="006D6981" w:rsidRPr="0088154E" w:rsidRDefault="006D6981" w:rsidP="008E2F4D">
            <w:pPr>
              <w:jc w:val="center"/>
              <w:rPr>
                <w:b/>
                <w:bCs/>
                <w:i/>
                <w:iCs/>
                <w:sz w:val="20"/>
                <w:szCs w:val="20"/>
              </w:rPr>
            </w:pPr>
            <w:r w:rsidRPr="0088154E">
              <w:rPr>
                <w:rFonts w:eastAsia="Calibri"/>
                <w:b/>
                <w:bCs/>
                <w:sz w:val="20"/>
                <w:szCs w:val="20"/>
              </w:rPr>
              <w:t>Benchmark</w:t>
            </w:r>
          </w:p>
        </w:tc>
        <w:tc>
          <w:tcPr>
            <w:tcW w:w="1354" w:type="dxa"/>
            <w:shd w:val="clear" w:color="auto" w:fill="D9D9D9" w:themeFill="background1" w:themeFillShade="D9"/>
          </w:tcPr>
          <w:p w14:paraId="7045379A" w14:textId="77777777" w:rsidR="006D6981" w:rsidRPr="0088154E" w:rsidRDefault="006D6981" w:rsidP="008E2F4D">
            <w:pPr>
              <w:jc w:val="center"/>
              <w:rPr>
                <w:b/>
                <w:bCs/>
                <w:i/>
                <w:iCs/>
                <w:sz w:val="20"/>
                <w:szCs w:val="20"/>
              </w:rPr>
            </w:pPr>
            <w:r w:rsidRPr="0088154E">
              <w:rPr>
                <w:rFonts w:eastAsia="Calibri"/>
                <w:b/>
                <w:bCs/>
                <w:sz w:val="20"/>
                <w:szCs w:val="20"/>
              </w:rPr>
              <w:t>Outcome</w:t>
            </w:r>
          </w:p>
        </w:tc>
        <w:tc>
          <w:tcPr>
            <w:tcW w:w="1440" w:type="dxa"/>
            <w:shd w:val="clear" w:color="auto" w:fill="D9D9D9" w:themeFill="background1" w:themeFillShade="D9"/>
          </w:tcPr>
          <w:p w14:paraId="2A72F6F3" w14:textId="77777777" w:rsidR="006D6981" w:rsidRPr="0088154E" w:rsidRDefault="006D6981" w:rsidP="008E2F4D">
            <w:pPr>
              <w:jc w:val="center"/>
              <w:rPr>
                <w:b/>
                <w:bCs/>
                <w:i/>
                <w:iCs/>
                <w:sz w:val="20"/>
                <w:szCs w:val="20"/>
              </w:rPr>
            </w:pPr>
            <w:r w:rsidRPr="0088154E">
              <w:rPr>
                <w:rFonts w:eastAsia="Calibri"/>
                <w:b/>
                <w:bCs/>
                <w:sz w:val="20"/>
                <w:szCs w:val="20"/>
              </w:rPr>
              <w:t>Benchmark Achieved?</w:t>
            </w:r>
          </w:p>
        </w:tc>
      </w:tr>
      <w:tr w:rsidR="006D6981" w:rsidRPr="0088154E" w14:paraId="4B45F75C" w14:textId="77777777" w:rsidTr="00EA781C">
        <w:tc>
          <w:tcPr>
            <w:tcW w:w="3240" w:type="dxa"/>
            <w:shd w:val="clear" w:color="auto" w:fill="auto"/>
          </w:tcPr>
          <w:p w14:paraId="04DCE508" w14:textId="222BC4CD" w:rsidR="006D6981" w:rsidRPr="0088154E" w:rsidRDefault="006D6981" w:rsidP="00CC50A5">
            <w:pPr>
              <w:rPr>
                <w:rFonts w:eastAsia="Calibri"/>
                <w:bCs/>
                <w:iCs/>
                <w:sz w:val="20"/>
                <w:szCs w:val="20"/>
              </w:rPr>
            </w:pPr>
            <w:r w:rsidRPr="0088154E">
              <w:rPr>
                <w:rFonts w:eastAsia="Calibri"/>
                <w:sz w:val="20"/>
                <w:szCs w:val="20"/>
              </w:rPr>
              <w:t>N</w:t>
            </w:r>
            <w:r w:rsidRPr="0088154E">
              <w:rPr>
                <w:rFonts w:eastAsia="Calibri"/>
                <w:spacing w:val="-1"/>
                <w:sz w:val="20"/>
                <w:szCs w:val="20"/>
              </w:rPr>
              <w:t>u</w:t>
            </w:r>
            <w:r w:rsidRPr="0088154E">
              <w:rPr>
                <w:rFonts w:eastAsia="Calibri"/>
                <w:spacing w:val="1"/>
                <w:sz w:val="20"/>
                <w:szCs w:val="20"/>
              </w:rPr>
              <w:t>m</w:t>
            </w:r>
            <w:r w:rsidRPr="0088154E">
              <w:rPr>
                <w:rFonts w:eastAsia="Calibri"/>
                <w:spacing w:val="-1"/>
                <w:sz w:val="20"/>
                <w:szCs w:val="20"/>
              </w:rPr>
              <w:t>b</w:t>
            </w:r>
            <w:r w:rsidRPr="0088154E">
              <w:rPr>
                <w:rFonts w:eastAsia="Calibri"/>
                <w:sz w:val="20"/>
                <w:szCs w:val="20"/>
              </w:rPr>
              <w:t>er</w:t>
            </w:r>
            <w:r w:rsidRPr="0088154E">
              <w:rPr>
                <w:rFonts w:eastAsia="Calibri"/>
                <w:spacing w:val="16"/>
                <w:sz w:val="20"/>
                <w:szCs w:val="20"/>
              </w:rPr>
              <w:t xml:space="preserve"> </w:t>
            </w:r>
            <w:r w:rsidRPr="0088154E">
              <w:rPr>
                <w:rFonts w:eastAsia="Calibri"/>
                <w:spacing w:val="1"/>
                <w:sz w:val="20"/>
                <w:szCs w:val="20"/>
              </w:rPr>
              <w:t>o</w:t>
            </w:r>
            <w:r w:rsidRPr="0088154E">
              <w:rPr>
                <w:rFonts w:eastAsia="Calibri"/>
                <w:sz w:val="20"/>
                <w:szCs w:val="20"/>
              </w:rPr>
              <w:t>f</w:t>
            </w:r>
            <w:r w:rsidRPr="0088154E">
              <w:rPr>
                <w:rFonts w:eastAsia="Calibri"/>
                <w:spacing w:val="5"/>
                <w:sz w:val="20"/>
                <w:szCs w:val="20"/>
              </w:rPr>
              <w:t xml:space="preserve"> </w:t>
            </w:r>
            <w:r w:rsidRPr="0088154E">
              <w:rPr>
                <w:rFonts w:eastAsia="Calibri"/>
                <w:spacing w:val="-1"/>
                <w:sz w:val="20"/>
                <w:szCs w:val="20"/>
              </w:rPr>
              <w:t>h</w:t>
            </w:r>
            <w:r w:rsidRPr="0088154E">
              <w:rPr>
                <w:rFonts w:eastAsia="Calibri"/>
                <w:spacing w:val="1"/>
                <w:sz w:val="20"/>
                <w:szCs w:val="20"/>
              </w:rPr>
              <w:t>o</w:t>
            </w:r>
            <w:r w:rsidRPr="0088154E">
              <w:rPr>
                <w:rFonts w:eastAsia="Calibri"/>
                <w:spacing w:val="-1"/>
                <w:sz w:val="20"/>
                <w:szCs w:val="20"/>
              </w:rPr>
              <w:t>u</w:t>
            </w:r>
            <w:r w:rsidRPr="0088154E">
              <w:rPr>
                <w:rFonts w:eastAsia="Calibri"/>
                <w:sz w:val="20"/>
                <w:szCs w:val="20"/>
              </w:rPr>
              <w:t>se</w:t>
            </w:r>
            <w:r w:rsidRPr="0088154E">
              <w:rPr>
                <w:rFonts w:eastAsia="Calibri"/>
                <w:spacing w:val="-1"/>
                <w:sz w:val="20"/>
                <w:szCs w:val="20"/>
              </w:rPr>
              <w:t>h</w:t>
            </w:r>
            <w:r w:rsidRPr="0088154E">
              <w:rPr>
                <w:rFonts w:eastAsia="Calibri"/>
                <w:spacing w:val="1"/>
                <w:sz w:val="20"/>
                <w:szCs w:val="20"/>
              </w:rPr>
              <w:t>o</w:t>
            </w:r>
            <w:r w:rsidRPr="0088154E">
              <w:rPr>
                <w:rFonts w:eastAsia="Calibri"/>
                <w:sz w:val="20"/>
                <w:szCs w:val="20"/>
              </w:rPr>
              <w:t>l</w:t>
            </w:r>
            <w:r w:rsidRPr="0088154E">
              <w:rPr>
                <w:rFonts w:eastAsia="Calibri"/>
                <w:spacing w:val="-1"/>
                <w:sz w:val="20"/>
                <w:szCs w:val="20"/>
              </w:rPr>
              <w:t>d</w:t>
            </w:r>
            <w:r w:rsidRPr="0088154E">
              <w:rPr>
                <w:rFonts w:eastAsia="Calibri"/>
                <w:sz w:val="20"/>
                <w:szCs w:val="20"/>
              </w:rPr>
              <w:t>s</w:t>
            </w:r>
            <w:r w:rsidRPr="0088154E">
              <w:rPr>
                <w:rFonts w:eastAsia="Calibri"/>
                <w:spacing w:val="20"/>
                <w:sz w:val="20"/>
                <w:szCs w:val="20"/>
              </w:rPr>
              <w:t xml:space="preserve"> </w:t>
            </w:r>
            <w:r w:rsidRPr="0088154E">
              <w:rPr>
                <w:rFonts w:eastAsia="Calibri"/>
                <w:sz w:val="20"/>
                <w:szCs w:val="20"/>
              </w:rPr>
              <w:t>at</w:t>
            </w:r>
            <w:r w:rsidRPr="0088154E">
              <w:rPr>
                <w:rFonts w:eastAsia="Calibri"/>
                <w:spacing w:val="5"/>
                <w:sz w:val="20"/>
                <w:szCs w:val="20"/>
              </w:rPr>
              <w:t xml:space="preserve"> </w:t>
            </w:r>
            <w:r w:rsidRPr="0088154E">
              <w:rPr>
                <w:rFonts w:eastAsia="Calibri"/>
                <w:spacing w:val="1"/>
                <w:sz w:val="20"/>
                <w:szCs w:val="20"/>
              </w:rPr>
              <w:t>o</w:t>
            </w:r>
            <w:r w:rsidRPr="0088154E">
              <w:rPr>
                <w:rFonts w:eastAsia="Calibri"/>
                <w:sz w:val="20"/>
                <w:szCs w:val="20"/>
              </w:rPr>
              <w:t>r</w:t>
            </w:r>
            <w:r w:rsidRPr="0088154E">
              <w:rPr>
                <w:rFonts w:eastAsia="Calibri"/>
                <w:spacing w:val="6"/>
                <w:sz w:val="20"/>
                <w:szCs w:val="20"/>
              </w:rPr>
              <w:t xml:space="preserve"> </w:t>
            </w:r>
            <w:r w:rsidRPr="0088154E">
              <w:rPr>
                <w:rFonts w:eastAsia="Calibri"/>
                <w:spacing w:val="-1"/>
                <w:sz w:val="20"/>
                <w:szCs w:val="20"/>
              </w:rPr>
              <w:t>b</w:t>
            </w:r>
            <w:r w:rsidRPr="0088154E">
              <w:rPr>
                <w:rFonts w:eastAsia="Calibri"/>
                <w:sz w:val="20"/>
                <w:szCs w:val="20"/>
              </w:rPr>
              <w:t>el</w:t>
            </w:r>
            <w:r w:rsidRPr="0088154E">
              <w:rPr>
                <w:rFonts w:eastAsia="Calibri"/>
                <w:spacing w:val="1"/>
                <w:sz w:val="20"/>
                <w:szCs w:val="20"/>
              </w:rPr>
              <w:t>o</w:t>
            </w:r>
            <w:r w:rsidRPr="0088154E">
              <w:rPr>
                <w:rFonts w:eastAsia="Calibri"/>
                <w:sz w:val="20"/>
                <w:szCs w:val="20"/>
              </w:rPr>
              <w:t>w</w:t>
            </w:r>
            <w:r w:rsidRPr="0088154E">
              <w:rPr>
                <w:rFonts w:eastAsia="Calibri"/>
                <w:spacing w:val="12"/>
                <w:sz w:val="20"/>
                <w:szCs w:val="20"/>
              </w:rPr>
              <w:t xml:space="preserve"> </w:t>
            </w:r>
            <w:r w:rsidRPr="0088154E">
              <w:rPr>
                <w:rFonts w:eastAsia="Calibri"/>
                <w:spacing w:val="-1"/>
                <w:sz w:val="20"/>
                <w:szCs w:val="20"/>
              </w:rPr>
              <w:t>80</w:t>
            </w:r>
            <w:r w:rsidRPr="0088154E">
              <w:rPr>
                <w:rFonts w:eastAsia="Calibri"/>
                <w:sz w:val="20"/>
                <w:szCs w:val="20"/>
              </w:rPr>
              <w:t>%</w:t>
            </w:r>
            <w:r w:rsidRPr="0088154E">
              <w:rPr>
                <w:rFonts w:eastAsia="Calibri"/>
                <w:spacing w:val="9"/>
                <w:sz w:val="20"/>
                <w:szCs w:val="20"/>
              </w:rPr>
              <w:t xml:space="preserve"> </w:t>
            </w:r>
            <w:r w:rsidRPr="0088154E">
              <w:rPr>
                <w:rFonts w:eastAsia="Calibri"/>
                <w:spacing w:val="-1"/>
                <w:sz w:val="20"/>
                <w:szCs w:val="20"/>
              </w:rPr>
              <w:t>A</w:t>
            </w:r>
            <w:r w:rsidRPr="0088154E">
              <w:rPr>
                <w:rFonts w:eastAsia="Calibri"/>
                <w:sz w:val="20"/>
                <w:szCs w:val="20"/>
              </w:rPr>
              <w:t>MI</w:t>
            </w:r>
            <w:r w:rsidRPr="0088154E">
              <w:rPr>
                <w:rFonts w:eastAsia="Calibri"/>
                <w:spacing w:val="9"/>
                <w:sz w:val="20"/>
                <w:szCs w:val="20"/>
              </w:rPr>
              <w:t xml:space="preserve"> </w:t>
            </w:r>
            <w:r w:rsidRPr="0088154E">
              <w:rPr>
                <w:rFonts w:eastAsia="Calibri"/>
                <w:spacing w:val="1"/>
                <w:sz w:val="20"/>
                <w:szCs w:val="20"/>
              </w:rPr>
              <w:t>t</w:t>
            </w:r>
            <w:r w:rsidRPr="0088154E">
              <w:rPr>
                <w:rFonts w:eastAsia="Calibri"/>
                <w:spacing w:val="-1"/>
                <w:sz w:val="20"/>
                <w:szCs w:val="20"/>
              </w:rPr>
              <w:t>h</w:t>
            </w:r>
            <w:r w:rsidRPr="0088154E">
              <w:rPr>
                <w:rFonts w:eastAsia="Calibri"/>
                <w:sz w:val="20"/>
                <w:szCs w:val="20"/>
              </w:rPr>
              <w:t>at</w:t>
            </w:r>
            <w:r w:rsidRPr="0088154E">
              <w:rPr>
                <w:rFonts w:eastAsia="Calibri"/>
                <w:spacing w:val="9"/>
                <w:sz w:val="20"/>
                <w:szCs w:val="20"/>
              </w:rPr>
              <w:t xml:space="preserve"> </w:t>
            </w:r>
            <w:r w:rsidRPr="0088154E">
              <w:rPr>
                <w:rFonts w:eastAsia="Calibri"/>
                <w:w w:val="103"/>
                <w:sz w:val="20"/>
                <w:szCs w:val="20"/>
              </w:rPr>
              <w:t>w</w:t>
            </w:r>
            <w:r w:rsidRPr="0088154E">
              <w:rPr>
                <w:rFonts w:eastAsia="Calibri"/>
                <w:spacing w:val="1"/>
                <w:w w:val="103"/>
                <w:sz w:val="20"/>
                <w:szCs w:val="20"/>
              </w:rPr>
              <w:t>o</w:t>
            </w:r>
            <w:r w:rsidRPr="0088154E">
              <w:rPr>
                <w:rFonts w:eastAsia="Calibri"/>
                <w:spacing w:val="-1"/>
                <w:w w:val="103"/>
                <w:sz w:val="20"/>
                <w:szCs w:val="20"/>
              </w:rPr>
              <w:t>u</w:t>
            </w:r>
            <w:r w:rsidRPr="0088154E">
              <w:rPr>
                <w:rFonts w:eastAsia="Calibri"/>
                <w:w w:val="103"/>
                <w:sz w:val="20"/>
                <w:szCs w:val="20"/>
              </w:rPr>
              <w:t xml:space="preserve">ld </w:t>
            </w:r>
            <w:r w:rsidRPr="0088154E">
              <w:rPr>
                <w:rFonts w:eastAsia="Calibri"/>
                <w:sz w:val="20"/>
                <w:szCs w:val="20"/>
              </w:rPr>
              <w:t>l</w:t>
            </w:r>
            <w:r w:rsidRPr="0088154E">
              <w:rPr>
                <w:rFonts w:eastAsia="Calibri"/>
                <w:spacing w:val="1"/>
                <w:sz w:val="20"/>
                <w:szCs w:val="20"/>
              </w:rPr>
              <w:t>o</w:t>
            </w:r>
            <w:r w:rsidRPr="0088154E">
              <w:rPr>
                <w:rFonts w:eastAsia="Calibri"/>
                <w:sz w:val="20"/>
                <w:szCs w:val="20"/>
              </w:rPr>
              <w:t>se</w:t>
            </w:r>
            <w:r w:rsidRPr="0088154E">
              <w:rPr>
                <w:rFonts w:eastAsia="Calibri"/>
                <w:spacing w:val="8"/>
                <w:sz w:val="20"/>
                <w:szCs w:val="20"/>
              </w:rPr>
              <w:t xml:space="preserve"> </w:t>
            </w:r>
            <w:r w:rsidRPr="0088154E">
              <w:rPr>
                <w:rFonts w:eastAsia="Calibri"/>
                <w:sz w:val="20"/>
                <w:szCs w:val="20"/>
              </w:rPr>
              <w:t>assis</w:t>
            </w:r>
            <w:r w:rsidRPr="0088154E">
              <w:rPr>
                <w:rFonts w:eastAsia="Calibri"/>
                <w:spacing w:val="1"/>
                <w:sz w:val="20"/>
                <w:szCs w:val="20"/>
              </w:rPr>
              <w:t>t</w:t>
            </w:r>
            <w:r w:rsidRPr="0088154E">
              <w:rPr>
                <w:rFonts w:eastAsia="Calibri"/>
                <w:sz w:val="20"/>
                <w:szCs w:val="20"/>
              </w:rPr>
              <w:t>a</w:t>
            </w:r>
            <w:r w:rsidRPr="0088154E">
              <w:rPr>
                <w:rFonts w:eastAsia="Calibri"/>
                <w:spacing w:val="-1"/>
                <w:sz w:val="20"/>
                <w:szCs w:val="20"/>
              </w:rPr>
              <w:t>n</w:t>
            </w:r>
            <w:r w:rsidRPr="0088154E">
              <w:rPr>
                <w:rFonts w:eastAsia="Calibri"/>
                <w:spacing w:val="1"/>
                <w:sz w:val="20"/>
                <w:szCs w:val="20"/>
              </w:rPr>
              <w:t>c</w:t>
            </w:r>
            <w:r w:rsidRPr="0088154E">
              <w:rPr>
                <w:rFonts w:eastAsia="Calibri"/>
                <w:sz w:val="20"/>
                <w:szCs w:val="20"/>
              </w:rPr>
              <w:t>e</w:t>
            </w:r>
            <w:r w:rsidRPr="0088154E">
              <w:rPr>
                <w:rFonts w:eastAsia="Calibri"/>
                <w:spacing w:val="18"/>
                <w:sz w:val="20"/>
                <w:szCs w:val="20"/>
              </w:rPr>
              <w:t xml:space="preserve"> </w:t>
            </w:r>
            <w:r w:rsidRPr="0088154E">
              <w:rPr>
                <w:rFonts w:eastAsia="Calibri"/>
                <w:spacing w:val="1"/>
                <w:sz w:val="20"/>
                <w:szCs w:val="20"/>
              </w:rPr>
              <w:t>o</w:t>
            </w:r>
            <w:r w:rsidRPr="0088154E">
              <w:rPr>
                <w:rFonts w:eastAsia="Calibri"/>
                <w:sz w:val="20"/>
                <w:szCs w:val="20"/>
              </w:rPr>
              <w:t>r</w:t>
            </w:r>
            <w:r w:rsidRPr="0088154E">
              <w:rPr>
                <w:rFonts w:eastAsia="Calibri"/>
                <w:spacing w:val="6"/>
                <w:sz w:val="20"/>
                <w:szCs w:val="20"/>
              </w:rPr>
              <w:t xml:space="preserve"> </w:t>
            </w:r>
            <w:r w:rsidRPr="0088154E">
              <w:rPr>
                <w:rFonts w:eastAsia="Calibri"/>
                <w:spacing w:val="-1"/>
                <w:sz w:val="20"/>
                <w:szCs w:val="20"/>
              </w:rPr>
              <w:t>n</w:t>
            </w:r>
            <w:r w:rsidRPr="0088154E">
              <w:rPr>
                <w:rFonts w:eastAsia="Calibri"/>
                <w:sz w:val="20"/>
                <w:szCs w:val="20"/>
              </w:rPr>
              <w:t>eed</w:t>
            </w:r>
            <w:r w:rsidRPr="0088154E">
              <w:rPr>
                <w:rFonts w:eastAsia="Calibri"/>
                <w:spacing w:val="9"/>
                <w:sz w:val="20"/>
                <w:szCs w:val="20"/>
              </w:rPr>
              <w:t xml:space="preserve"> </w:t>
            </w:r>
            <w:r w:rsidRPr="0088154E">
              <w:rPr>
                <w:rFonts w:eastAsia="Calibri"/>
                <w:spacing w:val="1"/>
                <w:sz w:val="20"/>
                <w:szCs w:val="20"/>
              </w:rPr>
              <w:t>t</w:t>
            </w:r>
            <w:r w:rsidRPr="0088154E">
              <w:rPr>
                <w:rFonts w:eastAsia="Calibri"/>
                <w:sz w:val="20"/>
                <w:szCs w:val="20"/>
              </w:rPr>
              <w:t>o</w:t>
            </w:r>
            <w:r w:rsidRPr="0088154E">
              <w:rPr>
                <w:rFonts w:eastAsia="Calibri"/>
                <w:spacing w:val="6"/>
                <w:sz w:val="20"/>
                <w:szCs w:val="20"/>
              </w:rPr>
              <w:t xml:space="preserve"> </w:t>
            </w:r>
            <w:r w:rsidRPr="0088154E">
              <w:rPr>
                <w:rFonts w:eastAsia="Calibri"/>
                <w:spacing w:val="1"/>
                <w:sz w:val="20"/>
                <w:szCs w:val="20"/>
              </w:rPr>
              <w:t>mo</w:t>
            </w:r>
            <w:r w:rsidRPr="0088154E">
              <w:rPr>
                <w:rFonts w:eastAsia="Calibri"/>
                <w:spacing w:val="-1"/>
                <w:sz w:val="20"/>
                <w:szCs w:val="20"/>
              </w:rPr>
              <w:t>v</w:t>
            </w:r>
            <w:r w:rsidRPr="0088154E">
              <w:rPr>
                <w:rFonts w:eastAsia="Calibri"/>
                <w:sz w:val="20"/>
                <w:szCs w:val="20"/>
              </w:rPr>
              <w:t>e</w:t>
            </w:r>
            <w:r w:rsidRPr="0088154E">
              <w:rPr>
                <w:rFonts w:eastAsia="Calibri"/>
                <w:spacing w:val="11"/>
                <w:sz w:val="20"/>
                <w:szCs w:val="20"/>
              </w:rPr>
              <w:t xml:space="preserve"> </w:t>
            </w:r>
            <w:r w:rsidRPr="0088154E">
              <w:rPr>
                <w:rFonts w:eastAsia="Calibri"/>
                <w:sz w:val="20"/>
                <w:szCs w:val="20"/>
              </w:rPr>
              <w:t>(</w:t>
            </w:r>
            <w:r w:rsidRPr="0088154E">
              <w:rPr>
                <w:rFonts w:eastAsia="Calibri"/>
                <w:spacing w:val="-1"/>
                <w:sz w:val="20"/>
                <w:szCs w:val="20"/>
              </w:rPr>
              <w:t>d</w:t>
            </w:r>
            <w:r w:rsidRPr="0088154E">
              <w:rPr>
                <w:rFonts w:eastAsia="Calibri"/>
                <w:sz w:val="20"/>
                <w:szCs w:val="20"/>
              </w:rPr>
              <w:t>e</w:t>
            </w:r>
            <w:r w:rsidRPr="0088154E">
              <w:rPr>
                <w:rFonts w:eastAsia="Calibri"/>
                <w:spacing w:val="1"/>
                <w:sz w:val="20"/>
                <w:szCs w:val="20"/>
              </w:rPr>
              <w:t>cr</w:t>
            </w:r>
            <w:r w:rsidRPr="0088154E">
              <w:rPr>
                <w:rFonts w:eastAsia="Calibri"/>
                <w:sz w:val="20"/>
                <w:szCs w:val="20"/>
              </w:rPr>
              <w:t>ease</w:t>
            </w:r>
            <w:r w:rsidR="00CC50A5" w:rsidRPr="0088154E">
              <w:rPr>
                <w:rFonts w:eastAsia="Calibri"/>
                <w:sz w:val="20"/>
                <w:szCs w:val="20"/>
              </w:rPr>
              <w:t>)</w:t>
            </w:r>
          </w:p>
        </w:tc>
        <w:tc>
          <w:tcPr>
            <w:tcW w:w="1714" w:type="dxa"/>
            <w:shd w:val="clear" w:color="auto" w:fill="auto"/>
          </w:tcPr>
          <w:p w14:paraId="294B05DA" w14:textId="77777777" w:rsidR="006D6981" w:rsidRPr="0088154E" w:rsidRDefault="006D6981" w:rsidP="001A3248">
            <w:pPr>
              <w:jc w:val="center"/>
              <w:rPr>
                <w:rFonts w:eastAsia="Calibri"/>
                <w:bCs/>
                <w:iCs/>
                <w:sz w:val="20"/>
                <w:szCs w:val="20"/>
              </w:rPr>
            </w:pPr>
            <w:r w:rsidRPr="0088154E">
              <w:rPr>
                <w:rFonts w:eastAsia="Calibri"/>
                <w:bCs/>
                <w:iCs/>
                <w:sz w:val="20"/>
                <w:szCs w:val="20"/>
              </w:rPr>
              <w:t>0</w:t>
            </w:r>
          </w:p>
        </w:tc>
        <w:tc>
          <w:tcPr>
            <w:tcW w:w="1627" w:type="dxa"/>
            <w:shd w:val="clear" w:color="auto" w:fill="auto"/>
          </w:tcPr>
          <w:p w14:paraId="3E2C3A89" w14:textId="59AB11D3" w:rsidR="006D6981" w:rsidRPr="0088154E" w:rsidRDefault="00A62729" w:rsidP="001A3248">
            <w:pPr>
              <w:jc w:val="center"/>
              <w:rPr>
                <w:bCs/>
                <w:iCs/>
                <w:sz w:val="20"/>
                <w:szCs w:val="20"/>
              </w:rPr>
            </w:pPr>
            <w:r w:rsidRPr="0088154E">
              <w:rPr>
                <w:bCs/>
                <w:iCs/>
                <w:sz w:val="20"/>
                <w:szCs w:val="20"/>
              </w:rPr>
              <w:t>26</w:t>
            </w:r>
          </w:p>
        </w:tc>
        <w:tc>
          <w:tcPr>
            <w:tcW w:w="1354" w:type="dxa"/>
            <w:shd w:val="clear" w:color="auto" w:fill="auto"/>
          </w:tcPr>
          <w:p w14:paraId="41CE7867" w14:textId="5A34B8F4" w:rsidR="006D6981" w:rsidRPr="0088154E" w:rsidRDefault="006D6981" w:rsidP="001A3248">
            <w:pPr>
              <w:jc w:val="center"/>
              <w:rPr>
                <w:bCs/>
                <w:iCs/>
                <w:sz w:val="20"/>
                <w:szCs w:val="20"/>
              </w:rPr>
            </w:pPr>
          </w:p>
        </w:tc>
        <w:tc>
          <w:tcPr>
            <w:tcW w:w="1440" w:type="dxa"/>
            <w:shd w:val="clear" w:color="auto" w:fill="auto"/>
          </w:tcPr>
          <w:p w14:paraId="28EDF112" w14:textId="46541ED1" w:rsidR="006D6981" w:rsidRPr="0088154E" w:rsidRDefault="006D6981" w:rsidP="001A3248">
            <w:pPr>
              <w:jc w:val="center"/>
              <w:rPr>
                <w:bCs/>
                <w:iCs/>
                <w:sz w:val="20"/>
                <w:szCs w:val="20"/>
              </w:rPr>
            </w:pPr>
          </w:p>
        </w:tc>
      </w:tr>
      <w:tr w:rsidR="006D6981" w:rsidRPr="0088154E" w14:paraId="741A4CAC" w14:textId="77777777" w:rsidTr="00EA781C">
        <w:trPr>
          <w:trHeight w:hRule="exact" w:val="317"/>
        </w:trPr>
        <w:tc>
          <w:tcPr>
            <w:tcW w:w="1440" w:type="dxa"/>
            <w:gridSpan w:val="5"/>
            <w:shd w:val="clear" w:color="auto" w:fill="C6D9F1" w:themeFill="text2" w:themeFillTint="33"/>
          </w:tcPr>
          <w:p w14:paraId="562F6A9F" w14:textId="77777777" w:rsidR="006D6981" w:rsidRPr="0088154E" w:rsidRDefault="006D6981" w:rsidP="008E2F4D">
            <w:pPr>
              <w:jc w:val="center"/>
              <w:rPr>
                <w:b/>
                <w:color w:val="000000"/>
                <w:sz w:val="20"/>
                <w:szCs w:val="20"/>
              </w:rPr>
            </w:pPr>
            <w:r w:rsidRPr="0088154E">
              <w:rPr>
                <w:b/>
                <w:color w:val="000000"/>
                <w:sz w:val="20"/>
                <w:szCs w:val="20"/>
              </w:rPr>
              <w:t>Local Metric: Decrease in Households Receiving Homelessness Assistance</w:t>
            </w:r>
          </w:p>
        </w:tc>
      </w:tr>
      <w:tr w:rsidR="006D6981" w:rsidRPr="0088154E" w14:paraId="31528CBC" w14:textId="77777777" w:rsidTr="00EA781C">
        <w:trPr>
          <w:trHeight w:val="530"/>
        </w:trPr>
        <w:tc>
          <w:tcPr>
            <w:tcW w:w="3240" w:type="dxa"/>
            <w:shd w:val="clear" w:color="auto" w:fill="D9D9D9" w:themeFill="background1" w:themeFillShade="D9"/>
          </w:tcPr>
          <w:p w14:paraId="2FFC4671" w14:textId="77777777" w:rsidR="006D6981" w:rsidRPr="0088154E" w:rsidRDefault="006D6981" w:rsidP="008E2F4D">
            <w:pPr>
              <w:jc w:val="center"/>
              <w:rPr>
                <w:b/>
                <w:bCs/>
                <w:i/>
                <w:iCs/>
                <w:sz w:val="20"/>
                <w:szCs w:val="20"/>
              </w:rPr>
            </w:pPr>
            <w:r w:rsidRPr="0088154E">
              <w:rPr>
                <w:rFonts w:eastAsia="Calibri"/>
                <w:b/>
                <w:bCs/>
                <w:sz w:val="20"/>
                <w:szCs w:val="20"/>
              </w:rPr>
              <w:t>Unit of Measurement</w:t>
            </w:r>
          </w:p>
        </w:tc>
        <w:tc>
          <w:tcPr>
            <w:tcW w:w="1714" w:type="dxa"/>
            <w:shd w:val="clear" w:color="auto" w:fill="D9D9D9" w:themeFill="background1" w:themeFillShade="D9"/>
          </w:tcPr>
          <w:p w14:paraId="7C271C83" w14:textId="77777777" w:rsidR="006D6981" w:rsidRPr="0088154E" w:rsidRDefault="006D6981" w:rsidP="008E2F4D">
            <w:pPr>
              <w:jc w:val="center"/>
              <w:rPr>
                <w:rFonts w:eastAsia="Calibri"/>
                <w:sz w:val="20"/>
                <w:szCs w:val="20"/>
              </w:rPr>
            </w:pPr>
            <w:r w:rsidRPr="0088154E">
              <w:rPr>
                <w:rFonts w:eastAsia="Calibri"/>
                <w:b/>
                <w:bCs/>
                <w:sz w:val="20"/>
                <w:szCs w:val="20"/>
              </w:rPr>
              <w:t>Baseline</w:t>
            </w:r>
          </w:p>
        </w:tc>
        <w:tc>
          <w:tcPr>
            <w:tcW w:w="1627" w:type="dxa"/>
            <w:shd w:val="clear" w:color="auto" w:fill="D9D9D9" w:themeFill="background1" w:themeFillShade="D9"/>
          </w:tcPr>
          <w:p w14:paraId="037DC807" w14:textId="77777777" w:rsidR="006D6981" w:rsidRPr="0088154E" w:rsidRDefault="006D6981" w:rsidP="008E2F4D">
            <w:pPr>
              <w:jc w:val="center"/>
              <w:rPr>
                <w:rFonts w:eastAsia="Calibri"/>
                <w:sz w:val="20"/>
                <w:szCs w:val="20"/>
              </w:rPr>
            </w:pPr>
            <w:r w:rsidRPr="0088154E">
              <w:rPr>
                <w:rFonts w:eastAsia="Calibri"/>
                <w:b/>
                <w:bCs/>
                <w:sz w:val="20"/>
                <w:szCs w:val="20"/>
              </w:rPr>
              <w:t>Benchmark</w:t>
            </w:r>
          </w:p>
        </w:tc>
        <w:tc>
          <w:tcPr>
            <w:tcW w:w="1354" w:type="dxa"/>
            <w:shd w:val="clear" w:color="auto" w:fill="D9D9D9" w:themeFill="background1" w:themeFillShade="D9"/>
          </w:tcPr>
          <w:p w14:paraId="0B6F6088" w14:textId="77777777" w:rsidR="006D6981" w:rsidRPr="0088154E" w:rsidRDefault="006D6981" w:rsidP="008E2F4D">
            <w:pPr>
              <w:jc w:val="center"/>
              <w:rPr>
                <w:color w:val="000000"/>
                <w:sz w:val="20"/>
                <w:szCs w:val="20"/>
              </w:rPr>
            </w:pPr>
            <w:r w:rsidRPr="0088154E">
              <w:rPr>
                <w:rFonts w:eastAsia="Calibri"/>
                <w:b/>
                <w:bCs/>
                <w:sz w:val="20"/>
                <w:szCs w:val="20"/>
              </w:rPr>
              <w:t>Outcome</w:t>
            </w:r>
          </w:p>
        </w:tc>
        <w:tc>
          <w:tcPr>
            <w:tcW w:w="1440" w:type="dxa"/>
            <w:shd w:val="clear" w:color="auto" w:fill="D9D9D9" w:themeFill="background1" w:themeFillShade="D9"/>
          </w:tcPr>
          <w:p w14:paraId="4AD6E66C" w14:textId="77777777" w:rsidR="006D6981" w:rsidRPr="0088154E" w:rsidRDefault="006D6981" w:rsidP="008E2F4D">
            <w:pPr>
              <w:jc w:val="center"/>
              <w:rPr>
                <w:color w:val="000000"/>
                <w:sz w:val="20"/>
                <w:szCs w:val="20"/>
              </w:rPr>
            </w:pPr>
            <w:r w:rsidRPr="0088154E">
              <w:rPr>
                <w:rFonts w:eastAsia="Calibri"/>
                <w:b/>
                <w:bCs/>
                <w:sz w:val="20"/>
                <w:szCs w:val="20"/>
              </w:rPr>
              <w:t>Benchmark Achieved?</w:t>
            </w:r>
          </w:p>
        </w:tc>
      </w:tr>
      <w:tr w:rsidR="006D6981" w:rsidRPr="0088154E" w14:paraId="5F5583A8" w14:textId="77777777" w:rsidTr="00EA781C">
        <w:trPr>
          <w:trHeight w:val="530"/>
        </w:trPr>
        <w:tc>
          <w:tcPr>
            <w:tcW w:w="3240" w:type="dxa"/>
          </w:tcPr>
          <w:p w14:paraId="46EDD76C" w14:textId="77777777" w:rsidR="006D6981" w:rsidRPr="0088154E" w:rsidRDefault="006D6981" w:rsidP="008E2F4D">
            <w:pPr>
              <w:rPr>
                <w:bCs/>
                <w:iCs/>
                <w:sz w:val="20"/>
                <w:szCs w:val="20"/>
              </w:rPr>
            </w:pPr>
            <w:r w:rsidRPr="0088154E">
              <w:rPr>
                <w:bCs/>
                <w:iCs/>
                <w:sz w:val="20"/>
                <w:szCs w:val="20"/>
              </w:rPr>
              <w:t xml:space="preserve">Number of Household Receiving Homelessness Assistance (decrease)  </w:t>
            </w:r>
          </w:p>
        </w:tc>
        <w:tc>
          <w:tcPr>
            <w:tcW w:w="1714" w:type="dxa"/>
          </w:tcPr>
          <w:p w14:paraId="2D6E1CE2" w14:textId="77777777" w:rsidR="006D6981" w:rsidRPr="0088154E" w:rsidRDefault="008D7440" w:rsidP="001A3248">
            <w:pPr>
              <w:jc w:val="center"/>
              <w:rPr>
                <w:bCs/>
                <w:iCs/>
                <w:sz w:val="20"/>
                <w:szCs w:val="20"/>
              </w:rPr>
            </w:pPr>
            <w:r w:rsidRPr="0088154E">
              <w:rPr>
                <w:bCs/>
                <w:iCs/>
                <w:sz w:val="20"/>
                <w:szCs w:val="20"/>
              </w:rPr>
              <w:t>0</w:t>
            </w:r>
          </w:p>
        </w:tc>
        <w:tc>
          <w:tcPr>
            <w:tcW w:w="1627" w:type="dxa"/>
          </w:tcPr>
          <w:p w14:paraId="7456CAFD" w14:textId="099F2DD9" w:rsidR="006D6981" w:rsidRPr="0088154E" w:rsidRDefault="00A62729" w:rsidP="001A3248">
            <w:pPr>
              <w:jc w:val="center"/>
              <w:rPr>
                <w:bCs/>
                <w:iCs/>
                <w:sz w:val="20"/>
                <w:szCs w:val="20"/>
              </w:rPr>
            </w:pPr>
            <w:r w:rsidRPr="0088154E">
              <w:rPr>
                <w:bCs/>
                <w:iCs/>
                <w:sz w:val="20"/>
                <w:szCs w:val="20"/>
              </w:rPr>
              <w:t>26</w:t>
            </w:r>
          </w:p>
        </w:tc>
        <w:tc>
          <w:tcPr>
            <w:tcW w:w="1354" w:type="dxa"/>
          </w:tcPr>
          <w:p w14:paraId="40B6314A" w14:textId="5253B9B1" w:rsidR="006D6981" w:rsidRPr="0088154E" w:rsidRDefault="006D6981" w:rsidP="001A3248">
            <w:pPr>
              <w:jc w:val="center"/>
              <w:rPr>
                <w:bCs/>
                <w:iCs/>
                <w:sz w:val="20"/>
                <w:szCs w:val="20"/>
              </w:rPr>
            </w:pPr>
          </w:p>
        </w:tc>
        <w:tc>
          <w:tcPr>
            <w:tcW w:w="1440" w:type="dxa"/>
          </w:tcPr>
          <w:p w14:paraId="288DB495" w14:textId="7A86AEAF" w:rsidR="006D6981" w:rsidRPr="0088154E" w:rsidRDefault="006D6981" w:rsidP="001A3248">
            <w:pPr>
              <w:jc w:val="center"/>
              <w:rPr>
                <w:b/>
                <w:bCs/>
                <w:iCs/>
                <w:sz w:val="20"/>
                <w:szCs w:val="20"/>
              </w:rPr>
            </w:pPr>
          </w:p>
        </w:tc>
      </w:tr>
      <w:tr w:rsidR="006D6981" w:rsidRPr="0088154E" w14:paraId="56473F7A" w14:textId="77777777" w:rsidTr="00EA781C">
        <w:trPr>
          <w:trHeight w:hRule="exact" w:val="505"/>
        </w:trPr>
        <w:tc>
          <w:tcPr>
            <w:tcW w:w="1440" w:type="dxa"/>
            <w:gridSpan w:val="5"/>
            <w:shd w:val="clear" w:color="auto" w:fill="C6D9F1" w:themeFill="text2" w:themeFillTint="33"/>
          </w:tcPr>
          <w:p w14:paraId="6EA8A177" w14:textId="77777777" w:rsidR="006D6981" w:rsidRPr="0088154E" w:rsidRDefault="006D6981" w:rsidP="008E2F4D">
            <w:pPr>
              <w:jc w:val="center"/>
              <w:rPr>
                <w:b/>
                <w:color w:val="000000"/>
                <w:sz w:val="20"/>
                <w:szCs w:val="20"/>
              </w:rPr>
            </w:pPr>
            <w:r w:rsidRPr="0088154E">
              <w:rPr>
                <w:b/>
                <w:color w:val="000000"/>
                <w:sz w:val="20"/>
                <w:szCs w:val="20"/>
              </w:rPr>
              <w:t>HC #5: Increase in Resident Mobility</w:t>
            </w:r>
          </w:p>
        </w:tc>
      </w:tr>
      <w:tr w:rsidR="006D6981" w:rsidRPr="0088154E" w14:paraId="2F032D95" w14:textId="77777777" w:rsidTr="00EA781C">
        <w:trPr>
          <w:trHeight w:val="530"/>
        </w:trPr>
        <w:tc>
          <w:tcPr>
            <w:tcW w:w="3240" w:type="dxa"/>
            <w:shd w:val="clear" w:color="auto" w:fill="D9D9D9" w:themeFill="background1" w:themeFillShade="D9"/>
          </w:tcPr>
          <w:p w14:paraId="065AFEDF" w14:textId="77777777" w:rsidR="006D6981" w:rsidRPr="0088154E" w:rsidRDefault="006D6981" w:rsidP="008E2F4D">
            <w:pPr>
              <w:jc w:val="center"/>
              <w:rPr>
                <w:b/>
                <w:bCs/>
                <w:i/>
                <w:iCs/>
                <w:sz w:val="20"/>
                <w:szCs w:val="20"/>
              </w:rPr>
            </w:pPr>
            <w:r w:rsidRPr="0088154E">
              <w:rPr>
                <w:rFonts w:eastAsia="Calibri"/>
                <w:b/>
                <w:bCs/>
                <w:sz w:val="20"/>
                <w:szCs w:val="20"/>
              </w:rPr>
              <w:t>Unit of Measurement</w:t>
            </w:r>
          </w:p>
        </w:tc>
        <w:tc>
          <w:tcPr>
            <w:tcW w:w="1714" w:type="dxa"/>
            <w:shd w:val="clear" w:color="auto" w:fill="D9D9D9" w:themeFill="background1" w:themeFillShade="D9"/>
          </w:tcPr>
          <w:p w14:paraId="6BF0526D" w14:textId="77777777" w:rsidR="006D6981" w:rsidRPr="0088154E" w:rsidRDefault="006D6981" w:rsidP="008E2F4D">
            <w:pPr>
              <w:jc w:val="center"/>
              <w:rPr>
                <w:rFonts w:eastAsia="Calibri"/>
                <w:sz w:val="20"/>
                <w:szCs w:val="20"/>
              </w:rPr>
            </w:pPr>
            <w:r w:rsidRPr="0088154E">
              <w:rPr>
                <w:rFonts w:eastAsia="Calibri"/>
                <w:b/>
                <w:bCs/>
                <w:sz w:val="20"/>
                <w:szCs w:val="20"/>
              </w:rPr>
              <w:t>Baseline</w:t>
            </w:r>
          </w:p>
        </w:tc>
        <w:tc>
          <w:tcPr>
            <w:tcW w:w="1627" w:type="dxa"/>
            <w:shd w:val="clear" w:color="auto" w:fill="D9D9D9" w:themeFill="background1" w:themeFillShade="D9"/>
          </w:tcPr>
          <w:p w14:paraId="7D97203F" w14:textId="77777777" w:rsidR="006D6981" w:rsidRPr="0088154E" w:rsidRDefault="006D6981" w:rsidP="008E2F4D">
            <w:pPr>
              <w:jc w:val="center"/>
              <w:rPr>
                <w:rFonts w:eastAsia="Calibri"/>
                <w:sz w:val="20"/>
                <w:szCs w:val="20"/>
              </w:rPr>
            </w:pPr>
            <w:r w:rsidRPr="0088154E">
              <w:rPr>
                <w:rFonts w:eastAsia="Calibri"/>
                <w:b/>
                <w:bCs/>
                <w:sz w:val="20"/>
                <w:szCs w:val="20"/>
              </w:rPr>
              <w:t>Benchmark</w:t>
            </w:r>
          </w:p>
        </w:tc>
        <w:tc>
          <w:tcPr>
            <w:tcW w:w="1354" w:type="dxa"/>
            <w:shd w:val="clear" w:color="auto" w:fill="D9D9D9" w:themeFill="background1" w:themeFillShade="D9"/>
          </w:tcPr>
          <w:p w14:paraId="29BD0C72" w14:textId="77777777" w:rsidR="006D6981" w:rsidRPr="0088154E" w:rsidRDefault="006D6981" w:rsidP="008E2F4D">
            <w:pPr>
              <w:jc w:val="center"/>
              <w:rPr>
                <w:color w:val="000000"/>
                <w:sz w:val="20"/>
                <w:szCs w:val="20"/>
              </w:rPr>
            </w:pPr>
            <w:r w:rsidRPr="0088154E">
              <w:rPr>
                <w:rFonts w:eastAsia="Calibri"/>
                <w:b/>
                <w:bCs/>
                <w:sz w:val="20"/>
                <w:szCs w:val="20"/>
              </w:rPr>
              <w:t>Outcome</w:t>
            </w:r>
          </w:p>
        </w:tc>
        <w:tc>
          <w:tcPr>
            <w:tcW w:w="1440" w:type="dxa"/>
            <w:shd w:val="clear" w:color="auto" w:fill="D9D9D9" w:themeFill="background1" w:themeFillShade="D9"/>
          </w:tcPr>
          <w:p w14:paraId="5493391F" w14:textId="77777777" w:rsidR="006D6981" w:rsidRPr="0088154E" w:rsidRDefault="006D6981" w:rsidP="008E2F4D">
            <w:pPr>
              <w:jc w:val="center"/>
              <w:rPr>
                <w:color w:val="000000"/>
                <w:sz w:val="20"/>
                <w:szCs w:val="20"/>
              </w:rPr>
            </w:pPr>
            <w:r w:rsidRPr="0088154E">
              <w:rPr>
                <w:rFonts w:eastAsia="Calibri"/>
                <w:b/>
                <w:bCs/>
                <w:sz w:val="20"/>
                <w:szCs w:val="20"/>
              </w:rPr>
              <w:t>Benchmark Achieved?</w:t>
            </w:r>
          </w:p>
        </w:tc>
      </w:tr>
      <w:tr w:rsidR="00842D83" w:rsidRPr="0088154E" w14:paraId="52ECF159" w14:textId="77777777" w:rsidTr="00EA781C">
        <w:trPr>
          <w:trHeight w:val="530"/>
        </w:trPr>
        <w:tc>
          <w:tcPr>
            <w:tcW w:w="3240" w:type="dxa"/>
          </w:tcPr>
          <w:p w14:paraId="27F8865F" w14:textId="77777777" w:rsidR="00842D83" w:rsidRPr="0088154E" w:rsidRDefault="00842D83" w:rsidP="00842D83">
            <w:pPr>
              <w:rPr>
                <w:rFonts w:eastAsia="Calibri"/>
                <w:sz w:val="20"/>
                <w:szCs w:val="20"/>
              </w:rPr>
            </w:pPr>
            <w:r w:rsidRPr="0088154E">
              <w:rPr>
                <w:rFonts w:eastAsia="Calibri"/>
                <w:sz w:val="20"/>
                <w:szCs w:val="20"/>
              </w:rPr>
              <w:t>N</w:t>
            </w:r>
            <w:r w:rsidRPr="0088154E">
              <w:rPr>
                <w:rFonts w:eastAsia="Calibri"/>
                <w:spacing w:val="-1"/>
                <w:sz w:val="20"/>
                <w:szCs w:val="20"/>
              </w:rPr>
              <w:t>u</w:t>
            </w:r>
            <w:r w:rsidRPr="0088154E">
              <w:rPr>
                <w:rFonts w:eastAsia="Calibri"/>
                <w:spacing w:val="1"/>
                <w:sz w:val="20"/>
                <w:szCs w:val="20"/>
              </w:rPr>
              <w:t>m</w:t>
            </w:r>
            <w:r w:rsidRPr="0088154E">
              <w:rPr>
                <w:rFonts w:eastAsia="Calibri"/>
                <w:spacing w:val="-1"/>
                <w:sz w:val="20"/>
                <w:szCs w:val="20"/>
              </w:rPr>
              <w:t>b</w:t>
            </w:r>
            <w:r w:rsidRPr="0088154E">
              <w:rPr>
                <w:rFonts w:eastAsia="Calibri"/>
                <w:sz w:val="20"/>
                <w:szCs w:val="20"/>
              </w:rPr>
              <w:t>er</w:t>
            </w:r>
            <w:r w:rsidRPr="0088154E">
              <w:rPr>
                <w:rFonts w:eastAsia="Calibri"/>
                <w:spacing w:val="16"/>
                <w:sz w:val="20"/>
                <w:szCs w:val="20"/>
              </w:rPr>
              <w:t xml:space="preserve"> </w:t>
            </w:r>
            <w:r w:rsidRPr="0088154E">
              <w:rPr>
                <w:rFonts w:eastAsia="Calibri"/>
                <w:spacing w:val="1"/>
                <w:sz w:val="20"/>
                <w:szCs w:val="20"/>
              </w:rPr>
              <w:t>o</w:t>
            </w:r>
            <w:r w:rsidRPr="0088154E">
              <w:rPr>
                <w:rFonts w:eastAsia="Calibri"/>
                <w:sz w:val="20"/>
                <w:szCs w:val="20"/>
              </w:rPr>
              <w:t>f</w:t>
            </w:r>
            <w:r w:rsidRPr="0088154E">
              <w:rPr>
                <w:rFonts w:eastAsia="Calibri"/>
                <w:spacing w:val="5"/>
                <w:sz w:val="20"/>
                <w:szCs w:val="20"/>
              </w:rPr>
              <w:t xml:space="preserve"> </w:t>
            </w:r>
            <w:r w:rsidRPr="0088154E">
              <w:rPr>
                <w:rFonts w:eastAsia="Calibri"/>
                <w:spacing w:val="-1"/>
                <w:sz w:val="20"/>
                <w:szCs w:val="20"/>
              </w:rPr>
              <w:t>h</w:t>
            </w:r>
            <w:r w:rsidRPr="0088154E">
              <w:rPr>
                <w:rFonts w:eastAsia="Calibri"/>
                <w:spacing w:val="1"/>
                <w:sz w:val="20"/>
                <w:szCs w:val="20"/>
              </w:rPr>
              <w:t>o</w:t>
            </w:r>
            <w:r w:rsidRPr="0088154E">
              <w:rPr>
                <w:rFonts w:eastAsia="Calibri"/>
                <w:spacing w:val="-1"/>
                <w:sz w:val="20"/>
                <w:szCs w:val="20"/>
              </w:rPr>
              <w:t>u</w:t>
            </w:r>
            <w:r w:rsidRPr="0088154E">
              <w:rPr>
                <w:rFonts w:eastAsia="Calibri"/>
                <w:sz w:val="20"/>
                <w:szCs w:val="20"/>
              </w:rPr>
              <w:t>se</w:t>
            </w:r>
            <w:r w:rsidRPr="0088154E">
              <w:rPr>
                <w:rFonts w:eastAsia="Calibri"/>
                <w:spacing w:val="-1"/>
                <w:sz w:val="20"/>
                <w:szCs w:val="20"/>
              </w:rPr>
              <w:t>h</w:t>
            </w:r>
            <w:r w:rsidRPr="0088154E">
              <w:rPr>
                <w:rFonts w:eastAsia="Calibri"/>
                <w:spacing w:val="1"/>
                <w:sz w:val="20"/>
                <w:szCs w:val="20"/>
              </w:rPr>
              <w:t>o</w:t>
            </w:r>
            <w:r w:rsidRPr="0088154E">
              <w:rPr>
                <w:rFonts w:eastAsia="Calibri"/>
                <w:sz w:val="20"/>
                <w:szCs w:val="20"/>
              </w:rPr>
              <w:t>l</w:t>
            </w:r>
            <w:r w:rsidRPr="0088154E">
              <w:rPr>
                <w:rFonts w:eastAsia="Calibri"/>
                <w:spacing w:val="-1"/>
                <w:sz w:val="20"/>
                <w:szCs w:val="20"/>
              </w:rPr>
              <w:t>d</w:t>
            </w:r>
            <w:r w:rsidRPr="0088154E">
              <w:rPr>
                <w:rFonts w:eastAsia="Calibri"/>
                <w:sz w:val="20"/>
                <w:szCs w:val="20"/>
              </w:rPr>
              <w:t>s</w:t>
            </w:r>
            <w:r w:rsidRPr="0088154E">
              <w:rPr>
                <w:rFonts w:eastAsia="Calibri"/>
                <w:spacing w:val="20"/>
                <w:sz w:val="20"/>
                <w:szCs w:val="20"/>
              </w:rPr>
              <w:t xml:space="preserve"> </w:t>
            </w:r>
            <w:r w:rsidRPr="0088154E">
              <w:rPr>
                <w:rFonts w:eastAsia="Calibri"/>
                <w:sz w:val="20"/>
                <w:szCs w:val="20"/>
              </w:rPr>
              <w:t>a</w:t>
            </w:r>
            <w:r w:rsidRPr="0088154E">
              <w:rPr>
                <w:rFonts w:eastAsia="Calibri"/>
                <w:spacing w:val="-1"/>
                <w:sz w:val="20"/>
                <w:szCs w:val="20"/>
              </w:rPr>
              <w:t>b</w:t>
            </w:r>
            <w:r w:rsidRPr="0088154E">
              <w:rPr>
                <w:rFonts w:eastAsia="Calibri"/>
                <w:sz w:val="20"/>
                <w:szCs w:val="20"/>
              </w:rPr>
              <w:t>le</w:t>
            </w:r>
            <w:r w:rsidRPr="0088154E">
              <w:rPr>
                <w:rFonts w:eastAsia="Calibri"/>
                <w:spacing w:val="9"/>
                <w:sz w:val="20"/>
                <w:szCs w:val="20"/>
              </w:rPr>
              <w:t xml:space="preserve"> </w:t>
            </w:r>
            <w:r w:rsidRPr="0088154E">
              <w:rPr>
                <w:rFonts w:eastAsia="Calibri"/>
                <w:spacing w:val="1"/>
                <w:sz w:val="20"/>
                <w:szCs w:val="20"/>
              </w:rPr>
              <w:t>t</w:t>
            </w:r>
            <w:r w:rsidRPr="0088154E">
              <w:rPr>
                <w:rFonts w:eastAsia="Calibri"/>
                <w:sz w:val="20"/>
                <w:szCs w:val="20"/>
              </w:rPr>
              <w:t>o</w:t>
            </w:r>
            <w:r w:rsidRPr="0088154E">
              <w:rPr>
                <w:rFonts w:eastAsia="Calibri"/>
                <w:spacing w:val="6"/>
                <w:sz w:val="20"/>
                <w:szCs w:val="20"/>
              </w:rPr>
              <w:t xml:space="preserve"> </w:t>
            </w:r>
            <w:r w:rsidRPr="0088154E">
              <w:rPr>
                <w:rFonts w:eastAsia="Calibri"/>
                <w:spacing w:val="1"/>
                <w:sz w:val="20"/>
                <w:szCs w:val="20"/>
              </w:rPr>
              <w:t>mo</w:t>
            </w:r>
            <w:r w:rsidRPr="0088154E">
              <w:rPr>
                <w:rFonts w:eastAsia="Calibri"/>
                <w:spacing w:val="-1"/>
                <w:sz w:val="20"/>
                <w:szCs w:val="20"/>
              </w:rPr>
              <w:t>v</w:t>
            </w:r>
            <w:r w:rsidRPr="0088154E">
              <w:rPr>
                <w:rFonts w:eastAsia="Calibri"/>
                <w:sz w:val="20"/>
                <w:szCs w:val="20"/>
              </w:rPr>
              <w:t>e</w:t>
            </w:r>
            <w:r w:rsidRPr="0088154E">
              <w:rPr>
                <w:rFonts w:eastAsia="Calibri"/>
                <w:spacing w:val="11"/>
                <w:sz w:val="20"/>
                <w:szCs w:val="20"/>
              </w:rPr>
              <w:t xml:space="preserve"> </w:t>
            </w:r>
            <w:r w:rsidRPr="0088154E">
              <w:rPr>
                <w:rFonts w:eastAsia="Calibri"/>
                <w:spacing w:val="1"/>
                <w:sz w:val="20"/>
                <w:szCs w:val="20"/>
              </w:rPr>
              <w:t>t</w:t>
            </w:r>
            <w:r w:rsidRPr="0088154E">
              <w:rPr>
                <w:rFonts w:eastAsia="Calibri"/>
                <w:sz w:val="20"/>
                <w:szCs w:val="20"/>
              </w:rPr>
              <w:t>o</w:t>
            </w:r>
            <w:r w:rsidRPr="0088154E">
              <w:rPr>
                <w:rFonts w:eastAsia="Calibri"/>
                <w:spacing w:val="6"/>
                <w:sz w:val="20"/>
                <w:szCs w:val="20"/>
              </w:rPr>
              <w:t xml:space="preserve"> </w:t>
            </w:r>
            <w:r w:rsidRPr="0088154E">
              <w:rPr>
                <w:rFonts w:eastAsia="Calibri"/>
                <w:sz w:val="20"/>
                <w:szCs w:val="20"/>
              </w:rPr>
              <w:t>a</w:t>
            </w:r>
            <w:r w:rsidRPr="0088154E">
              <w:rPr>
                <w:rFonts w:eastAsia="Calibri"/>
                <w:spacing w:val="4"/>
                <w:sz w:val="20"/>
                <w:szCs w:val="20"/>
              </w:rPr>
              <w:t xml:space="preserve"> </w:t>
            </w:r>
            <w:r w:rsidRPr="0088154E">
              <w:rPr>
                <w:rFonts w:eastAsia="Calibri"/>
                <w:spacing w:val="-1"/>
                <w:sz w:val="20"/>
                <w:szCs w:val="20"/>
              </w:rPr>
              <w:t>b</w:t>
            </w:r>
            <w:r w:rsidRPr="0088154E">
              <w:rPr>
                <w:rFonts w:eastAsia="Calibri"/>
                <w:sz w:val="20"/>
                <w:szCs w:val="20"/>
              </w:rPr>
              <w:t>e</w:t>
            </w:r>
            <w:r w:rsidRPr="0088154E">
              <w:rPr>
                <w:rFonts w:eastAsia="Calibri"/>
                <w:spacing w:val="1"/>
                <w:sz w:val="20"/>
                <w:szCs w:val="20"/>
              </w:rPr>
              <w:t>tt</w:t>
            </w:r>
            <w:r w:rsidRPr="0088154E">
              <w:rPr>
                <w:rFonts w:eastAsia="Calibri"/>
                <w:sz w:val="20"/>
                <w:szCs w:val="20"/>
              </w:rPr>
              <w:t>er</w:t>
            </w:r>
            <w:r w:rsidRPr="0088154E">
              <w:rPr>
                <w:rFonts w:eastAsia="Calibri"/>
                <w:spacing w:val="13"/>
                <w:sz w:val="20"/>
                <w:szCs w:val="20"/>
              </w:rPr>
              <w:t xml:space="preserve"> </w:t>
            </w:r>
            <w:r w:rsidRPr="0088154E">
              <w:rPr>
                <w:rFonts w:eastAsia="Calibri"/>
                <w:spacing w:val="-1"/>
                <w:w w:val="103"/>
                <w:sz w:val="20"/>
                <w:szCs w:val="20"/>
              </w:rPr>
              <w:t>un</w:t>
            </w:r>
            <w:r w:rsidRPr="0088154E">
              <w:rPr>
                <w:rFonts w:eastAsia="Calibri"/>
                <w:w w:val="103"/>
                <w:sz w:val="20"/>
                <w:szCs w:val="20"/>
              </w:rPr>
              <w:t xml:space="preserve">it </w:t>
            </w:r>
            <w:r w:rsidRPr="0088154E">
              <w:rPr>
                <w:rFonts w:eastAsia="Calibri"/>
                <w:sz w:val="20"/>
                <w:szCs w:val="20"/>
              </w:rPr>
              <w:t>a</w:t>
            </w:r>
            <w:r w:rsidRPr="0088154E">
              <w:rPr>
                <w:rFonts w:eastAsia="Calibri"/>
                <w:spacing w:val="-1"/>
                <w:sz w:val="20"/>
                <w:szCs w:val="20"/>
              </w:rPr>
              <w:t>nd</w:t>
            </w:r>
            <w:r w:rsidRPr="0088154E">
              <w:rPr>
                <w:rFonts w:eastAsia="Calibri"/>
                <w:spacing w:val="1"/>
                <w:sz w:val="20"/>
                <w:szCs w:val="20"/>
              </w:rPr>
              <w:t>/o</w:t>
            </w:r>
            <w:r w:rsidRPr="0088154E">
              <w:rPr>
                <w:rFonts w:eastAsia="Calibri"/>
                <w:sz w:val="20"/>
                <w:szCs w:val="20"/>
              </w:rPr>
              <w:t>r</w:t>
            </w:r>
            <w:r w:rsidRPr="0088154E">
              <w:rPr>
                <w:rFonts w:eastAsia="Calibri"/>
                <w:spacing w:val="14"/>
                <w:sz w:val="20"/>
                <w:szCs w:val="20"/>
              </w:rPr>
              <w:t xml:space="preserve"> </w:t>
            </w:r>
            <w:r w:rsidRPr="0088154E">
              <w:rPr>
                <w:rFonts w:eastAsia="Calibri"/>
                <w:spacing w:val="-1"/>
                <w:sz w:val="20"/>
                <w:szCs w:val="20"/>
              </w:rPr>
              <w:t>n</w:t>
            </w:r>
            <w:r w:rsidRPr="0088154E">
              <w:rPr>
                <w:rFonts w:eastAsia="Calibri"/>
                <w:sz w:val="20"/>
                <w:szCs w:val="20"/>
              </w:rPr>
              <w:t>ei</w:t>
            </w:r>
            <w:r w:rsidRPr="0088154E">
              <w:rPr>
                <w:rFonts w:eastAsia="Calibri"/>
                <w:spacing w:val="-1"/>
                <w:sz w:val="20"/>
                <w:szCs w:val="20"/>
              </w:rPr>
              <w:t>ghb</w:t>
            </w:r>
            <w:r w:rsidRPr="0088154E">
              <w:rPr>
                <w:rFonts w:eastAsia="Calibri"/>
                <w:spacing w:val="1"/>
                <w:sz w:val="20"/>
                <w:szCs w:val="20"/>
              </w:rPr>
              <w:t>or</w:t>
            </w:r>
            <w:r w:rsidRPr="0088154E">
              <w:rPr>
                <w:rFonts w:eastAsia="Calibri"/>
                <w:spacing w:val="-1"/>
                <w:sz w:val="20"/>
                <w:szCs w:val="20"/>
              </w:rPr>
              <w:t>h</w:t>
            </w:r>
            <w:r w:rsidRPr="0088154E">
              <w:rPr>
                <w:rFonts w:eastAsia="Calibri"/>
                <w:spacing w:val="1"/>
                <w:sz w:val="20"/>
                <w:szCs w:val="20"/>
              </w:rPr>
              <w:t>oo</w:t>
            </w:r>
            <w:r w:rsidRPr="0088154E">
              <w:rPr>
                <w:rFonts w:eastAsia="Calibri"/>
                <w:sz w:val="20"/>
                <w:szCs w:val="20"/>
              </w:rPr>
              <w:t>d</w:t>
            </w:r>
            <w:r w:rsidRPr="0088154E">
              <w:rPr>
                <w:rFonts w:eastAsia="Calibri"/>
                <w:spacing w:val="23"/>
                <w:sz w:val="20"/>
                <w:szCs w:val="20"/>
              </w:rPr>
              <w:t xml:space="preserve"> </w:t>
            </w:r>
            <w:r w:rsidRPr="0088154E">
              <w:rPr>
                <w:rFonts w:eastAsia="Calibri"/>
                <w:spacing w:val="1"/>
                <w:sz w:val="20"/>
                <w:szCs w:val="20"/>
              </w:rPr>
              <w:t>o</w:t>
            </w:r>
            <w:r w:rsidRPr="0088154E">
              <w:rPr>
                <w:rFonts w:eastAsia="Calibri"/>
                <w:sz w:val="20"/>
                <w:szCs w:val="20"/>
              </w:rPr>
              <w:t>f</w:t>
            </w:r>
            <w:r w:rsidRPr="0088154E">
              <w:rPr>
                <w:rFonts w:eastAsia="Calibri"/>
                <w:spacing w:val="5"/>
                <w:sz w:val="20"/>
                <w:szCs w:val="20"/>
              </w:rPr>
              <w:t xml:space="preserve"> </w:t>
            </w:r>
            <w:r w:rsidRPr="0088154E">
              <w:rPr>
                <w:rFonts w:eastAsia="Calibri"/>
                <w:spacing w:val="1"/>
                <w:sz w:val="20"/>
                <w:szCs w:val="20"/>
              </w:rPr>
              <w:t>o</w:t>
            </w:r>
            <w:r w:rsidRPr="0088154E">
              <w:rPr>
                <w:rFonts w:eastAsia="Calibri"/>
                <w:spacing w:val="-1"/>
                <w:sz w:val="20"/>
                <w:szCs w:val="20"/>
              </w:rPr>
              <w:t>pp</w:t>
            </w:r>
            <w:r w:rsidRPr="0088154E">
              <w:rPr>
                <w:rFonts w:eastAsia="Calibri"/>
                <w:spacing w:val="1"/>
                <w:sz w:val="20"/>
                <w:szCs w:val="20"/>
              </w:rPr>
              <w:t>ort</w:t>
            </w:r>
            <w:r w:rsidRPr="0088154E">
              <w:rPr>
                <w:rFonts w:eastAsia="Calibri"/>
                <w:spacing w:val="-1"/>
                <w:sz w:val="20"/>
                <w:szCs w:val="20"/>
              </w:rPr>
              <w:t>un</w:t>
            </w:r>
            <w:r w:rsidRPr="0088154E">
              <w:rPr>
                <w:rFonts w:eastAsia="Calibri"/>
                <w:sz w:val="20"/>
                <w:szCs w:val="20"/>
              </w:rPr>
              <w:t>i</w:t>
            </w:r>
            <w:r w:rsidRPr="0088154E">
              <w:rPr>
                <w:rFonts w:eastAsia="Calibri"/>
                <w:spacing w:val="1"/>
                <w:sz w:val="20"/>
                <w:szCs w:val="20"/>
              </w:rPr>
              <w:t>t</w:t>
            </w:r>
            <w:r w:rsidRPr="0088154E">
              <w:rPr>
                <w:rFonts w:eastAsia="Calibri"/>
                <w:sz w:val="20"/>
                <w:szCs w:val="20"/>
              </w:rPr>
              <w:t>y</w:t>
            </w:r>
            <w:r w:rsidRPr="0088154E">
              <w:rPr>
                <w:rFonts w:eastAsia="Calibri"/>
                <w:spacing w:val="20"/>
                <w:sz w:val="20"/>
                <w:szCs w:val="20"/>
              </w:rPr>
              <w:t xml:space="preserve"> </w:t>
            </w:r>
            <w:r w:rsidRPr="0088154E">
              <w:rPr>
                <w:rFonts w:eastAsia="Calibri"/>
                <w:sz w:val="20"/>
                <w:szCs w:val="20"/>
              </w:rPr>
              <w:t>as</w:t>
            </w:r>
            <w:r w:rsidRPr="0088154E">
              <w:rPr>
                <w:rFonts w:eastAsia="Calibri"/>
                <w:spacing w:val="5"/>
                <w:sz w:val="20"/>
                <w:szCs w:val="20"/>
              </w:rPr>
              <w:t xml:space="preserve"> </w:t>
            </w:r>
            <w:r w:rsidRPr="0088154E">
              <w:rPr>
                <w:rFonts w:eastAsia="Calibri"/>
                <w:sz w:val="20"/>
                <w:szCs w:val="20"/>
              </w:rPr>
              <w:t>a</w:t>
            </w:r>
            <w:r w:rsidRPr="0088154E">
              <w:rPr>
                <w:rFonts w:eastAsia="Calibri"/>
                <w:spacing w:val="4"/>
                <w:sz w:val="20"/>
                <w:szCs w:val="20"/>
              </w:rPr>
              <w:t xml:space="preserve"> </w:t>
            </w:r>
            <w:r w:rsidRPr="0088154E">
              <w:rPr>
                <w:rFonts w:eastAsia="Calibri"/>
                <w:spacing w:val="1"/>
                <w:sz w:val="20"/>
                <w:szCs w:val="20"/>
              </w:rPr>
              <w:t>r</w:t>
            </w:r>
            <w:r w:rsidRPr="0088154E">
              <w:rPr>
                <w:rFonts w:eastAsia="Calibri"/>
                <w:sz w:val="20"/>
                <w:szCs w:val="20"/>
              </w:rPr>
              <w:t>es</w:t>
            </w:r>
            <w:r w:rsidRPr="0088154E">
              <w:rPr>
                <w:rFonts w:eastAsia="Calibri"/>
                <w:spacing w:val="-1"/>
                <w:sz w:val="20"/>
                <w:szCs w:val="20"/>
              </w:rPr>
              <w:t>u</w:t>
            </w:r>
            <w:r w:rsidRPr="0088154E">
              <w:rPr>
                <w:rFonts w:eastAsia="Calibri"/>
                <w:sz w:val="20"/>
                <w:szCs w:val="20"/>
              </w:rPr>
              <w:t>lt</w:t>
            </w:r>
            <w:r w:rsidRPr="0088154E">
              <w:rPr>
                <w:rFonts w:eastAsia="Calibri"/>
                <w:spacing w:val="11"/>
                <w:sz w:val="20"/>
                <w:szCs w:val="20"/>
              </w:rPr>
              <w:t xml:space="preserve"> </w:t>
            </w:r>
            <w:r w:rsidRPr="0088154E">
              <w:rPr>
                <w:rFonts w:eastAsia="Calibri"/>
                <w:spacing w:val="1"/>
                <w:sz w:val="20"/>
                <w:szCs w:val="20"/>
              </w:rPr>
              <w:t>o</w:t>
            </w:r>
            <w:r w:rsidRPr="0088154E">
              <w:rPr>
                <w:rFonts w:eastAsia="Calibri"/>
                <w:sz w:val="20"/>
                <w:szCs w:val="20"/>
              </w:rPr>
              <w:t>f</w:t>
            </w:r>
            <w:r w:rsidRPr="0088154E">
              <w:rPr>
                <w:rFonts w:eastAsia="Calibri"/>
                <w:spacing w:val="5"/>
                <w:sz w:val="20"/>
                <w:szCs w:val="20"/>
              </w:rPr>
              <w:t xml:space="preserve"> </w:t>
            </w:r>
            <w:r w:rsidRPr="0088154E">
              <w:rPr>
                <w:rFonts w:eastAsia="Calibri"/>
                <w:spacing w:val="1"/>
                <w:w w:val="103"/>
                <w:sz w:val="20"/>
                <w:szCs w:val="20"/>
              </w:rPr>
              <w:t>t</w:t>
            </w:r>
            <w:r w:rsidRPr="0088154E">
              <w:rPr>
                <w:rFonts w:eastAsia="Calibri"/>
                <w:spacing w:val="-1"/>
                <w:w w:val="103"/>
                <w:sz w:val="20"/>
                <w:szCs w:val="20"/>
              </w:rPr>
              <w:t>h</w:t>
            </w:r>
            <w:r w:rsidRPr="0088154E">
              <w:rPr>
                <w:rFonts w:eastAsia="Calibri"/>
                <w:w w:val="103"/>
                <w:sz w:val="20"/>
                <w:szCs w:val="20"/>
              </w:rPr>
              <w:t xml:space="preserve">e </w:t>
            </w:r>
            <w:r w:rsidRPr="0088154E">
              <w:rPr>
                <w:rFonts w:eastAsia="Calibri"/>
                <w:sz w:val="20"/>
                <w:szCs w:val="20"/>
              </w:rPr>
              <w:t>a</w:t>
            </w:r>
            <w:r w:rsidRPr="0088154E">
              <w:rPr>
                <w:rFonts w:eastAsia="Calibri"/>
                <w:spacing w:val="1"/>
                <w:sz w:val="20"/>
                <w:szCs w:val="20"/>
              </w:rPr>
              <w:t>ct</w:t>
            </w:r>
            <w:r w:rsidRPr="0088154E">
              <w:rPr>
                <w:rFonts w:eastAsia="Calibri"/>
                <w:sz w:val="20"/>
                <w:szCs w:val="20"/>
              </w:rPr>
              <w:t>i</w:t>
            </w:r>
            <w:r w:rsidRPr="0088154E">
              <w:rPr>
                <w:rFonts w:eastAsia="Calibri"/>
                <w:spacing w:val="-1"/>
                <w:sz w:val="20"/>
                <w:szCs w:val="20"/>
              </w:rPr>
              <w:t>v</w:t>
            </w:r>
            <w:r w:rsidRPr="0088154E">
              <w:rPr>
                <w:rFonts w:eastAsia="Calibri"/>
                <w:sz w:val="20"/>
                <w:szCs w:val="20"/>
              </w:rPr>
              <w:t>i</w:t>
            </w:r>
            <w:r w:rsidRPr="0088154E">
              <w:rPr>
                <w:rFonts w:eastAsia="Calibri"/>
                <w:spacing w:val="1"/>
                <w:sz w:val="20"/>
                <w:szCs w:val="20"/>
              </w:rPr>
              <w:t>t</w:t>
            </w:r>
            <w:r w:rsidRPr="0088154E">
              <w:rPr>
                <w:rFonts w:eastAsia="Calibri"/>
                <w:sz w:val="20"/>
                <w:szCs w:val="20"/>
              </w:rPr>
              <w:t>y</w:t>
            </w:r>
            <w:r w:rsidRPr="0088154E">
              <w:rPr>
                <w:rFonts w:eastAsia="Calibri"/>
                <w:spacing w:val="12"/>
                <w:sz w:val="20"/>
                <w:szCs w:val="20"/>
              </w:rPr>
              <w:t xml:space="preserve"> </w:t>
            </w:r>
            <w:r w:rsidRPr="0088154E">
              <w:rPr>
                <w:rFonts w:eastAsia="Calibri"/>
                <w:w w:val="103"/>
                <w:sz w:val="20"/>
                <w:szCs w:val="20"/>
              </w:rPr>
              <w:t>(i</w:t>
            </w:r>
            <w:r w:rsidRPr="0088154E">
              <w:rPr>
                <w:rFonts w:eastAsia="Calibri"/>
                <w:spacing w:val="-1"/>
                <w:w w:val="103"/>
                <w:sz w:val="20"/>
                <w:szCs w:val="20"/>
              </w:rPr>
              <w:t>n</w:t>
            </w:r>
            <w:r w:rsidRPr="0088154E">
              <w:rPr>
                <w:rFonts w:eastAsia="Calibri"/>
                <w:spacing w:val="1"/>
                <w:w w:val="103"/>
                <w:sz w:val="20"/>
                <w:szCs w:val="20"/>
              </w:rPr>
              <w:t>cr</w:t>
            </w:r>
            <w:r w:rsidRPr="0088154E">
              <w:rPr>
                <w:rFonts w:eastAsia="Calibri"/>
                <w:w w:val="103"/>
                <w:sz w:val="20"/>
                <w:szCs w:val="20"/>
              </w:rPr>
              <w:t>ease).</w:t>
            </w:r>
          </w:p>
        </w:tc>
        <w:tc>
          <w:tcPr>
            <w:tcW w:w="1714" w:type="dxa"/>
          </w:tcPr>
          <w:p w14:paraId="0447AACE" w14:textId="77777777" w:rsidR="00842D83" w:rsidRPr="0088154E" w:rsidRDefault="00842D83" w:rsidP="001A3248">
            <w:pPr>
              <w:jc w:val="center"/>
              <w:rPr>
                <w:b/>
                <w:bCs/>
                <w:i/>
                <w:iCs/>
                <w:sz w:val="20"/>
                <w:szCs w:val="20"/>
              </w:rPr>
            </w:pPr>
            <w:r w:rsidRPr="0088154E">
              <w:rPr>
                <w:color w:val="000000"/>
                <w:sz w:val="20"/>
                <w:szCs w:val="20"/>
              </w:rPr>
              <w:t>0</w:t>
            </w:r>
          </w:p>
        </w:tc>
        <w:tc>
          <w:tcPr>
            <w:tcW w:w="1627" w:type="dxa"/>
          </w:tcPr>
          <w:p w14:paraId="4C704E78" w14:textId="6D2DC4A8" w:rsidR="00842D83" w:rsidRPr="0088154E" w:rsidRDefault="00A62729" w:rsidP="001A3248">
            <w:pPr>
              <w:jc w:val="center"/>
              <w:rPr>
                <w:b/>
                <w:bCs/>
                <w:i/>
                <w:iCs/>
                <w:sz w:val="20"/>
                <w:szCs w:val="20"/>
              </w:rPr>
            </w:pPr>
            <w:r w:rsidRPr="0088154E">
              <w:rPr>
                <w:bCs/>
                <w:iCs/>
                <w:sz w:val="20"/>
                <w:szCs w:val="20"/>
              </w:rPr>
              <w:t>26</w:t>
            </w:r>
          </w:p>
        </w:tc>
        <w:tc>
          <w:tcPr>
            <w:tcW w:w="1354" w:type="dxa"/>
          </w:tcPr>
          <w:p w14:paraId="0B7F1CD3" w14:textId="4746E45B" w:rsidR="00842D83" w:rsidRPr="0088154E" w:rsidRDefault="00842D83" w:rsidP="001A3248">
            <w:pPr>
              <w:jc w:val="center"/>
              <w:rPr>
                <w:bCs/>
                <w:iCs/>
                <w:sz w:val="20"/>
                <w:szCs w:val="20"/>
              </w:rPr>
            </w:pPr>
          </w:p>
        </w:tc>
        <w:tc>
          <w:tcPr>
            <w:tcW w:w="1440" w:type="dxa"/>
          </w:tcPr>
          <w:p w14:paraId="26818C37" w14:textId="594FC0FD" w:rsidR="00842D83" w:rsidRPr="0088154E" w:rsidRDefault="00842D83" w:rsidP="001A3248">
            <w:pPr>
              <w:jc w:val="center"/>
              <w:rPr>
                <w:b/>
                <w:bCs/>
                <w:iCs/>
                <w:sz w:val="20"/>
                <w:szCs w:val="20"/>
              </w:rPr>
            </w:pPr>
          </w:p>
        </w:tc>
      </w:tr>
    </w:tbl>
    <w:p w14:paraId="6264A0A6" w14:textId="77777777" w:rsidR="0098594D" w:rsidRPr="0088154E" w:rsidRDefault="0098594D" w:rsidP="0098594D">
      <w:pPr>
        <w:jc w:val="both"/>
        <w:rPr>
          <w:b/>
          <w:color w:val="000000"/>
          <w:sz w:val="22"/>
          <w:szCs w:val="22"/>
        </w:rPr>
      </w:pPr>
    </w:p>
    <w:p w14:paraId="6AB7BA09" w14:textId="4B8903D3" w:rsidR="0098594D" w:rsidRPr="0088154E" w:rsidRDefault="0098594D" w:rsidP="0098594D">
      <w:pPr>
        <w:jc w:val="both"/>
        <w:rPr>
          <w:b/>
          <w:color w:val="000000"/>
          <w:sz w:val="22"/>
          <w:szCs w:val="22"/>
        </w:rPr>
      </w:pPr>
      <w:r w:rsidRPr="0088154E">
        <w:rPr>
          <w:b/>
          <w:color w:val="000000"/>
          <w:sz w:val="22"/>
          <w:szCs w:val="22"/>
        </w:rPr>
        <w:t>Planned Significant Changes</w:t>
      </w:r>
    </w:p>
    <w:p w14:paraId="2568CDCD" w14:textId="77777777" w:rsidR="0098594D" w:rsidRPr="0088154E" w:rsidRDefault="0098594D" w:rsidP="0098594D">
      <w:pPr>
        <w:jc w:val="both"/>
        <w:rPr>
          <w:color w:val="000000" w:themeColor="text1"/>
          <w:sz w:val="22"/>
          <w:szCs w:val="22"/>
        </w:rPr>
      </w:pPr>
      <w:r w:rsidRPr="0088154E">
        <w:rPr>
          <w:color w:val="000000" w:themeColor="text1"/>
          <w:sz w:val="22"/>
          <w:szCs w:val="22"/>
        </w:rPr>
        <w:t>No significant changes are planned.</w:t>
      </w:r>
    </w:p>
    <w:p w14:paraId="66F3B53A" w14:textId="77777777" w:rsidR="006D6981" w:rsidRPr="0088154E" w:rsidRDefault="006D6981" w:rsidP="002F3C7A">
      <w:pPr>
        <w:rPr>
          <w:color w:val="000000"/>
        </w:rPr>
        <w:sectPr w:rsidR="006D6981" w:rsidRPr="0088154E" w:rsidSect="00F61294">
          <w:pgSz w:w="12240" w:h="15840"/>
          <w:pgMar w:top="1440" w:right="1440" w:bottom="1440" w:left="1440" w:header="720" w:footer="720" w:gutter="0"/>
          <w:cols w:space="720"/>
          <w:docGrid w:linePitch="360"/>
        </w:sectPr>
      </w:pPr>
    </w:p>
    <w:p w14:paraId="2E7C605E" w14:textId="77777777" w:rsidR="006D6981" w:rsidRPr="0088154E" w:rsidRDefault="006D6981" w:rsidP="001F2A56">
      <w:pPr>
        <w:pStyle w:val="Heading3"/>
      </w:pPr>
      <w:bookmarkStart w:id="66" w:name="_Toc33016949"/>
      <w:r w:rsidRPr="0088154E">
        <w:t>Activity 2018-7: Enhanced Local Project-Based Voucher Program</w:t>
      </w:r>
      <w:bookmarkEnd w:id="66"/>
    </w:p>
    <w:p w14:paraId="7489B802" w14:textId="77777777" w:rsidR="006D6981" w:rsidRPr="0088154E" w:rsidRDefault="006D6981" w:rsidP="00FC2C7F"/>
    <w:p w14:paraId="413E864A" w14:textId="77777777" w:rsidR="00C73902" w:rsidRPr="0088154E" w:rsidRDefault="00C73902" w:rsidP="00C73902">
      <w:pPr>
        <w:jc w:val="both"/>
        <w:rPr>
          <w:color w:val="000000"/>
          <w:sz w:val="22"/>
          <w:szCs w:val="22"/>
        </w:rPr>
      </w:pPr>
      <w:r w:rsidRPr="0088154E">
        <w:rPr>
          <w:b/>
          <w:color w:val="000000"/>
          <w:sz w:val="22"/>
          <w:szCs w:val="22"/>
        </w:rPr>
        <w:t>Plan Year Approved, Implemented, Amended</w:t>
      </w:r>
      <w:r w:rsidRPr="0088154E">
        <w:rPr>
          <w:color w:val="000000"/>
          <w:sz w:val="22"/>
          <w:szCs w:val="22"/>
        </w:rPr>
        <w:t xml:space="preserve"> </w:t>
      </w:r>
    </w:p>
    <w:p w14:paraId="16B289F8" w14:textId="77777777" w:rsidR="00C73902" w:rsidRPr="0088154E" w:rsidRDefault="00C73902" w:rsidP="00C73902">
      <w:pPr>
        <w:jc w:val="both"/>
        <w:rPr>
          <w:sz w:val="22"/>
          <w:szCs w:val="22"/>
        </w:rPr>
      </w:pPr>
      <w:r w:rsidRPr="0088154E">
        <w:rPr>
          <w:sz w:val="22"/>
          <w:szCs w:val="22"/>
        </w:rPr>
        <w:t xml:space="preserve">Enhanced Local PBV: Approved and implemented FY 2018. </w:t>
      </w:r>
    </w:p>
    <w:p w14:paraId="5A63B4B3" w14:textId="77777777" w:rsidR="00C73902" w:rsidRPr="0088154E" w:rsidRDefault="00C73902" w:rsidP="00C73902">
      <w:pPr>
        <w:jc w:val="both"/>
        <w:rPr>
          <w:color w:val="000000"/>
          <w:sz w:val="22"/>
          <w:szCs w:val="22"/>
        </w:rPr>
      </w:pPr>
      <w:r w:rsidRPr="0088154E">
        <w:rPr>
          <w:sz w:val="22"/>
          <w:szCs w:val="22"/>
        </w:rPr>
        <w:t>PBV Site-Based Waiting Lists were approved in FY 2010 and implementation began in FY 2013.</w:t>
      </w:r>
    </w:p>
    <w:p w14:paraId="3E182D6A" w14:textId="77777777" w:rsidR="00C73902" w:rsidRPr="0088154E" w:rsidRDefault="00C73902" w:rsidP="00C73902">
      <w:pPr>
        <w:jc w:val="both"/>
        <w:rPr>
          <w:color w:val="000000"/>
          <w:sz w:val="22"/>
          <w:szCs w:val="22"/>
        </w:rPr>
      </w:pPr>
    </w:p>
    <w:p w14:paraId="626517F7" w14:textId="77777777" w:rsidR="006D6981" w:rsidRPr="0088154E" w:rsidRDefault="00980DF0" w:rsidP="006D6981">
      <w:pPr>
        <w:tabs>
          <w:tab w:val="left" w:pos="450"/>
        </w:tabs>
        <w:jc w:val="both"/>
        <w:rPr>
          <w:b/>
          <w:color w:val="000000"/>
          <w:sz w:val="22"/>
          <w:szCs w:val="22"/>
        </w:rPr>
      </w:pPr>
      <w:r w:rsidRPr="0088154E">
        <w:rPr>
          <w:b/>
          <w:color w:val="000000"/>
          <w:sz w:val="22"/>
          <w:szCs w:val="22"/>
        </w:rPr>
        <w:t>Description/Update</w:t>
      </w:r>
    </w:p>
    <w:p w14:paraId="5B5546A8" w14:textId="433304FC" w:rsidR="001A727F" w:rsidRPr="000023E3" w:rsidRDefault="006D6981" w:rsidP="0007503C">
      <w:pPr>
        <w:tabs>
          <w:tab w:val="left" w:pos="0"/>
          <w:tab w:val="left" w:pos="90"/>
        </w:tabs>
        <w:jc w:val="both"/>
        <w:rPr>
          <w:color w:val="000000"/>
          <w:sz w:val="22"/>
          <w:szCs w:val="22"/>
        </w:rPr>
      </w:pPr>
      <w:r w:rsidRPr="0088154E">
        <w:rPr>
          <w:color w:val="000000"/>
          <w:sz w:val="22"/>
          <w:szCs w:val="22"/>
        </w:rPr>
        <w:t>In FY 2018</w:t>
      </w:r>
      <w:r w:rsidR="003222FE" w:rsidRPr="000023E3">
        <w:rPr>
          <w:color w:val="000000"/>
          <w:sz w:val="22"/>
          <w:szCs w:val="22"/>
        </w:rPr>
        <w:t>,</w:t>
      </w:r>
      <w:r w:rsidRPr="000023E3">
        <w:rPr>
          <w:color w:val="000000"/>
          <w:sz w:val="22"/>
          <w:szCs w:val="22"/>
        </w:rPr>
        <w:t xml:space="preserve"> HUD approved DHCD’s Enhanced Local Project-Based Voucher Program activity. </w:t>
      </w:r>
      <w:r w:rsidR="00D83E3F" w:rsidRPr="000023E3">
        <w:rPr>
          <w:color w:val="000000"/>
          <w:sz w:val="22"/>
          <w:szCs w:val="22"/>
        </w:rPr>
        <w:t>Through its Project-Based Voucher (PBV) P</w:t>
      </w:r>
      <w:r w:rsidR="00980DF0" w:rsidRPr="000023E3">
        <w:rPr>
          <w:color w:val="000000"/>
          <w:sz w:val="22"/>
          <w:szCs w:val="22"/>
        </w:rPr>
        <w:t xml:space="preserve">rogram, DHCD partners with for-profit and non-profit housing providers to expand the supply of affordable housing to low-income families. To </w:t>
      </w:r>
      <w:r w:rsidR="004076A7" w:rsidRPr="000023E3">
        <w:rPr>
          <w:color w:val="000000"/>
          <w:sz w:val="22"/>
          <w:szCs w:val="22"/>
        </w:rPr>
        <w:t>meet the evolving needs of the A</w:t>
      </w:r>
      <w:r w:rsidR="00980DF0" w:rsidRPr="000023E3">
        <w:rPr>
          <w:color w:val="000000"/>
          <w:sz w:val="22"/>
          <w:szCs w:val="22"/>
        </w:rPr>
        <w:t xml:space="preserve">gency and </w:t>
      </w:r>
      <w:r w:rsidR="00D2512D" w:rsidRPr="000023E3">
        <w:rPr>
          <w:color w:val="000000"/>
          <w:sz w:val="22"/>
          <w:szCs w:val="22"/>
        </w:rPr>
        <w:t xml:space="preserve">the residents served, DHCD </w:t>
      </w:r>
      <w:r w:rsidR="00980DF0" w:rsidRPr="000023E3">
        <w:rPr>
          <w:color w:val="000000"/>
          <w:sz w:val="22"/>
          <w:szCs w:val="22"/>
        </w:rPr>
        <w:t>enhance</w:t>
      </w:r>
      <w:r w:rsidR="00D2512D" w:rsidRPr="000023E3">
        <w:rPr>
          <w:color w:val="000000"/>
          <w:sz w:val="22"/>
          <w:szCs w:val="22"/>
        </w:rPr>
        <w:t>d</w:t>
      </w:r>
      <w:r w:rsidR="00980DF0" w:rsidRPr="000023E3">
        <w:rPr>
          <w:color w:val="000000"/>
          <w:sz w:val="22"/>
          <w:szCs w:val="22"/>
        </w:rPr>
        <w:t xml:space="preserve"> and expand</w:t>
      </w:r>
      <w:r w:rsidR="00D2512D" w:rsidRPr="000023E3">
        <w:rPr>
          <w:color w:val="000000"/>
          <w:sz w:val="22"/>
          <w:szCs w:val="22"/>
        </w:rPr>
        <w:t>ed</w:t>
      </w:r>
      <w:r w:rsidR="00D83E3F" w:rsidRPr="000023E3">
        <w:rPr>
          <w:color w:val="000000"/>
          <w:sz w:val="22"/>
          <w:szCs w:val="22"/>
        </w:rPr>
        <w:t xml:space="preserve"> its existing PBV P</w:t>
      </w:r>
      <w:r w:rsidR="00980DF0" w:rsidRPr="000023E3">
        <w:rPr>
          <w:color w:val="000000"/>
          <w:sz w:val="22"/>
          <w:szCs w:val="22"/>
        </w:rPr>
        <w:t xml:space="preserve">rogram </w:t>
      </w:r>
      <w:r w:rsidR="001A727F" w:rsidRPr="000023E3">
        <w:rPr>
          <w:color w:val="000000"/>
          <w:sz w:val="22"/>
          <w:szCs w:val="22"/>
        </w:rPr>
        <w:t>as follows:</w:t>
      </w:r>
    </w:p>
    <w:p w14:paraId="7FDCB905" w14:textId="0128C7DB" w:rsidR="00761B72" w:rsidRPr="000023E3" w:rsidRDefault="00761B72" w:rsidP="0051341A">
      <w:pPr>
        <w:contextualSpacing/>
        <w:jc w:val="both"/>
        <w:rPr>
          <w:color w:val="000000"/>
          <w:sz w:val="22"/>
          <w:szCs w:val="22"/>
        </w:rPr>
      </w:pPr>
    </w:p>
    <w:p w14:paraId="610F3BDA" w14:textId="53BF2461" w:rsidR="007B23C6" w:rsidRPr="000023E3" w:rsidRDefault="007B23C6" w:rsidP="00AA5A80">
      <w:pPr>
        <w:pStyle w:val="ListParagraph"/>
        <w:numPr>
          <w:ilvl w:val="0"/>
          <w:numId w:val="16"/>
        </w:numPr>
        <w:contextualSpacing/>
        <w:jc w:val="both"/>
        <w:rPr>
          <w:color w:val="000000"/>
        </w:rPr>
      </w:pPr>
      <w:r w:rsidRPr="000023E3">
        <w:rPr>
          <w:rFonts w:cs="Arial"/>
        </w:rPr>
        <w:t>DHCD authorized owners/managers of PBV developments to be responsible for all PBV waiting list intake and management fu</w:t>
      </w:r>
      <w:r w:rsidR="0096084D" w:rsidRPr="000023E3">
        <w:rPr>
          <w:rFonts w:cs="Arial"/>
        </w:rPr>
        <w:t xml:space="preserve">nctions for their developments. </w:t>
      </w:r>
      <w:r w:rsidR="00761B72" w:rsidRPr="000023E3">
        <w:rPr>
          <w:color w:val="000000"/>
        </w:rPr>
        <w:t>Applicants contact the owner/manager of a specific development in or</w:t>
      </w:r>
      <w:r w:rsidR="001354CB" w:rsidRPr="000023E3">
        <w:rPr>
          <w:color w:val="000000"/>
        </w:rPr>
        <w:t>der to file an application. A</w:t>
      </w:r>
      <w:r w:rsidR="00761B72" w:rsidRPr="000023E3">
        <w:rPr>
          <w:color w:val="000000"/>
        </w:rPr>
        <w:t xml:space="preserve">pplicant files and the waiting list itself are maintained at the development site. Owner/managers are responsible for contacting and screening applicants who come to the top of the waiting list, collecting all needed information from the applicant, and then forwarding the applicant to the RAA for eligibility determination and processing. </w:t>
      </w:r>
    </w:p>
    <w:p w14:paraId="5A21F1C6" w14:textId="77777777" w:rsidR="00761B72" w:rsidRPr="000023E3" w:rsidRDefault="00761B72" w:rsidP="00F23D78">
      <w:pPr>
        <w:pStyle w:val="ListParagraph"/>
        <w:numPr>
          <w:ilvl w:val="0"/>
          <w:numId w:val="0"/>
        </w:numPr>
        <w:ind w:left="720"/>
        <w:contextualSpacing/>
        <w:jc w:val="both"/>
        <w:rPr>
          <w:rFonts w:cs="Arial"/>
        </w:rPr>
      </w:pPr>
    </w:p>
    <w:p w14:paraId="012584F5" w14:textId="07872CD8" w:rsidR="001A727F" w:rsidRPr="000023E3" w:rsidRDefault="001A727F" w:rsidP="00AA5A80">
      <w:pPr>
        <w:pStyle w:val="ListParagraph"/>
        <w:numPr>
          <w:ilvl w:val="0"/>
          <w:numId w:val="16"/>
        </w:numPr>
        <w:jc w:val="both"/>
        <w:rPr>
          <w:color w:val="000000"/>
        </w:rPr>
      </w:pPr>
      <w:r w:rsidRPr="000023E3">
        <w:rPr>
          <w:color w:val="000000"/>
        </w:rPr>
        <w:t>Increase the 20% cap on PB units in DHCD’s</w:t>
      </w:r>
      <w:r w:rsidR="00980DF0" w:rsidRPr="000023E3">
        <w:rPr>
          <w:color w:val="000000"/>
        </w:rPr>
        <w:t xml:space="preserve"> portfolio</w:t>
      </w:r>
      <w:r w:rsidRPr="000023E3">
        <w:rPr>
          <w:color w:val="000000"/>
        </w:rPr>
        <w:t xml:space="preserve">. </w:t>
      </w:r>
      <w:r w:rsidR="00D83E3F" w:rsidRPr="000023E3">
        <w:t>DHCD will use</w:t>
      </w:r>
      <w:r w:rsidRPr="000023E3">
        <w:t xml:space="preserve"> 40% as the cap for budget authority allocated to Project-Based vouchers.</w:t>
      </w:r>
    </w:p>
    <w:p w14:paraId="176A4CA6" w14:textId="77777777" w:rsidR="00087408" w:rsidRPr="000023E3" w:rsidRDefault="00087408" w:rsidP="00074854">
      <w:pPr>
        <w:ind w:left="720"/>
        <w:jc w:val="both"/>
        <w:rPr>
          <w:sz w:val="22"/>
          <w:szCs w:val="22"/>
        </w:rPr>
      </w:pPr>
    </w:p>
    <w:p w14:paraId="640B4522" w14:textId="77777777" w:rsidR="001A727F" w:rsidRPr="000023E3" w:rsidRDefault="001A727F" w:rsidP="00AA5A80">
      <w:pPr>
        <w:pStyle w:val="ListParagraph"/>
        <w:numPr>
          <w:ilvl w:val="0"/>
          <w:numId w:val="16"/>
        </w:numPr>
        <w:jc w:val="both"/>
        <w:rPr>
          <w:color w:val="000000"/>
        </w:rPr>
      </w:pPr>
      <w:r w:rsidRPr="000023E3">
        <w:t>Project base up to 100% of the dwelling units in any PBV project or building.</w:t>
      </w:r>
    </w:p>
    <w:p w14:paraId="1F6823F9" w14:textId="77777777" w:rsidR="00087408" w:rsidRPr="000023E3" w:rsidRDefault="00087408" w:rsidP="00074854">
      <w:pPr>
        <w:ind w:left="360"/>
        <w:jc w:val="both"/>
        <w:rPr>
          <w:sz w:val="22"/>
          <w:szCs w:val="22"/>
        </w:rPr>
      </w:pPr>
    </w:p>
    <w:p w14:paraId="1CBC8CC2" w14:textId="77777777" w:rsidR="007B23C6" w:rsidRPr="000023E3" w:rsidRDefault="007B23C6" w:rsidP="00AA5A80">
      <w:pPr>
        <w:pStyle w:val="ListParagraph"/>
        <w:numPr>
          <w:ilvl w:val="0"/>
          <w:numId w:val="16"/>
        </w:numPr>
        <w:tabs>
          <w:tab w:val="left" w:pos="360"/>
        </w:tabs>
        <w:jc w:val="both"/>
      </w:pPr>
      <w:r w:rsidRPr="000023E3">
        <w:t xml:space="preserve">Initial PBV rents will continue to be determined in conformance with the provisions of 24 CFR 983.301 through 983.305 as applicable; however, for re-determined rents to owners of PBV units, </w:t>
      </w:r>
      <w:r w:rsidRPr="000023E3">
        <w:rPr>
          <w:color w:val="000000" w:themeColor="text1"/>
        </w:rPr>
        <w:t>rent to owner will not exceed the lowest of the following amounts:</w:t>
      </w:r>
    </w:p>
    <w:p w14:paraId="0870C28D" w14:textId="77777777" w:rsidR="007B23C6" w:rsidRPr="000023E3" w:rsidRDefault="007B23C6" w:rsidP="007B23C6">
      <w:pPr>
        <w:ind w:left="360"/>
        <w:contextualSpacing/>
        <w:rPr>
          <w:sz w:val="22"/>
          <w:szCs w:val="22"/>
        </w:rPr>
      </w:pPr>
      <w:r w:rsidRPr="000023E3">
        <w:rPr>
          <w:color w:val="000000" w:themeColor="text1"/>
          <w:sz w:val="22"/>
          <w:szCs w:val="22"/>
        </w:rPr>
        <w:t> </w:t>
      </w:r>
    </w:p>
    <w:p w14:paraId="09F76571" w14:textId="77777777" w:rsidR="008E3F77" w:rsidRPr="000023E3" w:rsidRDefault="007B23C6" w:rsidP="00AA5A80">
      <w:pPr>
        <w:numPr>
          <w:ilvl w:val="1"/>
          <w:numId w:val="16"/>
        </w:numPr>
        <w:tabs>
          <w:tab w:val="left" w:pos="720"/>
        </w:tabs>
        <w:contextualSpacing/>
        <w:jc w:val="both"/>
        <w:rPr>
          <w:sz w:val="22"/>
          <w:szCs w:val="22"/>
        </w:rPr>
      </w:pPr>
      <w:r w:rsidRPr="000023E3">
        <w:rPr>
          <w:sz w:val="22"/>
          <w:szCs w:val="22"/>
        </w:rPr>
        <w:t xml:space="preserve">The reasonable rent; </w:t>
      </w:r>
    </w:p>
    <w:p w14:paraId="313FA86A" w14:textId="69B52632" w:rsidR="007B23C6" w:rsidRPr="000023E3" w:rsidRDefault="007B23C6" w:rsidP="00AA5A80">
      <w:pPr>
        <w:numPr>
          <w:ilvl w:val="1"/>
          <w:numId w:val="16"/>
        </w:numPr>
        <w:tabs>
          <w:tab w:val="left" w:pos="720"/>
        </w:tabs>
        <w:contextualSpacing/>
        <w:jc w:val="both"/>
        <w:rPr>
          <w:sz w:val="22"/>
          <w:szCs w:val="22"/>
        </w:rPr>
      </w:pPr>
      <w:r w:rsidRPr="000023E3">
        <w:rPr>
          <w:sz w:val="22"/>
          <w:szCs w:val="22"/>
        </w:rPr>
        <w:t>The rent requested by the owner; or</w:t>
      </w:r>
      <w:r w:rsidR="00D83E3F" w:rsidRPr="000023E3">
        <w:rPr>
          <w:sz w:val="22"/>
          <w:szCs w:val="22"/>
        </w:rPr>
        <w:t>,</w:t>
      </w:r>
    </w:p>
    <w:p w14:paraId="722CC432" w14:textId="77777777" w:rsidR="007B23C6" w:rsidRPr="000023E3" w:rsidRDefault="007B23C6" w:rsidP="00AA5A80">
      <w:pPr>
        <w:numPr>
          <w:ilvl w:val="1"/>
          <w:numId w:val="16"/>
        </w:numPr>
        <w:tabs>
          <w:tab w:val="left" w:pos="720"/>
        </w:tabs>
        <w:contextualSpacing/>
        <w:jc w:val="both"/>
        <w:rPr>
          <w:sz w:val="22"/>
          <w:szCs w:val="22"/>
        </w:rPr>
      </w:pPr>
      <w:r w:rsidRPr="000023E3">
        <w:rPr>
          <w:sz w:val="22"/>
          <w:szCs w:val="22"/>
        </w:rPr>
        <w:t>Such other amount determined by DHCD to be appropriate for the unit, based upon the nature of the unit and the RFP from which the owner was selected.  For example, in certain cases, DHCD believes a shallower or higher subsidy may be more appropriate.</w:t>
      </w:r>
    </w:p>
    <w:p w14:paraId="628B8EFC" w14:textId="77777777" w:rsidR="00761B72" w:rsidRPr="000023E3" w:rsidRDefault="00761B72" w:rsidP="00761B72">
      <w:pPr>
        <w:pStyle w:val="ListParagraph"/>
        <w:numPr>
          <w:ilvl w:val="0"/>
          <w:numId w:val="0"/>
        </w:numPr>
        <w:ind w:left="720"/>
        <w:rPr>
          <w:color w:val="000000"/>
        </w:rPr>
      </w:pPr>
    </w:p>
    <w:p w14:paraId="46100085" w14:textId="1193CACE" w:rsidR="00980DF0" w:rsidRPr="000023E3" w:rsidRDefault="001A727F" w:rsidP="00906DDC">
      <w:pPr>
        <w:pStyle w:val="ListParagraph"/>
        <w:numPr>
          <w:ilvl w:val="0"/>
          <w:numId w:val="16"/>
        </w:numPr>
        <w:jc w:val="both"/>
        <w:rPr>
          <w:color w:val="000000"/>
        </w:rPr>
      </w:pPr>
      <w:r w:rsidRPr="000023E3">
        <w:t>Waive the option that allows PBV participant families to move with a tenant-based voucher after one year of assistance in a project-based unit</w:t>
      </w:r>
      <w:r w:rsidR="00906DDC" w:rsidRPr="000023E3">
        <w:t xml:space="preserve"> (not yet implemented)</w:t>
      </w:r>
      <w:r w:rsidRPr="000023E3">
        <w:t xml:space="preserve">. </w:t>
      </w:r>
    </w:p>
    <w:p w14:paraId="6DD80864" w14:textId="50E89E86" w:rsidR="00906DDC" w:rsidRPr="000023E3" w:rsidRDefault="00906DDC" w:rsidP="00906DDC">
      <w:pPr>
        <w:jc w:val="both"/>
        <w:rPr>
          <w:color w:val="000000"/>
        </w:rPr>
      </w:pPr>
    </w:p>
    <w:p w14:paraId="07166515" w14:textId="011E4F65" w:rsidR="00906DDC" w:rsidRPr="000023E3" w:rsidRDefault="00906DDC" w:rsidP="00906DDC">
      <w:pPr>
        <w:contextualSpacing/>
        <w:jc w:val="both"/>
        <w:rPr>
          <w:sz w:val="22"/>
          <w:szCs w:val="22"/>
        </w:rPr>
      </w:pPr>
      <w:r w:rsidRPr="000023E3">
        <w:rPr>
          <w:sz w:val="22"/>
          <w:szCs w:val="22"/>
        </w:rPr>
        <w:t>In FY 2021, DHCD will continue to review the portion of this activity related to project-based opt-out requests for tenant-based vouchers. In a prior plan year, DHCD received approval to discontinue providing tenant-based vouchers to project-based participants; however, DHCD may choose not to implement this portion of the approved activity. DHCD may retain its existing MTW policy and continue to allow project-based participant requests for tenant-based vouchers with threshold caps for each RAA. A determination will be made in FY 2021.</w:t>
      </w:r>
    </w:p>
    <w:p w14:paraId="65D96AA3" w14:textId="745C1331" w:rsidR="007B23C6" w:rsidRPr="000023E3" w:rsidRDefault="007B23C6" w:rsidP="004076F4">
      <w:pPr>
        <w:contextualSpacing/>
        <w:jc w:val="both"/>
        <w:rPr>
          <w:sz w:val="22"/>
          <w:szCs w:val="22"/>
        </w:rPr>
      </w:pPr>
    </w:p>
    <w:p w14:paraId="0B59411B" w14:textId="428DE6C4" w:rsidR="00A62729" w:rsidRPr="000023E3" w:rsidRDefault="00A62729" w:rsidP="00D95301">
      <w:pPr>
        <w:tabs>
          <w:tab w:val="left" w:pos="3240"/>
        </w:tabs>
        <w:contextualSpacing/>
        <w:jc w:val="both"/>
        <w:rPr>
          <w:sz w:val="22"/>
          <w:szCs w:val="22"/>
        </w:rPr>
      </w:pPr>
      <w:r w:rsidRPr="000023E3">
        <w:rPr>
          <w:sz w:val="22"/>
          <w:szCs w:val="22"/>
        </w:rPr>
        <w:t>In FY 2021, DHCD anticipates adding approximately one hundred and fifty new PBV units throughout its jurisdiction</w:t>
      </w:r>
      <w:r w:rsidR="00C539CE" w:rsidRPr="000023E3">
        <w:rPr>
          <w:sz w:val="22"/>
          <w:szCs w:val="22"/>
        </w:rPr>
        <w:t xml:space="preserve"> with owner managed waiting lists employed at all new projects.</w:t>
      </w:r>
    </w:p>
    <w:p w14:paraId="43FDE31A" w14:textId="77777777" w:rsidR="00A62729" w:rsidRPr="000023E3" w:rsidRDefault="00A62729" w:rsidP="004076F4">
      <w:pPr>
        <w:contextualSpacing/>
        <w:jc w:val="both"/>
        <w:rPr>
          <w:sz w:val="22"/>
          <w:szCs w:val="22"/>
        </w:rPr>
      </w:pPr>
    </w:p>
    <w:p w14:paraId="1C5EE9E5" w14:textId="77777777" w:rsidR="004076F4" w:rsidRPr="000023E3" w:rsidRDefault="004076F4" w:rsidP="004076F4">
      <w:pPr>
        <w:jc w:val="both"/>
        <w:rPr>
          <w:b/>
          <w:color w:val="000000"/>
          <w:sz w:val="22"/>
          <w:szCs w:val="22"/>
        </w:rPr>
      </w:pPr>
      <w:r w:rsidRPr="000023E3">
        <w:rPr>
          <w:b/>
          <w:color w:val="000000"/>
          <w:sz w:val="22"/>
          <w:szCs w:val="22"/>
        </w:rPr>
        <w:t>Planned Non-Significant Changes</w:t>
      </w:r>
    </w:p>
    <w:p w14:paraId="2EF5AAB0" w14:textId="4F1270BC" w:rsidR="00A62729" w:rsidRPr="000023E3" w:rsidRDefault="00A62729" w:rsidP="004076F4">
      <w:pPr>
        <w:contextualSpacing/>
        <w:jc w:val="both"/>
        <w:rPr>
          <w:sz w:val="22"/>
          <w:szCs w:val="22"/>
        </w:rPr>
      </w:pPr>
      <w:r w:rsidRPr="000023E3">
        <w:rPr>
          <w:sz w:val="22"/>
          <w:szCs w:val="22"/>
        </w:rPr>
        <w:t xml:space="preserve">In FY 2021 DHCD will modify the portion of the activity related to rent determinations to reflect the same methodology for initial rents as is used for re-determined rents. </w:t>
      </w:r>
    </w:p>
    <w:p w14:paraId="48CD2E25" w14:textId="0DBE5799" w:rsidR="00234500" w:rsidRPr="000023E3" w:rsidRDefault="00234500" w:rsidP="004076F4">
      <w:pPr>
        <w:contextualSpacing/>
        <w:jc w:val="both"/>
        <w:rPr>
          <w:sz w:val="22"/>
          <w:szCs w:val="22"/>
        </w:rPr>
      </w:pPr>
    </w:p>
    <w:p w14:paraId="29D4E353" w14:textId="2865172F" w:rsidR="004076F4" w:rsidRPr="000023E3" w:rsidRDefault="00234500" w:rsidP="00906DDC">
      <w:pPr>
        <w:tabs>
          <w:tab w:val="left" w:pos="720"/>
        </w:tabs>
        <w:jc w:val="both"/>
        <w:rPr>
          <w:sz w:val="22"/>
        </w:rPr>
      </w:pPr>
      <w:r w:rsidRPr="000023E3">
        <w:rPr>
          <w:sz w:val="22"/>
          <w:szCs w:val="22"/>
        </w:rPr>
        <w:t>DHCD will remove th</w:t>
      </w:r>
      <w:r w:rsidR="00906DDC" w:rsidRPr="000023E3">
        <w:rPr>
          <w:sz w:val="22"/>
          <w:szCs w:val="22"/>
        </w:rPr>
        <w:t xml:space="preserve">ese </w:t>
      </w:r>
      <w:r w:rsidRPr="000023E3">
        <w:rPr>
          <w:sz w:val="22"/>
          <w:szCs w:val="22"/>
        </w:rPr>
        <w:t>portion</w:t>
      </w:r>
      <w:r w:rsidR="00906DDC" w:rsidRPr="000023E3">
        <w:rPr>
          <w:sz w:val="22"/>
          <w:szCs w:val="22"/>
        </w:rPr>
        <w:t>s</w:t>
      </w:r>
      <w:r w:rsidRPr="000023E3">
        <w:rPr>
          <w:sz w:val="22"/>
          <w:szCs w:val="22"/>
        </w:rPr>
        <w:t xml:space="preserve"> of the activity</w:t>
      </w:r>
      <w:r w:rsidR="00906DDC" w:rsidRPr="000023E3">
        <w:rPr>
          <w:sz w:val="22"/>
          <w:szCs w:val="22"/>
        </w:rPr>
        <w:t>: 1)</w:t>
      </w:r>
      <w:r w:rsidRPr="000023E3">
        <w:rPr>
          <w:sz w:val="22"/>
          <w:szCs w:val="22"/>
        </w:rPr>
        <w:t xml:space="preserve"> </w:t>
      </w:r>
      <w:r w:rsidR="00906DDC" w:rsidRPr="000023E3">
        <w:rPr>
          <w:sz w:val="22"/>
          <w:szCs w:val="22"/>
        </w:rPr>
        <w:t>P</w:t>
      </w:r>
      <w:r w:rsidRPr="000023E3">
        <w:rPr>
          <w:sz w:val="22"/>
        </w:rPr>
        <w:t>rovide a project-based transfer preference for families who are over- or under-housed and who are willing to move to a project-based unit</w:t>
      </w:r>
      <w:r w:rsidR="00906DDC" w:rsidRPr="000023E3">
        <w:rPr>
          <w:sz w:val="22"/>
        </w:rPr>
        <w:t xml:space="preserve"> in another RAA’s jurisdiction and 2) Provide a project-based transfer preference for families who have verified educational opportunities or employment offers that are more than twenty-five (25) miles from the family’s current project-based unit. It is not administratively feasible to implement these portions of the activity while utilizing owner managed site based waiting lists</w:t>
      </w:r>
    </w:p>
    <w:p w14:paraId="6068CC7E" w14:textId="77777777" w:rsidR="00906DDC" w:rsidRPr="000023E3" w:rsidRDefault="00906DDC" w:rsidP="00906DDC">
      <w:pPr>
        <w:tabs>
          <w:tab w:val="left" w:pos="720"/>
        </w:tabs>
        <w:jc w:val="both"/>
        <w:rPr>
          <w:color w:val="000000" w:themeColor="text1"/>
          <w:sz w:val="22"/>
          <w:szCs w:val="22"/>
        </w:rPr>
      </w:pPr>
    </w:p>
    <w:p w14:paraId="6721A39E" w14:textId="77777777" w:rsidR="004076F4" w:rsidRPr="000023E3" w:rsidRDefault="004076F4" w:rsidP="004076F4">
      <w:pPr>
        <w:jc w:val="both"/>
        <w:rPr>
          <w:b/>
          <w:sz w:val="22"/>
          <w:szCs w:val="22"/>
        </w:rPr>
      </w:pPr>
      <w:r w:rsidRPr="000023E3">
        <w:rPr>
          <w:b/>
          <w:sz w:val="22"/>
          <w:szCs w:val="22"/>
        </w:rPr>
        <w:t>Planned Changes to Metrics/Data Collection</w:t>
      </w:r>
    </w:p>
    <w:p w14:paraId="4F9FE437" w14:textId="3863AD34" w:rsidR="00DD5C54" w:rsidRPr="000023E3" w:rsidRDefault="00525695" w:rsidP="001C27BD">
      <w:pPr>
        <w:jc w:val="both"/>
        <w:rPr>
          <w:sz w:val="22"/>
          <w:szCs w:val="22"/>
        </w:rPr>
      </w:pPr>
      <w:r w:rsidRPr="000023E3">
        <w:rPr>
          <w:iCs/>
          <w:sz w:val="22"/>
          <w:szCs w:val="22"/>
        </w:rPr>
        <w:t>The HUD Form</w:t>
      </w:r>
      <w:r w:rsidR="00DD5C54" w:rsidRPr="000023E3">
        <w:rPr>
          <w:iCs/>
          <w:sz w:val="22"/>
          <w:szCs w:val="22"/>
        </w:rPr>
        <w:t xml:space="preserve"> 50900 requires</w:t>
      </w:r>
      <w:r w:rsidR="001354CB" w:rsidRPr="000023E3">
        <w:rPr>
          <w:iCs/>
          <w:sz w:val="22"/>
          <w:szCs w:val="22"/>
        </w:rPr>
        <w:t xml:space="preserve"> reporting of planned PBVs that</w:t>
      </w:r>
      <w:r w:rsidR="00DD5C54" w:rsidRPr="000023E3">
        <w:rPr>
          <w:iCs/>
          <w:sz w:val="22"/>
          <w:szCs w:val="22"/>
        </w:rPr>
        <w:t xml:space="preserve"> will be either under AHAP or HAP during the Annual Plan fiscal year. DHCD’s PBVs are allocated through the state’s competitive rental round and in concert with the award of Low Income Housing Tax Credits. Proposals are due in February of each year, with fun</w:t>
      </w:r>
      <w:r w:rsidR="001C27BD" w:rsidRPr="000023E3">
        <w:rPr>
          <w:iCs/>
          <w:sz w:val="22"/>
          <w:szCs w:val="22"/>
        </w:rPr>
        <w:t>ding announcements made in the s</w:t>
      </w:r>
      <w:r w:rsidR="00DD5C54" w:rsidRPr="000023E3">
        <w:rPr>
          <w:iCs/>
          <w:sz w:val="22"/>
          <w:szCs w:val="22"/>
        </w:rPr>
        <w:t xml:space="preserve">pring.  Given </w:t>
      </w:r>
      <w:r w:rsidR="001C27BD" w:rsidRPr="000023E3">
        <w:rPr>
          <w:iCs/>
          <w:sz w:val="22"/>
          <w:szCs w:val="22"/>
        </w:rPr>
        <w:t xml:space="preserve">that </w:t>
      </w:r>
      <w:r w:rsidR="00DD5C54" w:rsidRPr="000023E3">
        <w:rPr>
          <w:iCs/>
          <w:sz w:val="22"/>
          <w:szCs w:val="22"/>
        </w:rPr>
        <w:t xml:space="preserve">DHCD’s MTW Plan is due to HUD prior to the award of </w:t>
      </w:r>
      <w:r w:rsidR="006D6331" w:rsidRPr="000023E3">
        <w:rPr>
          <w:iCs/>
          <w:sz w:val="22"/>
          <w:szCs w:val="22"/>
        </w:rPr>
        <w:t>FY 2021</w:t>
      </w:r>
      <w:r w:rsidR="00DD5C54" w:rsidRPr="000023E3">
        <w:rPr>
          <w:iCs/>
          <w:sz w:val="22"/>
          <w:szCs w:val="22"/>
        </w:rPr>
        <w:t xml:space="preserve"> PBV funding, DHCD cannot identify which projects wil</w:t>
      </w:r>
      <w:r w:rsidR="001C27BD" w:rsidRPr="000023E3">
        <w:rPr>
          <w:iCs/>
          <w:sz w:val="22"/>
          <w:szCs w:val="22"/>
        </w:rPr>
        <w:t>l be awarded PBVs at this time. Further, of the awards made, at this time D</w:t>
      </w:r>
      <w:r w:rsidR="00DD5C54" w:rsidRPr="000023E3">
        <w:rPr>
          <w:iCs/>
          <w:sz w:val="22"/>
          <w:szCs w:val="22"/>
        </w:rPr>
        <w:t>HCD cannot determine which proposals will pass all screening thresholds and en</w:t>
      </w:r>
      <w:r w:rsidR="001C27BD" w:rsidRPr="000023E3">
        <w:rPr>
          <w:iCs/>
          <w:sz w:val="22"/>
          <w:szCs w:val="22"/>
        </w:rPr>
        <w:t>ter into AHAP or HAP contracts.</w:t>
      </w:r>
      <w:r w:rsidR="00DD5C54" w:rsidRPr="000023E3">
        <w:rPr>
          <w:iCs/>
          <w:sz w:val="22"/>
          <w:szCs w:val="22"/>
        </w:rPr>
        <w:t xml:space="preserve"> DHCD will report on all projects and PBVs committed and leased/issued in </w:t>
      </w:r>
      <w:r w:rsidR="006D6331" w:rsidRPr="000023E3">
        <w:rPr>
          <w:iCs/>
          <w:sz w:val="22"/>
          <w:szCs w:val="22"/>
        </w:rPr>
        <w:t>FY 2021</w:t>
      </w:r>
      <w:r w:rsidR="001C27BD" w:rsidRPr="000023E3">
        <w:rPr>
          <w:iCs/>
          <w:sz w:val="22"/>
          <w:szCs w:val="22"/>
        </w:rPr>
        <w:t xml:space="preserve"> in the </w:t>
      </w:r>
      <w:r w:rsidR="006D6331" w:rsidRPr="000023E3">
        <w:rPr>
          <w:iCs/>
          <w:sz w:val="22"/>
          <w:szCs w:val="22"/>
        </w:rPr>
        <w:t>FY 2021</w:t>
      </w:r>
      <w:r w:rsidR="001C27BD" w:rsidRPr="000023E3">
        <w:rPr>
          <w:iCs/>
          <w:sz w:val="22"/>
          <w:szCs w:val="22"/>
        </w:rPr>
        <w:t xml:space="preserve"> Annual Report.</w:t>
      </w:r>
      <w:r w:rsidR="00DD5C54" w:rsidRPr="000023E3">
        <w:rPr>
          <w:iCs/>
          <w:sz w:val="22"/>
          <w:szCs w:val="22"/>
        </w:rPr>
        <w:t xml:space="preserve"> Accordingly, the benchmark reflects known PBV units under contract. </w:t>
      </w:r>
    </w:p>
    <w:p w14:paraId="54A85C55" w14:textId="29F9DD23" w:rsidR="004076F4" w:rsidRPr="000023E3" w:rsidRDefault="004076F4" w:rsidP="004076F4">
      <w:pPr>
        <w:jc w:val="both"/>
        <w:rPr>
          <w:bCs/>
          <w:sz w:val="22"/>
          <w:szCs w:val="22"/>
        </w:rPr>
      </w:pPr>
    </w:p>
    <w:p w14:paraId="59EB0C15" w14:textId="77777777" w:rsidR="004076F4" w:rsidRPr="000023E3" w:rsidRDefault="004076F4" w:rsidP="004076F4">
      <w:pPr>
        <w:jc w:val="both"/>
        <w:rPr>
          <w:b/>
          <w:color w:val="000000"/>
          <w:sz w:val="22"/>
          <w:szCs w:val="22"/>
        </w:rPr>
      </w:pPr>
      <w:r w:rsidRPr="000023E3">
        <w:rPr>
          <w:b/>
          <w:color w:val="000000"/>
          <w:sz w:val="22"/>
          <w:szCs w:val="22"/>
        </w:rPr>
        <w:t>Metrics</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14"/>
        <w:gridCol w:w="1627"/>
        <w:gridCol w:w="1354"/>
        <w:gridCol w:w="1440"/>
      </w:tblGrid>
      <w:tr w:rsidR="006D6981" w:rsidRPr="000023E3" w14:paraId="7694035E" w14:textId="77777777" w:rsidTr="00BA6EEE">
        <w:trPr>
          <w:trHeight w:hRule="exact" w:val="317"/>
        </w:trPr>
        <w:tc>
          <w:tcPr>
            <w:tcW w:w="9375" w:type="dxa"/>
            <w:gridSpan w:val="5"/>
            <w:shd w:val="clear" w:color="auto" w:fill="C6D9F1" w:themeFill="text2" w:themeFillTint="33"/>
          </w:tcPr>
          <w:p w14:paraId="1951EA3E" w14:textId="77777777" w:rsidR="006D6981" w:rsidRPr="000023E3" w:rsidRDefault="006D6981" w:rsidP="00F23D78">
            <w:pPr>
              <w:jc w:val="center"/>
              <w:rPr>
                <w:b/>
                <w:i/>
                <w:sz w:val="20"/>
                <w:szCs w:val="20"/>
              </w:rPr>
            </w:pPr>
            <w:r w:rsidRPr="000023E3">
              <w:rPr>
                <w:b/>
                <w:i/>
                <w:sz w:val="20"/>
                <w:szCs w:val="20"/>
              </w:rPr>
              <w:t>HC #4: Displacement Prevention</w:t>
            </w:r>
          </w:p>
        </w:tc>
      </w:tr>
      <w:tr w:rsidR="006D6981" w:rsidRPr="000023E3" w14:paraId="298DA691" w14:textId="77777777" w:rsidTr="00BA6EEE">
        <w:trPr>
          <w:trHeight w:hRule="exact" w:val="576"/>
        </w:trPr>
        <w:tc>
          <w:tcPr>
            <w:tcW w:w="3240" w:type="dxa"/>
            <w:shd w:val="clear" w:color="auto" w:fill="D9D9D9" w:themeFill="background1" w:themeFillShade="D9"/>
          </w:tcPr>
          <w:p w14:paraId="27522BDB" w14:textId="77777777" w:rsidR="006D6981" w:rsidRPr="000023E3" w:rsidRDefault="006D6981" w:rsidP="000261A2">
            <w:pPr>
              <w:jc w:val="center"/>
              <w:rPr>
                <w:i/>
                <w:sz w:val="20"/>
                <w:szCs w:val="20"/>
              </w:rPr>
            </w:pPr>
            <w:r w:rsidRPr="000023E3">
              <w:rPr>
                <w:b/>
                <w:bCs/>
                <w:sz w:val="20"/>
                <w:szCs w:val="20"/>
              </w:rPr>
              <w:t>Unit of Measurement</w:t>
            </w:r>
          </w:p>
        </w:tc>
        <w:tc>
          <w:tcPr>
            <w:tcW w:w="1714" w:type="dxa"/>
            <w:shd w:val="clear" w:color="auto" w:fill="D9D9D9" w:themeFill="background1" w:themeFillShade="D9"/>
          </w:tcPr>
          <w:p w14:paraId="16692A08" w14:textId="77777777" w:rsidR="006D6981" w:rsidRPr="000023E3" w:rsidRDefault="006D6981" w:rsidP="000261A2">
            <w:pPr>
              <w:jc w:val="center"/>
              <w:rPr>
                <w:b/>
                <w:sz w:val="20"/>
                <w:szCs w:val="20"/>
              </w:rPr>
            </w:pPr>
            <w:r w:rsidRPr="000023E3">
              <w:rPr>
                <w:b/>
                <w:sz w:val="20"/>
                <w:szCs w:val="20"/>
              </w:rPr>
              <w:t>Baseline</w:t>
            </w:r>
          </w:p>
        </w:tc>
        <w:tc>
          <w:tcPr>
            <w:tcW w:w="1627" w:type="dxa"/>
            <w:shd w:val="clear" w:color="auto" w:fill="D9D9D9" w:themeFill="background1" w:themeFillShade="D9"/>
          </w:tcPr>
          <w:p w14:paraId="5B7E3498" w14:textId="77777777" w:rsidR="006D6981" w:rsidRPr="000023E3" w:rsidRDefault="006D6981" w:rsidP="000261A2">
            <w:pPr>
              <w:jc w:val="center"/>
              <w:rPr>
                <w:i/>
                <w:sz w:val="20"/>
                <w:szCs w:val="20"/>
              </w:rPr>
            </w:pPr>
            <w:r w:rsidRPr="000023E3">
              <w:rPr>
                <w:b/>
                <w:bCs/>
                <w:sz w:val="20"/>
                <w:szCs w:val="20"/>
              </w:rPr>
              <w:t>Benchmark</w:t>
            </w:r>
          </w:p>
        </w:tc>
        <w:tc>
          <w:tcPr>
            <w:tcW w:w="1354" w:type="dxa"/>
            <w:shd w:val="clear" w:color="auto" w:fill="D9D9D9" w:themeFill="background1" w:themeFillShade="D9"/>
          </w:tcPr>
          <w:p w14:paraId="13B49432" w14:textId="77777777" w:rsidR="006D6981" w:rsidRPr="000023E3" w:rsidRDefault="006D6981" w:rsidP="000261A2">
            <w:pPr>
              <w:jc w:val="center"/>
              <w:rPr>
                <w:i/>
                <w:sz w:val="20"/>
                <w:szCs w:val="20"/>
              </w:rPr>
            </w:pPr>
            <w:r w:rsidRPr="000023E3">
              <w:rPr>
                <w:b/>
                <w:bCs/>
                <w:sz w:val="20"/>
                <w:szCs w:val="20"/>
              </w:rPr>
              <w:t>Outcome</w:t>
            </w:r>
          </w:p>
        </w:tc>
        <w:tc>
          <w:tcPr>
            <w:tcW w:w="1440" w:type="dxa"/>
            <w:shd w:val="clear" w:color="auto" w:fill="D9D9D9" w:themeFill="background1" w:themeFillShade="D9"/>
          </w:tcPr>
          <w:p w14:paraId="11A60800" w14:textId="77777777" w:rsidR="006D6981" w:rsidRPr="000023E3" w:rsidRDefault="006D6981" w:rsidP="000261A2">
            <w:pPr>
              <w:jc w:val="center"/>
              <w:rPr>
                <w:i/>
                <w:sz w:val="20"/>
                <w:szCs w:val="20"/>
              </w:rPr>
            </w:pPr>
            <w:r w:rsidRPr="000023E3">
              <w:rPr>
                <w:b/>
                <w:bCs/>
                <w:sz w:val="20"/>
                <w:szCs w:val="20"/>
              </w:rPr>
              <w:t>Benchmark Achieved?</w:t>
            </w:r>
          </w:p>
        </w:tc>
      </w:tr>
      <w:tr w:rsidR="006D6981" w:rsidRPr="00061CE7" w14:paraId="6F5B6E2B" w14:textId="77777777" w:rsidTr="00BA6EEE">
        <w:trPr>
          <w:trHeight w:val="1070"/>
        </w:trPr>
        <w:tc>
          <w:tcPr>
            <w:tcW w:w="3240" w:type="dxa"/>
          </w:tcPr>
          <w:p w14:paraId="3A3BD5DA" w14:textId="5F804235" w:rsidR="006D6981" w:rsidRPr="000023E3" w:rsidRDefault="006D6981" w:rsidP="008E2F4D">
            <w:pPr>
              <w:rPr>
                <w:i/>
                <w:sz w:val="20"/>
                <w:szCs w:val="20"/>
              </w:rPr>
            </w:pPr>
            <w:r w:rsidRPr="000023E3">
              <w:rPr>
                <w:sz w:val="20"/>
                <w:szCs w:val="20"/>
              </w:rPr>
              <w:t>Number of households at or below 80% of AMI that would lose assistance or need to move (decrease)</w:t>
            </w:r>
            <w:r w:rsidR="00D41577" w:rsidRPr="000023E3">
              <w:rPr>
                <w:sz w:val="20"/>
                <w:szCs w:val="20"/>
              </w:rPr>
              <w:t>.</w:t>
            </w:r>
            <w:r w:rsidRPr="000023E3">
              <w:rPr>
                <w:sz w:val="20"/>
                <w:szCs w:val="20"/>
              </w:rPr>
              <w:t xml:space="preserve"> </w:t>
            </w:r>
          </w:p>
        </w:tc>
        <w:tc>
          <w:tcPr>
            <w:tcW w:w="1714" w:type="dxa"/>
          </w:tcPr>
          <w:p w14:paraId="2487E97C" w14:textId="77777777" w:rsidR="006D6981" w:rsidRPr="000023E3" w:rsidRDefault="006D6981" w:rsidP="001A3248">
            <w:pPr>
              <w:jc w:val="center"/>
              <w:rPr>
                <w:sz w:val="20"/>
                <w:szCs w:val="20"/>
              </w:rPr>
            </w:pPr>
            <w:r w:rsidRPr="000023E3">
              <w:rPr>
                <w:sz w:val="20"/>
                <w:szCs w:val="20"/>
              </w:rPr>
              <w:t>0</w:t>
            </w:r>
          </w:p>
        </w:tc>
        <w:tc>
          <w:tcPr>
            <w:tcW w:w="1627" w:type="dxa"/>
          </w:tcPr>
          <w:p w14:paraId="0D14F2FF" w14:textId="7F911CF6" w:rsidR="006D6981" w:rsidRPr="000023E3" w:rsidRDefault="000023E3" w:rsidP="001A3248">
            <w:pPr>
              <w:jc w:val="center"/>
              <w:rPr>
                <w:sz w:val="20"/>
                <w:szCs w:val="20"/>
              </w:rPr>
            </w:pPr>
            <w:r w:rsidRPr="000023E3">
              <w:rPr>
                <w:sz w:val="20"/>
                <w:szCs w:val="20"/>
              </w:rPr>
              <w:t>3,384</w:t>
            </w:r>
          </w:p>
        </w:tc>
        <w:tc>
          <w:tcPr>
            <w:tcW w:w="1354" w:type="dxa"/>
          </w:tcPr>
          <w:p w14:paraId="77BAD5E8" w14:textId="44998951" w:rsidR="006D6981" w:rsidRPr="00061CE7" w:rsidRDefault="006D6981" w:rsidP="001A3248">
            <w:pPr>
              <w:jc w:val="center"/>
              <w:rPr>
                <w:sz w:val="20"/>
                <w:szCs w:val="20"/>
              </w:rPr>
            </w:pPr>
          </w:p>
        </w:tc>
        <w:tc>
          <w:tcPr>
            <w:tcW w:w="1440" w:type="dxa"/>
          </w:tcPr>
          <w:p w14:paraId="55AD2B1A" w14:textId="7A61E96D" w:rsidR="006D6981" w:rsidRPr="00061CE7" w:rsidRDefault="006D6981" w:rsidP="001A3248">
            <w:pPr>
              <w:jc w:val="center"/>
              <w:rPr>
                <w:sz w:val="20"/>
                <w:szCs w:val="20"/>
              </w:rPr>
            </w:pPr>
          </w:p>
        </w:tc>
      </w:tr>
      <w:tr w:rsidR="00BA6EEE" w:rsidRPr="00061CE7" w14:paraId="5C18F86B" w14:textId="77777777" w:rsidTr="00BA6EEE">
        <w:trPr>
          <w:trHeight w:val="287"/>
        </w:trPr>
        <w:tc>
          <w:tcPr>
            <w:tcW w:w="9375" w:type="dxa"/>
            <w:gridSpan w:val="5"/>
          </w:tcPr>
          <w:p w14:paraId="4DBCB92E" w14:textId="473EE91D" w:rsidR="00BA6EEE" w:rsidRPr="00061CE7" w:rsidRDefault="00BA6EEE" w:rsidP="00BA6EEE">
            <w:pPr>
              <w:rPr>
                <w:sz w:val="20"/>
                <w:szCs w:val="20"/>
              </w:rPr>
            </w:pPr>
            <w:r w:rsidRPr="00BA6EEE">
              <w:rPr>
                <w:i/>
                <w:sz w:val="20"/>
                <w:szCs w:val="20"/>
              </w:rPr>
              <w:t>*Represents the number of PBV units made available under this activity.</w:t>
            </w:r>
          </w:p>
        </w:tc>
      </w:tr>
    </w:tbl>
    <w:p w14:paraId="219E4CC7" w14:textId="77777777" w:rsidR="006D6981" w:rsidRPr="00E11226" w:rsidRDefault="006D6981" w:rsidP="006D6981">
      <w:pPr>
        <w:rPr>
          <w:b/>
          <w:sz w:val="22"/>
          <w:szCs w:val="22"/>
        </w:rPr>
      </w:pPr>
    </w:p>
    <w:p w14:paraId="3F3C8730" w14:textId="77777777" w:rsidR="0098594D" w:rsidRPr="00E11226" w:rsidRDefault="0098594D" w:rsidP="0098594D">
      <w:pPr>
        <w:jc w:val="both"/>
        <w:rPr>
          <w:b/>
          <w:color w:val="000000"/>
          <w:sz w:val="22"/>
          <w:szCs w:val="22"/>
        </w:rPr>
      </w:pPr>
      <w:r w:rsidRPr="00E11226">
        <w:rPr>
          <w:b/>
          <w:color w:val="000000"/>
          <w:sz w:val="22"/>
          <w:szCs w:val="22"/>
        </w:rPr>
        <w:t>Planned Significant Changes</w:t>
      </w:r>
    </w:p>
    <w:p w14:paraId="101B1887" w14:textId="77777777" w:rsidR="0098594D" w:rsidRPr="00E11226" w:rsidRDefault="0098594D" w:rsidP="0098594D">
      <w:pPr>
        <w:jc w:val="both"/>
        <w:rPr>
          <w:color w:val="000000" w:themeColor="text1"/>
          <w:sz w:val="22"/>
          <w:szCs w:val="22"/>
        </w:rPr>
      </w:pPr>
      <w:r w:rsidRPr="00E11226">
        <w:rPr>
          <w:color w:val="000000" w:themeColor="text1"/>
          <w:sz w:val="22"/>
          <w:szCs w:val="22"/>
        </w:rPr>
        <w:t>No significant changes are planned.</w:t>
      </w:r>
    </w:p>
    <w:p w14:paraId="41BFAE57" w14:textId="49D87E2B" w:rsidR="007C3E10" w:rsidRDefault="007C3E10" w:rsidP="007C3E10">
      <w:pPr>
        <w:tabs>
          <w:tab w:val="left" w:pos="720"/>
        </w:tabs>
        <w:jc w:val="both"/>
        <w:sectPr w:rsidR="007C3E10" w:rsidSect="00F61294">
          <w:pgSz w:w="12240" w:h="15840"/>
          <w:pgMar w:top="1440" w:right="1440" w:bottom="1440" w:left="1440" w:header="720" w:footer="720" w:gutter="0"/>
          <w:cols w:space="720"/>
          <w:docGrid w:linePitch="360"/>
        </w:sectPr>
      </w:pPr>
    </w:p>
    <w:p w14:paraId="420245C1" w14:textId="2D8E28CB" w:rsidR="006D6981" w:rsidRPr="0088154E" w:rsidRDefault="006D6981" w:rsidP="001F2A56">
      <w:pPr>
        <w:pStyle w:val="Heading3"/>
      </w:pPr>
      <w:bookmarkStart w:id="67" w:name="_Toc33016950"/>
      <w:r w:rsidRPr="0088154E">
        <w:t>Activity 2018-9: Affordable Housing Preservation and Development Fund</w:t>
      </w:r>
      <w:bookmarkEnd w:id="67"/>
    </w:p>
    <w:p w14:paraId="6C3AD54D" w14:textId="77777777" w:rsidR="006D6981" w:rsidRPr="0088154E" w:rsidRDefault="006D6981" w:rsidP="006D6981">
      <w:pPr>
        <w:rPr>
          <w:b/>
          <w:color w:val="000000"/>
          <w:sz w:val="22"/>
          <w:szCs w:val="22"/>
          <w:u w:val="single"/>
        </w:rPr>
      </w:pPr>
    </w:p>
    <w:p w14:paraId="3BF7899D" w14:textId="77777777" w:rsidR="00C73902" w:rsidRPr="0088154E" w:rsidRDefault="00C73902" w:rsidP="00C73902">
      <w:pPr>
        <w:jc w:val="both"/>
        <w:rPr>
          <w:color w:val="000000"/>
          <w:sz w:val="22"/>
          <w:szCs w:val="22"/>
        </w:rPr>
      </w:pPr>
      <w:r w:rsidRPr="0088154E">
        <w:rPr>
          <w:b/>
          <w:color w:val="000000"/>
          <w:sz w:val="22"/>
          <w:szCs w:val="22"/>
        </w:rPr>
        <w:t>Plan Year Approved, Implemented, Amended</w:t>
      </w:r>
      <w:r w:rsidRPr="0088154E">
        <w:rPr>
          <w:color w:val="000000"/>
          <w:sz w:val="22"/>
          <w:szCs w:val="22"/>
        </w:rPr>
        <w:t xml:space="preserve"> </w:t>
      </w:r>
    </w:p>
    <w:p w14:paraId="22670DAD" w14:textId="77777777" w:rsidR="00C73902" w:rsidRPr="0088154E" w:rsidRDefault="00C73902" w:rsidP="00C73902">
      <w:pPr>
        <w:jc w:val="both"/>
        <w:rPr>
          <w:color w:val="000000"/>
          <w:sz w:val="22"/>
          <w:szCs w:val="22"/>
        </w:rPr>
      </w:pPr>
      <w:r w:rsidRPr="0088154E">
        <w:rPr>
          <w:sz w:val="22"/>
          <w:szCs w:val="22"/>
        </w:rPr>
        <w:t>Approved and implemented FY 2018.</w:t>
      </w:r>
    </w:p>
    <w:p w14:paraId="66845DD1" w14:textId="77777777" w:rsidR="00C73902" w:rsidRPr="0088154E" w:rsidRDefault="00C73902" w:rsidP="00C73902">
      <w:pPr>
        <w:jc w:val="both"/>
        <w:rPr>
          <w:b/>
          <w:color w:val="000000"/>
          <w:sz w:val="22"/>
          <w:szCs w:val="22"/>
        </w:rPr>
      </w:pPr>
    </w:p>
    <w:p w14:paraId="2815E329" w14:textId="77777777" w:rsidR="006D6981" w:rsidRPr="0088154E" w:rsidRDefault="00183743" w:rsidP="006D6981">
      <w:pPr>
        <w:tabs>
          <w:tab w:val="left" w:pos="450"/>
        </w:tabs>
        <w:jc w:val="both"/>
        <w:rPr>
          <w:b/>
          <w:color w:val="000000"/>
          <w:sz w:val="22"/>
          <w:szCs w:val="22"/>
        </w:rPr>
      </w:pPr>
      <w:r w:rsidRPr="0088154E">
        <w:rPr>
          <w:b/>
          <w:color w:val="000000"/>
          <w:sz w:val="22"/>
          <w:szCs w:val="22"/>
        </w:rPr>
        <w:t>Description/Update</w:t>
      </w:r>
    </w:p>
    <w:p w14:paraId="6AB85CDB" w14:textId="22CCCC7D" w:rsidR="00C05978" w:rsidRPr="0088154E" w:rsidRDefault="006D6981" w:rsidP="00C05978">
      <w:pPr>
        <w:jc w:val="both"/>
        <w:rPr>
          <w:sz w:val="22"/>
          <w:szCs w:val="22"/>
        </w:rPr>
      </w:pPr>
      <w:r w:rsidRPr="0088154E">
        <w:rPr>
          <w:color w:val="000000"/>
          <w:sz w:val="22"/>
          <w:szCs w:val="22"/>
        </w:rPr>
        <w:t>In FY 2018</w:t>
      </w:r>
      <w:r w:rsidR="003222FE" w:rsidRPr="0088154E">
        <w:rPr>
          <w:color w:val="000000"/>
          <w:sz w:val="22"/>
          <w:szCs w:val="22"/>
        </w:rPr>
        <w:t>,</w:t>
      </w:r>
      <w:r w:rsidRPr="0088154E">
        <w:rPr>
          <w:color w:val="000000"/>
          <w:sz w:val="22"/>
          <w:szCs w:val="22"/>
        </w:rPr>
        <w:t xml:space="preserve"> HUD approved </w:t>
      </w:r>
      <w:r w:rsidR="007B5A39" w:rsidRPr="0088154E">
        <w:rPr>
          <w:color w:val="000000"/>
          <w:sz w:val="22"/>
          <w:szCs w:val="22"/>
        </w:rPr>
        <w:t xml:space="preserve">and DHCD began the implementation of the </w:t>
      </w:r>
      <w:r w:rsidRPr="0088154E">
        <w:rPr>
          <w:color w:val="000000"/>
          <w:sz w:val="22"/>
          <w:szCs w:val="22"/>
        </w:rPr>
        <w:t xml:space="preserve">Affordable Housing Preservation and Development Fund </w:t>
      </w:r>
      <w:r w:rsidR="00C05978" w:rsidRPr="0088154E">
        <w:rPr>
          <w:color w:val="000000"/>
          <w:sz w:val="22"/>
          <w:szCs w:val="22"/>
        </w:rPr>
        <w:t xml:space="preserve">activity. Under this activity, </w:t>
      </w:r>
      <w:r w:rsidR="00C05978" w:rsidRPr="0088154E">
        <w:rPr>
          <w:sz w:val="22"/>
          <w:szCs w:val="22"/>
        </w:rPr>
        <w:t xml:space="preserve">DHCD </w:t>
      </w:r>
      <w:r w:rsidR="00C23569" w:rsidRPr="0088154E">
        <w:rPr>
          <w:sz w:val="22"/>
          <w:szCs w:val="22"/>
        </w:rPr>
        <w:t>utilizes</w:t>
      </w:r>
      <w:r w:rsidR="00C05978" w:rsidRPr="0088154E">
        <w:rPr>
          <w:sz w:val="22"/>
          <w:szCs w:val="22"/>
        </w:rPr>
        <w:t xml:space="preserve"> MTW Block Grant funds to support the development and preservation of affordable rental housing units through implementation of a new Affordable Housing Preservatio</w:t>
      </w:r>
      <w:r w:rsidR="00A958CB" w:rsidRPr="0088154E">
        <w:rPr>
          <w:sz w:val="22"/>
          <w:szCs w:val="22"/>
        </w:rPr>
        <w:t xml:space="preserve">n and Development Fund (AHPD). </w:t>
      </w:r>
      <w:r w:rsidR="00C05978" w:rsidRPr="0088154E">
        <w:rPr>
          <w:sz w:val="22"/>
          <w:szCs w:val="22"/>
        </w:rPr>
        <w:t xml:space="preserve">AHPD funds will provide loans to eligible projects to leverage private equity and state-aided public housing capital resources. </w:t>
      </w:r>
    </w:p>
    <w:p w14:paraId="3DCF29E8" w14:textId="77777777" w:rsidR="00C05978" w:rsidRPr="0088154E" w:rsidRDefault="00C05978" w:rsidP="00C05978">
      <w:pPr>
        <w:jc w:val="both"/>
        <w:rPr>
          <w:sz w:val="22"/>
          <w:szCs w:val="22"/>
        </w:rPr>
      </w:pPr>
    </w:p>
    <w:p w14:paraId="4F8775C8" w14:textId="4707BE07" w:rsidR="00C05978" w:rsidRPr="0088154E" w:rsidRDefault="00C05978" w:rsidP="00C05978">
      <w:pPr>
        <w:jc w:val="both"/>
        <w:rPr>
          <w:sz w:val="22"/>
          <w:szCs w:val="22"/>
        </w:rPr>
      </w:pPr>
      <w:r w:rsidRPr="0088154E">
        <w:rPr>
          <w:sz w:val="22"/>
          <w:szCs w:val="22"/>
        </w:rPr>
        <w:t>AHPD funds support development</w:t>
      </w:r>
      <w:r w:rsidR="00032AE4" w:rsidRPr="0088154E">
        <w:rPr>
          <w:sz w:val="22"/>
          <w:szCs w:val="22"/>
        </w:rPr>
        <w:t xml:space="preserve"> and preservation</w:t>
      </w:r>
      <w:r w:rsidRPr="0088154E">
        <w:rPr>
          <w:sz w:val="22"/>
          <w:szCs w:val="22"/>
        </w:rPr>
        <w:t xml:space="preserve"> of rental units targeted for households earning less </w:t>
      </w:r>
      <w:r w:rsidR="00A958CB" w:rsidRPr="0088154E">
        <w:rPr>
          <w:sz w:val="22"/>
          <w:szCs w:val="22"/>
        </w:rPr>
        <w:t>than 80% of Area Median Income.</w:t>
      </w:r>
      <w:r w:rsidR="00032AE4" w:rsidRPr="0088154E">
        <w:rPr>
          <w:sz w:val="22"/>
          <w:szCs w:val="22"/>
        </w:rPr>
        <w:t xml:space="preserve"> DHCD</w:t>
      </w:r>
      <w:r w:rsidRPr="0088154E">
        <w:rPr>
          <w:sz w:val="22"/>
          <w:szCs w:val="22"/>
        </w:rPr>
        <w:t xml:space="preserve"> </w:t>
      </w:r>
      <w:r w:rsidR="00C23569" w:rsidRPr="0088154E">
        <w:rPr>
          <w:sz w:val="22"/>
          <w:szCs w:val="22"/>
        </w:rPr>
        <w:t>requires</w:t>
      </w:r>
      <w:r w:rsidRPr="0088154E">
        <w:rPr>
          <w:sz w:val="22"/>
          <w:szCs w:val="22"/>
        </w:rPr>
        <w:t xml:space="preserve"> deed restrictions or other legally binding covenants to ensure long-term affordability in conformance </w:t>
      </w:r>
      <w:r w:rsidR="00A958CB" w:rsidRPr="0088154E">
        <w:rPr>
          <w:sz w:val="22"/>
          <w:szCs w:val="22"/>
        </w:rPr>
        <w:t xml:space="preserve">with the </w:t>
      </w:r>
      <w:r w:rsidR="006C7A21" w:rsidRPr="0088154E">
        <w:rPr>
          <w:sz w:val="22"/>
          <w:szCs w:val="22"/>
        </w:rPr>
        <w:t xml:space="preserve">applicable </w:t>
      </w:r>
      <w:r w:rsidR="00A958CB" w:rsidRPr="0088154E">
        <w:rPr>
          <w:sz w:val="22"/>
          <w:szCs w:val="22"/>
        </w:rPr>
        <w:t xml:space="preserve">Notice. </w:t>
      </w:r>
      <w:r w:rsidRPr="0088154E">
        <w:rPr>
          <w:sz w:val="22"/>
          <w:szCs w:val="22"/>
        </w:rPr>
        <w:t xml:space="preserve">Where AHPD provides grant funding, the minimum affordability term </w:t>
      </w:r>
      <w:r w:rsidR="001C6067" w:rsidRPr="0088154E">
        <w:rPr>
          <w:sz w:val="22"/>
          <w:szCs w:val="22"/>
        </w:rPr>
        <w:t>is</w:t>
      </w:r>
      <w:r w:rsidRPr="0088154E">
        <w:rPr>
          <w:sz w:val="22"/>
          <w:szCs w:val="22"/>
        </w:rPr>
        <w:t xml:space="preserve"> thirty years unless otherwise approved by HUD.  Units must meet HQS standards throughout the term.  </w:t>
      </w:r>
    </w:p>
    <w:p w14:paraId="1ABE64F5" w14:textId="77777777" w:rsidR="00C05978" w:rsidRPr="0088154E" w:rsidRDefault="00C05978" w:rsidP="00C05978">
      <w:pPr>
        <w:jc w:val="both"/>
        <w:rPr>
          <w:sz w:val="22"/>
          <w:szCs w:val="22"/>
        </w:rPr>
      </w:pPr>
      <w:r w:rsidRPr="0088154E">
        <w:rPr>
          <w:sz w:val="22"/>
          <w:szCs w:val="22"/>
        </w:rPr>
        <w:t xml:space="preserve"> </w:t>
      </w:r>
    </w:p>
    <w:p w14:paraId="1C48D419" w14:textId="780BA0E9" w:rsidR="008913EC" w:rsidRPr="0088154E" w:rsidRDefault="00525695" w:rsidP="00074854">
      <w:pPr>
        <w:jc w:val="both"/>
        <w:rPr>
          <w:color w:val="000000"/>
          <w:sz w:val="22"/>
          <w:szCs w:val="22"/>
        </w:rPr>
      </w:pPr>
      <w:r w:rsidRPr="0088154E">
        <w:rPr>
          <w:color w:val="000000"/>
          <w:sz w:val="22"/>
          <w:szCs w:val="22"/>
        </w:rPr>
        <w:t>Current projects that are being fun</w:t>
      </w:r>
      <w:r w:rsidR="00990F72" w:rsidRPr="0088154E">
        <w:rPr>
          <w:color w:val="000000"/>
          <w:sz w:val="22"/>
          <w:szCs w:val="22"/>
        </w:rPr>
        <w:t>ded under this activity include</w:t>
      </w:r>
      <w:r w:rsidRPr="0088154E">
        <w:rPr>
          <w:color w:val="000000"/>
          <w:sz w:val="22"/>
          <w:szCs w:val="22"/>
        </w:rPr>
        <w:t>:</w:t>
      </w:r>
      <w:r w:rsidR="00F972E1" w:rsidRPr="0088154E">
        <w:rPr>
          <w:color w:val="000000"/>
          <w:sz w:val="22"/>
          <w:szCs w:val="22"/>
        </w:rPr>
        <w:t xml:space="preserve"> </w:t>
      </w:r>
    </w:p>
    <w:p w14:paraId="101E0B92" w14:textId="77777777" w:rsidR="008913EC" w:rsidRPr="0088154E" w:rsidRDefault="008913EC" w:rsidP="00074854">
      <w:pPr>
        <w:jc w:val="both"/>
        <w:rPr>
          <w:color w:val="000000"/>
          <w:sz w:val="22"/>
          <w:szCs w:val="22"/>
        </w:rPr>
      </w:pPr>
    </w:p>
    <w:p w14:paraId="5BC8BC55" w14:textId="01E342BF" w:rsidR="008913EC" w:rsidRPr="0088154E" w:rsidRDefault="00B73623" w:rsidP="00AA5A80">
      <w:pPr>
        <w:pStyle w:val="ListParagraph"/>
        <w:numPr>
          <w:ilvl w:val="0"/>
          <w:numId w:val="44"/>
        </w:numPr>
        <w:jc w:val="both"/>
      </w:pPr>
      <w:r w:rsidRPr="0088154E">
        <w:rPr>
          <w:color w:val="000000"/>
          <w:u w:val="single"/>
        </w:rPr>
        <w:t>CHA:</w:t>
      </w:r>
      <w:r w:rsidR="00F972E1" w:rsidRPr="0088154E">
        <w:rPr>
          <w:color w:val="000000"/>
        </w:rPr>
        <w:t xml:space="preserve"> MTW funding </w:t>
      </w:r>
      <w:r w:rsidR="00525695" w:rsidRPr="0088154E">
        <w:rPr>
          <w:color w:val="000000"/>
        </w:rPr>
        <w:t>is being used</w:t>
      </w:r>
      <w:r w:rsidR="00F972E1" w:rsidRPr="0088154E">
        <w:rPr>
          <w:color w:val="000000"/>
        </w:rPr>
        <w:t xml:space="preserve"> to substantially rehab three state aided public housing sites for disabled individuals, with a total of</w:t>
      </w:r>
      <w:r w:rsidR="007919E6" w:rsidRPr="0088154E">
        <w:rPr>
          <w:color w:val="000000"/>
        </w:rPr>
        <w:t xml:space="preserve"> 25 units. MTW funding of $1.129</w:t>
      </w:r>
      <w:r w:rsidR="00F972E1" w:rsidRPr="0088154E">
        <w:rPr>
          <w:color w:val="000000"/>
        </w:rPr>
        <w:t>M is b</w:t>
      </w:r>
      <w:r w:rsidR="0026121E" w:rsidRPr="0088154E">
        <w:rPr>
          <w:color w:val="000000"/>
        </w:rPr>
        <w:t>eing used to leverage another $270,000</w:t>
      </w:r>
      <w:r w:rsidR="00F972E1" w:rsidRPr="0088154E">
        <w:rPr>
          <w:color w:val="000000"/>
        </w:rPr>
        <w:t xml:space="preserve">. </w:t>
      </w:r>
      <w:r w:rsidR="009C589B" w:rsidRPr="0088154E">
        <w:rPr>
          <w:color w:val="000000"/>
        </w:rPr>
        <w:t>The project has 100% construction documents and will go out to bid in March of 2020. A Notice to Proceed is anticipated in J</w:t>
      </w:r>
      <w:r w:rsidR="005D14DA" w:rsidRPr="0088154E">
        <w:rPr>
          <w:color w:val="000000"/>
        </w:rPr>
        <w:t>u</w:t>
      </w:r>
      <w:r w:rsidR="001952D4" w:rsidRPr="0088154E">
        <w:rPr>
          <w:color w:val="000000"/>
        </w:rPr>
        <w:t>ly 2020 and construction is</w:t>
      </w:r>
      <w:r w:rsidR="009C589B" w:rsidRPr="0088154E">
        <w:rPr>
          <w:color w:val="000000"/>
        </w:rPr>
        <w:t xml:space="preserve"> scheduled to be complete in July 2021. </w:t>
      </w:r>
    </w:p>
    <w:p w14:paraId="6E81C245" w14:textId="77777777" w:rsidR="008913EC" w:rsidRPr="0088154E" w:rsidRDefault="008913EC" w:rsidP="00074854">
      <w:pPr>
        <w:pStyle w:val="ListParagraph"/>
        <w:numPr>
          <w:ilvl w:val="0"/>
          <w:numId w:val="0"/>
        </w:numPr>
        <w:ind w:left="360"/>
        <w:jc w:val="both"/>
      </w:pPr>
    </w:p>
    <w:p w14:paraId="48EF8708" w14:textId="486B4B81" w:rsidR="00BC7EF9" w:rsidRPr="0088154E" w:rsidRDefault="00B73623" w:rsidP="009C589B">
      <w:pPr>
        <w:pStyle w:val="ListParagraph"/>
        <w:numPr>
          <w:ilvl w:val="0"/>
          <w:numId w:val="44"/>
        </w:numPr>
        <w:jc w:val="both"/>
      </w:pPr>
      <w:r w:rsidRPr="0088154E">
        <w:rPr>
          <w:color w:val="000000"/>
          <w:u w:val="single"/>
        </w:rPr>
        <w:t>BHA:</w:t>
      </w:r>
      <w:r w:rsidR="00BC7EF9" w:rsidRPr="0088154E">
        <w:rPr>
          <w:color w:val="000000"/>
        </w:rPr>
        <w:t xml:space="preserve"> MTW funding of approximately $4M leveraged</w:t>
      </w:r>
      <w:r w:rsidR="0026121E" w:rsidRPr="0088154E">
        <w:rPr>
          <w:color w:val="000000"/>
        </w:rPr>
        <w:t xml:space="preserve"> approximately $25</w:t>
      </w:r>
      <w:r w:rsidR="00BC7EF9" w:rsidRPr="0088154E">
        <w:rPr>
          <w:color w:val="000000"/>
        </w:rPr>
        <w:t>M in other funding sources (including permanent debt, federal 4% LIHTC, state and federal historic tax credits, a seller note, and FHLB soft debt) to preserve an apartment building built in 1949, consisting of 72 units. R</w:t>
      </w:r>
      <w:r w:rsidR="00BC7EF9" w:rsidRPr="0088154E">
        <w:t xml:space="preserve">elocation of existing tenants and phased, substantial rehabilitation of the property </w:t>
      </w:r>
      <w:r w:rsidR="00525695" w:rsidRPr="0088154E">
        <w:t>began</w:t>
      </w:r>
      <w:r w:rsidR="006C7A21" w:rsidRPr="0088154E">
        <w:t xml:space="preserve"> in FY 2019</w:t>
      </w:r>
      <w:r w:rsidR="00BC7EF9" w:rsidRPr="0088154E">
        <w:t xml:space="preserve">. The scope of work includes updating </w:t>
      </w:r>
      <w:r w:rsidR="002E4FF0" w:rsidRPr="0088154E">
        <w:t xml:space="preserve">the fire alarm system and </w:t>
      </w:r>
      <w:r w:rsidR="00BC7EF9" w:rsidRPr="0088154E">
        <w:t xml:space="preserve">all kitchens and bathrooms, </w:t>
      </w:r>
      <w:r w:rsidR="002E4FF0" w:rsidRPr="0088154E">
        <w:t xml:space="preserve">and completing </w:t>
      </w:r>
      <w:r w:rsidR="00BC7EF9" w:rsidRPr="0088154E">
        <w:t>accessibility and common area upgrades, new energy efficient mechanical systems and landscaping throughout. The estimated co</w:t>
      </w:r>
      <w:r w:rsidR="009C589B" w:rsidRPr="0088154E">
        <w:t xml:space="preserve">nstruction period is 24 months. Construction is expected to be completed in late in FY 2020 or early FY 2021 with a forecasted date of December 2020 for permanent loan closure. All 72 units are anticipated to be online in FY 2021. </w:t>
      </w:r>
    </w:p>
    <w:p w14:paraId="46CAAA29" w14:textId="0FC4675A" w:rsidR="00A958CB" w:rsidRPr="0088154E" w:rsidRDefault="00A958CB" w:rsidP="0048721F">
      <w:pPr>
        <w:tabs>
          <w:tab w:val="left" w:pos="0"/>
          <w:tab w:val="left" w:pos="90"/>
        </w:tabs>
        <w:jc w:val="both"/>
        <w:rPr>
          <w:color w:val="000000"/>
          <w:sz w:val="22"/>
          <w:szCs w:val="22"/>
        </w:rPr>
      </w:pPr>
    </w:p>
    <w:p w14:paraId="7E78703A" w14:textId="7E048601" w:rsidR="001153E3" w:rsidRPr="0088154E" w:rsidRDefault="00F972E1" w:rsidP="001153E3">
      <w:pPr>
        <w:jc w:val="both"/>
        <w:rPr>
          <w:b/>
          <w:color w:val="000000"/>
          <w:sz w:val="22"/>
          <w:szCs w:val="22"/>
        </w:rPr>
      </w:pPr>
      <w:r w:rsidRPr="0088154E">
        <w:rPr>
          <w:b/>
          <w:color w:val="000000"/>
          <w:sz w:val="22"/>
          <w:szCs w:val="22"/>
        </w:rPr>
        <w:t>Planned Non-Significant Changes</w:t>
      </w:r>
    </w:p>
    <w:p w14:paraId="75AE3B6E" w14:textId="75B08EC2" w:rsidR="001153E3" w:rsidRPr="0088154E" w:rsidRDefault="00EC5E06" w:rsidP="001153E3">
      <w:pPr>
        <w:jc w:val="both"/>
        <w:rPr>
          <w:sz w:val="22"/>
          <w:szCs w:val="22"/>
        </w:rPr>
      </w:pPr>
      <w:r w:rsidRPr="0088154E">
        <w:rPr>
          <w:sz w:val="22"/>
          <w:szCs w:val="22"/>
        </w:rPr>
        <w:t>In FY 2021, DHCD may  utilize funds under this activity for the preservation and development of affordable housing for elders.  Working in Partnership with the Executive Office of Elder Affairs, DHCD will provide financial support to preserve Chapter 667 state public housing developments with high capital needs; and  facilitate partnership between LHA’s and local service agencies to provide service-rich environments that allows residents to age in their community. DHCD may utilize MTW funding of up to $3M in FY 2021 to support housing preservation at two projects, one at Lakeview Avenue in Beverly which consists of 25 units and the other at Balch Apartments in Lowell which consists of 20 units.</w:t>
      </w:r>
    </w:p>
    <w:p w14:paraId="345350E7" w14:textId="77777777" w:rsidR="00EC5E06" w:rsidRPr="0088154E" w:rsidRDefault="00EC5E06" w:rsidP="001153E3">
      <w:pPr>
        <w:jc w:val="both"/>
        <w:rPr>
          <w:color w:val="000000" w:themeColor="text1"/>
          <w:sz w:val="22"/>
          <w:szCs w:val="22"/>
        </w:rPr>
      </w:pPr>
    </w:p>
    <w:p w14:paraId="666CCD75" w14:textId="77777777" w:rsidR="00F972E1" w:rsidRPr="0088154E" w:rsidRDefault="00F972E1" w:rsidP="00F972E1">
      <w:pPr>
        <w:jc w:val="both"/>
        <w:rPr>
          <w:b/>
          <w:sz w:val="22"/>
          <w:szCs w:val="22"/>
        </w:rPr>
      </w:pPr>
      <w:r w:rsidRPr="0088154E">
        <w:rPr>
          <w:b/>
          <w:sz w:val="22"/>
          <w:szCs w:val="22"/>
        </w:rPr>
        <w:t>Planned Changes to Metrics/Data Collection</w:t>
      </w:r>
    </w:p>
    <w:p w14:paraId="7712EEE5" w14:textId="62E2B49C" w:rsidR="00F972E1" w:rsidRPr="0088154E" w:rsidRDefault="0026121E" w:rsidP="00F972E1">
      <w:pPr>
        <w:jc w:val="both"/>
        <w:rPr>
          <w:bCs/>
          <w:sz w:val="22"/>
          <w:szCs w:val="22"/>
        </w:rPr>
      </w:pPr>
      <w:r w:rsidRPr="0088154E">
        <w:rPr>
          <w:bCs/>
          <w:sz w:val="22"/>
          <w:szCs w:val="22"/>
        </w:rPr>
        <w:t>DHCD updated the benchmark</w:t>
      </w:r>
      <w:r w:rsidR="00EE250C" w:rsidRPr="0088154E">
        <w:rPr>
          <w:bCs/>
          <w:sz w:val="22"/>
          <w:szCs w:val="22"/>
        </w:rPr>
        <w:t xml:space="preserve">s to reflect current plans. </w:t>
      </w:r>
      <w:r w:rsidRPr="0088154E">
        <w:rPr>
          <w:bCs/>
          <w:sz w:val="22"/>
          <w:szCs w:val="22"/>
        </w:rPr>
        <w:t xml:space="preserve"> </w:t>
      </w:r>
    </w:p>
    <w:p w14:paraId="2C63CEE3" w14:textId="77777777" w:rsidR="00F972E1" w:rsidRPr="0088154E" w:rsidRDefault="00F972E1" w:rsidP="00F972E1">
      <w:pPr>
        <w:jc w:val="both"/>
        <w:rPr>
          <w:bCs/>
          <w:sz w:val="22"/>
          <w:szCs w:val="22"/>
        </w:rPr>
      </w:pPr>
      <w:r w:rsidRPr="0088154E">
        <w:rPr>
          <w:bCs/>
          <w:sz w:val="22"/>
          <w:szCs w:val="22"/>
        </w:rPr>
        <w:t xml:space="preserve"> </w:t>
      </w:r>
    </w:p>
    <w:p w14:paraId="0C04B282" w14:textId="77777777" w:rsidR="00F972E1" w:rsidRPr="0088154E" w:rsidRDefault="00F972E1" w:rsidP="00F972E1">
      <w:pPr>
        <w:jc w:val="both"/>
        <w:rPr>
          <w:b/>
          <w:color w:val="000000"/>
          <w:sz w:val="22"/>
          <w:szCs w:val="22"/>
        </w:rPr>
      </w:pPr>
      <w:r w:rsidRPr="0088154E">
        <w:rPr>
          <w:b/>
          <w:color w:val="000000"/>
          <w:sz w:val="22"/>
          <w:szCs w:val="22"/>
        </w:rPr>
        <w:t>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14"/>
        <w:gridCol w:w="1627"/>
        <w:gridCol w:w="1354"/>
        <w:gridCol w:w="1440"/>
      </w:tblGrid>
      <w:tr w:rsidR="006D6981" w:rsidRPr="0088154E" w14:paraId="1AC00B99" w14:textId="77777777" w:rsidTr="00750E6B">
        <w:trPr>
          <w:trHeight w:hRule="exact" w:val="317"/>
        </w:trPr>
        <w:tc>
          <w:tcPr>
            <w:tcW w:w="1440" w:type="dxa"/>
            <w:gridSpan w:val="5"/>
            <w:shd w:val="clear" w:color="auto" w:fill="B8CCE4" w:themeFill="accent1" w:themeFillTint="66"/>
            <w:hideMark/>
          </w:tcPr>
          <w:p w14:paraId="1F625769" w14:textId="77777777" w:rsidR="006D6981" w:rsidRPr="0088154E" w:rsidRDefault="006D6981" w:rsidP="008E2F4D">
            <w:pPr>
              <w:jc w:val="center"/>
              <w:rPr>
                <w:rFonts w:eastAsia="Calibri"/>
                <w:b/>
                <w:bCs/>
                <w:i/>
                <w:iCs/>
                <w:sz w:val="20"/>
                <w:szCs w:val="20"/>
              </w:rPr>
            </w:pPr>
            <w:r w:rsidRPr="0088154E">
              <w:rPr>
                <w:rFonts w:eastAsia="Calibri"/>
                <w:b/>
                <w:bCs/>
                <w:i/>
                <w:iCs/>
                <w:sz w:val="20"/>
                <w:szCs w:val="20"/>
              </w:rPr>
              <w:t>CE #4: Increase in Resources Leveraged</w:t>
            </w:r>
          </w:p>
        </w:tc>
      </w:tr>
      <w:tr w:rsidR="006D6981" w:rsidRPr="0088154E" w14:paraId="49DE03C8" w14:textId="77777777" w:rsidTr="00750E6B">
        <w:trPr>
          <w:trHeight w:val="576"/>
        </w:trPr>
        <w:tc>
          <w:tcPr>
            <w:tcW w:w="3240" w:type="dxa"/>
            <w:shd w:val="clear" w:color="auto" w:fill="D9D9D9" w:themeFill="background1" w:themeFillShade="D9"/>
            <w:hideMark/>
          </w:tcPr>
          <w:p w14:paraId="5489A5C0" w14:textId="77777777" w:rsidR="006D6981" w:rsidRPr="0088154E" w:rsidRDefault="006D6981" w:rsidP="008E2F4D">
            <w:pPr>
              <w:jc w:val="center"/>
              <w:rPr>
                <w:rFonts w:eastAsia="Calibri"/>
                <w:b/>
                <w:bCs/>
                <w:sz w:val="20"/>
                <w:szCs w:val="20"/>
              </w:rPr>
            </w:pPr>
            <w:r w:rsidRPr="0088154E">
              <w:rPr>
                <w:rFonts w:eastAsia="Calibri"/>
                <w:b/>
                <w:bCs/>
                <w:sz w:val="20"/>
                <w:szCs w:val="20"/>
              </w:rPr>
              <w:t>Unit of Measurement</w:t>
            </w:r>
          </w:p>
        </w:tc>
        <w:tc>
          <w:tcPr>
            <w:tcW w:w="1714" w:type="dxa"/>
            <w:shd w:val="clear" w:color="auto" w:fill="D9D9D9" w:themeFill="background1" w:themeFillShade="D9"/>
            <w:hideMark/>
          </w:tcPr>
          <w:p w14:paraId="3FA8A74B" w14:textId="77777777" w:rsidR="006D6981" w:rsidRPr="0088154E" w:rsidRDefault="006D6981" w:rsidP="008E2F4D">
            <w:pPr>
              <w:jc w:val="center"/>
              <w:rPr>
                <w:rFonts w:eastAsia="Calibri"/>
                <w:b/>
                <w:bCs/>
                <w:sz w:val="20"/>
                <w:szCs w:val="20"/>
              </w:rPr>
            </w:pPr>
            <w:r w:rsidRPr="0088154E">
              <w:rPr>
                <w:rFonts w:eastAsia="Calibri"/>
                <w:b/>
                <w:bCs/>
                <w:sz w:val="20"/>
                <w:szCs w:val="20"/>
              </w:rPr>
              <w:t>Baseline</w:t>
            </w:r>
          </w:p>
        </w:tc>
        <w:tc>
          <w:tcPr>
            <w:tcW w:w="1627" w:type="dxa"/>
            <w:shd w:val="clear" w:color="auto" w:fill="D9D9D9" w:themeFill="background1" w:themeFillShade="D9"/>
            <w:hideMark/>
          </w:tcPr>
          <w:p w14:paraId="4426BB57" w14:textId="77777777" w:rsidR="006D6981" w:rsidRPr="0088154E" w:rsidRDefault="006D6981" w:rsidP="008E2F4D">
            <w:pPr>
              <w:jc w:val="center"/>
              <w:rPr>
                <w:rFonts w:eastAsia="Calibri"/>
                <w:b/>
                <w:bCs/>
                <w:sz w:val="20"/>
                <w:szCs w:val="20"/>
              </w:rPr>
            </w:pPr>
            <w:r w:rsidRPr="0088154E">
              <w:rPr>
                <w:rFonts w:eastAsia="Calibri"/>
                <w:b/>
                <w:bCs/>
                <w:sz w:val="20"/>
                <w:szCs w:val="20"/>
              </w:rPr>
              <w:t>Benchmark</w:t>
            </w:r>
          </w:p>
        </w:tc>
        <w:tc>
          <w:tcPr>
            <w:tcW w:w="1354" w:type="dxa"/>
            <w:shd w:val="clear" w:color="auto" w:fill="D9D9D9" w:themeFill="background1" w:themeFillShade="D9"/>
            <w:hideMark/>
          </w:tcPr>
          <w:p w14:paraId="1CEDE34E" w14:textId="77777777" w:rsidR="006D6981" w:rsidRPr="0088154E" w:rsidRDefault="006D6981" w:rsidP="008E2F4D">
            <w:pPr>
              <w:jc w:val="center"/>
              <w:rPr>
                <w:rFonts w:eastAsia="Calibri"/>
                <w:b/>
                <w:bCs/>
                <w:sz w:val="20"/>
                <w:szCs w:val="20"/>
              </w:rPr>
            </w:pPr>
            <w:r w:rsidRPr="0088154E">
              <w:rPr>
                <w:rFonts w:eastAsia="Calibri"/>
                <w:b/>
                <w:bCs/>
                <w:sz w:val="20"/>
                <w:szCs w:val="20"/>
              </w:rPr>
              <w:t>Outcome</w:t>
            </w:r>
          </w:p>
        </w:tc>
        <w:tc>
          <w:tcPr>
            <w:tcW w:w="1440" w:type="dxa"/>
            <w:shd w:val="clear" w:color="auto" w:fill="D9D9D9" w:themeFill="background1" w:themeFillShade="D9"/>
            <w:hideMark/>
          </w:tcPr>
          <w:p w14:paraId="6D35F3FC" w14:textId="77777777" w:rsidR="006D6981" w:rsidRPr="0088154E" w:rsidRDefault="006D6981" w:rsidP="008E2F4D">
            <w:pPr>
              <w:jc w:val="center"/>
              <w:rPr>
                <w:rFonts w:eastAsia="Calibri"/>
                <w:b/>
                <w:bCs/>
                <w:sz w:val="20"/>
                <w:szCs w:val="20"/>
              </w:rPr>
            </w:pPr>
            <w:r w:rsidRPr="0088154E">
              <w:rPr>
                <w:rFonts w:eastAsia="Calibri"/>
                <w:b/>
                <w:bCs/>
                <w:sz w:val="20"/>
                <w:szCs w:val="20"/>
              </w:rPr>
              <w:t>Benchmark Achieved?</w:t>
            </w:r>
          </w:p>
        </w:tc>
      </w:tr>
      <w:tr w:rsidR="006D6981" w:rsidRPr="0088154E" w14:paraId="433C4DD2" w14:textId="77777777" w:rsidTr="00750E6B">
        <w:trPr>
          <w:trHeight w:val="557"/>
        </w:trPr>
        <w:tc>
          <w:tcPr>
            <w:tcW w:w="3240" w:type="dxa"/>
            <w:shd w:val="clear" w:color="auto" w:fill="auto"/>
            <w:hideMark/>
          </w:tcPr>
          <w:p w14:paraId="78CC0588" w14:textId="46A96DFC" w:rsidR="006D6981" w:rsidRPr="0088154E" w:rsidRDefault="006D6981" w:rsidP="008E2F4D">
            <w:pPr>
              <w:rPr>
                <w:rFonts w:eastAsia="Calibri"/>
                <w:bCs/>
                <w:iCs/>
                <w:sz w:val="20"/>
                <w:szCs w:val="20"/>
              </w:rPr>
            </w:pPr>
            <w:r w:rsidRPr="0088154E">
              <w:rPr>
                <w:rFonts w:eastAsia="Calibri"/>
                <w:bCs/>
                <w:iCs/>
                <w:sz w:val="20"/>
                <w:szCs w:val="20"/>
              </w:rPr>
              <w:t>Amount of funds leveraged in dollars (increase)</w:t>
            </w:r>
            <w:r w:rsidR="002E4FF0" w:rsidRPr="0088154E">
              <w:rPr>
                <w:rFonts w:eastAsia="Calibri"/>
                <w:bCs/>
                <w:iCs/>
                <w:sz w:val="20"/>
                <w:szCs w:val="20"/>
              </w:rPr>
              <w:t>.</w:t>
            </w:r>
          </w:p>
        </w:tc>
        <w:tc>
          <w:tcPr>
            <w:tcW w:w="1714" w:type="dxa"/>
            <w:shd w:val="clear" w:color="auto" w:fill="auto"/>
          </w:tcPr>
          <w:p w14:paraId="45FD2246" w14:textId="77777777" w:rsidR="006D6981" w:rsidRPr="0088154E" w:rsidRDefault="006D6981" w:rsidP="001A3248">
            <w:pPr>
              <w:jc w:val="center"/>
              <w:rPr>
                <w:rFonts w:eastAsia="Calibri"/>
                <w:sz w:val="20"/>
                <w:szCs w:val="20"/>
              </w:rPr>
            </w:pPr>
            <w:r w:rsidRPr="0088154E">
              <w:rPr>
                <w:rFonts w:eastAsia="Calibri"/>
                <w:sz w:val="20"/>
                <w:szCs w:val="20"/>
              </w:rPr>
              <w:t>$0</w:t>
            </w:r>
          </w:p>
        </w:tc>
        <w:tc>
          <w:tcPr>
            <w:tcW w:w="1627" w:type="dxa"/>
            <w:shd w:val="clear" w:color="auto" w:fill="auto"/>
          </w:tcPr>
          <w:p w14:paraId="1B18B89D" w14:textId="5EB7D049" w:rsidR="006D6981" w:rsidRPr="0088154E" w:rsidRDefault="001A4AAC" w:rsidP="001A3248">
            <w:pPr>
              <w:jc w:val="center"/>
              <w:rPr>
                <w:rFonts w:eastAsia="Calibri"/>
                <w:sz w:val="20"/>
                <w:szCs w:val="20"/>
              </w:rPr>
            </w:pPr>
            <w:r w:rsidRPr="0088154E">
              <w:rPr>
                <w:rFonts w:eastAsia="Calibri"/>
                <w:sz w:val="20"/>
                <w:szCs w:val="20"/>
              </w:rPr>
              <w:t>$26</w:t>
            </w:r>
            <w:r w:rsidR="0026121E" w:rsidRPr="0088154E">
              <w:rPr>
                <w:rFonts w:eastAsia="Calibri"/>
                <w:sz w:val="20"/>
                <w:szCs w:val="20"/>
              </w:rPr>
              <w:t>.</w:t>
            </w:r>
            <w:r w:rsidRPr="0088154E">
              <w:rPr>
                <w:rFonts w:eastAsia="Calibri"/>
                <w:sz w:val="20"/>
                <w:szCs w:val="20"/>
              </w:rPr>
              <w:t>5M</w:t>
            </w:r>
          </w:p>
        </w:tc>
        <w:tc>
          <w:tcPr>
            <w:tcW w:w="1354" w:type="dxa"/>
            <w:shd w:val="clear" w:color="auto" w:fill="auto"/>
          </w:tcPr>
          <w:p w14:paraId="1E6F2911" w14:textId="26384998" w:rsidR="006D6981" w:rsidRPr="0088154E" w:rsidRDefault="006D6981" w:rsidP="001A3248">
            <w:pPr>
              <w:jc w:val="center"/>
              <w:rPr>
                <w:rFonts w:eastAsia="Calibri"/>
                <w:sz w:val="20"/>
                <w:szCs w:val="20"/>
              </w:rPr>
            </w:pPr>
          </w:p>
        </w:tc>
        <w:tc>
          <w:tcPr>
            <w:tcW w:w="1440" w:type="dxa"/>
            <w:shd w:val="clear" w:color="auto" w:fill="auto"/>
          </w:tcPr>
          <w:p w14:paraId="29873656" w14:textId="02F69572" w:rsidR="006D6981" w:rsidRPr="0088154E" w:rsidRDefault="006D6981" w:rsidP="001A4AAC">
            <w:pPr>
              <w:rPr>
                <w:rFonts w:eastAsia="Calibri"/>
                <w:sz w:val="20"/>
                <w:szCs w:val="20"/>
              </w:rPr>
            </w:pPr>
          </w:p>
        </w:tc>
      </w:tr>
      <w:tr w:rsidR="006D6981" w:rsidRPr="0088154E" w14:paraId="4E725AB7" w14:textId="77777777" w:rsidTr="00750E6B">
        <w:trPr>
          <w:trHeight w:val="317"/>
        </w:trPr>
        <w:tc>
          <w:tcPr>
            <w:tcW w:w="1440" w:type="dxa"/>
            <w:gridSpan w:val="5"/>
            <w:shd w:val="clear" w:color="auto" w:fill="B8CCE4" w:themeFill="accent1" w:themeFillTint="66"/>
          </w:tcPr>
          <w:p w14:paraId="7B823D30" w14:textId="77777777" w:rsidR="006D6981" w:rsidRPr="0088154E" w:rsidRDefault="006D6981" w:rsidP="008E2F4D">
            <w:pPr>
              <w:jc w:val="center"/>
              <w:rPr>
                <w:rFonts w:eastAsia="Calibri"/>
                <w:sz w:val="20"/>
                <w:szCs w:val="20"/>
              </w:rPr>
            </w:pPr>
            <w:r w:rsidRPr="0088154E">
              <w:rPr>
                <w:rFonts w:eastAsia="Calibri"/>
                <w:b/>
                <w:bCs/>
                <w:i/>
                <w:iCs/>
                <w:sz w:val="20"/>
                <w:szCs w:val="20"/>
              </w:rPr>
              <w:t xml:space="preserve">HC #1: Additional Units of Housing Made Available  </w:t>
            </w:r>
          </w:p>
        </w:tc>
      </w:tr>
      <w:tr w:rsidR="006D6981" w:rsidRPr="0088154E" w14:paraId="00EBE26B" w14:textId="77777777" w:rsidTr="00750E6B">
        <w:trPr>
          <w:trHeight w:val="530"/>
        </w:trPr>
        <w:tc>
          <w:tcPr>
            <w:tcW w:w="3240" w:type="dxa"/>
            <w:shd w:val="clear" w:color="auto" w:fill="D9D9D9" w:themeFill="background1" w:themeFillShade="D9"/>
          </w:tcPr>
          <w:p w14:paraId="140EF720" w14:textId="77777777" w:rsidR="006D6981" w:rsidRPr="0088154E" w:rsidRDefault="006D6981" w:rsidP="008E2F4D">
            <w:pPr>
              <w:jc w:val="center"/>
              <w:rPr>
                <w:rFonts w:eastAsia="Calibri"/>
                <w:sz w:val="20"/>
                <w:szCs w:val="20"/>
              </w:rPr>
            </w:pPr>
            <w:r w:rsidRPr="0088154E">
              <w:rPr>
                <w:rFonts w:eastAsia="Calibri"/>
                <w:b/>
                <w:bCs/>
                <w:sz w:val="20"/>
                <w:szCs w:val="20"/>
              </w:rPr>
              <w:t>Unit of Measurement</w:t>
            </w:r>
          </w:p>
        </w:tc>
        <w:tc>
          <w:tcPr>
            <w:tcW w:w="1714" w:type="dxa"/>
            <w:shd w:val="clear" w:color="auto" w:fill="D9D9D9" w:themeFill="background1" w:themeFillShade="D9"/>
          </w:tcPr>
          <w:p w14:paraId="1D2B3588" w14:textId="77777777" w:rsidR="006D6981" w:rsidRPr="0088154E" w:rsidRDefault="006D6981" w:rsidP="008E2F4D">
            <w:pPr>
              <w:jc w:val="center"/>
              <w:rPr>
                <w:rFonts w:eastAsia="Calibri"/>
                <w:sz w:val="20"/>
                <w:szCs w:val="20"/>
              </w:rPr>
            </w:pPr>
            <w:r w:rsidRPr="0088154E">
              <w:rPr>
                <w:rFonts w:eastAsia="Calibri"/>
                <w:b/>
                <w:bCs/>
                <w:sz w:val="20"/>
                <w:szCs w:val="20"/>
              </w:rPr>
              <w:t>Baseline</w:t>
            </w:r>
          </w:p>
        </w:tc>
        <w:tc>
          <w:tcPr>
            <w:tcW w:w="1627" w:type="dxa"/>
            <w:shd w:val="clear" w:color="auto" w:fill="D9D9D9" w:themeFill="background1" w:themeFillShade="D9"/>
          </w:tcPr>
          <w:p w14:paraId="1DB17102" w14:textId="77777777" w:rsidR="006D6981" w:rsidRPr="0088154E" w:rsidRDefault="006D6981" w:rsidP="008E2F4D">
            <w:pPr>
              <w:jc w:val="center"/>
              <w:rPr>
                <w:rFonts w:eastAsia="Calibri"/>
                <w:sz w:val="20"/>
                <w:szCs w:val="20"/>
              </w:rPr>
            </w:pPr>
            <w:r w:rsidRPr="0088154E">
              <w:rPr>
                <w:rFonts w:eastAsia="Calibri"/>
                <w:b/>
                <w:bCs/>
                <w:sz w:val="20"/>
                <w:szCs w:val="20"/>
              </w:rPr>
              <w:t>Benchmark</w:t>
            </w:r>
          </w:p>
        </w:tc>
        <w:tc>
          <w:tcPr>
            <w:tcW w:w="1354" w:type="dxa"/>
            <w:shd w:val="clear" w:color="auto" w:fill="D9D9D9" w:themeFill="background1" w:themeFillShade="D9"/>
          </w:tcPr>
          <w:p w14:paraId="3B4921F5" w14:textId="77777777" w:rsidR="006D6981" w:rsidRPr="0088154E" w:rsidRDefault="006D6981" w:rsidP="008E2F4D">
            <w:pPr>
              <w:jc w:val="center"/>
              <w:rPr>
                <w:rFonts w:eastAsia="Calibri"/>
                <w:sz w:val="20"/>
                <w:szCs w:val="20"/>
              </w:rPr>
            </w:pPr>
            <w:r w:rsidRPr="0088154E">
              <w:rPr>
                <w:rFonts w:eastAsia="Calibri"/>
                <w:b/>
                <w:bCs/>
                <w:sz w:val="20"/>
                <w:szCs w:val="20"/>
              </w:rPr>
              <w:t>Outcome</w:t>
            </w:r>
          </w:p>
        </w:tc>
        <w:tc>
          <w:tcPr>
            <w:tcW w:w="1440" w:type="dxa"/>
            <w:shd w:val="clear" w:color="auto" w:fill="D9D9D9" w:themeFill="background1" w:themeFillShade="D9"/>
          </w:tcPr>
          <w:p w14:paraId="7FA891BC" w14:textId="77777777" w:rsidR="006D6981" w:rsidRPr="0088154E" w:rsidRDefault="006D6981" w:rsidP="008E2F4D">
            <w:pPr>
              <w:jc w:val="center"/>
              <w:rPr>
                <w:rFonts w:eastAsia="Calibri"/>
                <w:sz w:val="20"/>
                <w:szCs w:val="20"/>
              </w:rPr>
            </w:pPr>
            <w:r w:rsidRPr="0088154E">
              <w:rPr>
                <w:rFonts w:eastAsia="Calibri"/>
                <w:b/>
                <w:bCs/>
                <w:sz w:val="20"/>
                <w:szCs w:val="20"/>
              </w:rPr>
              <w:t>Benchmark Achieved?</w:t>
            </w:r>
          </w:p>
        </w:tc>
      </w:tr>
      <w:tr w:rsidR="006D6981" w:rsidRPr="0088154E" w14:paraId="266D5D2B" w14:textId="77777777" w:rsidTr="00750E6B">
        <w:trPr>
          <w:trHeight w:val="530"/>
        </w:trPr>
        <w:tc>
          <w:tcPr>
            <w:tcW w:w="3240" w:type="dxa"/>
            <w:shd w:val="clear" w:color="auto" w:fill="auto"/>
          </w:tcPr>
          <w:p w14:paraId="7459E5EE" w14:textId="0E3628DD" w:rsidR="006D6981" w:rsidRPr="0088154E" w:rsidRDefault="006D6981" w:rsidP="008E2F4D">
            <w:pPr>
              <w:rPr>
                <w:rFonts w:eastAsia="Calibri"/>
                <w:sz w:val="20"/>
                <w:szCs w:val="20"/>
              </w:rPr>
            </w:pPr>
            <w:r w:rsidRPr="0088154E">
              <w:rPr>
                <w:rFonts w:eastAsia="Calibri"/>
                <w:sz w:val="20"/>
                <w:szCs w:val="20"/>
              </w:rPr>
              <w:t>Number of new housing units made available for households at or below 80% AMI as a result of the activity (increase)</w:t>
            </w:r>
            <w:r w:rsidR="002E4FF0" w:rsidRPr="0088154E">
              <w:rPr>
                <w:rFonts w:eastAsia="Calibri"/>
                <w:sz w:val="20"/>
                <w:szCs w:val="20"/>
              </w:rPr>
              <w:t>.</w:t>
            </w:r>
          </w:p>
        </w:tc>
        <w:tc>
          <w:tcPr>
            <w:tcW w:w="1714" w:type="dxa"/>
            <w:shd w:val="clear" w:color="auto" w:fill="auto"/>
          </w:tcPr>
          <w:p w14:paraId="37D6CB1B" w14:textId="77777777" w:rsidR="006D6981" w:rsidRPr="0088154E" w:rsidRDefault="006D6981" w:rsidP="001A3248">
            <w:pPr>
              <w:jc w:val="center"/>
              <w:rPr>
                <w:rFonts w:eastAsia="Calibri"/>
                <w:sz w:val="20"/>
                <w:szCs w:val="20"/>
              </w:rPr>
            </w:pPr>
            <w:r w:rsidRPr="0088154E">
              <w:rPr>
                <w:rFonts w:eastAsia="Calibri"/>
                <w:sz w:val="20"/>
                <w:szCs w:val="20"/>
              </w:rPr>
              <w:t>0</w:t>
            </w:r>
          </w:p>
        </w:tc>
        <w:tc>
          <w:tcPr>
            <w:tcW w:w="1627" w:type="dxa"/>
            <w:shd w:val="clear" w:color="auto" w:fill="auto"/>
          </w:tcPr>
          <w:p w14:paraId="463AA28D" w14:textId="62684BFB" w:rsidR="006D6981" w:rsidRPr="0088154E" w:rsidRDefault="005D14DA" w:rsidP="001A3248">
            <w:pPr>
              <w:jc w:val="center"/>
              <w:rPr>
                <w:rFonts w:eastAsia="Calibri"/>
                <w:sz w:val="20"/>
                <w:szCs w:val="20"/>
              </w:rPr>
            </w:pPr>
            <w:r w:rsidRPr="0088154E">
              <w:rPr>
                <w:rFonts w:eastAsia="Calibri"/>
                <w:sz w:val="20"/>
                <w:szCs w:val="20"/>
              </w:rPr>
              <w:t>72</w:t>
            </w:r>
          </w:p>
        </w:tc>
        <w:tc>
          <w:tcPr>
            <w:tcW w:w="1354" w:type="dxa"/>
            <w:shd w:val="clear" w:color="auto" w:fill="auto"/>
          </w:tcPr>
          <w:p w14:paraId="527AC999" w14:textId="69C21CEB" w:rsidR="006D6981" w:rsidRPr="0088154E" w:rsidRDefault="006D6981" w:rsidP="001A3248">
            <w:pPr>
              <w:jc w:val="center"/>
              <w:rPr>
                <w:rFonts w:eastAsia="Calibri"/>
                <w:sz w:val="20"/>
                <w:szCs w:val="20"/>
              </w:rPr>
            </w:pPr>
          </w:p>
        </w:tc>
        <w:tc>
          <w:tcPr>
            <w:tcW w:w="1440" w:type="dxa"/>
            <w:shd w:val="clear" w:color="auto" w:fill="auto"/>
          </w:tcPr>
          <w:p w14:paraId="4B94CC45" w14:textId="455CA501" w:rsidR="006D6981" w:rsidRPr="0088154E" w:rsidRDefault="006D6981" w:rsidP="001A3248">
            <w:pPr>
              <w:jc w:val="center"/>
              <w:rPr>
                <w:rFonts w:eastAsia="Calibri"/>
                <w:sz w:val="20"/>
                <w:szCs w:val="20"/>
              </w:rPr>
            </w:pPr>
          </w:p>
        </w:tc>
      </w:tr>
      <w:tr w:rsidR="006D6981" w:rsidRPr="0088154E" w14:paraId="1634F94F" w14:textId="77777777" w:rsidTr="00750E6B">
        <w:trPr>
          <w:trHeight w:hRule="exact" w:val="317"/>
        </w:trPr>
        <w:tc>
          <w:tcPr>
            <w:tcW w:w="1440" w:type="dxa"/>
            <w:gridSpan w:val="5"/>
            <w:shd w:val="clear" w:color="auto" w:fill="B8CCE4" w:themeFill="accent1" w:themeFillTint="66"/>
          </w:tcPr>
          <w:p w14:paraId="4C9BF5E4" w14:textId="77777777" w:rsidR="006D6981" w:rsidRPr="0088154E" w:rsidRDefault="006D6981" w:rsidP="008E2F4D">
            <w:pPr>
              <w:jc w:val="center"/>
              <w:rPr>
                <w:rFonts w:eastAsia="Calibri"/>
                <w:sz w:val="20"/>
                <w:szCs w:val="20"/>
              </w:rPr>
            </w:pPr>
            <w:r w:rsidRPr="0088154E">
              <w:rPr>
                <w:rFonts w:eastAsia="Calibri"/>
                <w:b/>
                <w:bCs/>
                <w:i/>
                <w:iCs/>
                <w:sz w:val="20"/>
                <w:szCs w:val="20"/>
              </w:rPr>
              <w:t>HC #2: Units of Housing Preserved</w:t>
            </w:r>
          </w:p>
        </w:tc>
      </w:tr>
      <w:tr w:rsidR="006D6981" w:rsidRPr="0088154E" w14:paraId="4D12AC75" w14:textId="77777777" w:rsidTr="00750E6B">
        <w:trPr>
          <w:trHeight w:hRule="exact" w:val="634"/>
        </w:trPr>
        <w:tc>
          <w:tcPr>
            <w:tcW w:w="3240" w:type="dxa"/>
            <w:shd w:val="clear" w:color="auto" w:fill="D9D9D9" w:themeFill="background1" w:themeFillShade="D9"/>
          </w:tcPr>
          <w:p w14:paraId="094CF823" w14:textId="77777777" w:rsidR="006D6981" w:rsidRPr="0088154E" w:rsidRDefault="006D6981" w:rsidP="008E2F4D">
            <w:pPr>
              <w:jc w:val="center"/>
              <w:rPr>
                <w:rFonts w:eastAsia="Calibri"/>
                <w:sz w:val="20"/>
                <w:szCs w:val="20"/>
              </w:rPr>
            </w:pPr>
            <w:r w:rsidRPr="0088154E">
              <w:rPr>
                <w:rFonts w:eastAsia="Calibri"/>
                <w:b/>
                <w:bCs/>
                <w:sz w:val="20"/>
                <w:szCs w:val="20"/>
              </w:rPr>
              <w:t>Unit of Measurement</w:t>
            </w:r>
          </w:p>
        </w:tc>
        <w:tc>
          <w:tcPr>
            <w:tcW w:w="1714" w:type="dxa"/>
            <w:shd w:val="clear" w:color="auto" w:fill="D9D9D9" w:themeFill="background1" w:themeFillShade="D9"/>
          </w:tcPr>
          <w:p w14:paraId="68D7FF2D" w14:textId="77777777" w:rsidR="006D6981" w:rsidRPr="0088154E" w:rsidRDefault="006D6981" w:rsidP="008E2F4D">
            <w:pPr>
              <w:jc w:val="center"/>
              <w:rPr>
                <w:rFonts w:eastAsia="Calibri"/>
                <w:sz w:val="20"/>
                <w:szCs w:val="20"/>
              </w:rPr>
            </w:pPr>
            <w:r w:rsidRPr="0088154E">
              <w:rPr>
                <w:rFonts w:eastAsia="Calibri"/>
                <w:b/>
                <w:bCs/>
                <w:sz w:val="20"/>
                <w:szCs w:val="20"/>
              </w:rPr>
              <w:t>Baseline</w:t>
            </w:r>
          </w:p>
        </w:tc>
        <w:tc>
          <w:tcPr>
            <w:tcW w:w="1627" w:type="dxa"/>
            <w:shd w:val="clear" w:color="auto" w:fill="D9D9D9" w:themeFill="background1" w:themeFillShade="D9"/>
          </w:tcPr>
          <w:p w14:paraId="41653E7C" w14:textId="77777777" w:rsidR="006D6981" w:rsidRPr="0088154E" w:rsidRDefault="006D6981" w:rsidP="008E2F4D">
            <w:pPr>
              <w:jc w:val="center"/>
              <w:rPr>
                <w:rFonts w:eastAsia="Calibri"/>
                <w:sz w:val="20"/>
                <w:szCs w:val="20"/>
              </w:rPr>
            </w:pPr>
            <w:r w:rsidRPr="0088154E">
              <w:rPr>
                <w:rFonts w:eastAsia="Calibri"/>
                <w:b/>
                <w:bCs/>
                <w:sz w:val="20"/>
                <w:szCs w:val="20"/>
              </w:rPr>
              <w:t>Benchmark</w:t>
            </w:r>
          </w:p>
        </w:tc>
        <w:tc>
          <w:tcPr>
            <w:tcW w:w="1354" w:type="dxa"/>
            <w:shd w:val="clear" w:color="auto" w:fill="D9D9D9" w:themeFill="background1" w:themeFillShade="D9"/>
          </w:tcPr>
          <w:p w14:paraId="641AEC6B" w14:textId="77777777" w:rsidR="006D6981" w:rsidRPr="0088154E" w:rsidRDefault="006D6981" w:rsidP="008E2F4D">
            <w:pPr>
              <w:jc w:val="center"/>
              <w:rPr>
                <w:rFonts w:eastAsia="Calibri"/>
                <w:sz w:val="20"/>
                <w:szCs w:val="20"/>
              </w:rPr>
            </w:pPr>
            <w:r w:rsidRPr="0088154E">
              <w:rPr>
                <w:rFonts w:eastAsia="Calibri"/>
                <w:b/>
                <w:bCs/>
                <w:sz w:val="20"/>
                <w:szCs w:val="20"/>
              </w:rPr>
              <w:t>Outcome</w:t>
            </w:r>
          </w:p>
        </w:tc>
        <w:tc>
          <w:tcPr>
            <w:tcW w:w="1440" w:type="dxa"/>
            <w:shd w:val="clear" w:color="auto" w:fill="D9D9D9" w:themeFill="background1" w:themeFillShade="D9"/>
          </w:tcPr>
          <w:p w14:paraId="77ECA8BF" w14:textId="77777777" w:rsidR="006D6981" w:rsidRPr="0088154E" w:rsidRDefault="006D6981" w:rsidP="008E2F4D">
            <w:pPr>
              <w:jc w:val="center"/>
              <w:rPr>
                <w:rFonts w:eastAsia="Calibri"/>
                <w:sz w:val="20"/>
                <w:szCs w:val="20"/>
              </w:rPr>
            </w:pPr>
            <w:r w:rsidRPr="0088154E">
              <w:rPr>
                <w:rFonts w:eastAsia="Calibri"/>
                <w:b/>
                <w:bCs/>
                <w:sz w:val="20"/>
                <w:szCs w:val="20"/>
              </w:rPr>
              <w:t>Benchmark Achieved?</w:t>
            </w:r>
          </w:p>
        </w:tc>
      </w:tr>
      <w:tr w:rsidR="006D6981" w:rsidRPr="0088154E" w14:paraId="0087E009" w14:textId="77777777" w:rsidTr="00750E6B">
        <w:trPr>
          <w:trHeight w:val="530"/>
        </w:trPr>
        <w:tc>
          <w:tcPr>
            <w:tcW w:w="3240" w:type="dxa"/>
            <w:shd w:val="clear" w:color="auto" w:fill="auto"/>
          </w:tcPr>
          <w:p w14:paraId="606EF51F" w14:textId="796C8812" w:rsidR="006D6981" w:rsidRPr="0088154E" w:rsidRDefault="006D6981" w:rsidP="008E2F4D">
            <w:pPr>
              <w:rPr>
                <w:rFonts w:eastAsia="Calibri"/>
                <w:sz w:val="20"/>
                <w:szCs w:val="20"/>
              </w:rPr>
            </w:pPr>
            <w:r w:rsidRPr="0088154E">
              <w:rPr>
                <w:rFonts w:eastAsia="Calibri"/>
                <w:sz w:val="20"/>
                <w:szCs w:val="20"/>
              </w:rPr>
              <w:t>Number of housing units preserved for households at or below 80% AMI that would otherwise not be available (increase)</w:t>
            </w:r>
            <w:r w:rsidR="002E4FF0" w:rsidRPr="0088154E">
              <w:rPr>
                <w:rFonts w:eastAsia="Calibri"/>
                <w:sz w:val="20"/>
                <w:szCs w:val="20"/>
              </w:rPr>
              <w:t>.</w:t>
            </w:r>
            <w:r w:rsidRPr="0088154E">
              <w:rPr>
                <w:rFonts w:eastAsia="Calibri"/>
                <w:sz w:val="20"/>
                <w:szCs w:val="20"/>
              </w:rPr>
              <w:t xml:space="preserve"> </w:t>
            </w:r>
          </w:p>
        </w:tc>
        <w:tc>
          <w:tcPr>
            <w:tcW w:w="1714" w:type="dxa"/>
            <w:shd w:val="clear" w:color="auto" w:fill="auto"/>
          </w:tcPr>
          <w:p w14:paraId="1BBE8054" w14:textId="77777777" w:rsidR="006D6981" w:rsidRPr="0088154E" w:rsidRDefault="006D6981" w:rsidP="001A3248">
            <w:pPr>
              <w:jc w:val="center"/>
              <w:rPr>
                <w:rFonts w:eastAsia="Calibri"/>
                <w:sz w:val="20"/>
                <w:szCs w:val="20"/>
              </w:rPr>
            </w:pPr>
            <w:r w:rsidRPr="0088154E">
              <w:rPr>
                <w:rFonts w:eastAsia="Calibri"/>
                <w:sz w:val="20"/>
                <w:szCs w:val="20"/>
              </w:rPr>
              <w:t>0</w:t>
            </w:r>
          </w:p>
        </w:tc>
        <w:tc>
          <w:tcPr>
            <w:tcW w:w="1627" w:type="dxa"/>
            <w:shd w:val="clear" w:color="auto" w:fill="auto"/>
          </w:tcPr>
          <w:p w14:paraId="764DD6BA" w14:textId="4D492882" w:rsidR="006D6981" w:rsidRPr="0088154E" w:rsidRDefault="005D14DA" w:rsidP="001A3248">
            <w:pPr>
              <w:jc w:val="center"/>
              <w:rPr>
                <w:rFonts w:eastAsia="Calibri"/>
                <w:sz w:val="20"/>
                <w:szCs w:val="20"/>
              </w:rPr>
            </w:pPr>
            <w:r w:rsidRPr="0088154E">
              <w:rPr>
                <w:rFonts w:eastAsia="Calibri"/>
                <w:sz w:val="20"/>
                <w:szCs w:val="20"/>
              </w:rPr>
              <w:t>72</w:t>
            </w:r>
          </w:p>
        </w:tc>
        <w:tc>
          <w:tcPr>
            <w:tcW w:w="1354" w:type="dxa"/>
            <w:shd w:val="clear" w:color="auto" w:fill="auto"/>
          </w:tcPr>
          <w:p w14:paraId="233390F6" w14:textId="542472F2" w:rsidR="006D6981" w:rsidRPr="0088154E" w:rsidRDefault="006D6981" w:rsidP="001A3248">
            <w:pPr>
              <w:jc w:val="center"/>
              <w:rPr>
                <w:rFonts w:eastAsia="Calibri"/>
                <w:sz w:val="20"/>
                <w:szCs w:val="20"/>
              </w:rPr>
            </w:pPr>
          </w:p>
        </w:tc>
        <w:tc>
          <w:tcPr>
            <w:tcW w:w="1440" w:type="dxa"/>
            <w:shd w:val="clear" w:color="auto" w:fill="auto"/>
          </w:tcPr>
          <w:p w14:paraId="0C4CFCB8" w14:textId="780534AB" w:rsidR="006D6981" w:rsidRPr="0088154E" w:rsidRDefault="006D6981" w:rsidP="001A3248">
            <w:pPr>
              <w:jc w:val="center"/>
              <w:rPr>
                <w:rFonts w:eastAsia="Calibri"/>
                <w:sz w:val="20"/>
                <w:szCs w:val="20"/>
              </w:rPr>
            </w:pPr>
          </w:p>
        </w:tc>
      </w:tr>
    </w:tbl>
    <w:p w14:paraId="2FE75B06" w14:textId="77777777" w:rsidR="0098594D" w:rsidRPr="0088154E" w:rsidRDefault="0098594D" w:rsidP="0098594D">
      <w:pPr>
        <w:jc w:val="both"/>
        <w:rPr>
          <w:b/>
          <w:color w:val="000000"/>
          <w:sz w:val="22"/>
          <w:szCs w:val="22"/>
        </w:rPr>
      </w:pPr>
    </w:p>
    <w:p w14:paraId="473A6B69" w14:textId="1A9A637C" w:rsidR="0098594D" w:rsidRPr="0088154E" w:rsidRDefault="0098594D" w:rsidP="0098594D">
      <w:pPr>
        <w:jc w:val="both"/>
        <w:rPr>
          <w:b/>
          <w:color w:val="000000"/>
          <w:sz w:val="22"/>
          <w:szCs w:val="22"/>
        </w:rPr>
      </w:pPr>
      <w:r w:rsidRPr="0088154E">
        <w:rPr>
          <w:b/>
          <w:color w:val="000000"/>
          <w:sz w:val="22"/>
          <w:szCs w:val="22"/>
        </w:rPr>
        <w:t>Planned Significant Changes</w:t>
      </w:r>
    </w:p>
    <w:p w14:paraId="27377C07" w14:textId="77777777" w:rsidR="0098594D" w:rsidRPr="0088154E" w:rsidRDefault="0098594D" w:rsidP="0098594D">
      <w:pPr>
        <w:jc w:val="both"/>
        <w:rPr>
          <w:color w:val="000000" w:themeColor="text1"/>
          <w:sz w:val="22"/>
          <w:szCs w:val="22"/>
        </w:rPr>
      </w:pPr>
      <w:r w:rsidRPr="0088154E">
        <w:rPr>
          <w:color w:val="000000" w:themeColor="text1"/>
          <w:sz w:val="22"/>
          <w:szCs w:val="22"/>
        </w:rPr>
        <w:t>No significant changes are planned.</w:t>
      </w:r>
    </w:p>
    <w:p w14:paraId="4F9DF9EA" w14:textId="77777777" w:rsidR="00D90E5C" w:rsidRPr="0088154E" w:rsidRDefault="00D90E5C" w:rsidP="006D6981">
      <w:pPr>
        <w:sectPr w:rsidR="00D90E5C" w:rsidRPr="0088154E" w:rsidSect="00F61294">
          <w:pgSz w:w="12240" w:h="15840"/>
          <w:pgMar w:top="1440" w:right="1440" w:bottom="1440" w:left="1440" w:header="720" w:footer="720" w:gutter="0"/>
          <w:cols w:space="720"/>
          <w:docGrid w:linePitch="360"/>
        </w:sectPr>
      </w:pPr>
    </w:p>
    <w:p w14:paraId="35DB7047" w14:textId="018EF4DE" w:rsidR="001A65F3" w:rsidRPr="0088154E" w:rsidRDefault="00D90E5C" w:rsidP="001F2A56">
      <w:pPr>
        <w:pStyle w:val="Heading3"/>
      </w:pPr>
      <w:bookmarkStart w:id="68" w:name="_Toc33016951"/>
      <w:bookmarkStart w:id="69" w:name="_Toc523404062"/>
      <w:r w:rsidRPr="0088154E">
        <w:t xml:space="preserve">Activity 2019-1: </w:t>
      </w:r>
      <w:r w:rsidR="001A65F3" w:rsidRPr="0088154E">
        <w:t>Launch</w:t>
      </w:r>
      <w:bookmarkEnd w:id="68"/>
    </w:p>
    <w:p w14:paraId="3820B100" w14:textId="3ADF683A" w:rsidR="00D90E5C" w:rsidRPr="0088154E" w:rsidRDefault="00E11226" w:rsidP="001A65F3">
      <w:pPr>
        <w:rPr>
          <w:b/>
        </w:rPr>
      </w:pPr>
      <w:r w:rsidRPr="0088154E">
        <w:rPr>
          <w:b/>
        </w:rPr>
        <w:t>(Formerly</w:t>
      </w:r>
      <w:r w:rsidR="001A65F3" w:rsidRPr="0088154E">
        <w:rPr>
          <w:b/>
        </w:rPr>
        <w:t xml:space="preserve"> </w:t>
      </w:r>
      <w:r w:rsidR="00D90E5C" w:rsidRPr="0088154E">
        <w:rPr>
          <w:b/>
        </w:rPr>
        <w:t>Pathways to Prosperity</w:t>
      </w:r>
      <w:bookmarkEnd w:id="69"/>
      <w:r w:rsidR="001A65F3" w:rsidRPr="0088154E">
        <w:rPr>
          <w:b/>
        </w:rPr>
        <w:t>)</w:t>
      </w:r>
    </w:p>
    <w:p w14:paraId="59331694" w14:textId="77777777" w:rsidR="00D90E5C" w:rsidRPr="0088154E" w:rsidRDefault="00D90E5C" w:rsidP="00D90E5C">
      <w:pPr>
        <w:rPr>
          <w:b/>
          <w:bCs/>
          <w:i/>
          <w:iCs/>
          <w:sz w:val="22"/>
          <w:szCs w:val="22"/>
          <w:u w:val="single"/>
        </w:rPr>
      </w:pPr>
    </w:p>
    <w:p w14:paraId="627427A1" w14:textId="77777777" w:rsidR="00C73902" w:rsidRPr="0088154E" w:rsidRDefault="00C73902" w:rsidP="00C73902">
      <w:pPr>
        <w:jc w:val="both"/>
        <w:rPr>
          <w:color w:val="000000"/>
          <w:sz w:val="22"/>
          <w:szCs w:val="22"/>
        </w:rPr>
      </w:pPr>
      <w:r w:rsidRPr="0088154E">
        <w:rPr>
          <w:b/>
          <w:color w:val="000000"/>
          <w:sz w:val="22"/>
          <w:szCs w:val="22"/>
        </w:rPr>
        <w:t>Plan Year Approved, Implemented, Amended</w:t>
      </w:r>
      <w:r w:rsidRPr="0088154E">
        <w:rPr>
          <w:color w:val="000000"/>
          <w:sz w:val="22"/>
          <w:szCs w:val="22"/>
        </w:rPr>
        <w:t xml:space="preserve"> </w:t>
      </w:r>
    </w:p>
    <w:p w14:paraId="1D21379D" w14:textId="77777777" w:rsidR="00C73902" w:rsidRPr="0088154E" w:rsidRDefault="00C73902" w:rsidP="00C73902">
      <w:pPr>
        <w:jc w:val="both"/>
        <w:rPr>
          <w:sz w:val="22"/>
          <w:szCs w:val="22"/>
        </w:rPr>
      </w:pPr>
      <w:r w:rsidRPr="0088154E">
        <w:rPr>
          <w:sz w:val="22"/>
          <w:szCs w:val="22"/>
        </w:rPr>
        <w:t>Approved and implemented FY 2019.</w:t>
      </w:r>
    </w:p>
    <w:p w14:paraId="1E5F39A2" w14:textId="77777777" w:rsidR="00C73902" w:rsidRPr="0088154E" w:rsidRDefault="00C73902" w:rsidP="00C73902">
      <w:pPr>
        <w:jc w:val="both"/>
        <w:rPr>
          <w:sz w:val="22"/>
          <w:szCs w:val="22"/>
        </w:rPr>
      </w:pPr>
    </w:p>
    <w:p w14:paraId="32D4C0F6" w14:textId="77777777" w:rsidR="00A36468" w:rsidRPr="0088154E" w:rsidRDefault="00D90E5C" w:rsidP="00A36468">
      <w:pPr>
        <w:jc w:val="both"/>
        <w:rPr>
          <w:b/>
          <w:sz w:val="22"/>
          <w:szCs w:val="22"/>
        </w:rPr>
      </w:pPr>
      <w:r w:rsidRPr="0088154E">
        <w:rPr>
          <w:b/>
          <w:sz w:val="22"/>
          <w:szCs w:val="22"/>
        </w:rPr>
        <w:t>Description/Update</w:t>
      </w:r>
    </w:p>
    <w:p w14:paraId="6159D46D" w14:textId="348788F8" w:rsidR="00A36468" w:rsidRPr="0088154E" w:rsidRDefault="00A36468" w:rsidP="00A36468">
      <w:pPr>
        <w:jc w:val="both"/>
        <w:rPr>
          <w:sz w:val="22"/>
          <w:szCs w:val="22"/>
        </w:rPr>
      </w:pPr>
      <w:r w:rsidRPr="0088154E">
        <w:rPr>
          <w:sz w:val="22"/>
          <w:szCs w:val="22"/>
        </w:rPr>
        <w:t>Under the Launch p</w:t>
      </w:r>
      <w:r w:rsidR="00242093" w:rsidRPr="0088154E">
        <w:rPr>
          <w:sz w:val="22"/>
          <w:szCs w:val="22"/>
        </w:rPr>
        <w:t>rogram, DHCD will use up to $2M</w:t>
      </w:r>
      <w:r w:rsidRPr="0088154E">
        <w:rPr>
          <w:sz w:val="22"/>
          <w:szCs w:val="22"/>
        </w:rPr>
        <w:t xml:space="preserve"> per year for three years, in</w:t>
      </w:r>
      <w:r w:rsidR="0059416E" w:rsidRPr="0088154E">
        <w:rPr>
          <w:sz w:val="22"/>
          <w:szCs w:val="22"/>
        </w:rPr>
        <w:t xml:space="preserve"> MTW Block Grant funding flexibility to connect low-income youth ages 18-24</w:t>
      </w:r>
      <w:r w:rsidR="00242093" w:rsidRPr="0088154E">
        <w:rPr>
          <w:sz w:val="22"/>
          <w:szCs w:val="22"/>
        </w:rPr>
        <w:t>,</w:t>
      </w:r>
      <w:r w:rsidR="0059416E" w:rsidRPr="0088154E">
        <w:rPr>
          <w:sz w:val="22"/>
          <w:szCs w:val="22"/>
        </w:rPr>
        <w:t xml:space="preserve"> living in subsid</w:t>
      </w:r>
      <w:r w:rsidR="00B948D0" w:rsidRPr="0088154E">
        <w:rPr>
          <w:sz w:val="22"/>
          <w:szCs w:val="22"/>
        </w:rPr>
        <w:t>ized housing in the Boston area</w:t>
      </w:r>
      <w:r w:rsidR="00242093" w:rsidRPr="0088154E">
        <w:rPr>
          <w:sz w:val="22"/>
          <w:szCs w:val="22"/>
        </w:rPr>
        <w:t>,</w:t>
      </w:r>
      <w:r w:rsidR="0059416E" w:rsidRPr="0088154E">
        <w:rPr>
          <w:sz w:val="22"/>
          <w:szCs w:val="22"/>
        </w:rPr>
        <w:t xml:space="preserve"> to programs and services that help them obtain employment and a sustaining wage.  </w:t>
      </w:r>
      <w:r w:rsidRPr="0088154E">
        <w:rPr>
          <w:sz w:val="22"/>
          <w:szCs w:val="22"/>
        </w:rPr>
        <w:t xml:space="preserve">DHCD has contracted with The United Way of Massachusetts Bay to recruit, engage and connect targeted youth to employment readiness, job placement, vocational training, certificate programs and/or other post-secondary education programs. </w:t>
      </w:r>
      <w:r w:rsidR="00291D7F" w:rsidRPr="0088154E">
        <w:rPr>
          <w:sz w:val="22"/>
          <w:szCs w:val="22"/>
        </w:rPr>
        <w:t xml:space="preserve">Additionally, DHCD has provided funding for up to 40 participants, </w:t>
      </w:r>
      <w:r w:rsidR="00485549" w:rsidRPr="0088154E">
        <w:rPr>
          <w:sz w:val="22"/>
          <w:szCs w:val="22"/>
        </w:rPr>
        <w:t xml:space="preserve">who reside in subsidized housing, </w:t>
      </w:r>
      <w:r w:rsidR="00291D7F" w:rsidRPr="0088154E">
        <w:rPr>
          <w:sz w:val="22"/>
          <w:szCs w:val="22"/>
        </w:rPr>
        <w:t xml:space="preserve">to participate in the Year Up program. The Year Up program combines hands-on skills development, courses eligible for college credit, and corporate internships to prepare students for success in professional careers and higher education. </w:t>
      </w:r>
    </w:p>
    <w:p w14:paraId="181385F3" w14:textId="77777777" w:rsidR="00291D7F" w:rsidRPr="0088154E" w:rsidRDefault="00291D7F" w:rsidP="00A36468">
      <w:pPr>
        <w:jc w:val="both"/>
        <w:rPr>
          <w:sz w:val="22"/>
          <w:szCs w:val="22"/>
        </w:rPr>
      </w:pPr>
    </w:p>
    <w:p w14:paraId="526C3C90" w14:textId="2E0A3D7D" w:rsidR="00291D7F" w:rsidRPr="0088154E" w:rsidRDefault="00291D7F" w:rsidP="00A36468">
      <w:pPr>
        <w:jc w:val="both"/>
        <w:rPr>
          <w:sz w:val="22"/>
          <w:szCs w:val="22"/>
        </w:rPr>
      </w:pPr>
      <w:r w:rsidRPr="0088154E">
        <w:rPr>
          <w:sz w:val="22"/>
          <w:szCs w:val="22"/>
        </w:rPr>
        <w:t>For Launch participants who are also participants in D</w:t>
      </w:r>
      <w:r w:rsidR="00127DEE" w:rsidRPr="0088154E">
        <w:rPr>
          <w:sz w:val="22"/>
          <w:szCs w:val="22"/>
        </w:rPr>
        <w:t>HCD’s federal HCV P</w:t>
      </w:r>
      <w:r w:rsidRPr="0088154E">
        <w:rPr>
          <w:sz w:val="22"/>
          <w:szCs w:val="22"/>
        </w:rPr>
        <w:t>rogram, DHCD may exclude 100% of the increase</w:t>
      </w:r>
      <w:r w:rsidR="00242093" w:rsidRPr="0088154E">
        <w:rPr>
          <w:sz w:val="22"/>
          <w:szCs w:val="22"/>
        </w:rPr>
        <w:t xml:space="preserve"> in earned income for up to a 3-year period.</w:t>
      </w:r>
      <w:r w:rsidRPr="0088154E">
        <w:rPr>
          <w:sz w:val="22"/>
          <w:szCs w:val="22"/>
        </w:rPr>
        <w:t xml:space="preserve"> The exclusion period begins after enrollment in Launch, at the point where earned income increases and continues regardless of employment status</w:t>
      </w:r>
      <w:r w:rsidR="00242093" w:rsidRPr="0088154E">
        <w:rPr>
          <w:sz w:val="22"/>
          <w:szCs w:val="22"/>
        </w:rPr>
        <w:t>,</w:t>
      </w:r>
      <w:r w:rsidR="006C7A21" w:rsidRPr="0088154E">
        <w:rPr>
          <w:sz w:val="22"/>
          <w:szCs w:val="22"/>
        </w:rPr>
        <w:t xml:space="preserve"> until the end of the period</w:t>
      </w:r>
      <w:r w:rsidRPr="0088154E">
        <w:rPr>
          <w:sz w:val="22"/>
          <w:szCs w:val="22"/>
        </w:rPr>
        <w:t xml:space="preserve"> determined by DHCD.</w:t>
      </w:r>
    </w:p>
    <w:p w14:paraId="7EB23E8F" w14:textId="6701E668" w:rsidR="00A36468" w:rsidRPr="0088154E" w:rsidRDefault="00A36468" w:rsidP="00895A34">
      <w:pPr>
        <w:jc w:val="both"/>
        <w:rPr>
          <w:sz w:val="22"/>
          <w:szCs w:val="22"/>
        </w:rPr>
      </w:pPr>
    </w:p>
    <w:p w14:paraId="4D3A52A5" w14:textId="7F2F0EE3" w:rsidR="00A36468" w:rsidRPr="0088154E" w:rsidRDefault="0059416E" w:rsidP="0059416E">
      <w:pPr>
        <w:jc w:val="both"/>
        <w:rPr>
          <w:sz w:val="22"/>
          <w:szCs w:val="22"/>
        </w:rPr>
      </w:pPr>
      <w:r w:rsidRPr="0088154E">
        <w:rPr>
          <w:sz w:val="22"/>
          <w:szCs w:val="22"/>
        </w:rPr>
        <w:t xml:space="preserve">Other adults living in subsidized housing in the Boston area who are outside of this age range also </w:t>
      </w:r>
      <w:r w:rsidR="00A36468" w:rsidRPr="0088154E">
        <w:rPr>
          <w:sz w:val="22"/>
          <w:szCs w:val="22"/>
        </w:rPr>
        <w:t>are</w:t>
      </w:r>
      <w:r w:rsidRPr="0088154E">
        <w:rPr>
          <w:sz w:val="22"/>
          <w:szCs w:val="22"/>
        </w:rPr>
        <w:t xml:space="preserve"> connected to services.</w:t>
      </w:r>
      <w:r w:rsidR="00A36468" w:rsidRPr="0088154E">
        <w:rPr>
          <w:sz w:val="22"/>
          <w:szCs w:val="22"/>
        </w:rPr>
        <w:t xml:space="preserve"> Specifically, DHCD has </w:t>
      </w:r>
      <w:r w:rsidRPr="0088154E">
        <w:rPr>
          <w:sz w:val="22"/>
          <w:szCs w:val="22"/>
        </w:rPr>
        <w:t>connect</w:t>
      </w:r>
      <w:r w:rsidR="00A36468" w:rsidRPr="0088154E">
        <w:rPr>
          <w:sz w:val="22"/>
          <w:szCs w:val="22"/>
        </w:rPr>
        <w:t>ed</w:t>
      </w:r>
      <w:r w:rsidRPr="0088154E">
        <w:rPr>
          <w:sz w:val="22"/>
          <w:szCs w:val="22"/>
        </w:rPr>
        <w:t xml:space="preserve"> with other employment training and referral agencies </w:t>
      </w:r>
      <w:r w:rsidR="00A36468" w:rsidRPr="0088154E">
        <w:rPr>
          <w:sz w:val="22"/>
          <w:szCs w:val="22"/>
        </w:rPr>
        <w:t>who are responsible for</w:t>
      </w:r>
      <w:r w:rsidRPr="0088154E">
        <w:rPr>
          <w:sz w:val="22"/>
          <w:szCs w:val="22"/>
        </w:rPr>
        <w:t xml:space="preserve"> </w:t>
      </w:r>
      <w:r w:rsidR="00524652" w:rsidRPr="0088154E">
        <w:rPr>
          <w:sz w:val="22"/>
          <w:szCs w:val="22"/>
        </w:rPr>
        <w:t>referring</w:t>
      </w:r>
      <w:r w:rsidR="00242093" w:rsidRPr="0088154E">
        <w:rPr>
          <w:sz w:val="22"/>
          <w:szCs w:val="22"/>
        </w:rPr>
        <w:t xml:space="preserve"> low-</w:t>
      </w:r>
      <w:r w:rsidRPr="0088154E">
        <w:rPr>
          <w:sz w:val="22"/>
          <w:szCs w:val="22"/>
        </w:rPr>
        <w:t xml:space="preserve">income </w:t>
      </w:r>
      <w:r w:rsidR="00242093" w:rsidRPr="0088154E">
        <w:rPr>
          <w:sz w:val="22"/>
          <w:szCs w:val="22"/>
        </w:rPr>
        <w:t>adults outside of the 18-24</w:t>
      </w:r>
      <w:r w:rsidRPr="0088154E">
        <w:rPr>
          <w:sz w:val="22"/>
          <w:szCs w:val="22"/>
        </w:rPr>
        <w:t xml:space="preserve"> age range to area job training providers such as Secure Jobs, Jewish Vocational Services and/or One-Stop Career Centers. </w:t>
      </w:r>
    </w:p>
    <w:p w14:paraId="79795445" w14:textId="6DCA64B4" w:rsidR="0059416E" w:rsidRPr="0088154E" w:rsidRDefault="0059416E" w:rsidP="0059416E">
      <w:pPr>
        <w:jc w:val="both"/>
        <w:rPr>
          <w:sz w:val="22"/>
          <w:szCs w:val="22"/>
        </w:rPr>
      </w:pPr>
    </w:p>
    <w:p w14:paraId="6916223A" w14:textId="36C4A84C" w:rsidR="00316E06" w:rsidRPr="00855C5F" w:rsidRDefault="000B2FE4" w:rsidP="00D90E5C">
      <w:pPr>
        <w:jc w:val="both"/>
        <w:rPr>
          <w:sz w:val="22"/>
          <w:szCs w:val="22"/>
        </w:rPr>
      </w:pPr>
      <w:r w:rsidRPr="0088154E">
        <w:rPr>
          <w:sz w:val="22"/>
          <w:szCs w:val="22"/>
        </w:rPr>
        <w:t>Thus far</w:t>
      </w:r>
      <w:r w:rsidR="00B05843" w:rsidRPr="0088154E">
        <w:rPr>
          <w:sz w:val="22"/>
          <w:szCs w:val="22"/>
        </w:rPr>
        <w:t>,</w:t>
      </w:r>
      <w:r w:rsidRPr="0088154E">
        <w:rPr>
          <w:sz w:val="22"/>
          <w:szCs w:val="22"/>
        </w:rPr>
        <w:t xml:space="preserve"> through </w:t>
      </w:r>
      <w:r w:rsidR="00B05843" w:rsidRPr="0088154E">
        <w:rPr>
          <w:sz w:val="22"/>
          <w:szCs w:val="22"/>
        </w:rPr>
        <w:t xml:space="preserve">the </w:t>
      </w:r>
      <w:r w:rsidRPr="0088154E">
        <w:rPr>
          <w:sz w:val="22"/>
          <w:szCs w:val="22"/>
        </w:rPr>
        <w:t>Launch</w:t>
      </w:r>
      <w:r w:rsidR="00B05843" w:rsidRPr="0088154E">
        <w:rPr>
          <w:sz w:val="22"/>
          <w:szCs w:val="22"/>
        </w:rPr>
        <w:t xml:space="preserve"> program,</w:t>
      </w:r>
      <w:r w:rsidR="00485549" w:rsidRPr="0088154E">
        <w:rPr>
          <w:sz w:val="22"/>
          <w:szCs w:val="22"/>
        </w:rPr>
        <w:t xml:space="preserve"> </w:t>
      </w:r>
      <w:r w:rsidRPr="0088154E">
        <w:rPr>
          <w:sz w:val="22"/>
          <w:szCs w:val="22"/>
        </w:rPr>
        <w:t>211 clients have been served which is more than halfway towards the three-year goal of 360 participants in Launch receiving coaching to connect them to jobs, training and edu</w:t>
      </w:r>
      <w:r w:rsidRPr="00855C5F">
        <w:rPr>
          <w:sz w:val="22"/>
          <w:szCs w:val="22"/>
        </w:rPr>
        <w:t>cation pa</w:t>
      </w:r>
      <w:r w:rsidR="00485549">
        <w:rPr>
          <w:sz w:val="22"/>
          <w:szCs w:val="22"/>
        </w:rPr>
        <w:t xml:space="preserve">thways. So far there have been </w:t>
      </w:r>
      <w:r w:rsidRPr="00855C5F">
        <w:rPr>
          <w:sz w:val="22"/>
          <w:szCs w:val="22"/>
        </w:rPr>
        <w:t xml:space="preserve">53 job placements, 37 education placements and 9 participants in financial coaching.  </w:t>
      </w:r>
    </w:p>
    <w:p w14:paraId="2711B273" w14:textId="77777777" w:rsidR="00316E06" w:rsidRPr="00855C5F" w:rsidRDefault="00316E06" w:rsidP="00D90E5C">
      <w:pPr>
        <w:jc w:val="both"/>
        <w:rPr>
          <w:sz w:val="22"/>
          <w:szCs w:val="22"/>
        </w:rPr>
      </w:pPr>
    </w:p>
    <w:p w14:paraId="201F7FD6" w14:textId="05D7843D" w:rsidR="00316E06" w:rsidRPr="00855C5F" w:rsidRDefault="000B2FE4" w:rsidP="00D90E5C">
      <w:pPr>
        <w:jc w:val="both"/>
        <w:rPr>
          <w:sz w:val="22"/>
          <w:szCs w:val="22"/>
        </w:rPr>
      </w:pPr>
      <w:r w:rsidRPr="00855C5F">
        <w:rPr>
          <w:sz w:val="22"/>
          <w:szCs w:val="22"/>
        </w:rPr>
        <w:t>The Launch partnership will continue through FY</w:t>
      </w:r>
      <w:r w:rsidR="00316E06" w:rsidRPr="00855C5F">
        <w:rPr>
          <w:sz w:val="22"/>
          <w:szCs w:val="22"/>
        </w:rPr>
        <w:t xml:space="preserve"> 20</w:t>
      </w:r>
      <w:r w:rsidRPr="00855C5F">
        <w:rPr>
          <w:sz w:val="22"/>
          <w:szCs w:val="22"/>
        </w:rPr>
        <w:t xml:space="preserve">21 and planning will begin for the next phase of Launch and the ongoing investment of $2M </w:t>
      </w:r>
      <w:r w:rsidR="00485549">
        <w:rPr>
          <w:sz w:val="22"/>
          <w:szCs w:val="22"/>
        </w:rPr>
        <w:t>to connect</w:t>
      </w:r>
      <w:r w:rsidRPr="00855C5F">
        <w:rPr>
          <w:sz w:val="22"/>
          <w:szCs w:val="22"/>
        </w:rPr>
        <w:t xml:space="preserve"> low-income youth ages 18-24, living in subsidized housing, to programs and services that help them obtain employment. </w:t>
      </w:r>
    </w:p>
    <w:p w14:paraId="471F37EE" w14:textId="77777777" w:rsidR="00316E06" w:rsidRPr="00855C5F" w:rsidRDefault="00316E06" w:rsidP="00D90E5C">
      <w:pPr>
        <w:jc w:val="both"/>
        <w:rPr>
          <w:sz w:val="22"/>
          <w:szCs w:val="22"/>
        </w:rPr>
      </w:pPr>
    </w:p>
    <w:p w14:paraId="115DD53E" w14:textId="7E232BED" w:rsidR="00A64438" w:rsidRPr="00855C5F" w:rsidRDefault="000B2FE4" w:rsidP="00D90E5C">
      <w:pPr>
        <w:jc w:val="both"/>
        <w:rPr>
          <w:sz w:val="22"/>
          <w:szCs w:val="22"/>
        </w:rPr>
      </w:pPr>
      <w:r w:rsidRPr="00855C5F">
        <w:rPr>
          <w:sz w:val="22"/>
          <w:szCs w:val="22"/>
        </w:rPr>
        <w:t>Using housing as the n</w:t>
      </w:r>
      <w:r w:rsidR="00AC1528">
        <w:rPr>
          <w:sz w:val="22"/>
          <w:szCs w:val="22"/>
        </w:rPr>
        <w:t>etwork within which to find low-</w:t>
      </w:r>
      <w:r w:rsidRPr="00855C5F">
        <w:rPr>
          <w:sz w:val="22"/>
          <w:szCs w:val="22"/>
        </w:rPr>
        <w:t xml:space="preserve">income disconnected 18-24 year old’s is a unique model across the country. Research shows that after 14 years, compared to young people who experienced youth disconnection, those who remain connected earn $31,000 more over a lifetime, are 42% more likely to be employed and 45% more likely to own a home.  DHCD is leading the way in figuring out how the housing community can integrate itself into the existing system of supports for disconnected youth and be a part of the network that catches this vulnerable population and gets them on a path towards self-sufficiency.   </w:t>
      </w:r>
      <w:r w:rsidRPr="00855C5F">
        <w:rPr>
          <w:sz w:val="22"/>
          <w:szCs w:val="22"/>
        </w:rPr>
        <w:br/>
      </w:r>
    </w:p>
    <w:p w14:paraId="0A530243" w14:textId="77777777" w:rsidR="008406D9" w:rsidRPr="00855C5F" w:rsidRDefault="008406D9" w:rsidP="00FF602F">
      <w:pPr>
        <w:shd w:val="clear" w:color="auto" w:fill="FFFFFF" w:themeFill="background1"/>
        <w:jc w:val="both"/>
        <w:rPr>
          <w:b/>
          <w:color w:val="000000"/>
          <w:sz w:val="22"/>
          <w:szCs w:val="22"/>
        </w:rPr>
      </w:pPr>
      <w:r w:rsidRPr="00855C5F">
        <w:rPr>
          <w:b/>
          <w:color w:val="000000"/>
          <w:sz w:val="22"/>
          <w:szCs w:val="22"/>
        </w:rPr>
        <w:t>Planned Non-Significant Changes</w:t>
      </w:r>
    </w:p>
    <w:p w14:paraId="1C59B9BB" w14:textId="740E15C4" w:rsidR="008406D9" w:rsidRPr="00855C5F" w:rsidRDefault="008406D9" w:rsidP="00FF602F">
      <w:pPr>
        <w:shd w:val="clear" w:color="auto" w:fill="FFFFFF" w:themeFill="background1"/>
        <w:jc w:val="both"/>
        <w:rPr>
          <w:color w:val="000000" w:themeColor="text1"/>
          <w:sz w:val="22"/>
          <w:szCs w:val="22"/>
        </w:rPr>
      </w:pPr>
      <w:r w:rsidRPr="00855C5F">
        <w:rPr>
          <w:color w:val="000000" w:themeColor="text1"/>
          <w:sz w:val="22"/>
          <w:szCs w:val="22"/>
        </w:rPr>
        <w:t>No non-significant changes are planned.</w:t>
      </w:r>
    </w:p>
    <w:p w14:paraId="5B65F6AA" w14:textId="77777777" w:rsidR="005D791A" w:rsidRPr="00855C5F" w:rsidRDefault="005D791A" w:rsidP="00FF602F">
      <w:pPr>
        <w:shd w:val="clear" w:color="auto" w:fill="FFFFFF" w:themeFill="background1"/>
        <w:jc w:val="both"/>
        <w:rPr>
          <w:color w:val="000000" w:themeColor="text1"/>
          <w:sz w:val="22"/>
          <w:szCs w:val="22"/>
        </w:rPr>
      </w:pPr>
    </w:p>
    <w:p w14:paraId="3936FE5F" w14:textId="77777777" w:rsidR="008406D9" w:rsidRPr="00855C5F" w:rsidRDefault="008406D9" w:rsidP="00FF602F">
      <w:pPr>
        <w:shd w:val="clear" w:color="auto" w:fill="FFFFFF" w:themeFill="background1"/>
        <w:jc w:val="both"/>
        <w:rPr>
          <w:b/>
          <w:sz w:val="22"/>
          <w:szCs w:val="22"/>
        </w:rPr>
      </w:pPr>
      <w:r w:rsidRPr="00855C5F">
        <w:rPr>
          <w:b/>
          <w:sz w:val="22"/>
          <w:szCs w:val="22"/>
        </w:rPr>
        <w:t>Planned Changes to Metrics/Data Collection</w:t>
      </w:r>
    </w:p>
    <w:p w14:paraId="43A77191" w14:textId="6715FFFA" w:rsidR="00524652" w:rsidRPr="00855C5F" w:rsidRDefault="005B778F" w:rsidP="00FF602F">
      <w:pPr>
        <w:shd w:val="clear" w:color="auto" w:fill="FFFFFF" w:themeFill="background1"/>
        <w:jc w:val="both"/>
        <w:rPr>
          <w:bCs/>
          <w:sz w:val="22"/>
          <w:szCs w:val="22"/>
        </w:rPr>
      </w:pPr>
      <w:r w:rsidRPr="00855C5F">
        <w:rPr>
          <w:bCs/>
          <w:sz w:val="22"/>
          <w:szCs w:val="22"/>
        </w:rPr>
        <w:t xml:space="preserve">DHCD has updated the benchmarks for this activity to reflect planned participation and outcomes. </w:t>
      </w:r>
      <w:r w:rsidR="0002351B" w:rsidRPr="00855C5F">
        <w:rPr>
          <w:bCs/>
          <w:sz w:val="22"/>
          <w:szCs w:val="22"/>
        </w:rPr>
        <w:t xml:space="preserve">As </w:t>
      </w:r>
      <w:r w:rsidR="00524652" w:rsidRPr="00855C5F">
        <w:rPr>
          <w:bCs/>
          <w:sz w:val="22"/>
          <w:szCs w:val="22"/>
        </w:rPr>
        <w:t xml:space="preserve">many of the </w:t>
      </w:r>
      <w:r w:rsidR="0002351B" w:rsidRPr="00855C5F">
        <w:rPr>
          <w:bCs/>
          <w:sz w:val="22"/>
          <w:szCs w:val="22"/>
        </w:rPr>
        <w:t xml:space="preserve">participants of this program are not </w:t>
      </w:r>
      <w:r w:rsidR="00AA12B0" w:rsidRPr="00855C5F">
        <w:rPr>
          <w:bCs/>
          <w:sz w:val="22"/>
          <w:szCs w:val="22"/>
        </w:rPr>
        <w:t>HCV participants</w:t>
      </w:r>
      <w:r w:rsidR="0002351B" w:rsidRPr="00855C5F">
        <w:rPr>
          <w:bCs/>
          <w:sz w:val="22"/>
          <w:szCs w:val="22"/>
        </w:rPr>
        <w:t>, DHCD does not have preliminary information on this population. Administe</w:t>
      </w:r>
      <w:r w:rsidR="00291D7F" w:rsidRPr="00855C5F">
        <w:rPr>
          <w:bCs/>
          <w:sz w:val="22"/>
          <w:szCs w:val="22"/>
        </w:rPr>
        <w:t xml:space="preserve">ring agencies will be collecting </w:t>
      </w:r>
      <w:r w:rsidR="0002351B" w:rsidRPr="00855C5F">
        <w:rPr>
          <w:bCs/>
          <w:sz w:val="22"/>
          <w:szCs w:val="22"/>
        </w:rPr>
        <w:t>data on participant outcomes</w:t>
      </w:r>
      <w:r w:rsidR="00242093" w:rsidRPr="00855C5F">
        <w:rPr>
          <w:bCs/>
          <w:sz w:val="22"/>
          <w:szCs w:val="22"/>
        </w:rPr>
        <w:t>,</w:t>
      </w:r>
      <w:r w:rsidR="0002351B" w:rsidRPr="00855C5F">
        <w:rPr>
          <w:bCs/>
          <w:sz w:val="22"/>
          <w:szCs w:val="22"/>
        </w:rPr>
        <w:t xml:space="preserve"> which will be provided in DHCD’s Annual Report. </w:t>
      </w:r>
    </w:p>
    <w:p w14:paraId="098BA6D8" w14:textId="49BA98AC" w:rsidR="008406D9" w:rsidRPr="00855C5F" w:rsidRDefault="008406D9" w:rsidP="00FF602F">
      <w:pPr>
        <w:shd w:val="clear" w:color="auto" w:fill="FFFFFF" w:themeFill="background1"/>
        <w:jc w:val="both"/>
        <w:rPr>
          <w:bCs/>
          <w:sz w:val="22"/>
          <w:szCs w:val="22"/>
        </w:rPr>
      </w:pPr>
    </w:p>
    <w:p w14:paraId="4D8C6317" w14:textId="77777777" w:rsidR="008406D9" w:rsidRPr="00855C5F" w:rsidRDefault="008406D9" w:rsidP="00FF602F">
      <w:pPr>
        <w:shd w:val="clear" w:color="auto" w:fill="FFFFFF" w:themeFill="background1"/>
        <w:jc w:val="both"/>
        <w:rPr>
          <w:b/>
          <w:color w:val="000000"/>
          <w:sz w:val="22"/>
          <w:szCs w:val="22"/>
        </w:rPr>
      </w:pPr>
      <w:r w:rsidRPr="00855C5F">
        <w:rPr>
          <w:b/>
          <w:color w:val="000000"/>
          <w:sz w:val="22"/>
          <w:szCs w:val="22"/>
        </w:rPr>
        <w:t>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14"/>
        <w:gridCol w:w="1627"/>
        <w:gridCol w:w="1354"/>
        <w:gridCol w:w="1440"/>
      </w:tblGrid>
      <w:tr w:rsidR="00D90E5C" w:rsidRPr="00855C5F" w14:paraId="53FCE6FD" w14:textId="77777777" w:rsidTr="00101393">
        <w:trPr>
          <w:trHeight w:hRule="exact" w:val="317"/>
        </w:trPr>
        <w:tc>
          <w:tcPr>
            <w:tcW w:w="1440" w:type="dxa"/>
            <w:gridSpan w:val="5"/>
            <w:shd w:val="clear" w:color="auto" w:fill="B8CCE4" w:themeFill="accent1" w:themeFillTint="66"/>
          </w:tcPr>
          <w:p w14:paraId="55F5DBC5" w14:textId="77777777" w:rsidR="00D90E5C" w:rsidRPr="00855C5F" w:rsidRDefault="00D90E5C" w:rsidP="009658C1">
            <w:pPr>
              <w:jc w:val="center"/>
              <w:rPr>
                <w:b/>
                <w:bCs/>
                <w:i/>
                <w:iCs/>
                <w:sz w:val="20"/>
                <w:szCs w:val="20"/>
              </w:rPr>
            </w:pPr>
            <w:r w:rsidRPr="00855C5F">
              <w:rPr>
                <w:b/>
                <w:bCs/>
                <w:i/>
                <w:iCs/>
                <w:sz w:val="20"/>
                <w:szCs w:val="20"/>
              </w:rPr>
              <w:t>CE #4: Increase in Resources Leveraged</w:t>
            </w:r>
          </w:p>
        </w:tc>
      </w:tr>
      <w:tr w:rsidR="00D90E5C" w:rsidRPr="00855C5F" w14:paraId="043C811D" w14:textId="77777777" w:rsidTr="00101393">
        <w:trPr>
          <w:trHeight w:hRule="exact" w:val="576"/>
        </w:trPr>
        <w:tc>
          <w:tcPr>
            <w:tcW w:w="3240" w:type="dxa"/>
            <w:shd w:val="clear" w:color="auto" w:fill="D9D9D9" w:themeFill="background1" w:themeFillShade="D9"/>
          </w:tcPr>
          <w:p w14:paraId="28364A42" w14:textId="77777777" w:rsidR="00D90E5C" w:rsidRPr="00855C5F" w:rsidRDefault="00D90E5C" w:rsidP="006A2765">
            <w:pPr>
              <w:jc w:val="center"/>
              <w:rPr>
                <w:b/>
                <w:bCs/>
                <w:i/>
                <w:iCs/>
                <w:sz w:val="20"/>
                <w:szCs w:val="20"/>
              </w:rPr>
            </w:pPr>
            <w:r w:rsidRPr="00855C5F">
              <w:rPr>
                <w:b/>
                <w:bCs/>
                <w:sz w:val="20"/>
                <w:szCs w:val="20"/>
              </w:rPr>
              <w:t>Unit of Measurement</w:t>
            </w:r>
          </w:p>
        </w:tc>
        <w:tc>
          <w:tcPr>
            <w:tcW w:w="1714" w:type="dxa"/>
            <w:shd w:val="clear" w:color="auto" w:fill="D9D9D9" w:themeFill="background1" w:themeFillShade="D9"/>
          </w:tcPr>
          <w:p w14:paraId="45CB915B" w14:textId="77777777" w:rsidR="00D90E5C" w:rsidRPr="00855C5F" w:rsidRDefault="00D90E5C" w:rsidP="006A2765">
            <w:pPr>
              <w:jc w:val="center"/>
              <w:rPr>
                <w:b/>
                <w:bCs/>
                <w:i/>
                <w:iCs/>
                <w:sz w:val="20"/>
                <w:szCs w:val="20"/>
              </w:rPr>
            </w:pPr>
            <w:r w:rsidRPr="00855C5F">
              <w:rPr>
                <w:b/>
                <w:bCs/>
                <w:sz w:val="20"/>
                <w:szCs w:val="20"/>
              </w:rPr>
              <w:t>Baseline</w:t>
            </w:r>
          </w:p>
        </w:tc>
        <w:tc>
          <w:tcPr>
            <w:tcW w:w="1627" w:type="dxa"/>
            <w:shd w:val="clear" w:color="auto" w:fill="D9D9D9" w:themeFill="background1" w:themeFillShade="D9"/>
          </w:tcPr>
          <w:p w14:paraId="2D941F8F" w14:textId="77777777" w:rsidR="00D90E5C" w:rsidRPr="00855C5F" w:rsidRDefault="00D90E5C" w:rsidP="006A2765">
            <w:pPr>
              <w:jc w:val="center"/>
              <w:rPr>
                <w:b/>
                <w:bCs/>
                <w:i/>
                <w:iCs/>
                <w:sz w:val="20"/>
                <w:szCs w:val="20"/>
              </w:rPr>
            </w:pPr>
            <w:r w:rsidRPr="00855C5F">
              <w:rPr>
                <w:b/>
                <w:bCs/>
                <w:sz w:val="20"/>
                <w:szCs w:val="20"/>
              </w:rPr>
              <w:t>Benchmark</w:t>
            </w:r>
          </w:p>
        </w:tc>
        <w:tc>
          <w:tcPr>
            <w:tcW w:w="1354" w:type="dxa"/>
            <w:shd w:val="clear" w:color="auto" w:fill="D9D9D9" w:themeFill="background1" w:themeFillShade="D9"/>
          </w:tcPr>
          <w:p w14:paraId="268B8013" w14:textId="77777777" w:rsidR="00D90E5C" w:rsidRPr="00855C5F" w:rsidRDefault="00D90E5C" w:rsidP="006A2765">
            <w:pPr>
              <w:jc w:val="center"/>
              <w:rPr>
                <w:b/>
                <w:bCs/>
                <w:i/>
                <w:iCs/>
                <w:sz w:val="20"/>
                <w:szCs w:val="20"/>
              </w:rPr>
            </w:pPr>
            <w:r w:rsidRPr="00855C5F">
              <w:rPr>
                <w:b/>
                <w:bCs/>
                <w:sz w:val="20"/>
                <w:szCs w:val="20"/>
              </w:rPr>
              <w:t>Outcome</w:t>
            </w:r>
          </w:p>
        </w:tc>
        <w:tc>
          <w:tcPr>
            <w:tcW w:w="1440" w:type="dxa"/>
            <w:shd w:val="clear" w:color="auto" w:fill="D9D9D9" w:themeFill="background1" w:themeFillShade="D9"/>
          </w:tcPr>
          <w:p w14:paraId="50BD2B8C" w14:textId="77777777" w:rsidR="00D90E5C" w:rsidRPr="00855C5F" w:rsidRDefault="00D90E5C" w:rsidP="006A2765">
            <w:pPr>
              <w:jc w:val="center"/>
              <w:rPr>
                <w:b/>
                <w:bCs/>
                <w:i/>
                <w:iCs/>
                <w:sz w:val="20"/>
                <w:szCs w:val="20"/>
              </w:rPr>
            </w:pPr>
            <w:r w:rsidRPr="00855C5F">
              <w:rPr>
                <w:b/>
                <w:bCs/>
                <w:sz w:val="20"/>
                <w:szCs w:val="20"/>
              </w:rPr>
              <w:t>Benchmark Achieved?</w:t>
            </w:r>
          </w:p>
        </w:tc>
      </w:tr>
      <w:tr w:rsidR="00D90E5C" w:rsidRPr="00855C5F" w14:paraId="033D2061" w14:textId="77777777" w:rsidTr="00101393">
        <w:trPr>
          <w:trHeight w:hRule="exact" w:val="550"/>
        </w:trPr>
        <w:tc>
          <w:tcPr>
            <w:tcW w:w="3240" w:type="dxa"/>
            <w:shd w:val="clear" w:color="auto" w:fill="auto"/>
          </w:tcPr>
          <w:p w14:paraId="2031F48D" w14:textId="77777777" w:rsidR="00D90E5C" w:rsidRPr="00855C5F" w:rsidRDefault="00D90E5C" w:rsidP="00D90E5C">
            <w:pPr>
              <w:rPr>
                <w:bCs/>
                <w:iCs/>
                <w:sz w:val="20"/>
                <w:szCs w:val="20"/>
              </w:rPr>
            </w:pPr>
            <w:r w:rsidRPr="00855C5F">
              <w:rPr>
                <w:bCs/>
                <w:iCs/>
                <w:sz w:val="20"/>
                <w:szCs w:val="20"/>
              </w:rPr>
              <w:t>Amount of funds leveraged in dollars (increase)</w:t>
            </w:r>
          </w:p>
        </w:tc>
        <w:tc>
          <w:tcPr>
            <w:tcW w:w="1714" w:type="dxa"/>
            <w:shd w:val="clear" w:color="auto" w:fill="auto"/>
          </w:tcPr>
          <w:p w14:paraId="377F95D9" w14:textId="04741249" w:rsidR="00D90E5C" w:rsidRPr="00855C5F" w:rsidRDefault="00BE134C" w:rsidP="001A3248">
            <w:pPr>
              <w:jc w:val="center"/>
              <w:rPr>
                <w:bCs/>
                <w:iCs/>
                <w:sz w:val="20"/>
                <w:szCs w:val="20"/>
              </w:rPr>
            </w:pPr>
            <w:r w:rsidRPr="00855C5F">
              <w:rPr>
                <w:bCs/>
                <w:iCs/>
                <w:sz w:val="20"/>
                <w:szCs w:val="20"/>
              </w:rPr>
              <w:t>0</w:t>
            </w:r>
          </w:p>
        </w:tc>
        <w:tc>
          <w:tcPr>
            <w:tcW w:w="1627" w:type="dxa"/>
            <w:shd w:val="clear" w:color="auto" w:fill="auto"/>
          </w:tcPr>
          <w:p w14:paraId="34A46A64" w14:textId="77777777" w:rsidR="00D90E5C" w:rsidRPr="00855C5F" w:rsidRDefault="00D90E5C" w:rsidP="001A3248">
            <w:pPr>
              <w:jc w:val="center"/>
              <w:rPr>
                <w:bCs/>
                <w:iCs/>
                <w:sz w:val="20"/>
                <w:szCs w:val="20"/>
              </w:rPr>
            </w:pPr>
            <w:r w:rsidRPr="00855C5F">
              <w:rPr>
                <w:bCs/>
                <w:iCs/>
                <w:sz w:val="20"/>
                <w:szCs w:val="20"/>
              </w:rPr>
              <w:t>$2,564,220</w:t>
            </w:r>
          </w:p>
        </w:tc>
        <w:tc>
          <w:tcPr>
            <w:tcW w:w="1354" w:type="dxa"/>
            <w:shd w:val="clear" w:color="auto" w:fill="auto"/>
          </w:tcPr>
          <w:p w14:paraId="22925FE3" w14:textId="77777777" w:rsidR="00D90E5C" w:rsidRPr="00855C5F" w:rsidRDefault="00D90E5C" w:rsidP="001A3248">
            <w:pPr>
              <w:jc w:val="center"/>
              <w:rPr>
                <w:b/>
                <w:bCs/>
                <w:i/>
                <w:iCs/>
                <w:sz w:val="20"/>
                <w:szCs w:val="20"/>
              </w:rPr>
            </w:pPr>
          </w:p>
        </w:tc>
        <w:tc>
          <w:tcPr>
            <w:tcW w:w="1440" w:type="dxa"/>
            <w:shd w:val="clear" w:color="auto" w:fill="auto"/>
          </w:tcPr>
          <w:p w14:paraId="64754DF8" w14:textId="77777777" w:rsidR="00D90E5C" w:rsidRPr="00855C5F" w:rsidRDefault="00D90E5C" w:rsidP="001A3248">
            <w:pPr>
              <w:jc w:val="center"/>
              <w:rPr>
                <w:b/>
                <w:bCs/>
                <w:i/>
                <w:iCs/>
                <w:sz w:val="20"/>
                <w:szCs w:val="20"/>
              </w:rPr>
            </w:pPr>
          </w:p>
        </w:tc>
      </w:tr>
      <w:tr w:rsidR="00D90E5C" w:rsidRPr="00855C5F" w14:paraId="08DE3DD1" w14:textId="77777777" w:rsidTr="00101393">
        <w:trPr>
          <w:trHeight w:hRule="exact" w:val="317"/>
        </w:trPr>
        <w:tc>
          <w:tcPr>
            <w:tcW w:w="1440" w:type="dxa"/>
            <w:gridSpan w:val="5"/>
            <w:shd w:val="clear" w:color="auto" w:fill="C6D9F1" w:themeFill="text2" w:themeFillTint="33"/>
            <w:hideMark/>
          </w:tcPr>
          <w:p w14:paraId="5B0FD153" w14:textId="77777777" w:rsidR="00D90E5C" w:rsidRPr="00855C5F" w:rsidRDefault="00D90E5C" w:rsidP="009658C1">
            <w:pPr>
              <w:jc w:val="center"/>
              <w:rPr>
                <w:b/>
                <w:bCs/>
                <w:i/>
                <w:iCs/>
                <w:sz w:val="20"/>
                <w:szCs w:val="20"/>
              </w:rPr>
            </w:pPr>
            <w:r w:rsidRPr="00855C5F">
              <w:rPr>
                <w:b/>
                <w:bCs/>
                <w:i/>
                <w:iCs/>
                <w:sz w:val="20"/>
                <w:szCs w:val="20"/>
              </w:rPr>
              <w:t>SS #1: Increase in Household Income</w:t>
            </w:r>
          </w:p>
        </w:tc>
      </w:tr>
      <w:tr w:rsidR="00D90E5C" w:rsidRPr="00855C5F" w14:paraId="232D5163" w14:textId="77777777" w:rsidTr="00101393">
        <w:trPr>
          <w:trHeight w:hRule="exact" w:val="576"/>
        </w:trPr>
        <w:tc>
          <w:tcPr>
            <w:tcW w:w="3240" w:type="dxa"/>
            <w:shd w:val="clear" w:color="auto" w:fill="D9D9D9" w:themeFill="background1" w:themeFillShade="D9"/>
            <w:hideMark/>
          </w:tcPr>
          <w:p w14:paraId="50F62B2E" w14:textId="77777777" w:rsidR="00D90E5C" w:rsidRPr="00855C5F" w:rsidRDefault="00D90E5C" w:rsidP="006A2765">
            <w:pPr>
              <w:jc w:val="center"/>
              <w:rPr>
                <w:b/>
                <w:bCs/>
                <w:sz w:val="20"/>
                <w:szCs w:val="20"/>
              </w:rPr>
            </w:pPr>
            <w:r w:rsidRPr="00855C5F">
              <w:rPr>
                <w:b/>
                <w:bCs/>
                <w:sz w:val="20"/>
                <w:szCs w:val="20"/>
              </w:rPr>
              <w:t>Unit of Measurement</w:t>
            </w:r>
          </w:p>
        </w:tc>
        <w:tc>
          <w:tcPr>
            <w:tcW w:w="1714" w:type="dxa"/>
            <w:shd w:val="clear" w:color="auto" w:fill="D9D9D9" w:themeFill="background1" w:themeFillShade="D9"/>
            <w:hideMark/>
          </w:tcPr>
          <w:p w14:paraId="0EE35CA7" w14:textId="77777777" w:rsidR="00D90E5C" w:rsidRPr="00855C5F" w:rsidRDefault="00D90E5C" w:rsidP="006A2765">
            <w:pPr>
              <w:jc w:val="center"/>
              <w:rPr>
                <w:b/>
                <w:bCs/>
                <w:sz w:val="20"/>
                <w:szCs w:val="20"/>
              </w:rPr>
            </w:pPr>
            <w:r w:rsidRPr="00855C5F">
              <w:rPr>
                <w:b/>
                <w:bCs/>
                <w:sz w:val="20"/>
                <w:szCs w:val="20"/>
              </w:rPr>
              <w:t>Baseline</w:t>
            </w:r>
          </w:p>
        </w:tc>
        <w:tc>
          <w:tcPr>
            <w:tcW w:w="1627" w:type="dxa"/>
            <w:shd w:val="clear" w:color="auto" w:fill="D9D9D9" w:themeFill="background1" w:themeFillShade="D9"/>
            <w:hideMark/>
          </w:tcPr>
          <w:p w14:paraId="43663D72" w14:textId="77777777" w:rsidR="00D90E5C" w:rsidRPr="00855C5F" w:rsidRDefault="00D90E5C" w:rsidP="006A2765">
            <w:pPr>
              <w:jc w:val="center"/>
              <w:rPr>
                <w:b/>
                <w:bCs/>
                <w:sz w:val="20"/>
                <w:szCs w:val="20"/>
              </w:rPr>
            </w:pPr>
            <w:r w:rsidRPr="00855C5F">
              <w:rPr>
                <w:b/>
                <w:bCs/>
                <w:sz w:val="20"/>
                <w:szCs w:val="20"/>
              </w:rPr>
              <w:t>Benchmark</w:t>
            </w:r>
          </w:p>
        </w:tc>
        <w:tc>
          <w:tcPr>
            <w:tcW w:w="1354" w:type="dxa"/>
            <w:shd w:val="clear" w:color="auto" w:fill="D9D9D9" w:themeFill="background1" w:themeFillShade="D9"/>
            <w:hideMark/>
          </w:tcPr>
          <w:p w14:paraId="445022E5" w14:textId="77777777" w:rsidR="00D90E5C" w:rsidRPr="00855C5F" w:rsidRDefault="00D90E5C" w:rsidP="006A2765">
            <w:pPr>
              <w:jc w:val="center"/>
              <w:rPr>
                <w:b/>
                <w:bCs/>
                <w:sz w:val="20"/>
                <w:szCs w:val="20"/>
              </w:rPr>
            </w:pPr>
            <w:r w:rsidRPr="00855C5F">
              <w:rPr>
                <w:b/>
                <w:bCs/>
                <w:sz w:val="20"/>
                <w:szCs w:val="20"/>
              </w:rPr>
              <w:t>Outcome</w:t>
            </w:r>
          </w:p>
        </w:tc>
        <w:tc>
          <w:tcPr>
            <w:tcW w:w="1440" w:type="dxa"/>
            <w:shd w:val="clear" w:color="auto" w:fill="D9D9D9" w:themeFill="background1" w:themeFillShade="D9"/>
            <w:hideMark/>
          </w:tcPr>
          <w:p w14:paraId="515774EC" w14:textId="77777777" w:rsidR="00D90E5C" w:rsidRPr="00855C5F" w:rsidRDefault="00D90E5C" w:rsidP="006A2765">
            <w:pPr>
              <w:jc w:val="center"/>
              <w:rPr>
                <w:b/>
                <w:bCs/>
                <w:sz w:val="20"/>
                <w:szCs w:val="20"/>
              </w:rPr>
            </w:pPr>
            <w:r w:rsidRPr="00855C5F">
              <w:rPr>
                <w:b/>
                <w:bCs/>
                <w:sz w:val="20"/>
                <w:szCs w:val="20"/>
              </w:rPr>
              <w:t>Benchmark Achieved?</w:t>
            </w:r>
          </w:p>
        </w:tc>
      </w:tr>
      <w:tr w:rsidR="00D90E5C" w:rsidRPr="00855C5F" w14:paraId="4A015498" w14:textId="77777777" w:rsidTr="00101393">
        <w:trPr>
          <w:trHeight w:val="773"/>
        </w:trPr>
        <w:tc>
          <w:tcPr>
            <w:tcW w:w="3240" w:type="dxa"/>
            <w:shd w:val="clear" w:color="auto" w:fill="auto"/>
            <w:hideMark/>
          </w:tcPr>
          <w:p w14:paraId="1C97F9AA" w14:textId="77777777" w:rsidR="00D90E5C" w:rsidRPr="00855C5F" w:rsidRDefault="00D90E5C" w:rsidP="00D90E5C">
            <w:pPr>
              <w:rPr>
                <w:sz w:val="20"/>
                <w:szCs w:val="20"/>
              </w:rPr>
            </w:pPr>
            <w:r w:rsidRPr="00855C5F">
              <w:rPr>
                <w:sz w:val="20"/>
                <w:szCs w:val="20"/>
              </w:rPr>
              <w:t>Average earned income of households affected by this policy in dollars (increase).</w:t>
            </w:r>
          </w:p>
        </w:tc>
        <w:tc>
          <w:tcPr>
            <w:tcW w:w="1714" w:type="dxa"/>
            <w:shd w:val="clear" w:color="auto" w:fill="auto"/>
            <w:hideMark/>
          </w:tcPr>
          <w:p w14:paraId="0D51B92A" w14:textId="6DAD5EDF" w:rsidR="00D90E5C" w:rsidRPr="00855C5F" w:rsidRDefault="0017719C" w:rsidP="001A3248">
            <w:pPr>
              <w:jc w:val="center"/>
              <w:rPr>
                <w:sz w:val="20"/>
                <w:szCs w:val="20"/>
              </w:rPr>
            </w:pPr>
            <w:r w:rsidRPr="00855C5F">
              <w:rPr>
                <w:sz w:val="20"/>
                <w:szCs w:val="20"/>
              </w:rPr>
              <w:t>$9</w:t>
            </w:r>
            <w:r w:rsidR="00524652" w:rsidRPr="00855C5F">
              <w:rPr>
                <w:sz w:val="20"/>
                <w:szCs w:val="20"/>
              </w:rPr>
              <w:t>,</w:t>
            </w:r>
            <w:r w:rsidRPr="00855C5F">
              <w:rPr>
                <w:sz w:val="20"/>
                <w:szCs w:val="20"/>
              </w:rPr>
              <w:t>492</w:t>
            </w:r>
          </w:p>
        </w:tc>
        <w:tc>
          <w:tcPr>
            <w:tcW w:w="1627" w:type="dxa"/>
            <w:shd w:val="clear" w:color="auto" w:fill="auto"/>
            <w:hideMark/>
          </w:tcPr>
          <w:p w14:paraId="133941E6" w14:textId="7E2EC1EE" w:rsidR="00D90E5C" w:rsidRPr="00855C5F" w:rsidRDefault="0017719C" w:rsidP="001A3248">
            <w:pPr>
              <w:jc w:val="center"/>
              <w:rPr>
                <w:sz w:val="20"/>
                <w:szCs w:val="20"/>
              </w:rPr>
            </w:pPr>
            <w:r w:rsidRPr="00855C5F">
              <w:rPr>
                <w:sz w:val="20"/>
                <w:szCs w:val="20"/>
              </w:rPr>
              <w:t>$10,012</w:t>
            </w:r>
          </w:p>
        </w:tc>
        <w:tc>
          <w:tcPr>
            <w:tcW w:w="1354" w:type="dxa"/>
            <w:shd w:val="clear" w:color="auto" w:fill="auto"/>
          </w:tcPr>
          <w:p w14:paraId="16A1CC87" w14:textId="77777777" w:rsidR="00D90E5C" w:rsidRPr="00855C5F" w:rsidRDefault="00D90E5C" w:rsidP="001A3248">
            <w:pPr>
              <w:jc w:val="center"/>
              <w:rPr>
                <w:sz w:val="20"/>
                <w:szCs w:val="20"/>
              </w:rPr>
            </w:pPr>
          </w:p>
        </w:tc>
        <w:tc>
          <w:tcPr>
            <w:tcW w:w="1440" w:type="dxa"/>
            <w:shd w:val="clear" w:color="auto" w:fill="auto"/>
          </w:tcPr>
          <w:p w14:paraId="583024D1" w14:textId="77777777" w:rsidR="00D90E5C" w:rsidRPr="00855C5F" w:rsidRDefault="00D90E5C" w:rsidP="001A3248">
            <w:pPr>
              <w:jc w:val="center"/>
              <w:rPr>
                <w:sz w:val="20"/>
                <w:szCs w:val="20"/>
              </w:rPr>
            </w:pPr>
          </w:p>
        </w:tc>
      </w:tr>
      <w:tr w:rsidR="00D90E5C" w:rsidRPr="00855C5F" w14:paraId="04964F5F" w14:textId="77777777" w:rsidTr="00101393">
        <w:trPr>
          <w:trHeight w:hRule="exact" w:val="317"/>
        </w:trPr>
        <w:tc>
          <w:tcPr>
            <w:tcW w:w="1440" w:type="dxa"/>
            <w:gridSpan w:val="5"/>
            <w:shd w:val="clear" w:color="auto" w:fill="C6D9F1" w:themeFill="text2" w:themeFillTint="33"/>
            <w:hideMark/>
          </w:tcPr>
          <w:p w14:paraId="30172FEC" w14:textId="77777777" w:rsidR="00D90E5C" w:rsidRPr="00855C5F" w:rsidRDefault="00D90E5C" w:rsidP="009658C1">
            <w:pPr>
              <w:jc w:val="center"/>
              <w:rPr>
                <w:b/>
                <w:bCs/>
                <w:i/>
                <w:iCs/>
                <w:sz w:val="20"/>
                <w:szCs w:val="20"/>
              </w:rPr>
            </w:pPr>
            <w:r w:rsidRPr="00855C5F">
              <w:rPr>
                <w:b/>
                <w:bCs/>
                <w:i/>
                <w:iCs/>
                <w:sz w:val="20"/>
                <w:szCs w:val="20"/>
              </w:rPr>
              <w:t>SS #3: Increase in Positive Outcomes in Employment Status</w:t>
            </w:r>
          </w:p>
        </w:tc>
      </w:tr>
      <w:tr w:rsidR="00D90E5C" w:rsidRPr="00855C5F" w14:paraId="62A6CA7C" w14:textId="77777777" w:rsidTr="00101393">
        <w:trPr>
          <w:trHeight w:hRule="exact" w:val="576"/>
        </w:trPr>
        <w:tc>
          <w:tcPr>
            <w:tcW w:w="3240" w:type="dxa"/>
            <w:shd w:val="clear" w:color="auto" w:fill="D9D9D9" w:themeFill="background1" w:themeFillShade="D9"/>
            <w:hideMark/>
          </w:tcPr>
          <w:p w14:paraId="156FB2CD" w14:textId="77777777" w:rsidR="00D90E5C" w:rsidRPr="00855C5F" w:rsidRDefault="00D90E5C" w:rsidP="006A2765">
            <w:pPr>
              <w:jc w:val="center"/>
              <w:rPr>
                <w:b/>
                <w:bCs/>
                <w:sz w:val="20"/>
                <w:szCs w:val="20"/>
              </w:rPr>
            </w:pPr>
            <w:r w:rsidRPr="00855C5F">
              <w:rPr>
                <w:b/>
                <w:bCs/>
                <w:sz w:val="20"/>
                <w:szCs w:val="20"/>
              </w:rPr>
              <w:t>Unit of Measurement</w:t>
            </w:r>
          </w:p>
        </w:tc>
        <w:tc>
          <w:tcPr>
            <w:tcW w:w="1714" w:type="dxa"/>
            <w:shd w:val="clear" w:color="auto" w:fill="D9D9D9" w:themeFill="background1" w:themeFillShade="D9"/>
            <w:hideMark/>
          </w:tcPr>
          <w:p w14:paraId="792B1A4B" w14:textId="77777777" w:rsidR="00D90E5C" w:rsidRPr="00855C5F" w:rsidRDefault="00D90E5C" w:rsidP="006A2765">
            <w:pPr>
              <w:jc w:val="center"/>
              <w:rPr>
                <w:b/>
                <w:bCs/>
                <w:sz w:val="20"/>
                <w:szCs w:val="20"/>
              </w:rPr>
            </w:pPr>
            <w:r w:rsidRPr="00855C5F">
              <w:rPr>
                <w:b/>
                <w:bCs/>
                <w:sz w:val="20"/>
                <w:szCs w:val="20"/>
              </w:rPr>
              <w:t>Baseline</w:t>
            </w:r>
          </w:p>
        </w:tc>
        <w:tc>
          <w:tcPr>
            <w:tcW w:w="1627" w:type="dxa"/>
            <w:shd w:val="clear" w:color="auto" w:fill="D9D9D9" w:themeFill="background1" w:themeFillShade="D9"/>
            <w:hideMark/>
          </w:tcPr>
          <w:p w14:paraId="059C9574" w14:textId="77777777" w:rsidR="00D90E5C" w:rsidRPr="00855C5F" w:rsidRDefault="00D90E5C" w:rsidP="006A2765">
            <w:pPr>
              <w:jc w:val="center"/>
              <w:rPr>
                <w:b/>
                <w:bCs/>
                <w:sz w:val="20"/>
                <w:szCs w:val="20"/>
              </w:rPr>
            </w:pPr>
            <w:r w:rsidRPr="00855C5F">
              <w:rPr>
                <w:b/>
                <w:bCs/>
                <w:sz w:val="20"/>
                <w:szCs w:val="20"/>
              </w:rPr>
              <w:t>Benchmark</w:t>
            </w:r>
          </w:p>
        </w:tc>
        <w:tc>
          <w:tcPr>
            <w:tcW w:w="1354" w:type="dxa"/>
            <w:shd w:val="clear" w:color="auto" w:fill="D9D9D9" w:themeFill="background1" w:themeFillShade="D9"/>
            <w:hideMark/>
          </w:tcPr>
          <w:p w14:paraId="631E2D53" w14:textId="77777777" w:rsidR="00D90E5C" w:rsidRPr="00855C5F" w:rsidRDefault="00D90E5C" w:rsidP="006A2765">
            <w:pPr>
              <w:jc w:val="center"/>
              <w:rPr>
                <w:b/>
                <w:bCs/>
                <w:sz w:val="20"/>
                <w:szCs w:val="20"/>
              </w:rPr>
            </w:pPr>
            <w:r w:rsidRPr="00855C5F">
              <w:rPr>
                <w:b/>
                <w:bCs/>
                <w:sz w:val="20"/>
                <w:szCs w:val="20"/>
              </w:rPr>
              <w:t>Outcome</w:t>
            </w:r>
          </w:p>
        </w:tc>
        <w:tc>
          <w:tcPr>
            <w:tcW w:w="1440" w:type="dxa"/>
            <w:shd w:val="clear" w:color="auto" w:fill="D9D9D9" w:themeFill="background1" w:themeFillShade="D9"/>
            <w:hideMark/>
          </w:tcPr>
          <w:p w14:paraId="17BDAD1C" w14:textId="77777777" w:rsidR="00D90E5C" w:rsidRPr="00855C5F" w:rsidRDefault="00D90E5C" w:rsidP="006A2765">
            <w:pPr>
              <w:jc w:val="center"/>
              <w:rPr>
                <w:b/>
                <w:bCs/>
                <w:sz w:val="20"/>
                <w:szCs w:val="20"/>
              </w:rPr>
            </w:pPr>
            <w:r w:rsidRPr="00855C5F">
              <w:rPr>
                <w:b/>
                <w:bCs/>
                <w:sz w:val="20"/>
                <w:szCs w:val="20"/>
              </w:rPr>
              <w:t>Benchmark Achieved?</w:t>
            </w:r>
          </w:p>
        </w:tc>
      </w:tr>
      <w:tr w:rsidR="00D90E5C" w:rsidRPr="00855C5F" w14:paraId="709ED283" w14:textId="77777777" w:rsidTr="00101393">
        <w:trPr>
          <w:trHeight w:val="315"/>
        </w:trPr>
        <w:tc>
          <w:tcPr>
            <w:tcW w:w="3240" w:type="dxa"/>
            <w:vMerge w:val="restart"/>
            <w:shd w:val="clear" w:color="auto" w:fill="auto"/>
          </w:tcPr>
          <w:p w14:paraId="33B2E38B" w14:textId="77777777" w:rsidR="00D90E5C" w:rsidRPr="00855C5F" w:rsidRDefault="00D90E5C" w:rsidP="00D90E5C">
            <w:pPr>
              <w:rPr>
                <w:sz w:val="20"/>
                <w:szCs w:val="20"/>
              </w:rPr>
            </w:pPr>
            <w:r w:rsidRPr="00855C5F">
              <w:rPr>
                <w:sz w:val="20"/>
                <w:szCs w:val="20"/>
              </w:rPr>
              <w:t>Unemployed</w:t>
            </w:r>
          </w:p>
        </w:tc>
        <w:tc>
          <w:tcPr>
            <w:tcW w:w="1714" w:type="dxa"/>
            <w:shd w:val="clear" w:color="auto" w:fill="auto"/>
          </w:tcPr>
          <w:p w14:paraId="70D025EF" w14:textId="31B42BA8" w:rsidR="00D90E5C" w:rsidRPr="00855C5F" w:rsidRDefault="00524652" w:rsidP="001A3248">
            <w:pPr>
              <w:jc w:val="center"/>
              <w:rPr>
                <w:sz w:val="20"/>
                <w:szCs w:val="20"/>
              </w:rPr>
            </w:pPr>
            <w:r w:rsidRPr="00855C5F">
              <w:rPr>
                <w:sz w:val="20"/>
                <w:szCs w:val="20"/>
              </w:rPr>
              <w:t>170</w:t>
            </w:r>
          </w:p>
        </w:tc>
        <w:tc>
          <w:tcPr>
            <w:tcW w:w="1627" w:type="dxa"/>
            <w:shd w:val="clear" w:color="auto" w:fill="auto"/>
          </w:tcPr>
          <w:p w14:paraId="7C4C24E0" w14:textId="267C1B9F" w:rsidR="00D90E5C" w:rsidRPr="00855C5F" w:rsidRDefault="005B778F" w:rsidP="001A3248">
            <w:pPr>
              <w:jc w:val="center"/>
              <w:rPr>
                <w:sz w:val="20"/>
                <w:szCs w:val="20"/>
              </w:rPr>
            </w:pPr>
            <w:r w:rsidRPr="00855C5F">
              <w:rPr>
                <w:sz w:val="20"/>
                <w:szCs w:val="20"/>
              </w:rPr>
              <w:t>288</w:t>
            </w:r>
          </w:p>
        </w:tc>
        <w:tc>
          <w:tcPr>
            <w:tcW w:w="1354" w:type="dxa"/>
            <w:shd w:val="clear" w:color="auto" w:fill="auto"/>
          </w:tcPr>
          <w:p w14:paraId="102FAAAD" w14:textId="77777777" w:rsidR="00D90E5C" w:rsidRPr="00855C5F" w:rsidRDefault="00D90E5C" w:rsidP="001A3248">
            <w:pPr>
              <w:jc w:val="center"/>
              <w:rPr>
                <w:sz w:val="20"/>
                <w:szCs w:val="20"/>
              </w:rPr>
            </w:pPr>
          </w:p>
        </w:tc>
        <w:tc>
          <w:tcPr>
            <w:tcW w:w="1440" w:type="dxa"/>
            <w:shd w:val="clear" w:color="auto" w:fill="auto"/>
          </w:tcPr>
          <w:p w14:paraId="0FB367B9" w14:textId="77777777" w:rsidR="00D90E5C" w:rsidRPr="00855C5F" w:rsidRDefault="00D90E5C" w:rsidP="001A3248">
            <w:pPr>
              <w:jc w:val="center"/>
              <w:rPr>
                <w:sz w:val="20"/>
                <w:szCs w:val="20"/>
              </w:rPr>
            </w:pPr>
          </w:p>
        </w:tc>
      </w:tr>
      <w:tr w:rsidR="00D90E5C" w:rsidRPr="00855C5F" w14:paraId="1688550D" w14:textId="77777777" w:rsidTr="00101393">
        <w:trPr>
          <w:trHeight w:val="315"/>
        </w:trPr>
        <w:tc>
          <w:tcPr>
            <w:tcW w:w="3240" w:type="dxa"/>
            <w:vMerge/>
            <w:shd w:val="clear" w:color="auto" w:fill="auto"/>
          </w:tcPr>
          <w:p w14:paraId="17FECF2C" w14:textId="77777777" w:rsidR="00D90E5C" w:rsidRPr="00855C5F" w:rsidRDefault="00D90E5C" w:rsidP="00D90E5C">
            <w:pPr>
              <w:rPr>
                <w:sz w:val="20"/>
                <w:szCs w:val="20"/>
              </w:rPr>
            </w:pPr>
          </w:p>
        </w:tc>
        <w:tc>
          <w:tcPr>
            <w:tcW w:w="1714" w:type="dxa"/>
            <w:shd w:val="clear" w:color="auto" w:fill="auto"/>
          </w:tcPr>
          <w:p w14:paraId="255E8DE6" w14:textId="7F1F6C90" w:rsidR="00D90E5C" w:rsidRPr="00855C5F" w:rsidRDefault="00524652" w:rsidP="001A3248">
            <w:pPr>
              <w:jc w:val="center"/>
              <w:rPr>
                <w:sz w:val="20"/>
                <w:szCs w:val="20"/>
              </w:rPr>
            </w:pPr>
            <w:r w:rsidRPr="00855C5F">
              <w:rPr>
                <w:sz w:val="20"/>
                <w:szCs w:val="20"/>
              </w:rPr>
              <w:t>85%</w:t>
            </w:r>
          </w:p>
        </w:tc>
        <w:tc>
          <w:tcPr>
            <w:tcW w:w="1627" w:type="dxa"/>
            <w:shd w:val="clear" w:color="auto" w:fill="auto"/>
          </w:tcPr>
          <w:p w14:paraId="37766BE6" w14:textId="48FFAE64" w:rsidR="00D90E5C" w:rsidRPr="00855C5F" w:rsidRDefault="005B778F" w:rsidP="001A3248">
            <w:pPr>
              <w:jc w:val="center"/>
              <w:rPr>
                <w:sz w:val="20"/>
                <w:szCs w:val="20"/>
              </w:rPr>
            </w:pPr>
            <w:r w:rsidRPr="00855C5F">
              <w:rPr>
                <w:sz w:val="20"/>
                <w:szCs w:val="20"/>
              </w:rPr>
              <w:t>8</w:t>
            </w:r>
            <w:r w:rsidR="00524652" w:rsidRPr="00855C5F">
              <w:rPr>
                <w:sz w:val="20"/>
                <w:szCs w:val="20"/>
              </w:rPr>
              <w:t>0%</w:t>
            </w:r>
          </w:p>
        </w:tc>
        <w:tc>
          <w:tcPr>
            <w:tcW w:w="1354" w:type="dxa"/>
            <w:shd w:val="clear" w:color="auto" w:fill="auto"/>
          </w:tcPr>
          <w:p w14:paraId="55162AFF" w14:textId="77777777" w:rsidR="00D90E5C" w:rsidRPr="00855C5F" w:rsidRDefault="00D90E5C" w:rsidP="001A3248">
            <w:pPr>
              <w:jc w:val="center"/>
              <w:rPr>
                <w:sz w:val="20"/>
                <w:szCs w:val="20"/>
              </w:rPr>
            </w:pPr>
          </w:p>
        </w:tc>
        <w:tc>
          <w:tcPr>
            <w:tcW w:w="1440" w:type="dxa"/>
            <w:shd w:val="clear" w:color="auto" w:fill="auto"/>
          </w:tcPr>
          <w:p w14:paraId="4E7C6DAD" w14:textId="77777777" w:rsidR="00D90E5C" w:rsidRPr="00855C5F" w:rsidRDefault="00D90E5C" w:rsidP="001A3248">
            <w:pPr>
              <w:jc w:val="center"/>
              <w:rPr>
                <w:sz w:val="20"/>
                <w:szCs w:val="20"/>
              </w:rPr>
            </w:pPr>
          </w:p>
        </w:tc>
      </w:tr>
      <w:tr w:rsidR="00D90E5C" w:rsidRPr="00855C5F" w14:paraId="5DD0CA80" w14:textId="77777777" w:rsidTr="00101393">
        <w:trPr>
          <w:trHeight w:val="315"/>
        </w:trPr>
        <w:tc>
          <w:tcPr>
            <w:tcW w:w="3240" w:type="dxa"/>
            <w:vMerge w:val="restart"/>
            <w:shd w:val="clear" w:color="auto" w:fill="auto"/>
            <w:hideMark/>
          </w:tcPr>
          <w:p w14:paraId="073386FA" w14:textId="585B2AAA" w:rsidR="00D90E5C" w:rsidRPr="00855C5F" w:rsidRDefault="001E7A7F" w:rsidP="00D90E5C">
            <w:pPr>
              <w:rPr>
                <w:sz w:val="20"/>
                <w:szCs w:val="20"/>
              </w:rPr>
            </w:pPr>
            <w:r w:rsidRPr="00855C5F">
              <w:rPr>
                <w:rFonts w:eastAsia="Calibri"/>
                <w:sz w:val="20"/>
                <w:szCs w:val="20"/>
              </w:rPr>
              <w:t>Employed Part-Time or Full-Time</w:t>
            </w:r>
          </w:p>
        </w:tc>
        <w:tc>
          <w:tcPr>
            <w:tcW w:w="1714" w:type="dxa"/>
            <w:shd w:val="clear" w:color="auto" w:fill="auto"/>
            <w:hideMark/>
          </w:tcPr>
          <w:p w14:paraId="5ECDE196" w14:textId="4BD8FCEE" w:rsidR="00D90E5C" w:rsidRPr="00855C5F" w:rsidRDefault="00524652" w:rsidP="001A3248">
            <w:pPr>
              <w:jc w:val="center"/>
              <w:rPr>
                <w:sz w:val="20"/>
                <w:szCs w:val="20"/>
              </w:rPr>
            </w:pPr>
            <w:r w:rsidRPr="00855C5F">
              <w:rPr>
                <w:sz w:val="20"/>
                <w:szCs w:val="20"/>
              </w:rPr>
              <w:t>30</w:t>
            </w:r>
          </w:p>
        </w:tc>
        <w:tc>
          <w:tcPr>
            <w:tcW w:w="1627" w:type="dxa"/>
            <w:shd w:val="clear" w:color="auto" w:fill="auto"/>
            <w:hideMark/>
          </w:tcPr>
          <w:p w14:paraId="1B541D3F" w14:textId="7FCB4CB8" w:rsidR="00D90E5C" w:rsidRPr="00855C5F" w:rsidRDefault="005B778F" w:rsidP="001A3248">
            <w:pPr>
              <w:jc w:val="center"/>
              <w:rPr>
                <w:sz w:val="20"/>
                <w:szCs w:val="20"/>
              </w:rPr>
            </w:pPr>
            <w:r w:rsidRPr="00855C5F">
              <w:rPr>
                <w:sz w:val="20"/>
                <w:szCs w:val="20"/>
              </w:rPr>
              <w:t>72</w:t>
            </w:r>
          </w:p>
        </w:tc>
        <w:tc>
          <w:tcPr>
            <w:tcW w:w="1354" w:type="dxa"/>
            <w:shd w:val="clear" w:color="auto" w:fill="auto"/>
          </w:tcPr>
          <w:p w14:paraId="04F2C6FE" w14:textId="77777777" w:rsidR="00D90E5C" w:rsidRPr="00855C5F" w:rsidRDefault="00D90E5C" w:rsidP="001A3248">
            <w:pPr>
              <w:jc w:val="center"/>
              <w:rPr>
                <w:sz w:val="20"/>
                <w:szCs w:val="20"/>
              </w:rPr>
            </w:pPr>
          </w:p>
        </w:tc>
        <w:tc>
          <w:tcPr>
            <w:tcW w:w="1440" w:type="dxa"/>
            <w:shd w:val="clear" w:color="auto" w:fill="auto"/>
          </w:tcPr>
          <w:p w14:paraId="70C8AE3A" w14:textId="77777777" w:rsidR="00D90E5C" w:rsidRPr="00855C5F" w:rsidRDefault="00D90E5C" w:rsidP="001A3248">
            <w:pPr>
              <w:jc w:val="center"/>
              <w:rPr>
                <w:sz w:val="20"/>
                <w:szCs w:val="20"/>
              </w:rPr>
            </w:pPr>
          </w:p>
        </w:tc>
      </w:tr>
      <w:tr w:rsidR="00D90E5C" w:rsidRPr="00855C5F" w14:paraId="29C685C1" w14:textId="77777777" w:rsidTr="00101393">
        <w:trPr>
          <w:trHeight w:val="315"/>
        </w:trPr>
        <w:tc>
          <w:tcPr>
            <w:tcW w:w="3240" w:type="dxa"/>
            <w:vMerge/>
            <w:shd w:val="clear" w:color="auto" w:fill="auto"/>
            <w:hideMark/>
          </w:tcPr>
          <w:p w14:paraId="2DF56BD7" w14:textId="77777777" w:rsidR="00D90E5C" w:rsidRPr="00855C5F" w:rsidRDefault="00D90E5C" w:rsidP="00D90E5C">
            <w:pPr>
              <w:rPr>
                <w:sz w:val="20"/>
                <w:szCs w:val="20"/>
              </w:rPr>
            </w:pPr>
          </w:p>
        </w:tc>
        <w:tc>
          <w:tcPr>
            <w:tcW w:w="1714" w:type="dxa"/>
            <w:shd w:val="clear" w:color="auto" w:fill="auto"/>
            <w:hideMark/>
          </w:tcPr>
          <w:p w14:paraId="3B36DAB1" w14:textId="50AAA19C" w:rsidR="00D90E5C" w:rsidRPr="00855C5F" w:rsidRDefault="00524652" w:rsidP="001A3248">
            <w:pPr>
              <w:jc w:val="center"/>
              <w:rPr>
                <w:sz w:val="20"/>
                <w:szCs w:val="20"/>
              </w:rPr>
            </w:pPr>
            <w:r w:rsidRPr="00855C5F">
              <w:rPr>
                <w:sz w:val="20"/>
                <w:szCs w:val="20"/>
              </w:rPr>
              <w:t>15%</w:t>
            </w:r>
          </w:p>
        </w:tc>
        <w:tc>
          <w:tcPr>
            <w:tcW w:w="1627" w:type="dxa"/>
            <w:shd w:val="clear" w:color="auto" w:fill="auto"/>
            <w:hideMark/>
          </w:tcPr>
          <w:p w14:paraId="42708BFF" w14:textId="173815C3" w:rsidR="00D90E5C" w:rsidRPr="00855C5F" w:rsidRDefault="005B778F" w:rsidP="001A3248">
            <w:pPr>
              <w:jc w:val="center"/>
              <w:rPr>
                <w:sz w:val="20"/>
                <w:szCs w:val="20"/>
              </w:rPr>
            </w:pPr>
            <w:r w:rsidRPr="00855C5F">
              <w:rPr>
                <w:sz w:val="20"/>
                <w:szCs w:val="20"/>
              </w:rPr>
              <w:t>2</w:t>
            </w:r>
            <w:r w:rsidR="00524652" w:rsidRPr="00855C5F">
              <w:rPr>
                <w:sz w:val="20"/>
                <w:szCs w:val="20"/>
              </w:rPr>
              <w:t>0%</w:t>
            </w:r>
          </w:p>
        </w:tc>
        <w:tc>
          <w:tcPr>
            <w:tcW w:w="1354" w:type="dxa"/>
            <w:shd w:val="clear" w:color="auto" w:fill="auto"/>
          </w:tcPr>
          <w:p w14:paraId="72B78B5A" w14:textId="77777777" w:rsidR="00D90E5C" w:rsidRPr="00855C5F" w:rsidRDefault="00D90E5C" w:rsidP="001A3248">
            <w:pPr>
              <w:jc w:val="center"/>
              <w:rPr>
                <w:sz w:val="20"/>
                <w:szCs w:val="20"/>
              </w:rPr>
            </w:pPr>
          </w:p>
        </w:tc>
        <w:tc>
          <w:tcPr>
            <w:tcW w:w="1440" w:type="dxa"/>
            <w:shd w:val="clear" w:color="auto" w:fill="auto"/>
          </w:tcPr>
          <w:p w14:paraId="0669F41C" w14:textId="77777777" w:rsidR="00D90E5C" w:rsidRPr="00855C5F" w:rsidRDefault="00D90E5C" w:rsidP="001A3248">
            <w:pPr>
              <w:jc w:val="center"/>
              <w:rPr>
                <w:sz w:val="20"/>
                <w:szCs w:val="20"/>
              </w:rPr>
            </w:pPr>
          </w:p>
        </w:tc>
      </w:tr>
      <w:tr w:rsidR="00A6312B" w:rsidRPr="00855C5F" w14:paraId="5B14516C" w14:textId="77777777" w:rsidTr="00101393">
        <w:trPr>
          <w:trHeight w:val="315"/>
        </w:trPr>
        <w:tc>
          <w:tcPr>
            <w:tcW w:w="3240" w:type="dxa"/>
            <w:vMerge w:val="restart"/>
            <w:shd w:val="clear" w:color="auto" w:fill="auto"/>
          </w:tcPr>
          <w:p w14:paraId="4005FDB4" w14:textId="07E47838" w:rsidR="00A6312B" w:rsidRPr="00855C5F" w:rsidRDefault="00A6312B" w:rsidP="00A6312B">
            <w:pPr>
              <w:rPr>
                <w:sz w:val="20"/>
                <w:szCs w:val="20"/>
              </w:rPr>
            </w:pPr>
            <w:r w:rsidRPr="00855C5F">
              <w:rPr>
                <w:rFonts w:eastAsia="Calibri"/>
                <w:sz w:val="20"/>
                <w:szCs w:val="20"/>
              </w:rPr>
              <w:t>Enrolled in an  Educational Program or Job Training</w:t>
            </w:r>
          </w:p>
        </w:tc>
        <w:tc>
          <w:tcPr>
            <w:tcW w:w="1714" w:type="dxa"/>
            <w:shd w:val="clear" w:color="auto" w:fill="auto"/>
          </w:tcPr>
          <w:p w14:paraId="40E2ABE5" w14:textId="2C073A0A" w:rsidR="00A6312B" w:rsidRPr="00855C5F" w:rsidRDefault="00A6312B" w:rsidP="00A6312B">
            <w:pPr>
              <w:jc w:val="center"/>
              <w:rPr>
                <w:sz w:val="20"/>
                <w:szCs w:val="20"/>
              </w:rPr>
            </w:pPr>
            <w:r w:rsidRPr="00855C5F">
              <w:rPr>
                <w:sz w:val="20"/>
                <w:szCs w:val="20"/>
              </w:rPr>
              <w:t>20</w:t>
            </w:r>
          </w:p>
        </w:tc>
        <w:tc>
          <w:tcPr>
            <w:tcW w:w="1627" w:type="dxa"/>
            <w:shd w:val="clear" w:color="auto" w:fill="auto"/>
          </w:tcPr>
          <w:p w14:paraId="52E9514C" w14:textId="611DEC9B" w:rsidR="00A6312B" w:rsidRPr="00855C5F" w:rsidRDefault="005B778F" w:rsidP="00A6312B">
            <w:pPr>
              <w:jc w:val="center"/>
              <w:rPr>
                <w:sz w:val="20"/>
                <w:szCs w:val="20"/>
              </w:rPr>
            </w:pPr>
            <w:r w:rsidRPr="00855C5F">
              <w:rPr>
                <w:sz w:val="20"/>
                <w:szCs w:val="20"/>
              </w:rPr>
              <w:t>72</w:t>
            </w:r>
          </w:p>
        </w:tc>
        <w:tc>
          <w:tcPr>
            <w:tcW w:w="1354" w:type="dxa"/>
            <w:shd w:val="clear" w:color="auto" w:fill="auto"/>
          </w:tcPr>
          <w:p w14:paraId="5BE0BA08" w14:textId="77777777" w:rsidR="00A6312B" w:rsidRPr="00855C5F" w:rsidRDefault="00A6312B" w:rsidP="00A6312B">
            <w:pPr>
              <w:jc w:val="center"/>
              <w:rPr>
                <w:sz w:val="20"/>
                <w:szCs w:val="20"/>
              </w:rPr>
            </w:pPr>
          </w:p>
        </w:tc>
        <w:tc>
          <w:tcPr>
            <w:tcW w:w="1440" w:type="dxa"/>
            <w:shd w:val="clear" w:color="auto" w:fill="auto"/>
          </w:tcPr>
          <w:p w14:paraId="574DB48C" w14:textId="77777777" w:rsidR="00A6312B" w:rsidRPr="00855C5F" w:rsidRDefault="00A6312B" w:rsidP="00A6312B">
            <w:pPr>
              <w:jc w:val="center"/>
              <w:rPr>
                <w:sz w:val="20"/>
                <w:szCs w:val="20"/>
              </w:rPr>
            </w:pPr>
          </w:p>
        </w:tc>
      </w:tr>
      <w:tr w:rsidR="00A6312B" w:rsidRPr="00855C5F" w14:paraId="409CB4B2" w14:textId="77777777" w:rsidTr="00101393">
        <w:trPr>
          <w:trHeight w:val="315"/>
        </w:trPr>
        <w:tc>
          <w:tcPr>
            <w:tcW w:w="3240" w:type="dxa"/>
            <w:vMerge/>
            <w:shd w:val="clear" w:color="auto" w:fill="auto"/>
          </w:tcPr>
          <w:p w14:paraId="35849206" w14:textId="77777777" w:rsidR="00A6312B" w:rsidRPr="00855C5F" w:rsidRDefault="00A6312B" w:rsidP="00A6312B">
            <w:pPr>
              <w:rPr>
                <w:sz w:val="20"/>
                <w:szCs w:val="20"/>
              </w:rPr>
            </w:pPr>
          </w:p>
        </w:tc>
        <w:tc>
          <w:tcPr>
            <w:tcW w:w="1714" w:type="dxa"/>
            <w:shd w:val="clear" w:color="auto" w:fill="auto"/>
          </w:tcPr>
          <w:p w14:paraId="39E2B856" w14:textId="12FB31D3" w:rsidR="00A6312B" w:rsidRPr="00855C5F" w:rsidRDefault="00A6312B" w:rsidP="00A6312B">
            <w:pPr>
              <w:jc w:val="center"/>
              <w:rPr>
                <w:sz w:val="20"/>
                <w:szCs w:val="20"/>
              </w:rPr>
            </w:pPr>
            <w:r w:rsidRPr="00855C5F">
              <w:rPr>
                <w:sz w:val="20"/>
                <w:szCs w:val="20"/>
              </w:rPr>
              <w:t>10%</w:t>
            </w:r>
          </w:p>
        </w:tc>
        <w:tc>
          <w:tcPr>
            <w:tcW w:w="1627" w:type="dxa"/>
            <w:shd w:val="clear" w:color="auto" w:fill="auto"/>
          </w:tcPr>
          <w:p w14:paraId="49C69202" w14:textId="29779C67" w:rsidR="00A6312B" w:rsidRPr="00855C5F" w:rsidRDefault="00A6312B" w:rsidP="00A6312B">
            <w:pPr>
              <w:jc w:val="center"/>
              <w:rPr>
                <w:sz w:val="20"/>
                <w:szCs w:val="20"/>
              </w:rPr>
            </w:pPr>
            <w:r w:rsidRPr="00855C5F">
              <w:rPr>
                <w:sz w:val="20"/>
                <w:szCs w:val="20"/>
              </w:rPr>
              <w:t>20%</w:t>
            </w:r>
          </w:p>
        </w:tc>
        <w:tc>
          <w:tcPr>
            <w:tcW w:w="1354" w:type="dxa"/>
            <w:shd w:val="clear" w:color="auto" w:fill="auto"/>
          </w:tcPr>
          <w:p w14:paraId="61DC3D9A" w14:textId="77777777" w:rsidR="00A6312B" w:rsidRPr="00855C5F" w:rsidRDefault="00A6312B" w:rsidP="00A6312B">
            <w:pPr>
              <w:jc w:val="center"/>
              <w:rPr>
                <w:sz w:val="20"/>
                <w:szCs w:val="20"/>
              </w:rPr>
            </w:pPr>
          </w:p>
        </w:tc>
        <w:tc>
          <w:tcPr>
            <w:tcW w:w="1440" w:type="dxa"/>
            <w:shd w:val="clear" w:color="auto" w:fill="auto"/>
          </w:tcPr>
          <w:p w14:paraId="593425D8" w14:textId="77777777" w:rsidR="00A6312B" w:rsidRPr="00855C5F" w:rsidRDefault="00A6312B" w:rsidP="00A6312B">
            <w:pPr>
              <w:jc w:val="center"/>
              <w:rPr>
                <w:sz w:val="20"/>
                <w:szCs w:val="20"/>
              </w:rPr>
            </w:pPr>
          </w:p>
        </w:tc>
      </w:tr>
      <w:tr w:rsidR="00A6312B" w:rsidRPr="00855C5F" w14:paraId="1094AE49" w14:textId="77777777" w:rsidTr="00101393">
        <w:trPr>
          <w:trHeight w:hRule="exact" w:val="317"/>
        </w:trPr>
        <w:tc>
          <w:tcPr>
            <w:tcW w:w="1440" w:type="dxa"/>
            <w:gridSpan w:val="5"/>
            <w:shd w:val="clear" w:color="auto" w:fill="C6D9F1" w:themeFill="text2" w:themeFillTint="33"/>
          </w:tcPr>
          <w:p w14:paraId="56CCF9B6" w14:textId="77777777" w:rsidR="00A6312B" w:rsidRPr="00855C5F" w:rsidRDefault="00A6312B" w:rsidP="00A6312B">
            <w:pPr>
              <w:jc w:val="center"/>
              <w:rPr>
                <w:b/>
                <w:bCs/>
                <w:i/>
                <w:iCs/>
                <w:sz w:val="20"/>
                <w:szCs w:val="20"/>
              </w:rPr>
            </w:pPr>
            <w:r w:rsidRPr="00855C5F">
              <w:rPr>
                <w:b/>
                <w:bCs/>
                <w:i/>
                <w:iCs/>
                <w:sz w:val="20"/>
                <w:szCs w:val="20"/>
              </w:rPr>
              <w:t>SS #4: Households Removed from Temporary Assistance for Needy Families (TANF)</w:t>
            </w:r>
          </w:p>
        </w:tc>
      </w:tr>
      <w:tr w:rsidR="00A6312B" w:rsidRPr="00855C5F" w14:paraId="240B5861" w14:textId="77777777" w:rsidTr="00101393">
        <w:trPr>
          <w:trHeight w:hRule="exact" w:val="576"/>
        </w:trPr>
        <w:tc>
          <w:tcPr>
            <w:tcW w:w="3240" w:type="dxa"/>
            <w:shd w:val="clear" w:color="auto" w:fill="D9D9D9" w:themeFill="background1" w:themeFillShade="D9"/>
          </w:tcPr>
          <w:p w14:paraId="32EEE0F7" w14:textId="77777777" w:rsidR="00A6312B" w:rsidRPr="00855C5F" w:rsidRDefault="00A6312B" w:rsidP="00A6312B">
            <w:pPr>
              <w:jc w:val="center"/>
              <w:rPr>
                <w:b/>
                <w:bCs/>
                <w:sz w:val="20"/>
                <w:szCs w:val="20"/>
              </w:rPr>
            </w:pPr>
            <w:r w:rsidRPr="00855C5F">
              <w:rPr>
                <w:b/>
                <w:bCs/>
                <w:sz w:val="20"/>
                <w:szCs w:val="20"/>
              </w:rPr>
              <w:t>Unit of Measurement</w:t>
            </w:r>
          </w:p>
        </w:tc>
        <w:tc>
          <w:tcPr>
            <w:tcW w:w="1714" w:type="dxa"/>
            <w:shd w:val="clear" w:color="auto" w:fill="D9D9D9" w:themeFill="background1" w:themeFillShade="D9"/>
          </w:tcPr>
          <w:p w14:paraId="11393149" w14:textId="77777777" w:rsidR="00A6312B" w:rsidRPr="00855C5F" w:rsidRDefault="00A6312B" w:rsidP="00A6312B">
            <w:pPr>
              <w:jc w:val="center"/>
              <w:rPr>
                <w:b/>
                <w:bCs/>
                <w:sz w:val="20"/>
                <w:szCs w:val="20"/>
              </w:rPr>
            </w:pPr>
            <w:r w:rsidRPr="00855C5F">
              <w:rPr>
                <w:b/>
                <w:bCs/>
                <w:sz w:val="20"/>
                <w:szCs w:val="20"/>
              </w:rPr>
              <w:t>Baseline</w:t>
            </w:r>
          </w:p>
        </w:tc>
        <w:tc>
          <w:tcPr>
            <w:tcW w:w="1627" w:type="dxa"/>
            <w:shd w:val="clear" w:color="auto" w:fill="D9D9D9" w:themeFill="background1" w:themeFillShade="D9"/>
          </w:tcPr>
          <w:p w14:paraId="5A2470EB" w14:textId="77777777" w:rsidR="00A6312B" w:rsidRPr="00855C5F" w:rsidRDefault="00A6312B" w:rsidP="00A6312B">
            <w:pPr>
              <w:jc w:val="center"/>
              <w:rPr>
                <w:b/>
                <w:bCs/>
                <w:sz w:val="20"/>
                <w:szCs w:val="20"/>
              </w:rPr>
            </w:pPr>
            <w:r w:rsidRPr="00855C5F">
              <w:rPr>
                <w:b/>
                <w:bCs/>
                <w:sz w:val="20"/>
                <w:szCs w:val="20"/>
              </w:rPr>
              <w:t>Benchmark</w:t>
            </w:r>
          </w:p>
        </w:tc>
        <w:tc>
          <w:tcPr>
            <w:tcW w:w="1354" w:type="dxa"/>
            <w:shd w:val="clear" w:color="auto" w:fill="D9D9D9" w:themeFill="background1" w:themeFillShade="D9"/>
          </w:tcPr>
          <w:p w14:paraId="430CD870" w14:textId="77777777" w:rsidR="00A6312B" w:rsidRPr="00855C5F" w:rsidRDefault="00A6312B" w:rsidP="00A6312B">
            <w:pPr>
              <w:jc w:val="center"/>
              <w:rPr>
                <w:b/>
                <w:bCs/>
                <w:sz w:val="20"/>
                <w:szCs w:val="20"/>
              </w:rPr>
            </w:pPr>
            <w:r w:rsidRPr="00855C5F">
              <w:rPr>
                <w:b/>
                <w:bCs/>
                <w:sz w:val="20"/>
                <w:szCs w:val="20"/>
              </w:rPr>
              <w:t>Outcome</w:t>
            </w:r>
          </w:p>
        </w:tc>
        <w:tc>
          <w:tcPr>
            <w:tcW w:w="1440" w:type="dxa"/>
            <w:shd w:val="clear" w:color="auto" w:fill="D9D9D9" w:themeFill="background1" w:themeFillShade="D9"/>
          </w:tcPr>
          <w:p w14:paraId="5ED81E32" w14:textId="77777777" w:rsidR="00A6312B" w:rsidRPr="00855C5F" w:rsidRDefault="00A6312B" w:rsidP="00A6312B">
            <w:pPr>
              <w:jc w:val="center"/>
              <w:rPr>
                <w:b/>
                <w:bCs/>
                <w:sz w:val="20"/>
                <w:szCs w:val="20"/>
              </w:rPr>
            </w:pPr>
            <w:r w:rsidRPr="00855C5F">
              <w:rPr>
                <w:b/>
                <w:bCs/>
                <w:sz w:val="20"/>
                <w:szCs w:val="20"/>
              </w:rPr>
              <w:t>Benchmark Achieved?</w:t>
            </w:r>
          </w:p>
        </w:tc>
      </w:tr>
      <w:tr w:rsidR="00A6312B" w:rsidRPr="00855C5F" w14:paraId="732F6EE0" w14:textId="77777777" w:rsidTr="00101393">
        <w:trPr>
          <w:trHeight w:val="305"/>
        </w:trPr>
        <w:tc>
          <w:tcPr>
            <w:tcW w:w="3240" w:type="dxa"/>
            <w:shd w:val="clear" w:color="auto" w:fill="auto"/>
          </w:tcPr>
          <w:p w14:paraId="624A5083" w14:textId="6C0B3C79" w:rsidR="00A6312B" w:rsidRPr="00855C5F" w:rsidRDefault="00A6312B" w:rsidP="00A6312B">
            <w:pPr>
              <w:rPr>
                <w:b/>
                <w:bCs/>
                <w:i/>
                <w:iCs/>
                <w:sz w:val="20"/>
                <w:szCs w:val="20"/>
              </w:rPr>
            </w:pPr>
            <w:r w:rsidRPr="00855C5F">
              <w:rPr>
                <w:sz w:val="20"/>
                <w:szCs w:val="20"/>
              </w:rPr>
              <w:t>Number of households receiving TANF assistance (decrease).*</w:t>
            </w:r>
          </w:p>
        </w:tc>
        <w:tc>
          <w:tcPr>
            <w:tcW w:w="1714" w:type="dxa"/>
            <w:shd w:val="clear" w:color="auto" w:fill="auto"/>
          </w:tcPr>
          <w:p w14:paraId="57FF922C" w14:textId="5AC0FF07" w:rsidR="00A6312B" w:rsidRPr="00855C5F" w:rsidRDefault="005B778F" w:rsidP="00A6312B">
            <w:pPr>
              <w:jc w:val="center"/>
              <w:rPr>
                <w:bCs/>
                <w:iCs/>
                <w:sz w:val="20"/>
                <w:szCs w:val="20"/>
              </w:rPr>
            </w:pPr>
            <w:r w:rsidRPr="00855C5F">
              <w:rPr>
                <w:bCs/>
                <w:iCs/>
                <w:sz w:val="20"/>
                <w:szCs w:val="20"/>
              </w:rPr>
              <w:t>Not Available</w:t>
            </w:r>
          </w:p>
          <w:p w14:paraId="029780FF" w14:textId="77777777" w:rsidR="00A6312B" w:rsidRPr="00855C5F" w:rsidRDefault="00A6312B" w:rsidP="00A6312B">
            <w:pPr>
              <w:jc w:val="center"/>
              <w:rPr>
                <w:bCs/>
                <w:iCs/>
                <w:sz w:val="20"/>
                <w:szCs w:val="20"/>
              </w:rPr>
            </w:pPr>
          </w:p>
        </w:tc>
        <w:tc>
          <w:tcPr>
            <w:tcW w:w="1627" w:type="dxa"/>
            <w:shd w:val="clear" w:color="auto" w:fill="auto"/>
          </w:tcPr>
          <w:p w14:paraId="2C682701" w14:textId="08161AFA" w:rsidR="00A6312B" w:rsidRPr="00855C5F" w:rsidRDefault="005B778F" w:rsidP="00A6312B">
            <w:pPr>
              <w:jc w:val="center"/>
              <w:rPr>
                <w:bCs/>
                <w:iCs/>
                <w:sz w:val="20"/>
                <w:szCs w:val="20"/>
              </w:rPr>
            </w:pPr>
            <w:r w:rsidRPr="00855C5F">
              <w:rPr>
                <w:bCs/>
                <w:iCs/>
                <w:sz w:val="20"/>
                <w:szCs w:val="20"/>
              </w:rPr>
              <w:t>Not Available</w:t>
            </w:r>
          </w:p>
          <w:p w14:paraId="6F9716FF" w14:textId="77777777" w:rsidR="00A6312B" w:rsidRPr="00855C5F" w:rsidRDefault="00A6312B" w:rsidP="00A6312B">
            <w:pPr>
              <w:jc w:val="center"/>
              <w:rPr>
                <w:bCs/>
                <w:iCs/>
                <w:sz w:val="20"/>
                <w:szCs w:val="20"/>
              </w:rPr>
            </w:pPr>
          </w:p>
        </w:tc>
        <w:tc>
          <w:tcPr>
            <w:tcW w:w="1354" w:type="dxa"/>
            <w:shd w:val="clear" w:color="auto" w:fill="auto"/>
          </w:tcPr>
          <w:p w14:paraId="125A33B5" w14:textId="77777777" w:rsidR="00A6312B" w:rsidRPr="00855C5F" w:rsidRDefault="00A6312B" w:rsidP="00A6312B">
            <w:pPr>
              <w:rPr>
                <w:bCs/>
                <w:iCs/>
                <w:sz w:val="20"/>
                <w:szCs w:val="20"/>
              </w:rPr>
            </w:pPr>
          </w:p>
        </w:tc>
        <w:tc>
          <w:tcPr>
            <w:tcW w:w="1440" w:type="dxa"/>
            <w:shd w:val="clear" w:color="auto" w:fill="auto"/>
          </w:tcPr>
          <w:p w14:paraId="297E73DB" w14:textId="77777777" w:rsidR="00A6312B" w:rsidRPr="00855C5F" w:rsidRDefault="00A6312B" w:rsidP="00A6312B">
            <w:pPr>
              <w:rPr>
                <w:b/>
                <w:bCs/>
                <w:i/>
                <w:iCs/>
                <w:sz w:val="20"/>
                <w:szCs w:val="20"/>
              </w:rPr>
            </w:pPr>
          </w:p>
        </w:tc>
      </w:tr>
      <w:tr w:rsidR="00A6312B" w:rsidRPr="00855C5F" w14:paraId="0D73547B" w14:textId="77777777" w:rsidTr="00101393">
        <w:trPr>
          <w:trHeight w:val="305"/>
        </w:trPr>
        <w:tc>
          <w:tcPr>
            <w:tcW w:w="1440" w:type="dxa"/>
            <w:gridSpan w:val="5"/>
            <w:shd w:val="clear" w:color="auto" w:fill="auto"/>
          </w:tcPr>
          <w:p w14:paraId="678FA9D6" w14:textId="045B2D2B" w:rsidR="00A6312B" w:rsidRPr="00855C5F" w:rsidRDefault="00485549" w:rsidP="00A6312B">
            <w:pPr>
              <w:jc w:val="both"/>
              <w:rPr>
                <w:bCs/>
                <w:i/>
                <w:iCs/>
                <w:sz w:val="20"/>
                <w:szCs w:val="20"/>
              </w:rPr>
            </w:pPr>
            <w:r>
              <w:rPr>
                <w:bCs/>
                <w:i/>
                <w:iCs/>
                <w:sz w:val="20"/>
                <w:szCs w:val="20"/>
              </w:rPr>
              <w:t xml:space="preserve">*Launch collects data on the receipt of TANF at intake but then does not follow up to see if that has changed. Most participants in Launch are not head of households so are not directly receiving TANF. </w:t>
            </w:r>
            <w:r w:rsidRPr="00855C5F">
              <w:rPr>
                <w:bCs/>
                <w:i/>
                <w:iCs/>
                <w:sz w:val="20"/>
                <w:szCs w:val="20"/>
              </w:rPr>
              <w:t xml:space="preserve"> </w:t>
            </w:r>
          </w:p>
        </w:tc>
      </w:tr>
      <w:tr w:rsidR="00A6312B" w:rsidRPr="00855C5F" w14:paraId="66B73C2C" w14:textId="77777777" w:rsidTr="00101393">
        <w:trPr>
          <w:trHeight w:hRule="exact" w:val="317"/>
        </w:trPr>
        <w:tc>
          <w:tcPr>
            <w:tcW w:w="1440" w:type="dxa"/>
            <w:gridSpan w:val="5"/>
            <w:shd w:val="clear" w:color="auto" w:fill="C6D9F1" w:themeFill="text2" w:themeFillTint="33"/>
            <w:hideMark/>
          </w:tcPr>
          <w:p w14:paraId="7DBD6ACD" w14:textId="77777777" w:rsidR="00A6312B" w:rsidRPr="00855C5F" w:rsidRDefault="00A6312B" w:rsidP="00A6312B">
            <w:pPr>
              <w:jc w:val="center"/>
              <w:rPr>
                <w:b/>
                <w:bCs/>
                <w:i/>
                <w:iCs/>
                <w:sz w:val="20"/>
                <w:szCs w:val="20"/>
              </w:rPr>
            </w:pPr>
            <w:r w:rsidRPr="00855C5F">
              <w:rPr>
                <w:b/>
                <w:bCs/>
                <w:i/>
                <w:iCs/>
                <w:sz w:val="20"/>
                <w:szCs w:val="20"/>
              </w:rPr>
              <w:t>SS #5: Households Assisted by Services that Increase Self Sufficiency</w:t>
            </w:r>
          </w:p>
        </w:tc>
      </w:tr>
      <w:tr w:rsidR="00A6312B" w:rsidRPr="00855C5F" w14:paraId="514A9923" w14:textId="77777777" w:rsidTr="00101393">
        <w:trPr>
          <w:trHeight w:hRule="exact" w:val="576"/>
        </w:trPr>
        <w:tc>
          <w:tcPr>
            <w:tcW w:w="3240" w:type="dxa"/>
            <w:shd w:val="clear" w:color="auto" w:fill="D9D9D9" w:themeFill="background1" w:themeFillShade="D9"/>
            <w:hideMark/>
          </w:tcPr>
          <w:p w14:paraId="1E8C4E03" w14:textId="77777777" w:rsidR="00A6312B" w:rsidRPr="00855C5F" w:rsidRDefault="00A6312B" w:rsidP="00A6312B">
            <w:pPr>
              <w:jc w:val="center"/>
              <w:rPr>
                <w:b/>
                <w:bCs/>
                <w:sz w:val="20"/>
                <w:szCs w:val="20"/>
              </w:rPr>
            </w:pPr>
            <w:r w:rsidRPr="00855C5F">
              <w:rPr>
                <w:b/>
                <w:bCs/>
                <w:sz w:val="20"/>
                <w:szCs w:val="20"/>
              </w:rPr>
              <w:t>Unit of Measurement</w:t>
            </w:r>
          </w:p>
        </w:tc>
        <w:tc>
          <w:tcPr>
            <w:tcW w:w="1714" w:type="dxa"/>
            <w:shd w:val="clear" w:color="auto" w:fill="D9D9D9" w:themeFill="background1" w:themeFillShade="D9"/>
            <w:hideMark/>
          </w:tcPr>
          <w:p w14:paraId="07997D65" w14:textId="77777777" w:rsidR="00A6312B" w:rsidRPr="00855C5F" w:rsidRDefault="00A6312B" w:rsidP="00A6312B">
            <w:pPr>
              <w:jc w:val="center"/>
              <w:rPr>
                <w:b/>
                <w:bCs/>
                <w:sz w:val="20"/>
                <w:szCs w:val="20"/>
              </w:rPr>
            </w:pPr>
            <w:r w:rsidRPr="00855C5F">
              <w:rPr>
                <w:b/>
                <w:bCs/>
                <w:sz w:val="20"/>
                <w:szCs w:val="20"/>
              </w:rPr>
              <w:t>Baseline</w:t>
            </w:r>
          </w:p>
        </w:tc>
        <w:tc>
          <w:tcPr>
            <w:tcW w:w="1627" w:type="dxa"/>
            <w:shd w:val="clear" w:color="auto" w:fill="D9D9D9" w:themeFill="background1" w:themeFillShade="D9"/>
            <w:hideMark/>
          </w:tcPr>
          <w:p w14:paraId="266C36ED" w14:textId="77777777" w:rsidR="00A6312B" w:rsidRPr="00855C5F" w:rsidRDefault="00A6312B" w:rsidP="00A6312B">
            <w:pPr>
              <w:jc w:val="center"/>
              <w:rPr>
                <w:b/>
                <w:bCs/>
                <w:sz w:val="20"/>
                <w:szCs w:val="20"/>
              </w:rPr>
            </w:pPr>
            <w:r w:rsidRPr="00855C5F">
              <w:rPr>
                <w:b/>
                <w:bCs/>
                <w:sz w:val="20"/>
                <w:szCs w:val="20"/>
              </w:rPr>
              <w:t>Benchmark</w:t>
            </w:r>
          </w:p>
        </w:tc>
        <w:tc>
          <w:tcPr>
            <w:tcW w:w="1354" w:type="dxa"/>
            <w:shd w:val="clear" w:color="auto" w:fill="D9D9D9" w:themeFill="background1" w:themeFillShade="D9"/>
            <w:hideMark/>
          </w:tcPr>
          <w:p w14:paraId="2083F485" w14:textId="77777777" w:rsidR="00A6312B" w:rsidRPr="00855C5F" w:rsidRDefault="00A6312B" w:rsidP="00A6312B">
            <w:pPr>
              <w:jc w:val="center"/>
              <w:rPr>
                <w:b/>
                <w:bCs/>
                <w:sz w:val="20"/>
                <w:szCs w:val="20"/>
              </w:rPr>
            </w:pPr>
            <w:r w:rsidRPr="00855C5F">
              <w:rPr>
                <w:b/>
                <w:bCs/>
                <w:sz w:val="20"/>
                <w:szCs w:val="20"/>
              </w:rPr>
              <w:t>Outcome</w:t>
            </w:r>
          </w:p>
        </w:tc>
        <w:tc>
          <w:tcPr>
            <w:tcW w:w="1440" w:type="dxa"/>
            <w:shd w:val="clear" w:color="auto" w:fill="D9D9D9" w:themeFill="background1" w:themeFillShade="D9"/>
            <w:hideMark/>
          </w:tcPr>
          <w:p w14:paraId="014864AB" w14:textId="77777777" w:rsidR="00A6312B" w:rsidRPr="00855C5F" w:rsidRDefault="00A6312B" w:rsidP="00A6312B">
            <w:pPr>
              <w:jc w:val="center"/>
              <w:rPr>
                <w:b/>
                <w:bCs/>
                <w:sz w:val="20"/>
                <w:szCs w:val="20"/>
              </w:rPr>
            </w:pPr>
            <w:r w:rsidRPr="00855C5F">
              <w:rPr>
                <w:b/>
                <w:bCs/>
                <w:sz w:val="20"/>
                <w:szCs w:val="20"/>
              </w:rPr>
              <w:t>Benchmark Achieved?</w:t>
            </w:r>
          </w:p>
        </w:tc>
      </w:tr>
      <w:tr w:rsidR="00A6312B" w:rsidRPr="00855C5F" w14:paraId="7E1133DC" w14:textId="77777777" w:rsidTr="00101393">
        <w:trPr>
          <w:trHeight w:val="818"/>
        </w:trPr>
        <w:tc>
          <w:tcPr>
            <w:tcW w:w="3240" w:type="dxa"/>
            <w:shd w:val="clear" w:color="auto" w:fill="auto"/>
            <w:hideMark/>
          </w:tcPr>
          <w:p w14:paraId="35E1A337" w14:textId="77777777" w:rsidR="00A6312B" w:rsidRPr="00855C5F" w:rsidRDefault="00A6312B" w:rsidP="00A6312B">
            <w:pPr>
              <w:rPr>
                <w:sz w:val="20"/>
                <w:szCs w:val="20"/>
              </w:rPr>
            </w:pPr>
            <w:r w:rsidRPr="00855C5F">
              <w:rPr>
                <w:sz w:val="20"/>
                <w:szCs w:val="20"/>
              </w:rPr>
              <w:t>Number of households receiving services aimed to increase self-sufficiency (increase).</w:t>
            </w:r>
          </w:p>
        </w:tc>
        <w:tc>
          <w:tcPr>
            <w:tcW w:w="1714" w:type="dxa"/>
            <w:shd w:val="clear" w:color="auto" w:fill="auto"/>
            <w:hideMark/>
          </w:tcPr>
          <w:p w14:paraId="08289CAB" w14:textId="77777777" w:rsidR="00A6312B" w:rsidRPr="00855C5F" w:rsidRDefault="00A6312B" w:rsidP="00A6312B">
            <w:pPr>
              <w:jc w:val="center"/>
              <w:rPr>
                <w:sz w:val="20"/>
                <w:szCs w:val="20"/>
              </w:rPr>
            </w:pPr>
            <w:r w:rsidRPr="00855C5F">
              <w:rPr>
                <w:sz w:val="20"/>
                <w:szCs w:val="20"/>
              </w:rPr>
              <w:t>0 households</w:t>
            </w:r>
          </w:p>
        </w:tc>
        <w:tc>
          <w:tcPr>
            <w:tcW w:w="1627" w:type="dxa"/>
            <w:shd w:val="clear" w:color="auto" w:fill="auto"/>
            <w:hideMark/>
          </w:tcPr>
          <w:p w14:paraId="6E428FD5" w14:textId="775BE306" w:rsidR="00A6312B" w:rsidRPr="00855C5F" w:rsidRDefault="005B778F" w:rsidP="00A6312B">
            <w:pPr>
              <w:jc w:val="center"/>
              <w:rPr>
                <w:sz w:val="20"/>
                <w:szCs w:val="20"/>
              </w:rPr>
            </w:pPr>
            <w:r w:rsidRPr="00855C5F">
              <w:rPr>
                <w:sz w:val="20"/>
                <w:szCs w:val="20"/>
              </w:rPr>
              <w:t>360</w:t>
            </w:r>
            <w:r w:rsidR="00A6312B" w:rsidRPr="00855C5F">
              <w:rPr>
                <w:sz w:val="20"/>
                <w:szCs w:val="20"/>
              </w:rPr>
              <w:t xml:space="preserve"> households/year</w:t>
            </w:r>
          </w:p>
        </w:tc>
        <w:tc>
          <w:tcPr>
            <w:tcW w:w="1354" w:type="dxa"/>
            <w:shd w:val="clear" w:color="auto" w:fill="auto"/>
          </w:tcPr>
          <w:p w14:paraId="0A94C27D" w14:textId="77777777" w:rsidR="00A6312B" w:rsidRPr="00855C5F" w:rsidRDefault="00A6312B" w:rsidP="00A6312B">
            <w:pPr>
              <w:jc w:val="center"/>
              <w:rPr>
                <w:sz w:val="20"/>
                <w:szCs w:val="20"/>
              </w:rPr>
            </w:pPr>
          </w:p>
        </w:tc>
        <w:tc>
          <w:tcPr>
            <w:tcW w:w="1440" w:type="dxa"/>
            <w:shd w:val="clear" w:color="auto" w:fill="auto"/>
          </w:tcPr>
          <w:p w14:paraId="07F5DC4D" w14:textId="77777777" w:rsidR="00A6312B" w:rsidRPr="00855C5F" w:rsidRDefault="00A6312B" w:rsidP="00A6312B">
            <w:pPr>
              <w:jc w:val="center"/>
              <w:rPr>
                <w:sz w:val="20"/>
                <w:szCs w:val="20"/>
              </w:rPr>
            </w:pPr>
          </w:p>
        </w:tc>
      </w:tr>
      <w:tr w:rsidR="00A6312B" w:rsidRPr="00855C5F" w14:paraId="08F07E0C" w14:textId="77777777" w:rsidTr="00101393">
        <w:trPr>
          <w:trHeight w:hRule="exact" w:val="317"/>
        </w:trPr>
        <w:tc>
          <w:tcPr>
            <w:tcW w:w="1440" w:type="dxa"/>
            <w:gridSpan w:val="5"/>
            <w:shd w:val="clear" w:color="auto" w:fill="C6D9F1" w:themeFill="text2" w:themeFillTint="33"/>
          </w:tcPr>
          <w:p w14:paraId="74FF8078" w14:textId="77777777" w:rsidR="00A6312B" w:rsidRPr="00855C5F" w:rsidRDefault="00A6312B" w:rsidP="00A6312B">
            <w:pPr>
              <w:jc w:val="center"/>
              <w:rPr>
                <w:b/>
                <w:bCs/>
                <w:i/>
                <w:iCs/>
                <w:sz w:val="20"/>
                <w:szCs w:val="20"/>
              </w:rPr>
            </w:pPr>
            <w:r w:rsidRPr="00855C5F">
              <w:rPr>
                <w:b/>
                <w:bCs/>
                <w:i/>
                <w:iCs/>
                <w:sz w:val="20"/>
                <w:szCs w:val="20"/>
              </w:rPr>
              <w:t>SS #6: Reducing Per Unit Subsidy Costs for Participating Households</w:t>
            </w:r>
          </w:p>
        </w:tc>
      </w:tr>
      <w:tr w:rsidR="00A6312B" w:rsidRPr="00855C5F" w14:paraId="05B5A6C9" w14:textId="77777777" w:rsidTr="00101393">
        <w:trPr>
          <w:trHeight w:hRule="exact" w:val="576"/>
        </w:trPr>
        <w:tc>
          <w:tcPr>
            <w:tcW w:w="3240" w:type="dxa"/>
            <w:shd w:val="clear" w:color="auto" w:fill="D9D9D9" w:themeFill="background1" w:themeFillShade="D9"/>
          </w:tcPr>
          <w:p w14:paraId="0D204EFB" w14:textId="77777777" w:rsidR="00A6312B" w:rsidRPr="00855C5F" w:rsidRDefault="00A6312B" w:rsidP="00A6312B">
            <w:pPr>
              <w:jc w:val="center"/>
              <w:rPr>
                <w:b/>
                <w:bCs/>
                <w:sz w:val="20"/>
                <w:szCs w:val="20"/>
              </w:rPr>
            </w:pPr>
            <w:r w:rsidRPr="00855C5F">
              <w:rPr>
                <w:b/>
                <w:bCs/>
                <w:sz w:val="20"/>
                <w:szCs w:val="20"/>
              </w:rPr>
              <w:t>Unit of Measurement</w:t>
            </w:r>
          </w:p>
        </w:tc>
        <w:tc>
          <w:tcPr>
            <w:tcW w:w="1714" w:type="dxa"/>
            <w:shd w:val="clear" w:color="auto" w:fill="D9D9D9" w:themeFill="background1" w:themeFillShade="D9"/>
          </w:tcPr>
          <w:p w14:paraId="2B82A4A3" w14:textId="77777777" w:rsidR="00A6312B" w:rsidRPr="00855C5F" w:rsidRDefault="00A6312B" w:rsidP="00A6312B">
            <w:pPr>
              <w:jc w:val="center"/>
              <w:rPr>
                <w:b/>
                <w:bCs/>
                <w:sz w:val="20"/>
                <w:szCs w:val="20"/>
              </w:rPr>
            </w:pPr>
            <w:r w:rsidRPr="00855C5F">
              <w:rPr>
                <w:b/>
                <w:bCs/>
                <w:sz w:val="20"/>
                <w:szCs w:val="20"/>
              </w:rPr>
              <w:t>Baseline</w:t>
            </w:r>
          </w:p>
        </w:tc>
        <w:tc>
          <w:tcPr>
            <w:tcW w:w="1627" w:type="dxa"/>
            <w:shd w:val="clear" w:color="auto" w:fill="D9D9D9" w:themeFill="background1" w:themeFillShade="D9"/>
          </w:tcPr>
          <w:p w14:paraId="4DF2D68F" w14:textId="77777777" w:rsidR="00A6312B" w:rsidRPr="00855C5F" w:rsidRDefault="00A6312B" w:rsidP="00A6312B">
            <w:pPr>
              <w:jc w:val="center"/>
              <w:rPr>
                <w:b/>
                <w:bCs/>
                <w:sz w:val="20"/>
                <w:szCs w:val="20"/>
              </w:rPr>
            </w:pPr>
            <w:r w:rsidRPr="00855C5F">
              <w:rPr>
                <w:b/>
                <w:bCs/>
                <w:sz w:val="20"/>
                <w:szCs w:val="20"/>
              </w:rPr>
              <w:t>Benchmark</w:t>
            </w:r>
          </w:p>
        </w:tc>
        <w:tc>
          <w:tcPr>
            <w:tcW w:w="1354" w:type="dxa"/>
            <w:shd w:val="clear" w:color="auto" w:fill="D9D9D9" w:themeFill="background1" w:themeFillShade="D9"/>
          </w:tcPr>
          <w:p w14:paraId="781E0184" w14:textId="77777777" w:rsidR="00A6312B" w:rsidRPr="00855C5F" w:rsidRDefault="00A6312B" w:rsidP="00A6312B">
            <w:pPr>
              <w:jc w:val="center"/>
              <w:rPr>
                <w:b/>
                <w:bCs/>
                <w:sz w:val="20"/>
                <w:szCs w:val="20"/>
              </w:rPr>
            </w:pPr>
            <w:r w:rsidRPr="00855C5F">
              <w:rPr>
                <w:b/>
                <w:bCs/>
                <w:sz w:val="20"/>
                <w:szCs w:val="20"/>
              </w:rPr>
              <w:t>Outcome</w:t>
            </w:r>
          </w:p>
        </w:tc>
        <w:tc>
          <w:tcPr>
            <w:tcW w:w="1440" w:type="dxa"/>
            <w:shd w:val="clear" w:color="auto" w:fill="D9D9D9" w:themeFill="background1" w:themeFillShade="D9"/>
          </w:tcPr>
          <w:p w14:paraId="322D0F6D" w14:textId="77777777" w:rsidR="00A6312B" w:rsidRPr="00855C5F" w:rsidRDefault="00A6312B" w:rsidP="00A6312B">
            <w:pPr>
              <w:jc w:val="center"/>
              <w:rPr>
                <w:b/>
                <w:bCs/>
                <w:sz w:val="20"/>
                <w:szCs w:val="20"/>
              </w:rPr>
            </w:pPr>
            <w:r w:rsidRPr="00855C5F">
              <w:rPr>
                <w:b/>
                <w:bCs/>
                <w:sz w:val="20"/>
                <w:szCs w:val="20"/>
              </w:rPr>
              <w:t>Benchmark Achieved?</w:t>
            </w:r>
          </w:p>
        </w:tc>
      </w:tr>
      <w:tr w:rsidR="00A6312B" w:rsidRPr="00855C5F" w14:paraId="556E6E24" w14:textId="77777777" w:rsidTr="00101393">
        <w:trPr>
          <w:trHeight w:val="296"/>
        </w:trPr>
        <w:tc>
          <w:tcPr>
            <w:tcW w:w="3240" w:type="dxa"/>
            <w:shd w:val="clear" w:color="auto" w:fill="auto"/>
          </w:tcPr>
          <w:p w14:paraId="24CC2CDC" w14:textId="6DBA9EC9" w:rsidR="00A6312B" w:rsidRPr="00855C5F" w:rsidRDefault="00A6312B" w:rsidP="00A6312B">
            <w:pPr>
              <w:rPr>
                <w:b/>
                <w:bCs/>
                <w:i/>
                <w:iCs/>
                <w:sz w:val="20"/>
                <w:szCs w:val="20"/>
              </w:rPr>
            </w:pPr>
            <w:r w:rsidRPr="00855C5F">
              <w:rPr>
                <w:sz w:val="20"/>
                <w:szCs w:val="20"/>
              </w:rPr>
              <w:t>Average amount of Section 8 subsidy per household affected by this policy in dollars (decrease).*</w:t>
            </w:r>
          </w:p>
        </w:tc>
        <w:tc>
          <w:tcPr>
            <w:tcW w:w="1714" w:type="dxa"/>
            <w:shd w:val="clear" w:color="auto" w:fill="auto"/>
          </w:tcPr>
          <w:p w14:paraId="47E1C478" w14:textId="73CAF7D0" w:rsidR="00A6312B" w:rsidRPr="00855C5F" w:rsidRDefault="00A6312B" w:rsidP="00A6312B">
            <w:pPr>
              <w:jc w:val="center"/>
              <w:rPr>
                <w:bCs/>
                <w:iCs/>
                <w:sz w:val="20"/>
                <w:szCs w:val="20"/>
              </w:rPr>
            </w:pPr>
            <w:r w:rsidRPr="00855C5F">
              <w:rPr>
                <w:bCs/>
                <w:iCs/>
                <w:sz w:val="20"/>
                <w:szCs w:val="20"/>
              </w:rPr>
              <w:t>Not available</w:t>
            </w:r>
          </w:p>
        </w:tc>
        <w:tc>
          <w:tcPr>
            <w:tcW w:w="1627" w:type="dxa"/>
            <w:shd w:val="clear" w:color="auto" w:fill="auto"/>
          </w:tcPr>
          <w:p w14:paraId="3B3B138C" w14:textId="1DA703B9" w:rsidR="00A6312B" w:rsidRPr="00855C5F" w:rsidRDefault="00A6312B" w:rsidP="00A6312B">
            <w:pPr>
              <w:jc w:val="center"/>
              <w:rPr>
                <w:bCs/>
                <w:iCs/>
                <w:sz w:val="20"/>
                <w:szCs w:val="20"/>
              </w:rPr>
            </w:pPr>
            <w:r w:rsidRPr="00855C5F">
              <w:rPr>
                <w:bCs/>
                <w:iCs/>
                <w:sz w:val="20"/>
                <w:szCs w:val="20"/>
              </w:rPr>
              <w:t>Not available</w:t>
            </w:r>
          </w:p>
        </w:tc>
        <w:tc>
          <w:tcPr>
            <w:tcW w:w="1354" w:type="dxa"/>
            <w:shd w:val="clear" w:color="auto" w:fill="auto"/>
          </w:tcPr>
          <w:p w14:paraId="6469C789" w14:textId="77777777" w:rsidR="00A6312B" w:rsidRPr="00855C5F" w:rsidRDefault="00A6312B" w:rsidP="00A6312B">
            <w:pPr>
              <w:jc w:val="center"/>
              <w:rPr>
                <w:b/>
                <w:bCs/>
                <w:i/>
                <w:iCs/>
                <w:sz w:val="20"/>
                <w:szCs w:val="20"/>
              </w:rPr>
            </w:pPr>
          </w:p>
        </w:tc>
        <w:tc>
          <w:tcPr>
            <w:tcW w:w="1440" w:type="dxa"/>
            <w:shd w:val="clear" w:color="auto" w:fill="auto"/>
          </w:tcPr>
          <w:p w14:paraId="4918BF44" w14:textId="77777777" w:rsidR="00A6312B" w:rsidRPr="00855C5F" w:rsidRDefault="00A6312B" w:rsidP="00A6312B">
            <w:pPr>
              <w:jc w:val="center"/>
              <w:rPr>
                <w:b/>
                <w:bCs/>
                <w:i/>
                <w:iCs/>
                <w:sz w:val="20"/>
                <w:szCs w:val="20"/>
              </w:rPr>
            </w:pPr>
          </w:p>
        </w:tc>
      </w:tr>
      <w:tr w:rsidR="00A6312B" w:rsidRPr="00855C5F" w14:paraId="7B2FC809" w14:textId="77777777" w:rsidTr="00101393">
        <w:trPr>
          <w:trHeight w:val="296"/>
        </w:trPr>
        <w:tc>
          <w:tcPr>
            <w:tcW w:w="1440" w:type="dxa"/>
            <w:gridSpan w:val="5"/>
            <w:shd w:val="clear" w:color="auto" w:fill="auto"/>
          </w:tcPr>
          <w:p w14:paraId="57308373" w14:textId="11512B68" w:rsidR="00A6312B" w:rsidRPr="00855C5F" w:rsidRDefault="00A6312B" w:rsidP="00A6312B">
            <w:pPr>
              <w:rPr>
                <w:bCs/>
                <w:i/>
                <w:iCs/>
                <w:sz w:val="20"/>
                <w:szCs w:val="20"/>
              </w:rPr>
            </w:pPr>
            <w:r w:rsidRPr="00855C5F">
              <w:rPr>
                <w:b/>
                <w:bCs/>
                <w:i/>
                <w:iCs/>
                <w:sz w:val="20"/>
                <w:szCs w:val="20"/>
              </w:rPr>
              <w:t>*</w:t>
            </w:r>
            <w:r w:rsidRPr="00855C5F">
              <w:rPr>
                <w:bCs/>
                <w:i/>
                <w:iCs/>
                <w:sz w:val="20"/>
                <w:szCs w:val="20"/>
              </w:rPr>
              <w:t>Participants in this program are residents of multiple types of subsid</w:t>
            </w:r>
            <w:r w:rsidR="006C7A21" w:rsidRPr="00855C5F">
              <w:rPr>
                <w:bCs/>
                <w:i/>
                <w:iCs/>
                <w:sz w:val="20"/>
                <w:szCs w:val="20"/>
              </w:rPr>
              <w:t>ized housing, many of which may</w:t>
            </w:r>
            <w:r w:rsidRPr="00855C5F">
              <w:rPr>
                <w:bCs/>
                <w:i/>
                <w:iCs/>
                <w:sz w:val="20"/>
                <w:szCs w:val="20"/>
              </w:rPr>
              <w:t xml:space="preserve"> not be Section 8. Average amount of subsidy is not available to DHCD or the administering agencies.</w:t>
            </w:r>
          </w:p>
        </w:tc>
      </w:tr>
      <w:tr w:rsidR="00A6312B" w:rsidRPr="00855C5F" w14:paraId="54507D23" w14:textId="77777777" w:rsidTr="00101393">
        <w:trPr>
          <w:trHeight w:hRule="exact" w:val="317"/>
        </w:trPr>
        <w:tc>
          <w:tcPr>
            <w:tcW w:w="1440" w:type="dxa"/>
            <w:gridSpan w:val="5"/>
            <w:shd w:val="clear" w:color="auto" w:fill="C6D9F1" w:themeFill="text2" w:themeFillTint="33"/>
          </w:tcPr>
          <w:p w14:paraId="08843E23" w14:textId="77777777" w:rsidR="00A6312B" w:rsidRPr="00855C5F" w:rsidRDefault="00A6312B" w:rsidP="00A6312B">
            <w:pPr>
              <w:jc w:val="center"/>
              <w:rPr>
                <w:b/>
                <w:bCs/>
                <w:i/>
                <w:iCs/>
                <w:sz w:val="20"/>
                <w:szCs w:val="20"/>
              </w:rPr>
            </w:pPr>
            <w:r w:rsidRPr="00855C5F">
              <w:rPr>
                <w:b/>
                <w:bCs/>
                <w:i/>
                <w:iCs/>
                <w:sz w:val="20"/>
                <w:szCs w:val="20"/>
              </w:rPr>
              <w:t>SS #7: Increase in Agency Rental Revenue</w:t>
            </w:r>
          </w:p>
        </w:tc>
      </w:tr>
      <w:tr w:rsidR="00A6312B" w:rsidRPr="00855C5F" w14:paraId="03DE5B57" w14:textId="77777777" w:rsidTr="00101393">
        <w:trPr>
          <w:trHeight w:hRule="exact" w:val="576"/>
        </w:trPr>
        <w:tc>
          <w:tcPr>
            <w:tcW w:w="3240" w:type="dxa"/>
            <w:shd w:val="clear" w:color="auto" w:fill="D9D9D9" w:themeFill="background1" w:themeFillShade="D9"/>
          </w:tcPr>
          <w:p w14:paraId="2EDD78F0" w14:textId="77777777" w:rsidR="00A6312B" w:rsidRPr="00855C5F" w:rsidRDefault="00A6312B" w:rsidP="00A6312B">
            <w:pPr>
              <w:jc w:val="center"/>
              <w:rPr>
                <w:b/>
                <w:bCs/>
                <w:sz w:val="20"/>
                <w:szCs w:val="20"/>
              </w:rPr>
            </w:pPr>
            <w:r w:rsidRPr="00855C5F">
              <w:rPr>
                <w:b/>
                <w:bCs/>
                <w:sz w:val="20"/>
                <w:szCs w:val="20"/>
              </w:rPr>
              <w:t>Unit of Measurement</w:t>
            </w:r>
          </w:p>
        </w:tc>
        <w:tc>
          <w:tcPr>
            <w:tcW w:w="1714" w:type="dxa"/>
            <w:shd w:val="clear" w:color="auto" w:fill="D9D9D9" w:themeFill="background1" w:themeFillShade="D9"/>
          </w:tcPr>
          <w:p w14:paraId="01756522" w14:textId="77777777" w:rsidR="00A6312B" w:rsidRPr="00855C5F" w:rsidRDefault="00A6312B" w:rsidP="00A6312B">
            <w:pPr>
              <w:jc w:val="center"/>
              <w:rPr>
                <w:b/>
                <w:bCs/>
                <w:sz w:val="20"/>
                <w:szCs w:val="20"/>
              </w:rPr>
            </w:pPr>
            <w:r w:rsidRPr="00855C5F">
              <w:rPr>
                <w:b/>
                <w:bCs/>
                <w:sz w:val="20"/>
                <w:szCs w:val="20"/>
              </w:rPr>
              <w:t>Baseline</w:t>
            </w:r>
          </w:p>
        </w:tc>
        <w:tc>
          <w:tcPr>
            <w:tcW w:w="1627" w:type="dxa"/>
            <w:shd w:val="clear" w:color="auto" w:fill="D9D9D9" w:themeFill="background1" w:themeFillShade="D9"/>
          </w:tcPr>
          <w:p w14:paraId="0FB589F1" w14:textId="77777777" w:rsidR="00A6312B" w:rsidRPr="00855C5F" w:rsidRDefault="00A6312B" w:rsidP="00A6312B">
            <w:pPr>
              <w:jc w:val="center"/>
              <w:rPr>
                <w:b/>
                <w:bCs/>
                <w:sz w:val="20"/>
                <w:szCs w:val="20"/>
              </w:rPr>
            </w:pPr>
            <w:r w:rsidRPr="00855C5F">
              <w:rPr>
                <w:b/>
                <w:bCs/>
                <w:sz w:val="20"/>
                <w:szCs w:val="20"/>
              </w:rPr>
              <w:t>Benchmark</w:t>
            </w:r>
          </w:p>
        </w:tc>
        <w:tc>
          <w:tcPr>
            <w:tcW w:w="1354" w:type="dxa"/>
            <w:shd w:val="clear" w:color="auto" w:fill="D9D9D9" w:themeFill="background1" w:themeFillShade="D9"/>
          </w:tcPr>
          <w:p w14:paraId="4279AC0F" w14:textId="77777777" w:rsidR="00A6312B" w:rsidRPr="00855C5F" w:rsidRDefault="00A6312B" w:rsidP="00A6312B">
            <w:pPr>
              <w:jc w:val="center"/>
              <w:rPr>
                <w:b/>
                <w:bCs/>
                <w:sz w:val="20"/>
                <w:szCs w:val="20"/>
              </w:rPr>
            </w:pPr>
            <w:r w:rsidRPr="00855C5F">
              <w:rPr>
                <w:b/>
                <w:bCs/>
                <w:sz w:val="20"/>
                <w:szCs w:val="20"/>
              </w:rPr>
              <w:t>Outcome</w:t>
            </w:r>
          </w:p>
        </w:tc>
        <w:tc>
          <w:tcPr>
            <w:tcW w:w="1440" w:type="dxa"/>
            <w:shd w:val="clear" w:color="auto" w:fill="D9D9D9" w:themeFill="background1" w:themeFillShade="D9"/>
          </w:tcPr>
          <w:p w14:paraId="50CA81B2" w14:textId="77777777" w:rsidR="00A6312B" w:rsidRPr="00855C5F" w:rsidRDefault="00A6312B" w:rsidP="00A6312B">
            <w:pPr>
              <w:jc w:val="center"/>
              <w:rPr>
                <w:b/>
                <w:bCs/>
                <w:sz w:val="20"/>
                <w:szCs w:val="20"/>
              </w:rPr>
            </w:pPr>
            <w:r w:rsidRPr="00855C5F">
              <w:rPr>
                <w:b/>
                <w:bCs/>
                <w:sz w:val="20"/>
                <w:szCs w:val="20"/>
              </w:rPr>
              <w:t>Benchmark Achieved?</w:t>
            </w:r>
          </w:p>
        </w:tc>
      </w:tr>
      <w:tr w:rsidR="00A6312B" w:rsidRPr="00855C5F" w14:paraId="5392BF02" w14:textId="77777777" w:rsidTr="00101393">
        <w:trPr>
          <w:trHeight w:val="296"/>
        </w:trPr>
        <w:tc>
          <w:tcPr>
            <w:tcW w:w="3240" w:type="dxa"/>
            <w:shd w:val="clear" w:color="auto" w:fill="auto"/>
          </w:tcPr>
          <w:p w14:paraId="0462CBA3" w14:textId="763F9613" w:rsidR="00A6312B" w:rsidRPr="00855C5F" w:rsidRDefault="00256314" w:rsidP="00A6312B">
            <w:pPr>
              <w:rPr>
                <w:b/>
                <w:bCs/>
                <w:i/>
                <w:iCs/>
                <w:sz w:val="20"/>
                <w:szCs w:val="20"/>
              </w:rPr>
            </w:pPr>
            <w:r w:rsidRPr="00855C5F">
              <w:rPr>
                <w:sz w:val="20"/>
                <w:szCs w:val="20"/>
              </w:rPr>
              <w:t>Total Household contributions towards housing assistance (increase).</w:t>
            </w:r>
            <w:r w:rsidR="00A6312B" w:rsidRPr="00855C5F">
              <w:rPr>
                <w:sz w:val="20"/>
                <w:szCs w:val="20"/>
              </w:rPr>
              <w:t>*</w:t>
            </w:r>
          </w:p>
        </w:tc>
        <w:tc>
          <w:tcPr>
            <w:tcW w:w="1714" w:type="dxa"/>
            <w:shd w:val="clear" w:color="auto" w:fill="auto"/>
          </w:tcPr>
          <w:p w14:paraId="5D2AD413" w14:textId="0D98F8AC" w:rsidR="00A6312B" w:rsidRPr="00855C5F" w:rsidRDefault="00A6312B" w:rsidP="00A6312B">
            <w:pPr>
              <w:jc w:val="center"/>
              <w:rPr>
                <w:bCs/>
                <w:iCs/>
                <w:sz w:val="20"/>
                <w:szCs w:val="20"/>
              </w:rPr>
            </w:pPr>
            <w:r w:rsidRPr="00855C5F">
              <w:rPr>
                <w:bCs/>
                <w:iCs/>
                <w:sz w:val="20"/>
                <w:szCs w:val="20"/>
              </w:rPr>
              <w:t>Not available</w:t>
            </w:r>
          </w:p>
        </w:tc>
        <w:tc>
          <w:tcPr>
            <w:tcW w:w="1627" w:type="dxa"/>
            <w:shd w:val="clear" w:color="auto" w:fill="auto"/>
          </w:tcPr>
          <w:p w14:paraId="4F16CF04" w14:textId="1AF5A68D" w:rsidR="00A6312B" w:rsidRPr="00855C5F" w:rsidRDefault="00A6312B" w:rsidP="00A6312B">
            <w:pPr>
              <w:jc w:val="center"/>
              <w:rPr>
                <w:bCs/>
                <w:iCs/>
                <w:sz w:val="20"/>
                <w:szCs w:val="20"/>
              </w:rPr>
            </w:pPr>
            <w:r w:rsidRPr="00855C5F">
              <w:rPr>
                <w:bCs/>
                <w:iCs/>
                <w:sz w:val="20"/>
                <w:szCs w:val="20"/>
              </w:rPr>
              <w:t>Not available</w:t>
            </w:r>
          </w:p>
        </w:tc>
        <w:tc>
          <w:tcPr>
            <w:tcW w:w="1354" w:type="dxa"/>
            <w:shd w:val="clear" w:color="auto" w:fill="auto"/>
          </w:tcPr>
          <w:p w14:paraId="3910BECB" w14:textId="77777777" w:rsidR="00A6312B" w:rsidRPr="00855C5F" w:rsidRDefault="00A6312B" w:rsidP="00A6312B">
            <w:pPr>
              <w:jc w:val="center"/>
              <w:rPr>
                <w:b/>
                <w:bCs/>
                <w:iCs/>
                <w:sz w:val="20"/>
                <w:szCs w:val="20"/>
              </w:rPr>
            </w:pPr>
          </w:p>
        </w:tc>
        <w:tc>
          <w:tcPr>
            <w:tcW w:w="1440" w:type="dxa"/>
            <w:shd w:val="clear" w:color="auto" w:fill="auto"/>
          </w:tcPr>
          <w:p w14:paraId="527452A1" w14:textId="77777777" w:rsidR="00A6312B" w:rsidRPr="00855C5F" w:rsidRDefault="00A6312B" w:rsidP="00A6312B">
            <w:pPr>
              <w:jc w:val="center"/>
              <w:rPr>
                <w:b/>
                <w:bCs/>
                <w:i/>
                <w:iCs/>
                <w:sz w:val="20"/>
                <w:szCs w:val="20"/>
              </w:rPr>
            </w:pPr>
          </w:p>
        </w:tc>
      </w:tr>
      <w:tr w:rsidR="00A6312B" w:rsidRPr="00855C5F" w14:paraId="0C66945E" w14:textId="77777777" w:rsidTr="00101393">
        <w:trPr>
          <w:trHeight w:val="296"/>
        </w:trPr>
        <w:tc>
          <w:tcPr>
            <w:tcW w:w="1440" w:type="dxa"/>
            <w:gridSpan w:val="5"/>
            <w:shd w:val="clear" w:color="auto" w:fill="auto"/>
          </w:tcPr>
          <w:p w14:paraId="53C01EB3" w14:textId="2B9EED04" w:rsidR="00A6312B" w:rsidRPr="00855C5F" w:rsidRDefault="00A6312B" w:rsidP="00A6312B">
            <w:pPr>
              <w:rPr>
                <w:b/>
                <w:bCs/>
                <w:i/>
                <w:iCs/>
                <w:sz w:val="20"/>
                <w:szCs w:val="20"/>
              </w:rPr>
            </w:pPr>
            <w:r w:rsidRPr="00855C5F">
              <w:rPr>
                <w:b/>
                <w:bCs/>
                <w:i/>
                <w:iCs/>
                <w:sz w:val="20"/>
                <w:szCs w:val="20"/>
              </w:rPr>
              <w:t>*</w:t>
            </w:r>
            <w:r w:rsidRPr="00855C5F">
              <w:rPr>
                <w:bCs/>
                <w:i/>
                <w:iCs/>
                <w:sz w:val="20"/>
                <w:szCs w:val="20"/>
              </w:rPr>
              <w:t>Participants in this program are residents of multiple types of subsidized housing, many of which may not be Section 8. Rental revenue in dollars is not available to DHCD or the administering agencies.</w:t>
            </w:r>
          </w:p>
        </w:tc>
      </w:tr>
      <w:tr w:rsidR="00A6312B" w:rsidRPr="00855C5F" w14:paraId="58275897" w14:textId="77777777" w:rsidTr="00101393">
        <w:trPr>
          <w:trHeight w:hRule="exact" w:val="317"/>
        </w:trPr>
        <w:tc>
          <w:tcPr>
            <w:tcW w:w="1440" w:type="dxa"/>
            <w:gridSpan w:val="5"/>
            <w:shd w:val="clear" w:color="auto" w:fill="C6D9F1" w:themeFill="text2" w:themeFillTint="33"/>
            <w:hideMark/>
          </w:tcPr>
          <w:p w14:paraId="3FB6855F" w14:textId="77777777" w:rsidR="00A6312B" w:rsidRPr="00855C5F" w:rsidRDefault="00A6312B" w:rsidP="00A6312B">
            <w:pPr>
              <w:jc w:val="center"/>
              <w:rPr>
                <w:b/>
                <w:bCs/>
                <w:i/>
                <w:iCs/>
                <w:sz w:val="20"/>
                <w:szCs w:val="20"/>
              </w:rPr>
            </w:pPr>
            <w:r w:rsidRPr="00855C5F">
              <w:rPr>
                <w:b/>
                <w:bCs/>
                <w:i/>
                <w:iCs/>
                <w:sz w:val="20"/>
                <w:szCs w:val="20"/>
              </w:rPr>
              <w:t>SS #8: Households Transitioned to Self Sufficiency*</w:t>
            </w:r>
          </w:p>
        </w:tc>
      </w:tr>
      <w:tr w:rsidR="00A6312B" w:rsidRPr="00855C5F" w14:paraId="7E6F619A" w14:textId="77777777" w:rsidTr="00101393">
        <w:trPr>
          <w:trHeight w:hRule="exact" w:val="576"/>
        </w:trPr>
        <w:tc>
          <w:tcPr>
            <w:tcW w:w="3240" w:type="dxa"/>
            <w:shd w:val="clear" w:color="auto" w:fill="D9D9D9" w:themeFill="background1" w:themeFillShade="D9"/>
            <w:hideMark/>
          </w:tcPr>
          <w:p w14:paraId="787E72D7" w14:textId="77777777" w:rsidR="00A6312B" w:rsidRPr="00855C5F" w:rsidRDefault="00A6312B" w:rsidP="00A6312B">
            <w:pPr>
              <w:jc w:val="center"/>
              <w:rPr>
                <w:b/>
                <w:bCs/>
                <w:sz w:val="20"/>
                <w:szCs w:val="20"/>
              </w:rPr>
            </w:pPr>
            <w:r w:rsidRPr="00855C5F">
              <w:rPr>
                <w:b/>
                <w:bCs/>
                <w:sz w:val="20"/>
                <w:szCs w:val="20"/>
              </w:rPr>
              <w:t>Unit of Measurement</w:t>
            </w:r>
          </w:p>
        </w:tc>
        <w:tc>
          <w:tcPr>
            <w:tcW w:w="1714" w:type="dxa"/>
            <w:shd w:val="clear" w:color="auto" w:fill="D9D9D9" w:themeFill="background1" w:themeFillShade="D9"/>
            <w:hideMark/>
          </w:tcPr>
          <w:p w14:paraId="2608A814" w14:textId="77777777" w:rsidR="00A6312B" w:rsidRPr="00855C5F" w:rsidRDefault="00A6312B" w:rsidP="00A6312B">
            <w:pPr>
              <w:jc w:val="center"/>
              <w:rPr>
                <w:b/>
                <w:bCs/>
                <w:sz w:val="20"/>
                <w:szCs w:val="20"/>
              </w:rPr>
            </w:pPr>
            <w:r w:rsidRPr="00855C5F">
              <w:rPr>
                <w:b/>
                <w:bCs/>
                <w:sz w:val="20"/>
                <w:szCs w:val="20"/>
              </w:rPr>
              <w:t>Baseline</w:t>
            </w:r>
          </w:p>
        </w:tc>
        <w:tc>
          <w:tcPr>
            <w:tcW w:w="1627" w:type="dxa"/>
            <w:shd w:val="clear" w:color="auto" w:fill="D9D9D9" w:themeFill="background1" w:themeFillShade="D9"/>
            <w:hideMark/>
          </w:tcPr>
          <w:p w14:paraId="3524D86A" w14:textId="77777777" w:rsidR="00A6312B" w:rsidRPr="00855C5F" w:rsidRDefault="00A6312B" w:rsidP="00A6312B">
            <w:pPr>
              <w:jc w:val="center"/>
              <w:rPr>
                <w:b/>
                <w:bCs/>
                <w:sz w:val="20"/>
                <w:szCs w:val="20"/>
              </w:rPr>
            </w:pPr>
            <w:r w:rsidRPr="00855C5F">
              <w:rPr>
                <w:b/>
                <w:bCs/>
                <w:sz w:val="20"/>
                <w:szCs w:val="20"/>
              </w:rPr>
              <w:t>Benchmark</w:t>
            </w:r>
          </w:p>
        </w:tc>
        <w:tc>
          <w:tcPr>
            <w:tcW w:w="1354" w:type="dxa"/>
            <w:shd w:val="clear" w:color="auto" w:fill="D9D9D9" w:themeFill="background1" w:themeFillShade="D9"/>
            <w:hideMark/>
          </w:tcPr>
          <w:p w14:paraId="618F297B" w14:textId="77777777" w:rsidR="00A6312B" w:rsidRPr="00855C5F" w:rsidRDefault="00A6312B" w:rsidP="00A6312B">
            <w:pPr>
              <w:jc w:val="center"/>
              <w:rPr>
                <w:b/>
                <w:bCs/>
                <w:sz w:val="20"/>
                <w:szCs w:val="20"/>
              </w:rPr>
            </w:pPr>
            <w:r w:rsidRPr="00855C5F">
              <w:rPr>
                <w:b/>
                <w:bCs/>
                <w:sz w:val="20"/>
                <w:szCs w:val="20"/>
              </w:rPr>
              <w:t>Outcome</w:t>
            </w:r>
          </w:p>
        </w:tc>
        <w:tc>
          <w:tcPr>
            <w:tcW w:w="1440" w:type="dxa"/>
            <w:shd w:val="clear" w:color="auto" w:fill="D9D9D9" w:themeFill="background1" w:themeFillShade="D9"/>
            <w:hideMark/>
          </w:tcPr>
          <w:p w14:paraId="4C373EC1" w14:textId="77777777" w:rsidR="00A6312B" w:rsidRPr="00855C5F" w:rsidRDefault="00A6312B" w:rsidP="00A6312B">
            <w:pPr>
              <w:jc w:val="center"/>
              <w:rPr>
                <w:b/>
                <w:bCs/>
                <w:sz w:val="20"/>
                <w:szCs w:val="20"/>
              </w:rPr>
            </w:pPr>
            <w:r w:rsidRPr="00855C5F">
              <w:rPr>
                <w:b/>
                <w:bCs/>
                <w:sz w:val="20"/>
                <w:szCs w:val="20"/>
              </w:rPr>
              <w:t>Benchmark Achieved?</w:t>
            </w:r>
          </w:p>
        </w:tc>
      </w:tr>
      <w:tr w:rsidR="00A6312B" w:rsidRPr="00855C5F" w14:paraId="51397714" w14:textId="77777777" w:rsidTr="00101393">
        <w:trPr>
          <w:trHeight w:val="350"/>
        </w:trPr>
        <w:tc>
          <w:tcPr>
            <w:tcW w:w="3240" w:type="dxa"/>
            <w:shd w:val="clear" w:color="auto" w:fill="auto"/>
            <w:hideMark/>
          </w:tcPr>
          <w:p w14:paraId="12005BF1" w14:textId="77777777" w:rsidR="00A6312B" w:rsidRPr="00855C5F" w:rsidRDefault="00A6312B" w:rsidP="00A6312B">
            <w:pPr>
              <w:rPr>
                <w:sz w:val="20"/>
                <w:szCs w:val="20"/>
              </w:rPr>
            </w:pPr>
            <w:r w:rsidRPr="00855C5F">
              <w:rPr>
                <w:sz w:val="20"/>
                <w:szCs w:val="20"/>
              </w:rPr>
              <w:t xml:space="preserve">Number of households transitioned to self-sufficiency (increase). </w:t>
            </w:r>
          </w:p>
        </w:tc>
        <w:tc>
          <w:tcPr>
            <w:tcW w:w="1714" w:type="dxa"/>
            <w:shd w:val="clear" w:color="auto" w:fill="auto"/>
          </w:tcPr>
          <w:p w14:paraId="32D3DDEE" w14:textId="77777777" w:rsidR="00A6312B" w:rsidRPr="00855C5F" w:rsidRDefault="00A6312B" w:rsidP="00A6312B">
            <w:pPr>
              <w:jc w:val="center"/>
              <w:rPr>
                <w:sz w:val="20"/>
                <w:szCs w:val="20"/>
              </w:rPr>
            </w:pPr>
            <w:r w:rsidRPr="00855C5F">
              <w:rPr>
                <w:sz w:val="20"/>
                <w:szCs w:val="20"/>
              </w:rPr>
              <w:t>0 households</w:t>
            </w:r>
          </w:p>
        </w:tc>
        <w:tc>
          <w:tcPr>
            <w:tcW w:w="1627" w:type="dxa"/>
            <w:shd w:val="clear" w:color="auto" w:fill="auto"/>
          </w:tcPr>
          <w:p w14:paraId="04F5C1D7" w14:textId="120FBF6E" w:rsidR="00A6312B" w:rsidRPr="00855C5F" w:rsidRDefault="00A6312B" w:rsidP="00A6312B">
            <w:pPr>
              <w:jc w:val="center"/>
              <w:rPr>
                <w:sz w:val="20"/>
                <w:szCs w:val="20"/>
              </w:rPr>
            </w:pPr>
            <w:r w:rsidRPr="00855C5F">
              <w:rPr>
                <w:sz w:val="20"/>
                <w:szCs w:val="20"/>
              </w:rPr>
              <w:t>150 households**</w:t>
            </w:r>
          </w:p>
        </w:tc>
        <w:tc>
          <w:tcPr>
            <w:tcW w:w="1354" w:type="dxa"/>
            <w:shd w:val="clear" w:color="auto" w:fill="auto"/>
          </w:tcPr>
          <w:p w14:paraId="631A086E" w14:textId="77777777" w:rsidR="00A6312B" w:rsidRPr="00855C5F" w:rsidRDefault="00A6312B" w:rsidP="00A6312B">
            <w:pPr>
              <w:jc w:val="center"/>
              <w:rPr>
                <w:sz w:val="20"/>
                <w:szCs w:val="20"/>
              </w:rPr>
            </w:pPr>
          </w:p>
        </w:tc>
        <w:tc>
          <w:tcPr>
            <w:tcW w:w="1440" w:type="dxa"/>
            <w:shd w:val="clear" w:color="auto" w:fill="auto"/>
          </w:tcPr>
          <w:p w14:paraId="78C24E0E" w14:textId="77777777" w:rsidR="00A6312B" w:rsidRPr="00855C5F" w:rsidRDefault="00A6312B" w:rsidP="00A6312B">
            <w:pPr>
              <w:jc w:val="center"/>
              <w:rPr>
                <w:sz w:val="20"/>
                <w:szCs w:val="20"/>
              </w:rPr>
            </w:pPr>
          </w:p>
        </w:tc>
      </w:tr>
      <w:tr w:rsidR="00A6312B" w:rsidRPr="00855C5F" w14:paraId="49EA747A" w14:textId="77777777" w:rsidTr="00101393">
        <w:trPr>
          <w:trHeight w:val="302"/>
        </w:trPr>
        <w:tc>
          <w:tcPr>
            <w:tcW w:w="1440" w:type="dxa"/>
            <w:gridSpan w:val="5"/>
            <w:shd w:val="clear" w:color="auto" w:fill="auto"/>
          </w:tcPr>
          <w:p w14:paraId="3486B42B" w14:textId="77777777" w:rsidR="00A6312B" w:rsidRPr="00855C5F" w:rsidRDefault="00A6312B" w:rsidP="00A6312B">
            <w:pPr>
              <w:rPr>
                <w:bCs/>
                <w:i/>
                <w:iCs/>
                <w:sz w:val="20"/>
                <w:szCs w:val="20"/>
              </w:rPr>
            </w:pPr>
            <w:r w:rsidRPr="00855C5F">
              <w:rPr>
                <w:bCs/>
                <w:i/>
                <w:iCs/>
                <w:sz w:val="20"/>
                <w:szCs w:val="20"/>
              </w:rPr>
              <w:t xml:space="preserve">*Self-sufficiency is defined as participants who exit the program for any other reason than termination of housing subsidy. </w:t>
            </w:r>
          </w:p>
          <w:p w14:paraId="249A2E2F" w14:textId="48179941" w:rsidR="00A6312B" w:rsidRPr="00855C5F" w:rsidRDefault="00A6312B" w:rsidP="00A6312B">
            <w:pPr>
              <w:rPr>
                <w:bCs/>
                <w:i/>
                <w:iCs/>
                <w:sz w:val="20"/>
                <w:szCs w:val="20"/>
              </w:rPr>
            </w:pPr>
            <w:r w:rsidRPr="00855C5F">
              <w:rPr>
                <w:bCs/>
                <w:i/>
                <w:iCs/>
                <w:sz w:val="20"/>
                <w:szCs w:val="20"/>
              </w:rPr>
              <w:t xml:space="preserve">**DHCD does not expect households to transition to self-sufficiency in year 1 of the program. The benchmark reflects what DHCD anticipates after a minimum of two years of program participation. </w:t>
            </w:r>
          </w:p>
        </w:tc>
      </w:tr>
      <w:tr w:rsidR="00A6312B" w:rsidRPr="00855C5F" w14:paraId="3EE2BEB1" w14:textId="77777777" w:rsidTr="00101393">
        <w:trPr>
          <w:trHeight w:hRule="exact" w:val="317"/>
        </w:trPr>
        <w:tc>
          <w:tcPr>
            <w:tcW w:w="1440" w:type="dxa"/>
            <w:gridSpan w:val="5"/>
            <w:shd w:val="clear" w:color="auto" w:fill="C6D9F1" w:themeFill="text2" w:themeFillTint="33"/>
          </w:tcPr>
          <w:p w14:paraId="42833706" w14:textId="77777777" w:rsidR="00A6312B" w:rsidRPr="00855C5F" w:rsidRDefault="00A6312B" w:rsidP="00A6312B">
            <w:pPr>
              <w:jc w:val="center"/>
              <w:rPr>
                <w:sz w:val="20"/>
                <w:szCs w:val="20"/>
              </w:rPr>
            </w:pPr>
            <w:r w:rsidRPr="00855C5F">
              <w:rPr>
                <w:b/>
                <w:bCs/>
                <w:i/>
                <w:iCs/>
                <w:sz w:val="20"/>
                <w:szCs w:val="20"/>
              </w:rPr>
              <w:t>HC #5: Increase in Resident Mobility</w:t>
            </w:r>
          </w:p>
        </w:tc>
      </w:tr>
      <w:tr w:rsidR="00A6312B" w:rsidRPr="00855C5F" w14:paraId="3C7D234E" w14:textId="77777777" w:rsidTr="00101393">
        <w:trPr>
          <w:trHeight w:hRule="exact" w:val="576"/>
        </w:trPr>
        <w:tc>
          <w:tcPr>
            <w:tcW w:w="3240" w:type="dxa"/>
            <w:shd w:val="clear" w:color="auto" w:fill="D9D9D9" w:themeFill="background1" w:themeFillShade="D9"/>
          </w:tcPr>
          <w:p w14:paraId="1BBA5A27" w14:textId="77777777" w:rsidR="00A6312B" w:rsidRPr="00855C5F" w:rsidRDefault="00A6312B" w:rsidP="00A6312B">
            <w:pPr>
              <w:jc w:val="center"/>
              <w:rPr>
                <w:b/>
                <w:bCs/>
                <w:sz w:val="20"/>
                <w:szCs w:val="20"/>
              </w:rPr>
            </w:pPr>
            <w:r w:rsidRPr="00855C5F">
              <w:rPr>
                <w:b/>
                <w:bCs/>
                <w:sz w:val="20"/>
                <w:szCs w:val="20"/>
              </w:rPr>
              <w:t>Unit of Measurement</w:t>
            </w:r>
          </w:p>
        </w:tc>
        <w:tc>
          <w:tcPr>
            <w:tcW w:w="1714" w:type="dxa"/>
            <w:shd w:val="clear" w:color="auto" w:fill="D9D9D9" w:themeFill="background1" w:themeFillShade="D9"/>
          </w:tcPr>
          <w:p w14:paraId="57215971" w14:textId="77777777" w:rsidR="00A6312B" w:rsidRPr="00855C5F" w:rsidRDefault="00A6312B" w:rsidP="00A6312B">
            <w:pPr>
              <w:jc w:val="center"/>
              <w:rPr>
                <w:b/>
                <w:bCs/>
                <w:sz w:val="20"/>
                <w:szCs w:val="20"/>
              </w:rPr>
            </w:pPr>
            <w:r w:rsidRPr="00855C5F">
              <w:rPr>
                <w:b/>
                <w:bCs/>
                <w:sz w:val="20"/>
                <w:szCs w:val="20"/>
              </w:rPr>
              <w:t>Baseline</w:t>
            </w:r>
          </w:p>
        </w:tc>
        <w:tc>
          <w:tcPr>
            <w:tcW w:w="1627" w:type="dxa"/>
            <w:shd w:val="clear" w:color="auto" w:fill="D9D9D9" w:themeFill="background1" w:themeFillShade="D9"/>
          </w:tcPr>
          <w:p w14:paraId="357124A2" w14:textId="77777777" w:rsidR="00A6312B" w:rsidRPr="00855C5F" w:rsidRDefault="00A6312B" w:rsidP="00A6312B">
            <w:pPr>
              <w:jc w:val="center"/>
              <w:rPr>
                <w:b/>
                <w:bCs/>
                <w:sz w:val="20"/>
                <w:szCs w:val="20"/>
              </w:rPr>
            </w:pPr>
            <w:r w:rsidRPr="00855C5F">
              <w:rPr>
                <w:b/>
                <w:bCs/>
                <w:sz w:val="20"/>
                <w:szCs w:val="20"/>
              </w:rPr>
              <w:t>Benchmark</w:t>
            </w:r>
          </w:p>
        </w:tc>
        <w:tc>
          <w:tcPr>
            <w:tcW w:w="1354" w:type="dxa"/>
            <w:shd w:val="clear" w:color="auto" w:fill="D9D9D9" w:themeFill="background1" w:themeFillShade="D9"/>
          </w:tcPr>
          <w:p w14:paraId="509739DC" w14:textId="77777777" w:rsidR="00A6312B" w:rsidRPr="00855C5F" w:rsidRDefault="00A6312B" w:rsidP="00A6312B">
            <w:pPr>
              <w:jc w:val="center"/>
              <w:rPr>
                <w:b/>
                <w:bCs/>
                <w:sz w:val="20"/>
                <w:szCs w:val="20"/>
              </w:rPr>
            </w:pPr>
            <w:r w:rsidRPr="00855C5F">
              <w:rPr>
                <w:b/>
                <w:bCs/>
                <w:sz w:val="20"/>
                <w:szCs w:val="20"/>
              </w:rPr>
              <w:t>Outcome</w:t>
            </w:r>
          </w:p>
        </w:tc>
        <w:tc>
          <w:tcPr>
            <w:tcW w:w="1440" w:type="dxa"/>
            <w:shd w:val="clear" w:color="auto" w:fill="D9D9D9" w:themeFill="background1" w:themeFillShade="D9"/>
          </w:tcPr>
          <w:p w14:paraId="5493930C" w14:textId="77777777" w:rsidR="00A6312B" w:rsidRPr="00855C5F" w:rsidRDefault="00A6312B" w:rsidP="00A6312B">
            <w:pPr>
              <w:jc w:val="center"/>
              <w:rPr>
                <w:b/>
                <w:bCs/>
                <w:sz w:val="20"/>
                <w:szCs w:val="20"/>
              </w:rPr>
            </w:pPr>
            <w:r w:rsidRPr="00855C5F">
              <w:rPr>
                <w:b/>
                <w:bCs/>
                <w:sz w:val="20"/>
                <w:szCs w:val="20"/>
              </w:rPr>
              <w:t>Benchmark Achieved?</w:t>
            </w:r>
          </w:p>
        </w:tc>
      </w:tr>
      <w:tr w:rsidR="00A6312B" w:rsidRPr="00855C5F" w14:paraId="032B2FDF" w14:textId="77777777" w:rsidTr="00101393">
        <w:trPr>
          <w:trHeight w:val="350"/>
        </w:trPr>
        <w:tc>
          <w:tcPr>
            <w:tcW w:w="3240" w:type="dxa"/>
            <w:shd w:val="clear" w:color="auto" w:fill="auto"/>
          </w:tcPr>
          <w:p w14:paraId="27C0290D" w14:textId="0DF9ECA3" w:rsidR="00A6312B" w:rsidRPr="00855C5F" w:rsidRDefault="00A6312B" w:rsidP="00A6312B">
            <w:pPr>
              <w:rPr>
                <w:sz w:val="20"/>
                <w:szCs w:val="20"/>
              </w:rPr>
            </w:pPr>
            <w:r w:rsidRPr="00855C5F">
              <w:rPr>
                <w:sz w:val="20"/>
                <w:szCs w:val="20"/>
              </w:rPr>
              <w:t>Number of households able to move to a better unit and/or neighborhood of opportunity as a result of the activity (increase).*</w:t>
            </w:r>
          </w:p>
        </w:tc>
        <w:tc>
          <w:tcPr>
            <w:tcW w:w="1714" w:type="dxa"/>
            <w:shd w:val="clear" w:color="auto" w:fill="auto"/>
          </w:tcPr>
          <w:p w14:paraId="11F396AA" w14:textId="78C2299F" w:rsidR="00A6312B" w:rsidRPr="00855C5F" w:rsidRDefault="00A6312B" w:rsidP="00A6312B">
            <w:pPr>
              <w:jc w:val="center"/>
              <w:rPr>
                <w:sz w:val="20"/>
                <w:szCs w:val="20"/>
              </w:rPr>
            </w:pPr>
            <w:r w:rsidRPr="00855C5F">
              <w:rPr>
                <w:bCs/>
                <w:iCs/>
                <w:sz w:val="20"/>
                <w:szCs w:val="20"/>
              </w:rPr>
              <w:t>N/A</w:t>
            </w:r>
          </w:p>
        </w:tc>
        <w:tc>
          <w:tcPr>
            <w:tcW w:w="1627" w:type="dxa"/>
            <w:shd w:val="clear" w:color="auto" w:fill="auto"/>
          </w:tcPr>
          <w:p w14:paraId="48E7C169" w14:textId="3B324FE4" w:rsidR="00A6312B" w:rsidRPr="00855C5F" w:rsidRDefault="00A6312B" w:rsidP="00A6312B">
            <w:pPr>
              <w:jc w:val="center"/>
              <w:rPr>
                <w:sz w:val="20"/>
                <w:szCs w:val="20"/>
              </w:rPr>
            </w:pPr>
            <w:r w:rsidRPr="00855C5F">
              <w:rPr>
                <w:sz w:val="20"/>
                <w:szCs w:val="20"/>
              </w:rPr>
              <w:t>N/A</w:t>
            </w:r>
          </w:p>
        </w:tc>
        <w:tc>
          <w:tcPr>
            <w:tcW w:w="1354" w:type="dxa"/>
            <w:shd w:val="clear" w:color="auto" w:fill="auto"/>
          </w:tcPr>
          <w:p w14:paraId="7DF3C82F" w14:textId="77777777" w:rsidR="00A6312B" w:rsidRPr="00855C5F" w:rsidRDefault="00A6312B" w:rsidP="00A6312B">
            <w:pPr>
              <w:jc w:val="center"/>
              <w:rPr>
                <w:sz w:val="20"/>
                <w:szCs w:val="20"/>
              </w:rPr>
            </w:pPr>
          </w:p>
        </w:tc>
        <w:tc>
          <w:tcPr>
            <w:tcW w:w="1440" w:type="dxa"/>
            <w:shd w:val="clear" w:color="auto" w:fill="auto"/>
          </w:tcPr>
          <w:p w14:paraId="0C53BA9F" w14:textId="77777777" w:rsidR="00A6312B" w:rsidRPr="00855C5F" w:rsidRDefault="00A6312B" w:rsidP="00A6312B">
            <w:pPr>
              <w:jc w:val="center"/>
              <w:rPr>
                <w:sz w:val="20"/>
                <w:szCs w:val="20"/>
              </w:rPr>
            </w:pPr>
          </w:p>
        </w:tc>
      </w:tr>
      <w:tr w:rsidR="00A6312B" w:rsidRPr="00855C5F" w14:paraId="14E8A09D" w14:textId="77777777" w:rsidTr="00101393">
        <w:trPr>
          <w:trHeight w:val="350"/>
        </w:trPr>
        <w:tc>
          <w:tcPr>
            <w:tcW w:w="1440" w:type="dxa"/>
            <w:gridSpan w:val="5"/>
            <w:shd w:val="clear" w:color="auto" w:fill="auto"/>
          </w:tcPr>
          <w:p w14:paraId="41668427" w14:textId="65AF535A" w:rsidR="00A6312B" w:rsidRPr="00855C5F" w:rsidRDefault="00A6312B" w:rsidP="00A6312B">
            <w:pPr>
              <w:rPr>
                <w:i/>
                <w:sz w:val="20"/>
                <w:szCs w:val="20"/>
              </w:rPr>
            </w:pPr>
            <w:r w:rsidRPr="00855C5F">
              <w:rPr>
                <w:sz w:val="20"/>
                <w:szCs w:val="20"/>
              </w:rPr>
              <w:t>*</w:t>
            </w:r>
            <w:r w:rsidRPr="00855C5F">
              <w:rPr>
                <w:i/>
                <w:sz w:val="20"/>
                <w:szCs w:val="20"/>
              </w:rPr>
              <w:t>This metric i</w:t>
            </w:r>
            <w:r w:rsidR="003B6A09">
              <w:rPr>
                <w:i/>
                <w:sz w:val="20"/>
                <w:szCs w:val="20"/>
              </w:rPr>
              <w:t>s not applicable to the Launch P</w:t>
            </w:r>
            <w:r w:rsidRPr="00855C5F">
              <w:rPr>
                <w:i/>
                <w:sz w:val="20"/>
                <w:szCs w:val="20"/>
              </w:rPr>
              <w:t xml:space="preserve">rogram. Program participants are individuals already living in subsidized housing, and in most cases participants will stay in their current housing situation. Case management will target education and employment goals. DHCD has other programs that focus on housing mobility. </w:t>
            </w:r>
          </w:p>
        </w:tc>
      </w:tr>
    </w:tbl>
    <w:p w14:paraId="2AD823C7" w14:textId="77777777" w:rsidR="00D90E5C" w:rsidRPr="00855C5F" w:rsidRDefault="00D90E5C" w:rsidP="00D90E5C">
      <w:pPr>
        <w:rPr>
          <w:sz w:val="22"/>
          <w:szCs w:val="22"/>
        </w:rPr>
      </w:pPr>
    </w:p>
    <w:p w14:paraId="799584BA" w14:textId="77777777" w:rsidR="0098594D" w:rsidRPr="00855C5F" w:rsidRDefault="0098594D" w:rsidP="0098594D">
      <w:pPr>
        <w:jc w:val="both"/>
        <w:rPr>
          <w:b/>
          <w:color w:val="000000"/>
          <w:sz w:val="22"/>
          <w:szCs w:val="22"/>
        </w:rPr>
      </w:pPr>
      <w:r w:rsidRPr="00855C5F">
        <w:rPr>
          <w:b/>
          <w:color w:val="000000"/>
          <w:sz w:val="22"/>
          <w:szCs w:val="22"/>
        </w:rPr>
        <w:t>Planned Significant Changes</w:t>
      </w:r>
    </w:p>
    <w:p w14:paraId="7811C8E8" w14:textId="77777777" w:rsidR="0098594D" w:rsidRPr="00E11226" w:rsidRDefault="0098594D" w:rsidP="0098594D">
      <w:pPr>
        <w:jc w:val="both"/>
        <w:rPr>
          <w:color w:val="000000" w:themeColor="text1"/>
          <w:sz w:val="22"/>
          <w:szCs w:val="22"/>
        </w:rPr>
      </w:pPr>
      <w:r w:rsidRPr="00855C5F">
        <w:rPr>
          <w:color w:val="000000" w:themeColor="text1"/>
          <w:sz w:val="22"/>
          <w:szCs w:val="22"/>
        </w:rPr>
        <w:t>No significant changes are planned.</w:t>
      </w:r>
    </w:p>
    <w:p w14:paraId="68FB6CBE" w14:textId="5DE3CFAF" w:rsidR="00DD7701" w:rsidRDefault="00DD7701" w:rsidP="006D6331">
      <w:pPr>
        <w:pStyle w:val="Heading2"/>
        <w:numPr>
          <w:ilvl w:val="0"/>
          <w:numId w:val="0"/>
        </w:numPr>
        <w:ind w:left="360" w:hanging="360"/>
      </w:pPr>
      <w:bookmarkStart w:id="70" w:name="_Toc415115903"/>
    </w:p>
    <w:p w14:paraId="07A35421" w14:textId="6CD3D16E" w:rsidR="006D6331" w:rsidRDefault="006D6331" w:rsidP="006D6331">
      <w:pPr>
        <w:pStyle w:val="Heading20"/>
      </w:pPr>
    </w:p>
    <w:p w14:paraId="37A8300C" w14:textId="77777777" w:rsidR="006D6331" w:rsidRDefault="006D6331" w:rsidP="006D6331">
      <w:pPr>
        <w:sectPr w:rsidR="006D6331" w:rsidSect="00F61294">
          <w:pgSz w:w="12240" w:h="15840"/>
          <w:pgMar w:top="1440" w:right="1440" w:bottom="1440" w:left="1440" w:header="720" w:footer="720" w:gutter="0"/>
          <w:cols w:space="720"/>
          <w:docGrid w:linePitch="360"/>
        </w:sectPr>
      </w:pPr>
    </w:p>
    <w:p w14:paraId="538311D4" w14:textId="77777777" w:rsidR="006D6331" w:rsidRPr="0088154E" w:rsidRDefault="006D6331" w:rsidP="006D6331">
      <w:pPr>
        <w:pStyle w:val="Heading3"/>
      </w:pPr>
      <w:bookmarkStart w:id="71" w:name="_Toc33016952"/>
      <w:r w:rsidRPr="0088154E">
        <w:t>Activity 2020-1: Massachusetts Student Housing Security Pilot</w:t>
      </w:r>
      <w:bookmarkEnd w:id="71"/>
    </w:p>
    <w:p w14:paraId="664FC64F" w14:textId="77777777" w:rsidR="006D6331" w:rsidRPr="0088154E" w:rsidRDefault="006D6331" w:rsidP="006D6331"/>
    <w:p w14:paraId="231FDE10" w14:textId="77777777" w:rsidR="00C73902" w:rsidRPr="0088154E" w:rsidRDefault="00C73902" w:rsidP="00C73902">
      <w:pPr>
        <w:jc w:val="both"/>
        <w:rPr>
          <w:color w:val="000000"/>
          <w:sz w:val="22"/>
          <w:szCs w:val="22"/>
        </w:rPr>
      </w:pPr>
      <w:r w:rsidRPr="0088154E">
        <w:rPr>
          <w:b/>
          <w:color w:val="000000"/>
          <w:sz w:val="22"/>
          <w:szCs w:val="22"/>
        </w:rPr>
        <w:t>Plan Year Approved, Implemented, Amended</w:t>
      </w:r>
      <w:r w:rsidRPr="0088154E">
        <w:rPr>
          <w:color w:val="000000"/>
          <w:sz w:val="22"/>
          <w:szCs w:val="22"/>
        </w:rPr>
        <w:t xml:space="preserve"> </w:t>
      </w:r>
    </w:p>
    <w:p w14:paraId="1896CC67" w14:textId="77777777" w:rsidR="00C73902" w:rsidRPr="0088154E" w:rsidRDefault="00C73902" w:rsidP="00C73902">
      <w:pPr>
        <w:jc w:val="both"/>
        <w:rPr>
          <w:sz w:val="22"/>
          <w:szCs w:val="22"/>
        </w:rPr>
      </w:pPr>
      <w:r w:rsidRPr="0088154E">
        <w:rPr>
          <w:sz w:val="22"/>
          <w:szCs w:val="22"/>
        </w:rPr>
        <w:t>Approved FY 2020. Implemented FY 2021.</w:t>
      </w:r>
    </w:p>
    <w:p w14:paraId="6C2C54EC" w14:textId="77777777" w:rsidR="00C73902" w:rsidRPr="0088154E" w:rsidRDefault="00C73902" w:rsidP="00C73902">
      <w:pPr>
        <w:jc w:val="both"/>
        <w:rPr>
          <w:sz w:val="22"/>
          <w:szCs w:val="22"/>
        </w:rPr>
      </w:pPr>
    </w:p>
    <w:p w14:paraId="1D77ABCE" w14:textId="77777777" w:rsidR="006D6331" w:rsidRPr="0088154E" w:rsidRDefault="006D6331" w:rsidP="006D6331">
      <w:pPr>
        <w:jc w:val="both"/>
        <w:rPr>
          <w:sz w:val="22"/>
          <w:szCs w:val="22"/>
        </w:rPr>
      </w:pPr>
      <w:r w:rsidRPr="0088154E">
        <w:rPr>
          <w:b/>
          <w:bCs/>
          <w:sz w:val="22"/>
          <w:szCs w:val="22"/>
        </w:rPr>
        <w:t>Description of MTW Activity</w:t>
      </w:r>
    </w:p>
    <w:p w14:paraId="1306AEEB" w14:textId="756F18AD" w:rsidR="006D6331" w:rsidRPr="0088154E" w:rsidRDefault="006D6331" w:rsidP="006D6331">
      <w:pPr>
        <w:jc w:val="both"/>
        <w:rPr>
          <w:sz w:val="22"/>
          <w:szCs w:val="22"/>
        </w:rPr>
      </w:pPr>
      <w:r w:rsidRPr="0088154E">
        <w:rPr>
          <w:sz w:val="22"/>
          <w:szCs w:val="22"/>
        </w:rPr>
        <w:t xml:space="preserve">DHCD utilizes MTW Block Grant funding flexibility to support a housing stability program for college students who are experiencing homelessness. Specifically, DHCD works in partnership with the Department of Higher Education (DHE) and the Interagency Council on Housing and Homelessness (ICHH) on  the Massachusetts </w:t>
      </w:r>
      <w:r w:rsidR="000260D8" w:rsidRPr="0088154E">
        <w:rPr>
          <w:sz w:val="22"/>
          <w:szCs w:val="22"/>
        </w:rPr>
        <w:t>Student Housing Security Pilot P</w:t>
      </w:r>
      <w:r w:rsidRPr="0088154E">
        <w:rPr>
          <w:sz w:val="22"/>
          <w:szCs w:val="22"/>
        </w:rPr>
        <w:t xml:space="preserve">rogram, which will </w:t>
      </w:r>
      <w:r w:rsidR="000260D8" w:rsidRPr="0088154E">
        <w:rPr>
          <w:sz w:val="22"/>
          <w:szCs w:val="22"/>
        </w:rPr>
        <w:t xml:space="preserve">provide scholarships </w:t>
      </w:r>
      <w:r w:rsidRPr="0088154E">
        <w:rPr>
          <w:sz w:val="22"/>
          <w:szCs w:val="22"/>
        </w:rPr>
        <w:t xml:space="preserve">for housing and other college related expenses, to income eligible, homeless college students. </w:t>
      </w:r>
    </w:p>
    <w:p w14:paraId="02711FE0" w14:textId="77777777" w:rsidR="006D6331" w:rsidRPr="0088154E" w:rsidRDefault="006D6331" w:rsidP="006D6331">
      <w:pPr>
        <w:jc w:val="both"/>
        <w:rPr>
          <w:sz w:val="22"/>
          <w:szCs w:val="22"/>
        </w:rPr>
      </w:pPr>
    </w:p>
    <w:p w14:paraId="48E0982F" w14:textId="371900FC" w:rsidR="006D6331" w:rsidRPr="0088154E" w:rsidRDefault="000260D8" w:rsidP="006D6331">
      <w:pPr>
        <w:jc w:val="both"/>
        <w:rPr>
          <w:sz w:val="22"/>
          <w:szCs w:val="22"/>
        </w:rPr>
      </w:pPr>
      <w:r w:rsidRPr="0088154E">
        <w:rPr>
          <w:sz w:val="22"/>
          <w:szCs w:val="22"/>
        </w:rPr>
        <w:t xml:space="preserve">DHCD </w:t>
      </w:r>
      <w:r w:rsidR="00332033" w:rsidRPr="0088154E">
        <w:rPr>
          <w:sz w:val="22"/>
          <w:szCs w:val="22"/>
        </w:rPr>
        <w:t>will provide</w:t>
      </w:r>
      <w:r w:rsidR="006D6331" w:rsidRPr="0088154E">
        <w:rPr>
          <w:sz w:val="22"/>
          <w:szCs w:val="22"/>
        </w:rPr>
        <w:t xml:space="preserve"> up to $200,000 in MTW funds to DHE, annually for an initial two yea</w:t>
      </w:r>
      <w:r w:rsidR="00332033" w:rsidRPr="0088154E">
        <w:rPr>
          <w:sz w:val="22"/>
          <w:szCs w:val="22"/>
        </w:rPr>
        <w:t xml:space="preserve">rs. DHCD will establish an MOU with DHE and/or </w:t>
      </w:r>
      <w:r w:rsidR="006D6331" w:rsidRPr="0088154E">
        <w:rPr>
          <w:sz w:val="22"/>
          <w:szCs w:val="22"/>
        </w:rPr>
        <w:t>ICHH, to issue funding directly to designated local</w:t>
      </w:r>
      <w:r w:rsidR="00FE2D0F" w:rsidRPr="0088154E">
        <w:rPr>
          <w:sz w:val="22"/>
          <w:szCs w:val="22"/>
        </w:rPr>
        <w:t xml:space="preserve"> colleges. DHCD has established</w:t>
      </w:r>
      <w:r w:rsidR="006D6331" w:rsidRPr="0088154E">
        <w:rPr>
          <w:sz w:val="22"/>
          <w:szCs w:val="22"/>
        </w:rPr>
        <w:t xml:space="preserve"> requirements for compliance, as well as, </w:t>
      </w:r>
      <w:r w:rsidR="00485549" w:rsidRPr="0088154E">
        <w:rPr>
          <w:sz w:val="22"/>
          <w:szCs w:val="22"/>
        </w:rPr>
        <w:t>reporting requirements in the MO</w:t>
      </w:r>
      <w:r w:rsidR="006D6331" w:rsidRPr="0088154E">
        <w:rPr>
          <w:sz w:val="22"/>
          <w:szCs w:val="22"/>
        </w:rPr>
        <w:t>U.  DHE, the ICHH and the Local Colleges have a standing committee that</w:t>
      </w:r>
      <w:r w:rsidR="00FE2D0F" w:rsidRPr="0088154E">
        <w:rPr>
          <w:sz w:val="22"/>
          <w:szCs w:val="22"/>
        </w:rPr>
        <w:t xml:space="preserve"> is responsible for reporting</w:t>
      </w:r>
      <w:r w:rsidR="006D6331" w:rsidRPr="0088154E">
        <w:rPr>
          <w:sz w:val="22"/>
          <w:szCs w:val="22"/>
        </w:rPr>
        <w:t xml:space="preserve"> to DHCD both on compliance and MTW reporting requirements.  DHCD will approve all program guidance created by the committee and continued funding will be contingent on compliance </w:t>
      </w:r>
      <w:r w:rsidR="00485549" w:rsidRPr="0088154E">
        <w:rPr>
          <w:sz w:val="22"/>
          <w:szCs w:val="22"/>
        </w:rPr>
        <w:t>with HUD requirements and the MO</w:t>
      </w:r>
      <w:r w:rsidR="006D6331" w:rsidRPr="0088154E">
        <w:rPr>
          <w:sz w:val="22"/>
          <w:szCs w:val="22"/>
        </w:rPr>
        <w:t xml:space="preserve">U. </w:t>
      </w:r>
    </w:p>
    <w:p w14:paraId="6B3B2BAD" w14:textId="77777777" w:rsidR="006D6331" w:rsidRPr="0088154E" w:rsidRDefault="006D6331" w:rsidP="006D6331">
      <w:pPr>
        <w:jc w:val="both"/>
        <w:rPr>
          <w:sz w:val="22"/>
          <w:szCs w:val="22"/>
        </w:rPr>
      </w:pPr>
    </w:p>
    <w:p w14:paraId="58076C34" w14:textId="6FD77C73" w:rsidR="006D6331" w:rsidRPr="0088154E" w:rsidRDefault="006D6331" w:rsidP="006D6331">
      <w:pPr>
        <w:jc w:val="both"/>
        <w:rPr>
          <w:sz w:val="22"/>
          <w:szCs w:val="22"/>
        </w:rPr>
      </w:pPr>
      <w:r w:rsidRPr="0088154E">
        <w:rPr>
          <w:sz w:val="22"/>
          <w:szCs w:val="22"/>
        </w:rPr>
        <w:t>Designated local colleges are responsible for identifying eligible participants, defined as currently admitted, full-time students, who are HCV income eligible, meet HUD’s definition of Unaccompanied Homeless Youth or who have recently aged out of foster care and meet HUD’s criteria of an independent student. Colleges utilize FASFA applications in order to determine income eligibility as well as the amount of funds needed for housing and college related expenses such as classes, supplies, etc. DHE is responsible for ensuring that participants meet HUD’s criteria of an independent student. Based on individual participant housing needs, DHE will issue up to $10,000 per participant, in MTW funds, for housing related costs, per school year.  A maximum participant term of 4 years, which equates to a $40,000 lifetime scholarship ma</w:t>
      </w:r>
      <w:r w:rsidR="00FE2D0F" w:rsidRPr="0088154E">
        <w:rPr>
          <w:sz w:val="22"/>
          <w:szCs w:val="22"/>
        </w:rPr>
        <w:t>x) is provided by DHCD. Housing-</w:t>
      </w:r>
      <w:r w:rsidRPr="0088154E">
        <w:rPr>
          <w:sz w:val="22"/>
          <w:szCs w:val="22"/>
        </w:rPr>
        <w:t>related costs are limited to housing assistance, in the form of rent for housing and dormitory costs and may include security deposits. Identified housing is subject to HUD’s HQS requirements and participants are permitted to reside in shared housing.</w:t>
      </w:r>
      <w:r w:rsidRPr="0088154E">
        <w:t xml:space="preserve"> </w:t>
      </w:r>
      <w:r w:rsidRPr="0088154E">
        <w:rPr>
          <w:sz w:val="22"/>
          <w:szCs w:val="22"/>
        </w:rPr>
        <w:t>DHE contracts with either DHCD’s regional administering agencies or a third party to conduct HQS inspections. Inspectors are required to document proper training/certification.  HQS inspecti</w:t>
      </w:r>
      <w:r w:rsidR="00FE2D0F" w:rsidRPr="0088154E">
        <w:rPr>
          <w:sz w:val="22"/>
          <w:szCs w:val="22"/>
        </w:rPr>
        <w:t xml:space="preserve">on records are forwarded to and </w:t>
      </w:r>
      <w:r w:rsidRPr="0088154E">
        <w:rPr>
          <w:sz w:val="22"/>
          <w:szCs w:val="22"/>
        </w:rPr>
        <w:t xml:space="preserve">maintained by DHCD.   Participants are also be eligible to receive financial aid from </w:t>
      </w:r>
      <w:r w:rsidR="00FE2D0F" w:rsidRPr="0088154E">
        <w:rPr>
          <w:sz w:val="22"/>
          <w:szCs w:val="22"/>
        </w:rPr>
        <w:t>other sources for other college-</w:t>
      </w:r>
      <w:r w:rsidRPr="0088154E">
        <w:rPr>
          <w:sz w:val="22"/>
          <w:szCs w:val="22"/>
        </w:rPr>
        <w:t xml:space="preserve">related identified expenses.  </w:t>
      </w:r>
    </w:p>
    <w:p w14:paraId="2FCEF782" w14:textId="77777777" w:rsidR="006D6331" w:rsidRPr="0088154E" w:rsidRDefault="006D6331" w:rsidP="006D6331">
      <w:pPr>
        <w:jc w:val="both"/>
        <w:rPr>
          <w:sz w:val="22"/>
          <w:szCs w:val="22"/>
        </w:rPr>
      </w:pPr>
    </w:p>
    <w:p w14:paraId="31FA104B" w14:textId="210B08AC" w:rsidR="006D6331" w:rsidRPr="0088154E" w:rsidRDefault="006D6331" w:rsidP="006D6331">
      <w:pPr>
        <w:jc w:val="both"/>
        <w:rPr>
          <w:sz w:val="22"/>
          <w:szCs w:val="22"/>
        </w:rPr>
      </w:pPr>
      <w:r w:rsidRPr="0088154E">
        <w:rPr>
          <w:sz w:val="22"/>
          <w:szCs w:val="22"/>
        </w:rPr>
        <w:t xml:space="preserve">Participants must continue to remain enrolled full-time and maintain passing grades in order to be eligible for a renewed scholarship each academic year.  Students receiving assistance are expected to maintain continuous enrollment with the goal of earning degrees and/or certificates of value.  Every student is required to utilize academic support services and counseling services available at their respective campuses and through community-based service providers who will work with students, providing case management.  In the event that a student needs to take a leave from his or her academic program, such a leave would be considered temporary and all efforts will be made to get the student to re-enroll, perhaps in a different academic program, or at another institution.  </w:t>
      </w:r>
    </w:p>
    <w:p w14:paraId="614FCD75" w14:textId="77777777" w:rsidR="006D6331" w:rsidRPr="0088154E" w:rsidRDefault="006D6331" w:rsidP="006D6331">
      <w:pPr>
        <w:jc w:val="both"/>
        <w:rPr>
          <w:sz w:val="22"/>
          <w:szCs w:val="22"/>
        </w:rPr>
      </w:pPr>
    </w:p>
    <w:p w14:paraId="4D89F4E5" w14:textId="70DD0C27" w:rsidR="006D6331" w:rsidRPr="0088154E" w:rsidRDefault="006D6331" w:rsidP="006D6331">
      <w:pPr>
        <w:jc w:val="both"/>
        <w:rPr>
          <w:sz w:val="22"/>
          <w:szCs w:val="22"/>
        </w:rPr>
      </w:pPr>
      <w:r w:rsidRPr="0088154E">
        <w:rPr>
          <w:sz w:val="22"/>
          <w:szCs w:val="22"/>
        </w:rPr>
        <w:t xml:space="preserve">The clients served under this activity are not participants in the Housing Choice Voucher Program or residents of federal public housing. </w:t>
      </w:r>
    </w:p>
    <w:p w14:paraId="4084C48A" w14:textId="77777777" w:rsidR="006D6331" w:rsidRPr="0088154E" w:rsidRDefault="006D6331" w:rsidP="006D6331">
      <w:pPr>
        <w:jc w:val="both"/>
        <w:rPr>
          <w:sz w:val="22"/>
          <w:szCs w:val="22"/>
        </w:rPr>
      </w:pPr>
    </w:p>
    <w:p w14:paraId="4074C9AF" w14:textId="1F637FF8" w:rsidR="006D6331" w:rsidRPr="0088154E" w:rsidRDefault="00C02178" w:rsidP="006D6331">
      <w:pPr>
        <w:jc w:val="both"/>
        <w:rPr>
          <w:sz w:val="22"/>
          <w:szCs w:val="22"/>
        </w:rPr>
      </w:pPr>
      <w:r w:rsidRPr="0088154E">
        <w:rPr>
          <w:sz w:val="22"/>
          <w:szCs w:val="22"/>
        </w:rPr>
        <w:t>In FY 2021</w:t>
      </w:r>
      <w:r w:rsidR="00FE2D0F" w:rsidRPr="0088154E">
        <w:rPr>
          <w:sz w:val="22"/>
          <w:szCs w:val="22"/>
        </w:rPr>
        <w:t>,</w:t>
      </w:r>
      <w:r w:rsidRPr="0088154E">
        <w:rPr>
          <w:sz w:val="22"/>
          <w:szCs w:val="22"/>
        </w:rPr>
        <w:t xml:space="preserve"> DHCD plans to complete program plans and prepare policies and procedures for program operations.  Additionally, DHCD will develop a tracking mechanism to monitor outcomes of program participants. Finally in FY 2021, DHCD will en</w:t>
      </w:r>
      <w:r w:rsidR="00332033" w:rsidRPr="0088154E">
        <w:rPr>
          <w:sz w:val="22"/>
          <w:szCs w:val="22"/>
        </w:rPr>
        <w:t xml:space="preserve">ter into an MOU with DHE and/or </w:t>
      </w:r>
      <w:r w:rsidRPr="0088154E">
        <w:rPr>
          <w:sz w:val="22"/>
          <w:szCs w:val="22"/>
        </w:rPr>
        <w:t>ICHH and will select eli</w:t>
      </w:r>
      <w:r w:rsidR="00FE2D0F" w:rsidRPr="0088154E">
        <w:rPr>
          <w:sz w:val="22"/>
          <w:szCs w:val="22"/>
        </w:rPr>
        <w:t>gible recipients and disburse</w:t>
      </w:r>
      <w:r w:rsidRPr="0088154E">
        <w:rPr>
          <w:sz w:val="22"/>
          <w:szCs w:val="22"/>
        </w:rPr>
        <w:t xml:space="preserve"> funds to the selected providers for </w:t>
      </w:r>
      <w:r w:rsidR="00FE2D0F" w:rsidRPr="0088154E">
        <w:rPr>
          <w:sz w:val="22"/>
          <w:szCs w:val="22"/>
        </w:rPr>
        <w:t xml:space="preserve">the </w:t>
      </w:r>
      <w:r w:rsidRPr="0088154E">
        <w:rPr>
          <w:sz w:val="22"/>
          <w:szCs w:val="22"/>
        </w:rPr>
        <w:t xml:space="preserve">2020-2021 school year. </w:t>
      </w:r>
      <w:r w:rsidR="006D6331" w:rsidRPr="0088154E">
        <w:rPr>
          <w:sz w:val="22"/>
          <w:szCs w:val="22"/>
        </w:rPr>
        <w:t>DHCD in</w:t>
      </w:r>
      <w:r w:rsidR="00FE2D0F" w:rsidRPr="0088154E">
        <w:rPr>
          <w:sz w:val="22"/>
          <w:szCs w:val="22"/>
        </w:rPr>
        <w:t>tends to fully fund the housing-</w:t>
      </w:r>
      <w:r w:rsidR="006D6331" w:rsidRPr="0088154E">
        <w:rPr>
          <w:sz w:val="22"/>
          <w:szCs w:val="22"/>
        </w:rPr>
        <w:t>related costs of the scholarships, for two years, serving at minimum 20 students annually. Subsequent to the Pilot’s first two years, DHCD may continue funding by matching every private dollar fundraised/donated to the program, up to $200,000 annually.</w:t>
      </w:r>
    </w:p>
    <w:p w14:paraId="5B6A1976" w14:textId="77777777" w:rsidR="006D6331" w:rsidRPr="0088154E" w:rsidRDefault="006D6331" w:rsidP="006D6331">
      <w:pPr>
        <w:rPr>
          <w:sz w:val="22"/>
          <w:szCs w:val="22"/>
        </w:rPr>
      </w:pPr>
    </w:p>
    <w:p w14:paraId="50E16E6D" w14:textId="77777777" w:rsidR="006D6331" w:rsidRPr="0088154E" w:rsidRDefault="006D6331" w:rsidP="006D6331">
      <w:pPr>
        <w:shd w:val="clear" w:color="auto" w:fill="FFFFFF" w:themeFill="background1"/>
        <w:jc w:val="both"/>
        <w:rPr>
          <w:b/>
          <w:color w:val="000000"/>
          <w:sz w:val="22"/>
          <w:szCs w:val="22"/>
        </w:rPr>
      </w:pPr>
      <w:r w:rsidRPr="0088154E">
        <w:rPr>
          <w:b/>
          <w:color w:val="000000"/>
          <w:sz w:val="22"/>
          <w:szCs w:val="22"/>
        </w:rPr>
        <w:t>Planned Non-Significant Changes</w:t>
      </w:r>
    </w:p>
    <w:p w14:paraId="73563971" w14:textId="0497519F" w:rsidR="006D6331" w:rsidRPr="0088154E" w:rsidRDefault="001314E2" w:rsidP="006D6331">
      <w:pPr>
        <w:shd w:val="clear" w:color="auto" w:fill="FFFFFF" w:themeFill="background1"/>
        <w:jc w:val="both"/>
        <w:rPr>
          <w:sz w:val="22"/>
          <w:szCs w:val="22"/>
        </w:rPr>
      </w:pPr>
      <w:r w:rsidRPr="0088154E">
        <w:rPr>
          <w:color w:val="000000" w:themeColor="text1"/>
          <w:sz w:val="22"/>
          <w:szCs w:val="22"/>
        </w:rPr>
        <w:t xml:space="preserve">In FY 2021 DHCD will investigate alternative options for HQS where the housing subsidy is provided for  </w:t>
      </w:r>
      <w:r w:rsidR="00346A96" w:rsidRPr="0088154E">
        <w:rPr>
          <w:color w:val="000000" w:themeColor="text1"/>
          <w:sz w:val="22"/>
          <w:szCs w:val="22"/>
        </w:rPr>
        <w:t xml:space="preserve">a </w:t>
      </w:r>
      <w:r w:rsidRPr="0088154E">
        <w:rPr>
          <w:color w:val="000000" w:themeColor="text1"/>
          <w:sz w:val="22"/>
          <w:szCs w:val="22"/>
        </w:rPr>
        <w:t xml:space="preserve">room in a </w:t>
      </w:r>
      <w:r w:rsidR="00346A96" w:rsidRPr="0088154E">
        <w:rPr>
          <w:color w:val="000000" w:themeColor="text1"/>
          <w:sz w:val="22"/>
          <w:szCs w:val="22"/>
        </w:rPr>
        <w:t>local college dormitory</w:t>
      </w:r>
      <w:r w:rsidRPr="0088154E">
        <w:rPr>
          <w:color w:val="000000" w:themeColor="text1"/>
          <w:sz w:val="22"/>
          <w:szCs w:val="22"/>
        </w:rPr>
        <w:t>. Typically, s</w:t>
      </w:r>
      <w:r w:rsidRPr="0088154E">
        <w:rPr>
          <w:sz w:val="22"/>
          <w:szCs w:val="22"/>
        </w:rPr>
        <w:t>tudent rooms in</w:t>
      </w:r>
      <w:r w:rsidR="00C27126" w:rsidRPr="0088154E">
        <w:rPr>
          <w:sz w:val="22"/>
          <w:szCs w:val="22"/>
        </w:rPr>
        <w:t xml:space="preserve"> college dormitories are inpsected</w:t>
      </w:r>
      <w:r w:rsidRPr="0088154E">
        <w:rPr>
          <w:sz w:val="22"/>
          <w:szCs w:val="22"/>
        </w:rPr>
        <w:t xml:space="preserve"> immediately after the halls close for vacation periods and throughout the summer for maintenance, safety, and security. </w:t>
      </w:r>
      <w:r w:rsidR="00FA39D4" w:rsidRPr="0088154E">
        <w:rPr>
          <w:sz w:val="22"/>
        </w:rPr>
        <w:t>Additionally common area inspections are conducted to ensure that hallways, stairwells, kitchens and other common areas are clear of obstructions and unsafe conditions</w:t>
      </w:r>
      <w:r w:rsidR="00FA39D4" w:rsidRPr="0088154E">
        <w:rPr>
          <w:sz w:val="22"/>
          <w:szCs w:val="22"/>
        </w:rPr>
        <w:t xml:space="preserve">. </w:t>
      </w:r>
      <w:r w:rsidRPr="0088154E">
        <w:rPr>
          <w:sz w:val="22"/>
          <w:szCs w:val="22"/>
        </w:rPr>
        <w:t xml:space="preserve">DHCD will review the standards of such inspections and may use these inspections as an alternative to the biennial HQS requirement. Where alternative inspections are used, DHCD will include these units in its schedule of </w:t>
      </w:r>
      <w:r w:rsidR="00FA39D4" w:rsidRPr="0088154E">
        <w:rPr>
          <w:sz w:val="22"/>
          <w:szCs w:val="22"/>
        </w:rPr>
        <w:t xml:space="preserve">random </w:t>
      </w:r>
      <w:r w:rsidRPr="0088154E">
        <w:rPr>
          <w:sz w:val="22"/>
          <w:szCs w:val="22"/>
        </w:rPr>
        <w:t xml:space="preserve">QC inspections. </w:t>
      </w:r>
    </w:p>
    <w:p w14:paraId="4DE688D4" w14:textId="77777777" w:rsidR="006D6331" w:rsidRPr="0088154E" w:rsidRDefault="006D6331" w:rsidP="006D6331">
      <w:pPr>
        <w:shd w:val="clear" w:color="auto" w:fill="FFFFFF" w:themeFill="background1"/>
        <w:jc w:val="both"/>
        <w:rPr>
          <w:b/>
          <w:sz w:val="22"/>
          <w:szCs w:val="22"/>
        </w:rPr>
      </w:pPr>
    </w:p>
    <w:p w14:paraId="201C12B2" w14:textId="77777777" w:rsidR="006D6331" w:rsidRPr="0088154E" w:rsidRDefault="006D6331" w:rsidP="006D6331">
      <w:pPr>
        <w:shd w:val="clear" w:color="auto" w:fill="FFFFFF" w:themeFill="background1"/>
        <w:jc w:val="both"/>
        <w:rPr>
          <w:b/>
          <w:sz w:val="22"/>
          <w:szCs w:val="22"/>
        </w:rPr>
      </w:pPr>
      <w:r w:rsidRPr="0088154E">
        <w:rPr>
          <w:b/>
          <w:sz w:val="22"/>
          <w:szCs w:val="22"/>
        </w:rPr>
        <w:t>Planned Changes to Metrics/Data Collection</w:t>
      </w:r>
    </w:p>
    <w:p w14:paraId="2F3A0CC3" w14:textId="623E58B3" w:rsidR="006D6331" w:rsidRPr="0088154E" w:rsidRDefault="00C02178" w:rsidP="006D6331">
      <w:pPr>
        <w:jc w:val="both"/>
        <w:rPr>
          <w:sz w:val="22"/>
          <w:szCs w:val="22"/>
        </w:rPr>
      </w:pPr>
      <w:r w:rsidRPr="0088154E">
        <w:rPr>
          <w:sz w:val="22"/>
          <w:szCs w:val="22"/>
        </w:rPr>
        <w:t>DHCD has updated the metrics to reflect anticipated outcomes in FY 2021.</w:t>
      </w:r>
    </w:p>
    <w:p w14:paraId="0CDDC829" w14:textId="77777777" w:rsidR="00C02178" w:rsidRPr="0088154E" w:rsidRDefault="00C02178" w:rsidP="006D6331">
      <w:pPr>
        <w:jc w:val="both"/>
        <w:rPr>
          <w:sz w:val="22"/>
          <w:szCs w:val="22"/>
        </w:rPr>
      </w:pPr>
    </w:p>
    <w:p w14:paraId="6108647D" w14:textId="77777777" w:rsidR="006D6331" w:rsidRPr="0088154E" w:rsidRDefault="006D6331" w:rsidP="006D6331">
      <w:pPr>
        <w:jc w:val="both"/>
        <w:rPr>
          <w:b/>
          <w:color w:val="212121"/>
          <w:sz w:val="22"/>
          <w:szCs w:val="22"/>
        </w:rPr>
      </w:pPr>
      <w:r w:rsidRPr="0088154E">
        <w:rPr>
          <w:b/>
          <w:color w:val="212121"/>
          <w:sz w:val="22"/>
          <w:szCs w:val="22"/>
        </w:rPr>
        <w:t>Metrics</w:t>
      </w:r>
    </w:p>
    <w:p w14:paraId="1A03EC79" w14:textId="77777777" w:rsidR="006D6331" w:rsidRPr="0088154E" w:rsidRDefault="006D6331" w:rsidP="006D6331">
      <w:pPr>
        <w:jc w:val="both"/>
        <w:rPr>
          <w:color w:val="212121"/>
          <w:sz w:val="22"/>
          <w:szCs w:val="22"/>
        </w:rPr>
      </w:pPr>
      <w:r w:rsidRPr="0088154E">
        <w:rPr>
          <w:color w:val="212121"/>
          <w:sz w:val="22"/>
          <w:szCs w:val="22"/>
        </w:rPr>
        <w:t xml:space="preserve">The metrics below will be compiled using DHCD’s housing software as well as data and reports from program partners. </w:t>
      </w:r>
    </w:p>
    <w:p w14:paraId="2393A85D" w14:textId="77777777" w:rsidR="006D6331" w:rsidRPr="0088154E" w:rsidRDefault="006D6331" w:rsidP="006D6331">
      <w:pPr>
        <w:rPr>
          <w:b/>
          <w:color w:val="2121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872"/>
        <w:gridCol w:w="1627"/>
        <w:gridCol w:w="1354"/>
        <w:gridCol w:w="1440"/>
      </w:tblGrid>
      <w:tr w:rsidR="006D6331" w:rsidRPr="0088154E" w14:paraId="340C4292" w14:textId="77777777" w:rsidTr="006D6331">
        <w:trPr>
          <w:trHeight w:hRule="exact" w:val="432"/>
        </w:trPr>
        <w:tc>
          <w:tcPr>
            <w:tcW w:w="1440" w:type="dxa"/>
            <w:gridSpan w:val="5"/>
            <w:shd w:val="clear" w:color="auto" w:fill="C6D9F1" w:themeFill="text2" w:themeFillTint="33"/>
          </w:tcPr>
          <w:p w14:paraId="72AEB96B" w14:textId="77777777" w:rsidR="006D6331" w:rsidRPr="0088154E" w:rsidRDefault="006D6331" w:rsidP="006D6331">
            <w:pPr>
              <w:jc w:val="center"/>
              <w:rPr>
                <w:rFonts w:eastAsia="Calibri"/>
                <w:b/>
                <w:bCs/>
                <w:i/>
                <w:iCs/>
                <w:sz w:val="20"/>
                <w:szCs w:val="20"/>
              </w:rPr>
            </w:pPr>
            <w:r w:rsidRPr="0088154E">
              <w:rPr>
                <w:b/>
                <w:bCs/>
                <w:i/>
                <w:iCs/>
                <w:sz w:val="20"/>
                <w:szCs w:val="20"/>
              </w:rPr>
              <w:t>CE #4: Increase in Resources Leveraged</w:t>
            </w:r>
          </w:p>
        </w:tc>
      </w:tr>
      <w:tr w:rsidR="006D6331" w:rsidRPr="0088154E" w14:paraId="3896D447" w14:textId="77777777" w:rsidTr="006D6331">
        <w:trPr>
          <w:trHeight w:hRule="exact" w:val="576"/>
        </w:trPr>
        <w:tc>
          <w:tcPr>
            <w:tcW w:w="3240" w:type="dxa"/>
            <w:shd w:val="clear" w:color="auto" w:fill="D9D9D9" w:themeFill="background1" w:themeFillShade="D9"/>
          </w:tcPr>
          <w:p w14:paraId="5562A8E3" w14:textId="77777777" w:rsidR="006D6331" w:rsidRPr="0088154E" w:rsidRDefault="006D6331" w:rsidP="006D6331">
            <w:pPr>
              <w:jc w:val="center"/>
              <w:rPr>
                <w:rFonts w:eastAsia="Calibri"/>
                <w:b/>
                <w:bCs/>
                <w:sz w:val="20"/>
                <w:szCs w:val="20"/>
              </w:rPr>
            </w:pPr>
            <w:r w:rsidRPr="0088154E">
              <w:rPr>
                <w:rFonts w:eastAsia="Calibri"/>
                <w:b/>
                <w:bCs/>
                <w:sz w:val="20"/>
                <w:szCs w:val="20"/>
              </w:rPr>
              <w:t>Unit of Measurement</w:t>
            </w:r>
          </w:p>
        </w:tc>
        <w:tc>
          <w:tcPr>
            <w:tcW w:w="1714" w:type="dxa"/>
            <w:shd w:val="clear" w:color="auto" w:fill="D9D9D9" w:themeFill="background1" w:themeFillShade="D9"/>
          </w:tcPr>
          <w:p w14:paraId="44F6021A" w14:textId="77777777" w:rsidR="006D6331" w:rsidRPr="0088154E" w:rsidRDefault="006D6331" w:rsidP="006D6331">
            <w:pPr>
              <w:jc w:val="center"/>
              <w:rPr>
                <w:rFonts w:eastAsia="Calibri"/>
                <w:b/>
                <w:bCs/>
                <w:sz w:val="20"/>
                <w:szCs w:val="20"/>
              </w:rPr>
            </w:pPr>
            <w:r w:rsidRPr="0088154E">
              <w:rPr>
                <w:rFonts w:eastAsia="Calibri"/>
                <w:b/>
                <w:bCs/>
                <w:sz w:val="20"/>
                <w:szCs w:val="20"/>
              </w:rPr>
              <w:t>Baseline</w:t>
            </w:r>
          </w:p>
        </w:tc>
        <w:tc>
          <w:tcPr>
            <w:tcW w:w="1627" w:type="dxa"/>
            <w:shd w:val="clear" w:color="auto" w:fill="D9D9D9" w:themeFill="background1" w:themeFillShade="D9"/>
          </w:tcPr>
          <w:p w14:paraId="2CBB8008" w14:textId="77777777" w:rsidR="006D6331" w:rsidRPr="0088154E" w:rsidRDefault="006D6331" w:rsidP="006D6331">
            <w:pPr>
              <w:jc w:val="center"/>
              <w:rPr>
                <w:rFonts w:eastAsia="Calibri"/>
                <w:b/>
                <w:bCs/>
                <w:sz w:val="20"/>
                <w:szCs w:val="20"/>
              </w:rPr>
            </w:pPr>
            <w:r w:rsidRPr="0088154E">
              <w:rPr>
                <w:rFonts w:eastAsia="Calibri"/>
                <w:b/>
                <w:bCs/>
                <w:sz w:val="20"/>
                <w:szCs w:val="20"/>
              </w:rPr>
              <w:t>Benchmark</w:t>
            </w:r>
          </w:p>
        </w:tc>
        <w:tc>
          <w:tcPr>
            <w:tcW w:w="1354" w:type="dxa"/>
            <w:shd w:val="clear" w:color="auto" w:fill="D9D9D9" w:themeFill="background1" w:themeFillShade="D9"/>
          </w:tcPr>
          <w:p w14:paraId="302B6B8E" w14:textId="77777777" w:rsidR="006D6331" w:rsidRPr="0088154E" w:rsidRDefault="006D6331" w:rsidP="006D6331">
            <w:pPr>
              <w:jc w:val="center"/>
              <w:rPr>
                <w:rFonts w:eastAsia="Calibri"/>
                <w:b/>
                <w:bCs/>
                <w:sz w:val="20"/>
                <w:szCs w:val="20"/>
              </w:rPr>
            </w:pPr>
            <w:r w:rsidRPr="0088154E">
              <w:rPr>
                <w:rFonts w:eastAsia="Calibri"/>
                <w:b/>
                <w:bCs/>
                <w:sz w:val="20"/>
                <w:szCs w:val="20"/>
              </w:rPr>
              <w:t>Outcome</w:t>
            </w:r>
          </w:p>
        </w:tc>
        <w:tc>
          <w:tcPr>
            <w:tcW w:w="1440" w:type="dxa"/>
            <w:shd w:val="clear" w:color="auto" w:fill="D9D9D9" w:themeFill="background1" w:themeFillShade="D9"/>
          </w:tcPr>
          <w:p w14:paraId="0CC9E65A" w14:textId="77777777" w:rsidR="006D6331" w:rsidRPr="0088154E" w:rsidRDefault="006D6331" w:rsidP="006D6331">
            <w:pPr>
              <w:jc w:val="center"/>
              <w:rPr>
                <w:rFonts w:eastAsia="Calibri"/>
                <w:b/>
                <w:bCs/>
                <w:sz w:val="20"/>
                <w:szCs w:val="20"/>
              </w:rPr>
            </w:pPr>
            <w:r w:rsidRPr="0088154E">
              <w:rPr>
                <w:rFonts w:eastAsia="Calibri"/>
                <w:b/>
                <w:bCs/>
                <w:sz w:val="20"/>
                <w:szCs w:val="20"/>
              </w:rPr>
              <w:t>Benchmark Achieved?</w:t>
            </w:r>
          </w:p>
        </w:tc>
      </w:tr>
      <w:tr w:rsidR="006D6331" w:rsidRPr="0088154E" w14:paraId="5ED4C81B" w14:textId="77777777" w:rsidTr="006D6331">
        <w:trPr>
          <w:trHeight w:val="314"/>
        </w:trPr>
        <w:tc>
          <w:tcPr>
            <w:tcW w:w="3240" w:type="dxa"/>
            <w:shd w:val="clear" w:color="auto" w:fill="auto"/>
          </w:tcPr>
          <w:p w14:paraId="0D5A6982" w14:textId="77777777" w:rsidR="006D6331" w:rsidRPr="0088154E" w:rsidRDefault="006D6331" w:rsidP="006D6331">
            <w:pPr>
              <w:rPr>
                <w:rFonts w:eastAsia="Calibri"/>
                <w:b/>
                <w:bCs/>
                <w:i/>
                <w:iCs/>
                <w:sz w:val="20"/>
                <w:szCs w:val="20"/>
              </w:rPr>
            </w:pPr>
            <w:r w:rsidRPr="0088154E">
              <w:rPr>
                <w:sz w:val="20"/>
                <w:szCs w:val="20"/>
              </w:rPr>
              <w:t>Amount of funds leveraged in dollars (increase).</w:t>
            </w:r>
          </w:p>
        </w:tc>
        <w:tc>
          <w:tcPr>
            <w:tcW w:w="1714" w:type="dxa"/>
            <w:shd w:val="clear" w:color="auto" w:fill="auto"/>
          </w:tcPr>
          <w:p w14:paraId="608E5F2A" w14:textId="77777777" w:rsidR="006D6331" w:rsidRPr="0088154E" w:rsidRDefault="006D6331" w:rsidP="006D6331">
            <w:pPr>
              <w:jc w:val="center"/>
              <w:rPr>
                <w:rFonts w:eastAsia="Calibri"/>
                <w:bCs/>
                <w:iCs/>
                <w:sz w:val="20"/>
                <w:szCs w:val="20"/>
              </w:rPr>
            </w:pPr>
            <w:r w:rsidRPr="0088154E">
              <w:rPr>
                <w:rFonts w:eastAsia="Calibri"/>
                <w:bCs/>
                <w:iCs/>
                <w:sz w:val="20"/>
                <w:szCs w:val="20"/>
              </w:rPr>
              <w:t>$0.00</w:t>
            </w:r>
          </w:p>
        </w:tc>
        <w:tc>
          <w:tcPr>
            <w:tcW w:w="1627" w:type="dxa"/>
            <w:shd w:val="clear" w:color="auto" w:fill="auto"/>
          </w:tcPr>
          <w:p w14:paraId="50E5BE46" w14:textId="77777777" w:rsidR="006D6331" w:rsidRPr="0088154E" w:rsidRDefault="006D6331" w:rsidP="006D6331">
            <w:pPr>
              <w:jc w:val="center"/>
              <w:rPr>
                <w:rFonts w:eastAsia="Calibri"/>
                <w:bCs/>
                <w:iCs/>
                <w:sz w:val="20"/>
                <w:szCs w:val="20"/>
              </w:rPr>
            </w:pPr>
            <w:r w:rsidRPr="0088154E">
              <w:rPr>
                <w:rFonts w:eastAsia="Calibri"/>
                <w:bCs/>
                <w:iCs/>
                <w:sz w:val="20"/>
                <w:szCs w:val="20"/>
              </w:rPr>
              <w:t>$302,380</w:t>
            </w:r>
          </w:p>
        </w:tc>
        <w:tc>
          <w:tcPr>
            <w:tcW w:w="1354" w:type="dxa"/>
            <w:shd w:val="clear" w:color="auto" w:fill="auto"/>
          </w:tcPr>
          <w:p w14:paraId="18C1727A" w14:textId="77777777" w:rsidR="006D6331" w:rsidRPr="0088154E" w:rsidRDefault="006D6331" w:rsidP="006D6331">
            <w:pPr>
              <w:jc w:val="center"/>
              <w:rPr>
                <w:rFonts w:eastAsia="Calibri"/>
                <w:b/>
                <w:bCs/>
                <w:i/>
                <w:iCs/>
                <w:sz w:val="20"/>
                <w:szCs w:val="20"/>
              </w:rPr>
            </w:pPr>
          </w:p>
        </w:tc>
        <w:tc>
          <w:tcPr>
            <w:tcW w:w="1440" w:type="dxa"/>
            <w:shd w:val="clear" w:color="auto" w:fill="auto"/>
          </w:tcPr>
          <w:p w14:paraId="50516D23" w14:textId="77777777" w:rsidR="006D6331" w:rsidRPr="0088154E" w:rsidRDefault="006D6331" w:rsidP="006D6331">
            <w:pPr>
              <w:jc w:val="center"/>
              <w:rPr>
                <w:rFonts w:eastAsia="Calibri"/>
                <w:bCs/>
                <w:iCs/>
                <w:sz w:val="20"/>
                <w:szCs w:val="20"/>
              </w:rPr>
            </w:pPr>
          </w:p>
        </w:tc>
      </w:tr>
      <w:tr w:rsidR="006D6331" w:rsidRPr="0088154E" w14:paraId="39A64C75" w14:textId="77777777" w:rsidTr="006D6331">
        <w:trPr>
          <w:trHeight w:val="314"/>
        </w:trPr>
        <w:tc>
          <w:tcPr>
            <w:tcW w:w="1440" w:type="dxa"/>
            <w:gridSpan w:val="5"/>
            <w:shd w:val="clear" w:color="auto" w:fill="auto"/>
          </w:tcPr>
          <w:p w14:paraId="240D9F55" w14:textId="77777777" w:rsidR="006D6331" w:rsidRPr="0088154E" w:rsidRDefault="006D6331" w:rsidP="006D6331">
            <w:pPr>
              <w:rPr>
                <w:rFonts w:eastAsia="Calibri"/>
                <w:bCs/>
                <w:i/>
                <w:iCs/>
                <w:sz w:val="20"/>
                <w:szCs w:val="20"/>
              </w:rPr>
            </w:pPr>
          </w:p>
        </w:tc>
      </w:tr>
      <w:tr w:rsidR="006D6331" w:rsidRPr="0088154E" w14:paraId="33469FB2" w14:textId="77777777" w:rsidTr="006D6331">
        <w:trPr>
          <w:trHeight w:hRule="exact" w:val="432"/>
        </w:trPr>
        <w:tc>
          <w:tcPr>
            <w:tcW w:w="1440" w:type="dxa"/>
            <w:gridSpan w:val="5"/>
            <w:shd w:val="clear" w:color="auto" w:fill="C6D9F1" w:themeFill="text2" w:themeFillTint="33"/>
            <w:hideMark/>
          </w:tcPr>
          <w:p w14:paraId="3BCFF068" w14:textId="77777777" w:rsidR="006D6331" w:rsidRPr="0088154E" w:rsidRDefault="006D6331" w:rsidP="006D6331">
            <w:pPr>
              <w:jc w:val="center"/>
              <w:rPr>
                <w:rFonts w:eastAsia="Calibri"/>
                <w:b/>
                <w:bCs/>
                <w:i/>
                <w:iCs/>
                <w:sz w:val="20"/>
                <w:szCs w:val="20"/>
              </w:rPr>
            </w:pPr>
            <w:r w:rsidRPr="0088154E">
              <w:rPr>
                <w:rFonts w:eastAsia="Calibri"/>
                <w:b/>
                <w:bCs/>
                <w:i/>
                <w:iCs/>
                <w:sz w:val="20"/>
                <w:szCs w:val="20"/>
              </w:rPr>
              <w:t>SS #3: Increase in Positive Outcomes in Employment Status</w:t>
            </w:r>
          </w:p>
        </w:tc>
      </w:tr>
      <w:tr w:rsidR="006D6331" w:rsidRPr="0088154E" w14:paraId="2C198EEE" w14:textId="77777777" w:rsidTr="006D6331">
        <w:trPr>
          <w:trHeight w:hRule="exact" w:val="576"/>
        </w:trPr>
        <w:tc>
          <w:tcPr>
            <w:tcW w:w="3240" w:type="dxa"/>
            <w:shd w:val="clear" w:color="auto" w:fill="D9D9D9" w:themeFill="background1" w:themeFillShade="D9"/>
            <w:hideMark/>
          </w:tcPr>
          <w:p w14:paraId="3769484E" w14:textId="77777777" w:rsidR="006D6331" w:rsidRPr="0088154E" w:rsidRDefault="006D6331" w:rsidP="006D6331">
            <w:pPr>
              <w:jc w:val="center"/>
              <w:rPr>
                <w:rFonts w:eastAsia="Calibri"/>
                <w:b/>
                <w:bCs/>
                <w:sz w:val="20"/>
                <w:szCs w:val="20"/>
              </w:rPr>
            </w:pPr>
            <w:r w:rsidRPr="0088154E">
              <w:rPr>
                <w:rFonts w:eastAsia="Calibri"/>
                <w:b/>
                <w:bCs/>
                <w:sz w:val="20"/>
                <w:szCs w:val="20"/>
              </w:rPr>
              <w:t>Unit of Measurement</w:t>
            </w:r>
          </w:p>
        </w:tc>
        <w:tc>
          <w:tcPr>
            <w:tcW w:w="1872" w:type="dxa"/>
            <w:shd w:val="clear" w:color="auto" w:fill="D9D9D9" w:themeFill="background1" w:themeFillShade="D9"/>
            <w:hideMark/>
          </w:tcPr>
          <w:p w14:paraId="5D07AD9A" w14:textId="77777777" w:rsidR="006D6331" w:rsidRPr="0088154E" w:rsidRDefault="006D6331" w:rsidP="006D6331">
            <w:pPr>
              <w:jc w:val="center"/>
              <w:rPr>
                <w:rFonts w:eastAsia="Calibri"/>
                <w:b/>
                <w:bCs/>
                <w:sz w:val="20"/>
                <w:szCs w:val="20"/>
              </w:rPr>
            </w:pPr>
            <w:r w:rsidRPr="0088154E">
              <w:rPr>
                <w:rFonts w:eastAsia="Calibri"/>
                <w:b/>
                <w:bCs/>
                <w:sz w:val="20"/>
                <w:szCs w:val="20"/>
              </w:rPr>
              <w:t>Baseline</w:t>
            </w:r>
          </w:p>
        </w:tc>
        <w:tc>
          <w:tcPr>
            <w:tcW w:w="1627" w:type="dxa"/>
            <w:shd w:val="clear" w:color="auto" w:fill="D9D9D9" w:themeFill="background1" w:themeFillShade="D9"/>
            <w:hideMark/>
          </w:tcPr>
          <w:p w14:paraId="0A9BE1E9" w14:textId="77777777" w:rsidR="006D6331" w:rsidRPr="0088154E" w:rsidRDefault="006D6331" w:rsidP="006D6331">
            <w:pPr>
              <w:jc w:val="center"/>
              <w:rPr>
                <w:rFonts w:eastAsia="Calibri"/>
                <w:b/>
                <w:bCs/>
                <w:sz w:val="20"/>
                <w:szCs w:val="20"/>
              </w:rPr>
            </w:pPr>
            <w:r w:rsidRPr="0088154E">
              <w:rPr>
                <w:rFonts w:eastAsia="Calibri"/>
                <w:b/>
                <w:bCs/>
                <w:sz w:val="20"/>
                <w:szCs w:val="20"/>
              </w:rPr>
              <w:t>Benchmark</w:t>
            </w:r>
          </w:p>
        </w:tc>
        <w:tc>
          <w:tcPr>
            <w:tcW w:w="1354" w:type="dxa"/>
            <w:shd w:val="clear" w:color="auto" w:fill="D9D9D9" w:themeFill="background1" w:themeFillShade="D9"/>
            <w:hideMark/>
          </w:tcPr>
          <w:p w14:paraId="19366FE1" w14:textId="77777777" w:rsidR="006D6331" w:rsidRPr="0088154E" w:rsidRDefault="006D6331" w:rsidP="006D6331">
            <w:pPr>
              <w:jc w:val="center"/>
              <w:rPr>
                <w:rFonts w:eastAsia="Calibri"/>
                <w:b/>
                <w:bCs/>
                <w:sz w:val="20"/>
                <w:szCs w:val="20"/>
              </w:rPr>
            </w:pPr>
            <w:r w:rsidRPr="0088154E">
              <w:rPr>
                <w:rFonts w:eastAsia="Calibri"/>
                <w:b/>
                <w:bCs/>
                <w:sz w:val="20"/>
                <w:szCs w:val="20"/>
              </w:rPr>
              <w:t>Outcome</w:t>
            </w:r>
          </w:p>
        </w:tc>
        <w:tc>
          <w:tcPr>
            <w:tcW w:w="1440" w:type="dxa"/>
            <w:shd w:val="clear" w:color="auto" w:fill="D9D9D9" w:themeFill="background1" w:themeFillShade="D9"/>
            <w:hideMark/>
          </w:tcPr>
          <w:p w14:paraId="586EC21C" w14:textId="77777777" w:rsidR="006D6331" w:rsidRPr="0088154E" w:rsidRDefault="006D6331" w:rsidP="006D6331">
            <w:pPr>
              <w:jc w:val="center"/>
              <w:rPr>
                <w:rFonts w:eastAsia="Calibri"/>
                <w:b/>
                <w:bCs/>
                <w:sz w:val="20"/>
                <w:szCs w:val="20"/>
              </w:rPr>
            </w:pPr>
            <w:r w:rsidRPr="0088154E">
              <w:rPr>
                <w:rFonts w:eastAsia="Calibri"/>
                <w:b/>
                <w:bCs/>
                <w:sz w:val="20"/>
                <w:szCs w:val="20"/>
              </w:rPr>
              <w:t>Benchmark Achieved?</w:t>
            </w:r>
          </w:p>
        </w:tc>
      </w:tr>
      <w:tr w:rsidR="006D6331" w:rsidRPr="0088154E" w14:paraId="7167E0EB" w14:textId="77777777" w:rsidTr="006D6331">
        <w:trPr>
          <w:trHeight w:val="315"/>
        </w:trPr>
        <w:tc>
          <w:tcPr>
            <w:tcW w:w="3240" w:type="dxa"/>
            <w:vMerge w:val="restart"/>
            <w:shd w:val="clear" w:color="auto" w:fill="auto"/>
          </w:tcPr>
          <w:p w14:paraId="6B8D035F" w14:textId="77777777" w:rsidR="006D6331" w:rsidRPr="0088154E" w:rsidRDefault="006D6331" w:rsidP="006D6331">
            <w:pPr>
              <w:rPr>
                <w:rFonts w:eastAsia="Calibri"/>
                <w:sz w:val="20"/>
                <w:szCs w:val="20"/>
              </w:rPr>
            </w:pPr>
            <w:r w:rsidRPr="0088154E">
              <w:rPr>
                <w:rFonts w:eastAsia="Calibri"/>
                <w:sz w:val="20"/>
                <w:szCs w:val="20"/>
              </w:rPr>
              <w:t>Unemployed*</w:t>
            </w:r>
          </w:p>
        </w:tc>
        <w:tc>
          <w:tcPr>
            <w:tcW w:w="1872" w:type="dxa"/>
            <w:shd w:val="clear" w:color="auto" w:fill="auto"/>
          </w:tcPr>
          <w:p w14:paraId="1BC73539" w14:textId="77777777" w:rsidR="006D6331" w:rsidRPr="0088154E" w:rsidRDefault="006D6331" w:rsidP="006D6331">
            <w:pPr>
              <w:jc w:val="center"/>
              <w:rPr>
                <w:rFonts w:eastAsia="Calibri"/>
                <w:sz w:val="20"/>
                <w:szCs w:val="20"/>
              </w:rPr>
            </w:pPr>
            <w:r w:rsidRPr="0088154E">
              <w:rPr>
                <w:rFonts w:eastAsia="Calibri"/>
                <w:sz w:val="20"/>
                <w:szCs w:val="20"/>
              </w:rPr>
              <w:t xml:space="preserve"> 0</w:t>
            </w:r>
          </w:p>
        </w:tc>
        <w:tc>
          <w:tcPr>
            <w:tcW w:w="1627" w:type="dxa"/>
            <w:shd w:val="clear" w:color="auto" w:fill="auto"/>
          </w:tcPr>
          <w:p w14:paraId="445179CA" w14:textId="77777777" w:rsidR="006D6331" w:rsidRPr="0088154E" w:rsidRDefault="006D6331" w:rsidP="006D6331">
            <w:pPr>
              <w:jc w:val="center"/>
              <w:rPr>
                <w:rFonts w:eastAsia="Calibri"/>
                <w:sz w:val="20"/>
                <w:szCs w:val="20"/>
              </w:rPr>
            </w:pPr>
            <w:r w:rsidRPr="0088154E">
              <w:rPr>
                <w:rFonts w:eastAsia="Calibri"/>
                <w:sz w:val="20"/>
                <w:szCs w:val="20"/>
              </w:rPr>
              <w:t>14</w:t>
            </w:r>
          </w:p>
        </w:tc>
        <w:tc>
          <w:tcPr>
            <w:tcW w:w="1354" w:type="dxa"/>
            <w:shd w:val="clear" w:color="auto" w:fill="auto"/>
          </w:tcPr>
          <w:p w14:paraId="04BA0910" w14:textId="77777777" w:rsidR="006D6331" w:rsidRPr="0088154E" w:rsidRDefault="006D6331" w:rsidP="006D6331">
            <w:pPr>
              <w:jc w:val="center"/>
              <w:rPr>
                <w:rFonts w:eastAsia="Calibri"/>
                <w:sz w:val="20"/>
                <w:szCs w:val="20"/>
              </w:rPr>
            </w:pPr>
          </w:p>
        </w:tc>
        <w:tc>
          <w:tcPr>
            <w:tcW w:w="1440" w:type="dxa"/>
            <w:shd w:val="clear" w:color="auto" w:fill="auto"/>
          </w:tcPr>
          <w:p w14:paraId="6FFA53A5" w14:textId="77777777" w:rsidR="006D6331" w:rsidRPr="0088154E" w:rsidRDefault="006D6331" w:rsidP="006D6331">
            <w:pPr>
              <w:jc w:val="center"/>
              <w:rPr>
                <w:rFonts w:eastAsia="Calibri"/>
                <w:sz w:val="20"/>
                <w:szCs w:val="20"/>
              </w:rPr>
            </w:pPr>
          </w:p>
        </w:tc>
      </w:tr>
      <w:tr w:rsidR="006D6331" w:rsidRPr="0088154E" w14:paraId="0C115F6C" w14:textId="77777777" w:rsidTr="006D6331">
        <w:trPr>
          <w:trHeight w:val="315"/>
        </w:trPr>
        <w:tc>
          <w:tcPr>
            <w:tcW w:w="3240" w:type="dxa"/>
            <w:vMerge/>
            <w:shd w:val="clear" w:color="auto" w:fill="auto"/>
          </w:tcPr>
          <w:p w14:paraId="392C7A81" w14:textId="77777777" w:rsidR="006D6331" w:rsidRPr="0088154E" w:rsidRDefault="006D6331" w:rsidP="006D6331">
            <w:pPr>
              <w:rPr>
                <w:rFonts w:eastAsia="Calibri"/>
                <w:sz w:val="20"/>
                <w:szCs w:val="20"/>
              </w:rPr>
            </w:pPr>
          </w:p>
        </w:tc>
        <w:tc>
          <w:tcPr>
            <w:tcW w:w="1872" w:type="dxa"/>
            <w:shd w:val="clear" w:color="auto" w:fill="auto"/>
          </w:tcPr>
          <w:p w14:paraId="7A646653" w14:textId="77777777" w:rsidR="006D6331" w:rsidRPr="0088154E" w:rsidRDefault="006D6331" w:rsidP="006D6331">
            <w:pPr>
              <w:jc w:val="center"/>
              <w:rPr>
                <w:rFonts w:eastAsia="Calibri"/>
                <w:sz w:val="20"/>
                <w:szCs w:val="20"/>
              </w:rPr>
            </w:pPr>
            <w:r w:rsidRPr="0088154E">
              <w:rPr>
                <w:rFonts w:eastAsia="Calibri"/>
                <w:sz w:val="20"/>
                <w:szCs w:val="20"/>
              </w:rPr>
              <w:t xml:space="preserve"> 0%</w:t>
            </w:r>
          </w:p>
        </w:tc>
        <w:tc>
          <w:tcPr>
            <w:tcW w:w="1627" w:type="dxa"/>
            <w:shd w:val="clear" w:color="auto" w:fill="auto"/>
          </w:tcPr>
          <w:p w14:paraId="78B67895" w14:textId="77777777" w:rsidR="006D6331" w:rsidRPr="0088154E" w:rsidRDefault="006D6331" w:rsidP="006D6331">
            <w:pPr>
              <w:jc w:val="center"/>
              <w:rPr>
                <w:rFonts w:eastAsia="Calibri"/>
                <w:sz w:val="20"/>
                <w:szCs w:val="20"/>
              </w:rPr>
            </w:pPr>
            <w:r w:rsidRPr="0088154E">
              <w:rPr>
                <w:rFonts w:eastAsia="Calibri"/>
                <w:sz w:val="20"/>
                <w:szCs w:val="20"/>
              </w:rPr>
              <w:t>70%</w:t>
            </w:r>
          </w:p>
        </w:tc>
        <w:tc>
          <w:tcPr>
            <w:tcW w:w="1354" w:type="dxa"/>
            <w:shd w:val="clear" w:color="auto" w:fill="auto"/>
          </w:tcPr>
          <w:p w14:paraId="0B3CE4D8" w14:textId="77777777" w:rsidR="006D6331" w:rsidRPr="0088154E" w:rsidRDefault="006D6331" w:rsidP="006D6331">
            <w:pPr>
              <w:jc w:val="center"/>
              <w:rPr>
                <w:rFonts w:eastAsia="Calibri"/>
                <w:sz w:val="20"/>
                <w:szCs w:val="20"/>
              </w:rPr>
            </w:pPr>
          </w:p>
        </w:tc>
        <w:tc>
          <w:tcPr>
            <w:tcW w:w="1440" w:type="dxa"/>
            <w:shd w:val="clear" w:color="auto" w:fill="auto"/>
          </w:tcPr>
          <w:p w14:paraId="3A23D78F" w14:textId="77777777" w:rsidR="006D6331" w:rsidRPr="0088154E" w:rsidRDefault="006D6331" w:rsidP="006D6331">
            <w:pPr>
              <w:jc w:val="center"/>
              <w:rPr>
                <w:rFonts w:eastAsia="Calibri"/>
                <w:sz w:val="20"/>
                <w:szCs w:val="20"/>
              </w:rPr>
            </w:pPr>
          </w:p>
        </w:tc>
      </w:tr>
      <w:tr w:rsidR="006D6331" w:rsidRPr="0088154E" w14:paraId="221BC6D7" w14:textId="77777777" w:rsidTr="006D6331">
        <w:trPr>
          <w:trHeight w:val="315"/>
        </w:trPr>
        <w:tc>
          <w:tcPr>
            <w:tcW w:w="3240" w:type="dxa"/>
            <w:vMerge w:val="restart"/>
            <w:shd w:val="clear" w:color="auto" w:fill="auto"/>
            <w:hideMark/>
          </w:tcPr>
          <w:p w14:paraId="118656E1" w14:textId="77777777" w:rsidR="006D6331" w:rsidRPr="0088154E" w:rsidRDefault="006D6331" w:rsidP="006D6331">
            <w:pPr>
              <w:rPr>
                <w:rFonts w:eastAsia="Calibri"/>
                <w:sz w:val="20"/>
                <w:szCs w:val="20"/>
              </w:rPr>
            </w:pPr>
            <w:r w:rsidRPr="0088154E">
              <w:rPr>
                <w:rFonts w:eastAsia="Calibri"/>
                <w:sz w:val="20"/>
                <w:szCs w:val="20"/>
              </w:rPr>
              <w:t>Employed Part-Time or Full-Time *</w:t>
            </w:r>
          </w:p>
        </w:tc>
        <w:tc>
          <w:tcPr>
            <w:tcW w:w="1872" w:type="dxa"/>
            <w:shd w:val="clear" w:color="auto" w:fill="auto"/>
          </w:tcPr>
          <w:p w14:paraId="69BFA265" w14:textId="77777777" w:rsidR="006D6331" w:rsidRPr="0088154E" w:rsidRDefault="006D6331" w:rsidP="006D6331">
            <w:pPr>
              <w:jc w:val="center"/>
              <w:rPr>
                <w:rFonts w:eastAsia="Calibri"/>
                <w:sz w:val="20"/>
                <w:szCs w:val="20"/>
              </w:rPr>
            </w:pPr>
            <w:r w:rsidRPr="0088154E">
              <w:rPr>
                <w:rFonts w:eastAsia="Calibri"/>
                <w:sz w:val="20"/>
                <w:szCs w:val="20"/>
              </w:rPr>
              <w:t xml:space="preserve"> 0</w:t>
            </w:r>
          </w:p>
        </w:tc>
        <w:tc>
          <w:tcPr>
            <w:tcW w:w="1627" w:type="dxa"/>
            <w:shd w:val="clear" w:color="auto" w:fill="auto"/>
          </w:tcPr>
          <w:p w14:paraId="77C5E06B" w14:textId="77777777" w:rsidR="006D6331" w:rsidRPr="0088154E" w:rsidRDefault="006D6331" w:rsidP="006D6331">
            <w:pPr>
              <w:jc w:val="center"/>
              <w:rPr>
                <w:rFonts w:eastAsia="Calibri"/>
                <w:sz w:val="20"/>
                <w:szCs w:val="20"/>
              </w:rPr>
            </w:pPr>
            <w:r w:rsidRPr="0088154E">
              <w:rPr>
                <w:rFonts w:eastAsia="Calibri"/>
                <w:sz w:val="20"/>
                <w:szCs w:val="20"/>
              </w:rPr>
              <w:t>6</w:t>
            </w:r>
          </w:p>
        </w:tc>
        <w:tc>
          <w:tcPr>
            <w:tcW w:w="1354" w:type="dxa"/>
            <w:shd w:val="clear" w:color="auto" w:fill="auto"/>
          </w:tcPr>
          <w:p w14:paraId="7D3F6001" w14:textId="77777777" w:rsidR="006D6331" w:rsidRPr="0088154E" w:rsidRDefault="006D6331" w:rsidP="006D6331">
            <w:pPr>
              <w:jc w:val="center"/>
              <w:rPr>
                <w:rFonts w:eastAsia="Calibri"/>
                <w:sz w:val="20"/>
                <w:szCs w:val="20"/>
              </w:rPr>
            </w:pPr>
          </w:p>
        </w:tc>
        <w:tc>
          <w:tcPr>
            <w:tcW w:w="1440" w:type="dxa"/>
            <w:shd w:val="clear" w:color="auto" w:fill="auto"/>
          </w:tcPr>
          <w:p w14:paraId="0352FF60" w14:textId="77777777" w:rsidR="006D6331" w:rsidRPr="0088154E" w:rsidRDefault="006D6331" w:rsidP="006D6331">
            <w:pPr>
              <w:jc w:val="center"/>
              <w:rPr>
                <w:rFonts w:eastAsia="Calibri"/>
                <w:sz w:val="20"/>
                <w:szCs w:val="20"/>
              </w:rPr>
            </w:pPr>
          </w:p>
        </w:tc>
      </w:tr>
      <w:tr w:rsidR="006D6331" w:rsidRPr="0088154E" w14:paraId="086263DD" w14:textId="77777777" w:rsidTr="006D6331">
        <w:trPr>
          <w:trHeight w:val="315"/>
        </w:trPr>
        <w:tc>
          <w:tcPr>
            <w:tcW w:w="3240" w:type="dxa"/>
            <w:vMerge/>
            <w:shd w:val="clear" w:color="auto" w:fill="auto"/>
            <w:hideMark/>
          </w:tcPr>
          <w:p w14:paraId="1EA7EC18" w14:textId="77777777" w:rsidR="006D6331" w:rsidRPr="0088154E" w:rsidRDefault="006D6331" w:rsidP="006D6331">
            <w:pPr>
              <w:rPr>
                <w:rFonts w:eastAsia="Calibri"/>
                <w:sz w:val="20"/>
                <w:szCs w:val="20"/>
              </w:rPr>
            </w:pPr>
          </w:p>
        </w:tc>
        <w:tc>
          <w:tcPr>
            <w:tcW w:w="1872" w:type="dxa"/>
            <w:shd w:val="clear" w:color="auto" w:fill="auto"/>
          </w:tcPr>
          <w:p w14:paraId="2B1911DD" w14:textId="77777777" w:rsidR="006D6331" w:rsidRPr="0088154E" w:rsidRDefault="006D6331" w:rsidP="006D6331">
            <w:pPr>
              <w:jc w:val="center"/>
              <w:rPr>
                <w:rFonts w:eastAsia="Calibri"/>
                <w:sz w:val="20"/>
                <w:szCs w:val="20"/>
              </w:rPr>
            </w:pPr>
            <w:r w:rsidRPr="0088154E">
              <w:rPr>
                <w:rFonts w:eastAsia="Calibri"/>
                <w:sz w:val="20"/>
                <w:szCs w:val="20"/>
              </w:rPr>
              <w:t xml:space="preserve"> 0%</w:t>
            </w:r>
          </w:p>
        </w:tc>
        <w:tc>
          <w:tcPr>
            <w:tcW w:w="1627" w:type="dxa"/>
            <w:shd w:val="clear" w:color="auto" w:fill="auto"/>
          </w:tcPr>
          <w:p w14:paraId="7BCF0726" w14:textId="77777777" w:rsidR="006D6331" w:rsidRPr="0088154E" w:rsidRDefault="006D6331" w:rsidP="006D6331">
            <w:pPr>
              <w:jc w:val="center"/>
              <w:rPr>
                <w:rFonts w:eastAsia="Calibri"/>
                <w:sz w:val="20"/>
                <w:szCs w:val="20"/>
              </w:rPr>
            </w:pPr>
            <w:r w:rsidRPr="0088154E">
              <w:rPr>
                <w:rFonts w:eastAsia="Calibri"/>
                <w:sz w:val="20"/>
                <w:szCs w:val="20"/>
              </w:rPr>
              <w:t>30%</w:t>
            </w:r>
          </w:p>
        </w:tc>
        <w:tc>
          <w:tcPr>
            <w:tcW w:w="1354" w:type="dxa"/>
            <w:shd w:val="clear" w:color="auto" w:fill="auto"/>
          </w:tcPr>
          <w:p w14:paraId="50524207" w14:textId="77777777" w:rsidR="006D6331" w:rsidRPr="0088154E" w:rsidRDefault="006D6331" w:rsidP="006D6331">
            <w:pPr>
              <w:jc w:val="center"/>
              <w:rPr>
                <w:rFonts w:eastAsia="Calibri"/>
                <w:sz w:val="20"/>
                <w:szCs w:val="20"/>
              </w:rPr>
            </w:pPr>
          </w:p>
        </w:tc>
        <w:tc>
          <w:tcPr>
            <w:tcW w:w="1440" w:type="dxa"/>
            <w:shd w:val="clear" w:color="auto" w:fill="auto"/>
          </w:tcPr>
          <w:p w14:paraId="7EBBDEE1" w14:textId="77777777" w:rsidR="006D6331" w:rsidRPr="0088154E" w:rsidRDefault="006D6331" w:rsidP="006D6331">
            <w:pPr>
              <w:jc w:val="center"/>
              <w:rPr>
                <w:rFonts w:eastAsia="Calibri"/>
                <w:sz w:val="20"/>
                <w:szCs w:val="20"/>
              </w:rPr>
            </w:pPr>
          </w:p>
        </w:tc>
      </w:tr>
      <w:tr w:rsidR="006D6331" w:rsidRPr="0088154E" w14:paraId="502AD6DF" w14:textId="77777777" w:rsidTr="006D6331">
        <w:trPr>
          <w:trHeight w:val="315"/>
        </w:trPr>
        <w:tc>
          <w:tcPr>
            <w:tcW w:w="3240" w:type="dxa"/>
            <w:vMerge w:val="restart"/>
            <w:shd w:val="clear" w:color="auto" w:fill="auto"/>
          </w:tcPr>
          <w:p w14:paraId="419DCE28" w14:textId="77777777" w:rsidR="006D6331" w:rsidRPr="0088154E" w:rsidRDefault="006D6331" w:rsidP="006D6331">
            <w:pPr>
              <w:rPr>
                <w:rFonts w:eastAsia="Calibri"/>
                <w:sz w:val="20"/>
                <w:szCs w:val="20"/>
              </w:rPr>
            </w:pPr>
            <w:r w:rsidRPr="0088154E">
              <w:rPr>
                <w:rFonts w:eastAsia="Calibri"/>
                <w:sz w:val="20"/>
                <w:szCs w:val="20"/>
              </w:rPr>
              <w:t>Enrolled in an  Educational Program or Job Training</w:t>
            </w:r>
          </w:p>
        </w:tc>
        <w:tc>
          <w:tcPr>
            <w:tcW w:w="1872" w:type="dxa"/>
            <w:shd w:val="clear" w:color="auto" w:fill="auto"/>
          </w:tcPr>
          <w:p w14:paraId="5DFAA933" w14:textId="77777777" w:rsidR="006D6331" w:rsidRPr="0088154E" w:rsidRDefault="006D6331" w:rsidP="006D6331">
            <w:pPr>
              <w:jc w:val="center"/>
              <w:rPr>
                <w:rFonts w:eastAsia="Calibri"/>
                <w:sz w:val="20"/>
                <w:szCs w:val="20"/>
              </w:rPr>
            </w:pPr>
            <w:r w:rsidRPr="0088154E">
              <w:rPr>
                <w:rFonts w:eastAsia="Calibri"/>
                <w:sz w:val="20"/>
                <w:szCs w:val="20"/>
              </w:rPr>
              <w:t xml:space="preserve"> 0 households</w:t>
            </w:r>
          </w:p>
        </w:tc>
        <w:tc>
          <w:tcPr>
            <w:tcW w:w="1627" w:type="dxa"/>
            <w:shd w:val="clear" w:color="auto" w:fill="auto"/>
          </w:tcPr>
          <w:p w14:paraId="7439ED1B" w14:textId="77777777" w:rsidR="006D6331" w:rsidRPr="0088154E" w:rsidRDefault="006D6331" w:rsidP="006D6331">
            <w:pPr>
              <w:jc w:val="center"/>
              <w:rPr>
                <w:rFonts w:eastAsia="Calibri"/>
                <w:sz w:val="20"/>
                <w:szCs w:val="20"/>
              </w:rPr>
            </w:pPr>
            <w:r w:rsidRPr="0088154E">
              <w:rPr>
                <w:rFonts w:eastAsia="Calibri"/>
                <w:sz w:val="20"/>
                <w:szCs w:val="20"/>
              </w:rPr>
              <w:t>20 households</w:t>
            </w:r>
          </w:p>
        </w:tc>
        <w:tc>
          <w:tcPr>
            <w:tcW w:w="1354" w:type="dxa"/>
            <w:shd w:val="clear" w:color="auto" w:fill="auto"/>
          </w:tcPr>
          <w:p w14:paraId="6D4A0E01" w14:textId="77777777" w:rsidR="006D6331" w:rsidRPr="0088154E" w:rsidRDefault="006D6331" w:rsidP="006D6331">
            <w:pPr>
              <w:jc w:val="center"/>
              <w:rPr>
                <w:rFonts w:eastAsia="Calibri"/>
                <w:sz w:val="20"/>
                <w:szCs w:val="20"/>
              </w:rPr>
            </w:pPr>
          </w:p>
        </w:tc>
        <w:tc>
          <w:tcPr>
            <w:tcW w:w="1440" w:type="dxa"/>
            <w:shd w:val="clear" w:color="auto" w:fill="auto"/>
          </w:tcPr>
          <w:p w14:paraId="4D083D77" w14:textId="77777777" w:rsidR="006D6331" w:rsidRPr="0088154E" w:rsidRDefault="006D6331" w:rsidP="006D6331">
            <w:pPr>
              <w:jc w:val="center"/>
              <w:rPr>
                <w:rFonts w:eastAsia="Calibri"/>
                <w:sz w:val="20"/>
                <w:szCs w:val="20"/>
              </w:rPr>
            </w:pPr>
          </w:p>
        </w:tc>
      </w:tr>
      <w:tr w:rsidR="006D6331" w:rsidRPr="0088154E" w14:paraId="379EBF88" w14:textId="77777777" w:rsidTr="006D6331">
        <w:trPr>
          <w:trHeight w:val="315"/>
        </w:trPr>
        <w:tc>
          <w:tcPr>
            <w:tcW w:w="3240" w:type="dxa"/>
            <w:vMerge/>
            <w:shd w:val="clear" w:color="auto" w:fill="auto"/>
          </w:tcPr>
          <w:p w14:paraId="1681FE48" w14:textId="77777777" w:rsidR="006D6331" w:rsidRPr="0088154E" w:rsidRDefault="006D6331" w:rsidP="006D6331">
            <w:pPr>
              <w:rPr>
                <w:rFonts w:eastAsia="Calibri"/>
                <w:sz w:val="20"/>
                <w:szCs w:val="20"/>
              </w:rPr>
            </w:pPr>
          </w:p>
        </w:tc>
        <w:tc>
          <w:tcPr>
            <w:tcW w:w="1872" w:type="dxa"/>
            <w:shd w:val="clear" w:color="auto" w:fill="auto"/>
          </w:tcPr>
          <w:p w14:paraId="1404DEC2" w14:textId="77777777" w:rsidR="006D6331" w:rsidRPr="0088154E" w:rsidRDefault="006D6331" w:rsidP="006D6331">
            <w:pPr>
              <w:jc w:val="center"/>
              <w:rPr>
                <w:rFonts w:eastAsia="Calibri"/>
                <w:sz w:val="20"/>
                <w:szCs w:val="20"/>
              </w:rPr>
            </w:pPr>
            <w:r w:rsidRPr="0088154E">
              <w:rPr>
                <w:rFonts w:eastAsia="Calibri"/>
                <w:sz w:val="20"/>
                <w:szCs w:val="20"/>
              </w:rPr>
              <w:t xml:space="preserve"> 0%</w:t>
            </w:r>
          </w:p>
        </w:tc>
        <w:tc>
          <w:tcPr>
            <w:tcW w:w="1627" w:type="dxa"/>
            <w:shd w:val="clear" w:color="auto" w:fill="auto"/>
          </w:tcPr>
          <w:p w14:paraId="19E280B6" w14:textId="77777777" w:rsidR="006D6331" w:rsidRPr="0088154E" w:rsidRDefault="006D6331" w:rsidP="006D6331">
            <w:pPr>
              <w:jc w:val="center"/>
              <w:rPr>
                <w:rFonts w:eastAsia="Calibri"/>
                <w:sz w:val="20"/>
                <w:szCs w:val="20"/>
              </w:rPr>
            </w:pPr>
            <w:r w:rsidRPr="0088154E">
              <w:rPr>
                <w:rFonts w:eastAsia="Calibri"/>
                <w:sz w:val="20"/>
                <w:szCs w:val="20"/>
              </w:rPr>
              <w:t>100%</w:t>
            </w:r>
          </w:p>
        </w:tc>
        <w:tc>
          <w:tcPr>
            <w:tcW w:w="1354" w:type="dxa"/>
            <w:shd w:val="clear" w:color="auto" w:fill="auto"/>
          </w:tcPr>
          <w:p w14:paraId="21707D7E" w14:textId="77777777" w:rsidR="006D6331" w:rsidRPr="0088154E" w:rsidRDefault="006D6331" w:rsidP="006D6331">
            <w:pPr>
              <w:jc w:val="center"/>
              <w:rPr>
                <w:rFonts w:eastAsia="Calibri"/>
                <w:sz w:val="20"/>
                <w:szCs w:val="20"/>
              </w:rPr>
            </w:pPr>
          </w:p>
        </w:tc>
        <w:tc>
          <w:tcPr>
            <w:tcW w:w="1440" w:type="dxa"/>
            <w:shd w:val="clear" w:color="auto" w:fill="auto"/>
          </w:tcPr>
          <w:p w14:paraId="738B072A" w14:textId="77777777" w:rsidR="006D6331" w:rsidRPr="0088154E" w:rsidRDefault="006D6331" w:rsidP="006D6331">
            <w:pPr>
              <w:jc w:val="center"/>
              <w:rPr>
                <w:rFonts w:eastAsia="Calibri"/>
                <w:sz w:val="20"/>
                <w:szCs w:val="20"/>
              </w:rPr>
            </w:pPr>
          </w:p>
        </w:tc>
      </w:tr>
      <w:tr w:rsidR="006D6331" w:rsidRPr="0088154E" w14:paraId="45C25ADA" w14:textId="77777777" w:rsidTr="006D6331">
        <w:trPr>
          <w:trHeight w:hRule="exact" w:val="577"/>
        </w:trPr>
        <w:tc>
          <w:tcPr>
            <w:tcW w:w="1440" w:type="dxa"/>
            <w:gridSpan w:val="5"/>
            <w:shd w:val="clear" w:color="auto" w:fill="auto"/>
          </w:tcPr>
          <w:p w14:paraId="6026A630" w14:textId="77777777" w:rsidR="006D6331" w:rsidRPr="0088154E" w:rsidRDefault="006D6331" w:rsidP="006D6331">
            <w:pPr>
              <w:rPr>
                <w:bCs/>
                <w:i/>
                <w:iCs/>
                <w:sz w:val="20"/>
                <w:szCs w:val="20"/>
              </w:rPr>
            </w:pPr>
            <w:r w:rsidRPr="0088154E">
              <w:rPr>
                <w:bCs/>
                <w:i/>
                <w:iCs/>
                <w:sz w:val="20"/>
                <w:szCs w:val="20"/>
              </w:rPr>
              <w:t xml:space="preserve">* This initiative is not anticipated to increase the number of households employed, as the goal of the Activity is keep students enrolled in college. </w:t>
            </w:r>
          </w:p>
        </w:tc>
      </w:tr>
      <w:tr w:rsidR="006D6331" w:rsidRPr="0088154E" w14:paraId="2215C053" w14:textId="77777777" w:rsidTr="006D6331">
        <w:trPr>
          <w:trHeight w:hRule="exact" w:val="432"/>
        </w:trPr>
        <w:tc>
          <w:tcPr>
            <w:tcW w:w="1440" w:type="dxa"/>
            <w:gridSpan w:val="5"/>
            <w:shd w:val="clear" w:color="auto" w:fill="C6D9F1" w:themeFill="text2" w:themeFillTint="33"/>
            <w:hideMark/>
          </w:tcPr>
          <w:p w14:paraId="4C2427C0" w14:textId="77777777" w:rsidR="006D6331" w:rsidRPr="0088154E" w:rsidRDefault="006D6331" w:rsidP="006D6331">
            <w:pPr>
              <w:jc w:val="center"/>
              <w:rPr>
                <w:rFonts w:eastAsia="Calibri"/>
                <w:b/>
                <w:bCs/>
                <w:i/>
                <w:iCs/>
                <w:sz w:val="20"/>
                <w:szCs w:val="20"/>
              </w:rPr>
            </w:pPr>
            <w:r w:rsidRPr="0088154E">
              <w:rPr>
                <w:rFonts w:eastAsia="Calibri"/>
                <w:b/>
                <w:bCs/>
                <w:i/>
                <w:iCs/>
                <w:sz w:val="20"/>
                <w:szCs w:val="20"/>
              </w:rPr>
              <w:t>SS #5: Households Assisted by Services that Increase Self Sufficiency</w:t>
            </w:r>
          </w:p>
        </w:tc>
      </w:tr>
      <w:tr w:rsidR="006D6331" w:rsidRPr="0088154E" w14:paraId="6AE6ABE7" w14:textId="77777777" w:rsidTr="006D6331">
        <w:trPr>
          <w:trHeight w:hRule="exact" w:val="576"/>
        </w:trPr>
        <w:tc>
          <w:tcPr>
            <w:tcW w:w="3240" w:type="dxa"/>
            <w:shd w:val="clear" w:color="auto" w:fill="D9D9D9" w:themeFill="background1" w:themeFillShade="D9"/>
            <w:hideMark/>
          </w:tcPr>
          <w:p w14:paraId="3780063F" w14:textId="77777777" w:rsidR="006D6331" w:rsidRPr="0088154E" w:rsidRDefault="006D6331" w:rsidP="006D6331">
            <w:pPr>
              <w:jc w:val="center"/>
              <w:rPr>
                <w:rFonts w:eastAsia="Calibri"/>
                <w:b/>
                <w:bCs/>
                <w:sz w:val="20"/>
                <w:szCs w:val="20"/>
              </w:rPr>
            </w:pPr>
            <w:r w:rsidRPr="0088154E">
              <w:rPr>
                <w:rFonts w:eastAsia="Calibri"/>
                <w:b/>
                <w:bCs/>
                <w:sz w:val="20"/>
                <w:szCs w:val="20"/>
              </w:rPr>
              <w:t>Unit of Measurement</w:t>
            </w:r>
          </w:p>
        </w:tc>
        <w:tc>
          <w:tcPr>
            <w:tcW w:w="1872" w:type="dxa"/>
            <w:shd w:val="clear" w:color="auto" w:fill="D9D9D9" w:themeFill="background1" w:themeFillShade="D9"/>
            <w:hideMark/>
          </w:tcPr>
          <w:p w14:paraId="457C6D69" w14:textId="77777777" w:rsidR="006D6331" w:rsidRPr="0088154E" w:rsidRDefault="006D6331" w:rsidP="006D6331">
            <w:pPr>
              <w:jc w:val="center"/>
              <w:rPr>
                <w:rFonts w:eastAsia="Calibri"/>
                <w:b/>
                <w:bCs/>
                <w:sz w:val="20"/>
                <w:szCs w:val="20"/>
              </w:rPr>
            </w:pPr>
            <w:r w:rsidRPr="0088154E">
              <w:rPr>
                <w:rFonts w:eastAsia="Calibri"/>
                <w:b/>
                <w:bCs/>
                <w:sz w:val="20"/>
                <w:szCs w:val="20"/>
              </w:rPr>
              <w:t>Baseline</w:t>
            </w:r>
          </w:p>
        </w:tc>
        <w:tc>
          <w:tcPr>
            <w:tcW w:w="1627" w:type="dxa"/>
            <w:shd w:val="clear" w:color="auto" w:fill="D9D9D9" w:themeFill="background1" w:themeFillShade="D9"/>
            <w:hideMark/>
          </w:tcPr>
          <w:p w14:paraId="517E3CC5" w14:textId="77777777" w:rsidR="006D6331" w:rsidRPr="0088154E" w:rsidRDefault="006D6331" w:rsidP="006D6331">
            <w:pPr>
              <w:jc w:val="center"/>
              <w:rPr>
                <w:rFonts w:eastAsia="Calibri"/>
                <w:b/>
                <w:bCs/>
                <w:sz w:val="20"/>
                <w:szCs w:val="20"/>
              </w:rPr>
            </w:pPr>
            <w:r w:rsidRPr="0088154E">
              <w:rPr>
                <w:rFonts w:eastAsia="Calibri"/>
                <w:b/>
                <w:bCs/>
                <w:sz w:val="20"/>
                <w:szCs w:val="20"/>
              </w:rPr>
              <w:t>Benchmark</w:t>
            </w:r>
          </w:p>
        </w:tc>
        <w:tc>
          <w:tcPr>
            <w:tcW w:w="1354" w:type="dxa"/>
            <w:shd w:val="clear" w:color="auto" w:fill="D9D9D9" w:themeFill="background1" w:themeFillShade="D9"/>
            <w:hideMark/>
          </w:tcPr>
          <w:p w14:paraId="72EE336C" w14:textId="77777777" w:rsidR="006D6331" w:rsidRPr="0088154E" w:rsidRDefault="006D6331" w:rsidP="006D6331">
            <w:pPr>
              <w:jc w:val="center"/>
              <w:rPr>
                <w:rFonts w:eastAsia="Calibri"/>
                <w:b/>
                <w:bCs/>
                <w:sz w:val="20"/>
                <w:szCs w:val="20"/>
              </w:rPr>
            </w:pPr>
            <w:r w:rsidRPr="0088154E">
              <w:rPr>
                <w:rFonts w:eastAsia="Calibri"/>
                <w:b/>
                <w:bCs/>
                <w:sz w:val="20"/>
                <w:szCs w:val="20"/>
              </w:rPr>
              <w:t>Outcome</w:t>
            </w:r>
          </w:p>
        </w:tc>
        <w:tc>
          <w:tcPr>
            <w:tcW w:w="1440" w:type="dxa"/>
            <w:shd w:val="clear" w:color="auto" w:fill="D9D9D9" w:themeFill="background1" w:themeFillShade="D9"/>
            <w:hideMark/>
          </w:tcPr>
          <w:p w14:paraId="3737989E" w14:textId="77777777" w:rsidR="006D6331" w:rsidRPr="0088154E" w:rsidRDefault="006D6331" w:rsidP="006D6331">
            <w:pPr>
              <w:jc w:val="center"/>
              <w:rPr>
                <w:rFonts w:eastAsia="Calibri"/>
                <w:b/>
                <w:bCs/>
                <w:sz w:val="20"/>
                <w:szCs w:val="20"/>
              </w:rPr>
            </w:pPr>
            <w:r w:rsidRPr="0088154E">
              <w:rPr>
                <w:rFonts w:eastAsia="Calibri"/>
                <w:b/>
                <w:bCs/>
                <w:sz w:val="20"/>
                <w:szCs w:val="20"/>
              </w:rPr>
              <w:t>Benchmark Achieved?</w:t>
            </w:r>
          </w:p>
        </w:tc>
      </w:tr>
      <w:tr w:rsidR="006D6331" w:rsidRPr="0088154E" w14:paraId="03849D5B" w14:textId="77777777" w:rsidTr="006D6331">
        <w:trPr>
          <w:trHeight w:val="800"/>
        </w:trPr>
        <w:tc>
          <w:tcPr>
            <w:tcW w:w="3240" w:type="dxa"/>
            <w:shd w:val="clear" w:color="auto" w:fill="auto"/>
            <w:hideMark/>
          </w:tcPr>
          <w:p w14:paraId="2E5DBA33" w14:textId="77777777" w:rsidR="006D6331" w:rsidRPr="0088154E" w:rsidRDefault="006D6331" w:rsidP="006D6331">
            <w:pPr>
              <w:rPr>
                <w:rFonts w:eastAsia="Calibri"/>
                <w:sz w:val="20"/>
                <w:szCs w:val="20"/>
              </w:rPr>
            </w:pPr>
            <w:r w:rsidRPr="0088154E">
              <w:rPr>
                <w:rFonts w:eastAsia="Calibri"/>
                <w:sz w:val="20"/>
                <w:szCs w:val="20"/>
              </w:rPr>
              <w:t>Number of households receiving services aimed to increase self-sufficiency (increase).</w:t>
            </w:r>
          </w:p>
        </w:tc>
        <w:tc>
          <w:tcPr>
            <w:tcW w:w="1872" w:type="dxa"/>
            <w:shd w:val="clear" w:color="auto" w:fill="auto"/>
          </w:tcPr>
          <w:p w14:paraId="5CBD04FA" w14:textId="77777777" w:rsidR="006D6331" w:rsidRPr="0088154E" w:rsidRDefault="006D6331" w:rsidP="006D6331">
            <w:pPr>
              <w:jc w:val="center"/>
              <w:rPr>
                <w:rFonts w:eastAsia="Calibri"/>
                <w:sz w:val="20"/>
                <w:szCs w:val="20"/>
              </w:rPr>
            </w:pPr>
            <w:r w:rsidRPr="0088154E">
              <w:rPr>
                <w:rFonts w:eastAsia="Calibri"/>
                <w:sz w:val="20"/>
                <w:szCs w:val="20"/>
              </w:rPr>
              <w:t>0</w:t>
            </w:r>
          </w:p>
        </w:tc>
        <w:tc>
          <w:tcPr>
            <w:tcW w:w="1627" w:type="dxa"/>
            <w:shd w:val="clear" w:color="auto" w:fill="auto"/>
          </w:tcPr>
          <w:p w14:paraId="5A74CB7A" w14:textId="5B5AE0AE" w:rsidR="006D6331" w:rsidRPr="0088154E" w:rsidRDefault="006D6331" w:rsidP="006D6331">
            <w:pPr>
              <w:jc w:val="center"/>
              <w:rPr>
                <w:rFonts w:eastAsia="Calibri"/>
                <w:sz w:val="20"/>
                <w:szCs w:val="20"/>
              </w:rPr>
            </w:pPr>
            <w:r w:rsidRPr="0088154E">
              <w:rPr>
                <w:rFonts w:eastAsia="Calibri"/>
                <w:sz w:val="20"/>
                <w:szCs w:val="20"/>
              </w:rPr>
              <w:t>20 households</w:t>
            </w:r>
            <w:r w:rsidR="00C02178" w:rsidRPr="0088154E">
              <w:rPr>
                <w:rFonts w:eastAsia="Calibri"/>
                <w:sz w:val="20"/>
                <w:szCs w:val="20"/>
              </w:rPr>
              <w:t xml:space="preserve"> per year</w:t>
            </w:r>
          </w:p>
        </w:tc>
        <w:tc>
          <w:tcPr>
            <w:tcW w:w="1354" w:type="dxa"/>
            <w:shd w:val="clear" w:color="auto" w:fill="auto"/>
          </w:tcPr>
          <w:p w14:paraId="4DAEED4C" w14:textId="77777777" w:rsidR="006D6331" w:rsidRPr="0088154E" w:rsidRDefault="006D6331" w:rsidP="006D6331">
            <w:pPr>
              <w:jc w:val="center"/>
              <w:rPr>
                <w:rFonts w:eastAsia="Calibri"/>
                <w:sz w:val="20"/>
                <w:szCs w:val="20"/>
              </w:rPr>
            </w:pPr>
          </w:p>
        </w:tc>
        <w:tc>
          <w:tcPr>
            <w:tcW w:w="1440" w:type="dxa"/>
            <w:shd w:val="clear" w:color="auto" w:fill="auto"/>
          </w:tcPr>
          <w:p w14:paraId="4AD25E9E" w14:textId="77777777" w:rsidR="006D6331" w:rsidRPr="0088154E" w:rsidRDefault="006D6331" w:rsidP="006D6331">
            <w:pPr>
              <w:jc w:val="center"/>
              <w:rPr>
                <w:rFonts w:eastAsia="Calibri"/>
                <w:sz w:val="20"/>
                <w:szCs w:val="20"/>
              </w:rPr>
            </w:pPr>
          </w:p>
        </w:tc>
      </w:tr>
      <w:tr w:rsidR="006D6331" w:rsidRPr="0088154E" w14:paraId="2C19E9F3" w14:textId="77777777" w:rsidTr="006D6331">
        <w:trPr>
          <w:trHeight w:hRule="exact" w:val="432"/>
        </w:trPr>
        <w:tc>
          <w:tcPr>
            <w:tcW w:w="1440" w:type="dxa"/>
            <w:gridSpan w:val="5"/>
            <w:shd w:val="clear" w:color="auto" w:fill="C6D9F1" w:themeFill="text2" w:themeFillTint="33"/>
            <w:hideMark/>
          </w:tcPr>
          <w:p w14:paraId="11956A41" w14:textId="03C9AE1A" w:rsidR="006D6331" w:rsidRPr="0088154E" w:rsidRDefault="006D6331" w:rsidP="006D6331">
            <w:pPr>
              <w:jc w:val="center"/>
              <w:rPr>
                <w:rFonts w:eastAsia="Calibri"/>
                <w:b/>
                <w:bCs/>
                <w:i/>
                <w:iCs/>
                <w:sz w:val="20"/>
                <w:szCs w:val="20"/>
              </w:rPr>
            </w:pPr>
            <w:r w:rsidRPr="0088154E">
              <w:rPr>
                <w:rFonts w:eastAsia="Calibri"/>
                <w:b/>
                <w:bCs/>
                <w:i/>
                <w:iCs/>
                <w:sz w:val="20"/>
                <w:szCs w:val="20"/>
              </w:rPr>
              <w:t>SS #8: Households Transitioned to Self Sufficiency*</w:t>
            </w:r>
          </w:p>
          <w:p w14:paraId="42C5FCA5" w14:textId="77777777" w:rsidR="006D6331" w:rsidRPr="0088154E" w:rsidRDefault="006D6331" w:rsidP="006D6331">
            <w:pPr>
              <w:rPr>
                <w:rFonts w:eastAsia="Calibri"/>
                <w:sz w:val="20"/>
                <w:szCs w:val="20"/>
              </w:rPr>
            </w:pPr>
          </w:p>
          <w:p w14:paraId="289DA7C5" w14:textId="77777777" w:rsidR="006D6331" w:rsidRPr="0088154E" w:rsidRDefault="006D6331" w:rsidP="006D6331">
            <w:pPr>
              <w:rPr>
                <w:rFonts w:eastAsia="Calibri"/>
                <w:sz w:val="20"/>
                <w:szCs w:val="20"/>
              </w:rPr>
            </w:pPr>
          </w:p>
          <w:p w14:paraId="6B28D98F" w14:textId="40F6E96B" w:rsidR="006D6331" w:rsidRPr="0088154E" w:rsidRDefault="006D6331" w:rsidP="006D6331">
            <w:pPr>
              <w:tabs>
                <w:tab w:val="left" w:pos="1884"/>
              </w:tabs>
              <w:rPr>
                <w:rFonts w:eastAsia="Calibri"/>
                <w:sz w:val="20"/>
                <w:szCs w:val="20"/>
              </w:rPr>
            </w:pPr>
            <w:r w:rsidRPr="0088154E">
              <w:rPr>
                <w:rFonts w:eastAsia="Calibri"/>
                <w:sz w:val="20"/>
                <w:szCs w:val="20"/>
              </w:rPr>
              <w:tab/>
            </w:r>
          </w:p>
        </w:tc>
      </w:tr>
      <w:tr w:rsidR="006D6331" w:rsidRPr="0088154E" w14:paraId="0A3A32DB" w14:textId="77777777" w:rsidTr="006D6331">
        <w:trPr>
          <w:trHeight w:hRule="exact" w:val="576"/>
        </w:trPr>
        <w:tc>
          <w:tcPr>
            <w:tcW w:w="3240" w:type="dxa"/>
            <w:shd w:val="clear" w:color="auto" w:fill="D9D9D9" w:themeFill="background1" w:themeFillShade="D9"/>
            <w:hideMark/>
          </w:tcPr>
          <w:p w14:paraId="7930DACD" w14:textId="77777777" w:rsidR="006D6331" w:rsidRPr="0088154E" w:rsidRDefault="006D6331" w:rsidP="006D6331">
            <w:pPr>
              <w:jc w:val="center"/>
              <w:rPr>
                <w:rFonts w:eastAsia="Calibri"/>
                <w:b/>
                <w:bCs/>
                <w:sz w:val="20"/>
                <w:szCs w:val="20"/>
              </w:rPr>
            </w:pPr>
            <w:r w:rsidRPr="0088154E">
              <w:rPr>
                <w:rFonts w:eastAsia="Calibri"/>
                <w:b/>
                <w:bCs/>
                <w:sz w:val="20"/>
                <w:szCs w:val="20"/>
              </w:rPr>
              <w:t>Unit of Measurement</w:t>
            </w:r>
          </w:p>
        </w:tc>
        <w:tc>
          <w:tcPr>
            <w:tcW w:w="1872" w:type="dxa"/>
            <w:shd w:val="clear" w:color="auto" w:fill="D9D9D9" w:themeFill="background1" w:themeFillShade="D9"/>
            <w:hideMark/>
          </w:tcPr>
          <w:p w14:paraId="6246EE45" w14:textId="77777777" w:rsidR="006D6331" w:rsidRPr="0088154E" w:rsidRDefault="006D6331" w:rsidP="006D6331">
            <w:pPr>
              <w:jc w:val="center"/>
              <w:rPr>
                <w:rFonts w:eastAsia="Calibri"/>
                <w:b/>
                <w:bCs/>
                <w:sz w:val="20"/>
                <w:szCs w:val="20"/>
              </w:rPr>
            </w:pPr>
            <w:r w:rsidRPr="0088154E">
              <w:rPr>
                <w:rFonts w:eastAsia="Calibri"/>
                <w:b/>
                <w:bCs/>
                <w:sz w:val="20"/>
                <w:szCs w:val="20"/>
              </w:rPr>
              <w:t>Baseline</w:t>
            </w:r>
          </w:p>
        </w:tc>
        <w:tc>
          <w:tcPr>
            <w:tcW w:w="1627" w:type="dxa"/>
            <w:shd w:val="clear" w:color="auto" w:fill="D9D9D9" w:themeFill="background1" w:themeFillShade="D9"/>
            <w:hideMark/>
          </w:tcPr>
          <w:p w14:paraId="562FBA63" w14:textId="77777777" w:rsidR="006D6331" w:rsidRPr="0088154E" w:rsidRDefault="006D6331" w:rsidP="006D6331">
            <w:pPr>
              <w:jc w:val="center"/>
              <w:rPr>
                <w:rFonts w:eastAsia="Calibri"/>
                <w:b/>
                <w:bCs/>
                <w:sz w:val="20"/>
                <w:szCs w:val="20"/>
              </w:rPr>
            </w:pPr>
            <w:r w:rsidRPr="0088154E">
              <w:rPr>
                <w:rFonts w:eastAsia="Calibri"/>
                <w:b/>
                <w:bCs/>
                <w:sz w:val="20"/>
                <w:szCs w:val="20"/>
              </w:rPr>
              <w:t>Benchmark</w:t>
            </w:r>
          </w:p>
        </w:tc>
        <w:tc>
          <w:tcPr>
            <w:tcW w:w="1354" w:type="dxa"/>
            <w:shd w:val="clear" w:color="auto" w:fill="D9D9D9" w:themeFill="background1" w:themeFillShade="D9"/>
            <w:hideMark/>
          </w:tcPr>
          <w:p w14:paraId="000E4255" w14:textId="77777777" w:rsidR="006D6331" w:rsidRPr="0088154E" w:rsidRDefault="006D6331" w:rsidP="006D6331">
            <w:pPr>
              <w:jc w:val="center"/>
              <w:rPr>
                <w:rFonts w:eastAsia="Calibri"/>
                <w:b/>
                <w:bCs/>
                <w:sz w:val="20"/>
                <w:szCs w:val="20"/>
              </w:rPr>
            </w:pPr>
            <w:r w:rsidRPr="0088154E">
              <w:rPr>
                <w:rFonts w:eastAsia="Calibri"/>
                <w:b/>
                <w:bCs/>
                <w:sz w:val="20"/>
                <w:szCs w:val="20"/>
              </w:rPr>
              <w:t>Outcome</w:t>
            </w:r>
          </w:p>
        </w:tc>
        <w:tc>
          <w:tcPr>
            <w:tcW w:w="1440" w:type="dxa"/>
            <w:shd w:val="clear" w:color="auto" w:fill="D9D9D9" w:themeFill="background1" w:themeFillShade="D9"/>
            <w:hideMark/>
          </w:tcPr>
          <w:p w14:paraId="3E136C9A" w14:textId="77777777" w:rsidR="006D6331" w:rsidRPr="0088154E" w:rsidRDefault="006D6331" w:rsidP="006D6331">
            <w:pPr>
              <w:jc w:val="center"/>
              <w:rPr>
                <w:rFonts w:eastAsia="Calibri"/>
                <w:b/>
                <w:bCs/>
                <w:sz w:val="20"/>
                <w:szCs w:val="20"/>
              </w:rPr>
            </w:pPr>
            <w:r w:rsidRPr="0088154E">
              <w:rPr>
                <w:rFonts w:eastAsia="Calibri"/>
                <w:b/>
                <w:bCs/>
                <w:sz w:val="20"/>
                <w:szCs w:val="20"/>
              </w:rPr>
              <w:t>Benchmark Achieved?</w:t>
            </w:r>
          </w:p>
        </w:tc>
      </w:tr>
      <w:tr w:rsidR="006D6331" w:rsidRPr="0088154E" w14:paraId="7463D088" w14:textId="77777777" w:rsidTr="006D6331">
        <w:trPr>
          <w:trHeight w:val="350"/>
        </w:trPr>
        <w:tc>
          <w:tcPr>
            <w:tcW w:w="3240" w:type="dxa"/>
            <w:shd w:val="clear" w:color="auto" w:fill="auto"/>
            <w:hideMark/>
          </w:tcPr>
          <w:p w14:paraId="75BDB3AD" w14:textId="77777777" w:rsidR="006D6331" w:rsidRPr="0088154E" w:rsidRDefault="006D6331" w:rsidP="006D6331">
            <w:pPr>
              <w:rPr>
                <w:rFonts w:eastAsia="Calibri"/>
                <w:sz w:val="20"/>
                <w:szCs w:val="20"/>
              </w:rPr>
            </w:pPr>
            <w:r w:rsidRPr="0088154E">
              <w:rPr>
                <w:rFonts w:eastAsia="Calibri"/>
                <w:sz w:val="20"/>
                <w:szCs w:val="20"/>
              </w:rPr>
              <w:t xml:space="preserve">Number of households transitioned to self-sufficiency (increase). </w:t>
            </w:r>
          </w:p>
        </w:tc>
        <w:tc>
          <w:tcPr>
            <w:tcW w:w="1872" w:type="dxa"/>
            <w:shd w:val="clear" w:color="auto" w:fill="auto"/>
          </w:tcPr>
          <w:p w14:paraId="09A2F5ED" w14:textId="77777777" w:rsidR="006D6331" w:rsidRPr="0088154E" w:rsidRDefault="006D6331" w:rsidP="006D6331">
            <w:pPr>
              <w:jc w:val="center"/>
              <w:rPr>
                <w:rFonts w:eastAsia="Calibri"/>
                <w:sz w:val="20"/>
                <w:szCs w:val="20"/>
              </w:rPr>
            </w:pPr>
            <w:r w:rsidRPr="0088154E">
              <w:rPr>
                <w:rFonts w:eastAsia="Calibri"/>
                <w:sz w:val="20"/>
                <w:szCs w:val="20"/>
              </w:rPr>
              <w:t>0</w:t>
            </w:r>
          </w:p>
        </w:tc>
        <w:tc>
          <w:tcPr>
            <w:tcW w:w="1627" w:type="dxa"/>
            <w:shd w:val="clear" w:color="auto" w:fill="auto"/>
          </w:tcPr>
          <w:p w14:paraId="4BC14529" w14:textId="433B2566" w:rsidR="006D6331" w:rsidRPr="0088154E" w:rsidRDefault="00C02178" w:rsidP="006D6331">
            <w:pPr>
              <w:jc w:val="center"/>
              <w:rPr>
                <w:rFonts w:eastAsia="Calibri"/>
                <w:sz w:val="20"/>
                <w:szCs w:val="20"/>
              </w:rPr>
            </w:pPr>
            <w:r w:rsidRPr="0088154E">
              <w:rPr>
                <w:rFonts w:eastAsia="Calibri"/>
                <w:sz w:val="20"/>
                <w:szCs w:val="20"/>
              </w:rPr>
              <w:t>0</w:t>
            </w:r>
            <w:r w:rsidR="006D6331" w:rsidRPr="0088154E">
              <w:rPr>
                <w:rFonts w:eastAsia="Calibri"/>
                <w:sz w:val="20"/>
                <w:szCs w:val="20"/>
              </w:rPr>
              <w:t xml:space="preserve"> households</w:t>
            </w:r>
          </w:p>
        </w:tc>
        <w:tc>
          <w:tcPr>
            <w:tcW w:w="1354" w:type="dxa"/>
            <w:shd w:val="clear" w:color="auto" w:fill="auto"/>
          </w:tcPr>
          <w:p w14:paraId="50871B59" w14:textId="77777777" w:rsidR="006D6331" w:rsidRPr="0088154E" w:rsidRDefault="006D6331" w:rsidP="006D6331">
            <w:pPr>
              <w:jc w:val="center"/>
              <w:rPr>
                <w:rFonts w:eastAsia="Calibri"/>
                <w:sz w:val="20"/>
                <w:szCs w:val="20"/>
              </w:rPr>
            </w:pPr>
          </w:p>
        </w:tc>
        <w:tc>
          <w:tcPr>
            <w:tcW w:w="1440" w:type="dxa"/>
            <w:shd w:val="clear" w:color="auto" w:fill="auto"/>
          </w:tcPr>
          <w:p w14:paraId="6A30FCEC" w14:textId="77777777" w:rsidR="006D6331" w:rsidRPr="0088154E" w:rsidRDefault="006D6331" w:rsidP="006D6331">
            <w:pPr>
              <w:jc w:val="center"/>
              <w:rPr>
                <w:rFonts w:eastAsia="Calibri"/>
                <w:sz w:val="20"/>
                <w:szCs w:val="20"/>
              </w:rPr>
            </w:pPr>
          </w:p>
        </w:tc>
      </w:tr>
      <w:tr w:rsidR="006D6331" w:rsidRPr="00B46884" w14:paraId="2ECF3174" w14:textId="77777777" w:rsidTr="006D6331">
        <w:trPr>
          <w:trHeight w:val="287"/>
        </w:trPr>
        <w:tc>
          <w:tcPr>
            <w:tcW w:w="1440" w:type="dxa"/>
            <w:gridSpan w:val="5"/>
            <w:shd w:val="clear" w:color="auto" w:fill="auto"/>
          </w:tcPr>
          <w:p w14:paraId="3443F9B4" w14:textId="77777777" w:rsidR="006D6331" w:rsidRPr="00DF04F7" w:rsidRDefault="006D6331" w:rsidP="006D6331">
            <w:pPr>
              <w:rPr>
                <w:bCs/>
                <w:i/>
                <w:iCs/>
                <w:sz w:val="20"/>
                <w:szCs w:val="20"/>
              </w:rPr>
            </w:pPr>
            <w:r w:rsidRPr="0088154E">
              <w:rPr>
                <w:bCs/>
                <w:i/>
                <w:iCs/>
                <w:sz w:val="20"/>
                <w:szCs w:val="20"/>
              </w:rPr>
              <w:t>*Self-sufficiency is defined as graduation from college.</w:t>
            </w:r>
          </w:p>
        </w:tc>
      </w:tr>
    </w:tbl>
    <w:p w14:paraId="15166A71" w14:textId="4BAC9A4C" w:rsidR="006D6331" w:rsidRPr="006D6331" w:rsidRDefault="006D6331" w:rsidP="006D6331">
      <w:pPr>
        <w:sectPr w:rsidR="006D6331" w:rsidRPr="006D6331" w:rsidSect="00F61294">
          <w:pgSz w:w="12240" w:h="15840"/>
          <w:pgMar w:top="1440" w:right="1440" w:bottom="1440" w:left="1440" w:header="720" w:footer="720" w:gutter="0"/>
          <w:cols w:space="720"/>
          <w:docGrid w:linePitch="360"/>
        </w:sectPr>
      </w:pPr>
    </w:p>
    <w:p w14:paraId="0247C7DA" w14:textId="2BFB7670" w:rsidR="005E3062" w:rsidRPr="0088154E" w:rsidRDefault="005E3062" w:rsidP="001F2A56">
      <w:pPr>
        <w:pStyle w:val="Heading2"/>
        <w:numPr>
          <w:ilvl w:val="0"/>
          <w:numId w:val="7"/>
        </w:numPr>
      </w:pPr>
      <w:bookmarkStart w:id="72" w:name="_Toc33016953"/>
      <w:r w:rsidRPr="0088154E">
        <w:t>Not Yet Implemented Activities</w:t>
      </w:r>
      <w:bookmarkEnd w:id="70"/>
      <w:bookmarkEnd w:id="72"/>
    </w:p>
    <w:p w14:paraId="16CAA242" w14:textId="77777777" w:rsidR="005E3062" w:rsidRPr="0088154E" w:rsidRDefault="005E3062" w:rsidP="005E3062">
      <w:pPr>
        <w:rPr>
          <w:b/>
          <w:color w:val="000000"/>
          <w:sz w:val="18"/>
          <w:u w:val="single"/>
        </w:rPr>
      </w:pPr>
    </w:p>
    <w:p w14:paraId="76BF69F5" w14:textId="77777777" w:rsidR="005E3062" w:rsidRPr="0088154E" w:rsidRDefault="005E3062" w:rsidP="001F2A56">
      <w:pPr>
        <w:pStyle w:val="Heading3"/>
      </w:pPr>
      <w:bookmarkStart w:id="73" w:name="_Toc33016954"/>
      <w:r w:rsidRPr="0088154E">
        <w:t>Activity 2011-1:  Value Vouchers</w:t>
      </w:r>
      <w:bookmarkEnd w:id="73"/>
      <w:r w:rsidRPr="0088154E">
        <w:t xml:space="preserve"> </w:t>
      </w:r>
    </w:p>
    <w:p w14:paraId="2850E4C0" w14:textId="77777777" w:rsidR="005E3062" w:rsidRPr="0088154E" w:rsidRDefault="005E3062" w:rsidP="009E6224">
      <w:pPr>
        <w:jc w:val="both"/>
        <w:rPr>
          <w:b/>
          <w:sz w:val="22"/>
          <w:szCs w:val="22"/>
        </w:rPr>
      </w:pPr>
    </w:p>
    <w:p w14:paraId="42646042" w14:textId="7CC8D93C" w:rsidR="003A1230" w:rsidRPr="0088154E" w:rsidRDefault="003A1230" w:rsidP="009E6224">
      <w:pPr>
        <w:jc w:val="both"/>
        <w:rPr>
          <w:b/>
          <w:sz w:val="22"/>
          <w:szCs w:val="22"/>
        </w:rPr>
      </w:pPr>
      <w:r w:rsidRPr="0088154E">
        <w:rPr>
          <w:b/>
          <w:sz w:val="22"/>
          <w:szCs w:val="22"/>
        </w:rPr>
        <w:t>Description</w:t>
      </w:r>
      <w:r w:rsidR="002F7F8B" w:rsidRPr="0088154E">
        <w:rPr>
          <w:b/>
          <w:sz w:val="22"/>
          <w:szCs w:val="22"/>
        </w:rPr>
        <w:t>/Update</w:t>
      </w:r>
    </w:p>
    <w:p w14:paraId="1FCD9AE5" w14:textId="5F17EDEF" w:rsidR="005E3062" w:rsidRPr="0088154E" w:rsidRDefault="005E3062" w:rsidP="0007503C">
      <w:pPr>
        <w:jc w:val="both"/>
        <w:rPr>
          <w:color w:val="000000"/>
          <w:sz w:val="22"/>
          <w:szCs w:val="22"/>
        </w:rPr>
      </w:pPr>
      <w:r w:rsidRPr="0088154E">
        <w:rPr>
          <w:sz w:val="22"/>
          <w:szCs w:val="22"/>
        </w:rPr>
        <w:t>DHCD plans to implement a new “MTW value voucher” targeted to the homeless and those with disabilities.</w:t>
      </w:r>
      <w:r w:rsidR="00733938" w:rsidRPr="0088154E">
        <w:rPr>
          <w:i/>
          <w:sz w:val="22"/>
          <w:szCs w:val="22"/>
        </w:rPr>
        <w:t xml:space="preserve"> </w:t>
      </w:r>
      <w:r w:rsidRPr="0088154E">
        <w:rPr>
          <w:sz w:val="22"/>
          <w:szCs w:val="22"/>
        </w:rPr>
        <w:t>This</w:t>
      </w:r>
      <w:r w:rsidR="008679DE" w:rsidRPr="0088154E">
        <w:rPr>
          <w:i/>
          <w:sz w:val="22"/>
          <w:szCs w:val="22"/>
        </w:rPr>
        <w:t xml:space="preserve"> </w:t>
      </w:r>
      <w:r w:rsidRPr="0088154E">
        <w:rPr>
          <w:color w:val="000000"/>
          <w:sz w:val="22"/>
          <w:szCs w:val="22"/>
        </w:rPr>
        <w:t>initiative will provide a lower cost subsidy than a conventional voucher.  Participants will be offered units in privately assisted housing developments where the rental costs are lower (generally by 25% or more) than current HUD published FMRs</w:t>
      </w:r>
      <w:r w:rsidR="00436FA3" w:rsidRPr="0088154E">
        <w:rPr>
          <w:color w:val="000000"/>
          <w:sz w:val="22"/>
          <w:szCs w:val="22"/>
        </w:rPr>
        <w:t>,</w:t>
      </w:r>
      <w:r w:rsidRPr="0088154E">
        <w:rPr>
          <w:color w:val="000000"/>
          <w:sz w:val="22"/>
          <w:szCs w:val="22"/>
        </w:rPr>
        <w:t xml:space="preserve"> but still not affordable to very-low and extremely low-income households.  These would generally be units in LIHTC, </w:t>
      </w:r>
      <w:r w:rsidR="005D17B2" w:rsidRPr="0088154E">
        <w:rPr>
          <w:color w:val="000000"/>
          <w:sz w:val="22"/>
          <w:szCs w:val="22"/>
        </w:rPr>
        <w:t xml:space="preserve">Section </w:t>
      </w:r>
      <w:r w:rsidRPr="0088154E">
        <w:rPr>
          <w:color w:val="000000"/>
          <w:sz w:val="22"/>
          <w:szCs w:val="22"/>
        </w:rPr>
        <w:t xml:space="preserve">236, and certain state funded developments, for example, where rents are generally set at or below 60% of AMI.  </w:t>
      </w:r>
    </w:p>
    <w:p w14:paraId="2DBC11A5" w14:textId="77777777" w:rsidR="003A1230" w:rsidRPr="0088154E" w:rsidRDefault="003A1230" w:rsidP="0007503C">
      <w:pPr>
        <w:jc w:val="both"/>
        <w:rPr>
          <w:color w:val="000000"/>
          <w:sz w:val="22"/>
          <w:szCs w:val="22"/>
        </w:rPr>
      </w:pPr>
    </w:p>
    <w:p w14:paraId="7D3750ED" w14:textId="31C5AF99" w:rsidR="006E42F8" w:rsidRPr="0088154E" w:rsidRDefault="006E42F8" w:rsidP="0007503C">
      <w:pPr>
        <w:jc w:val="both"/>
        <w:rPr>
          <w:b/>
          <w:color w:val="000000"/>
          <w:sz w:val="22"/>
          <w:szCs w:val="22"/>
        </w:rPr>
      </w:pPr>
      <w:r w:rsidRPr="0088154E">
        <w:rPr>
          <w:b/>
          <w:color w:val="000000"/>
          <w:sz w:val="22"/>
          <w:szCs w:val="22"/>
        </w:rPr>
        <w:t>Timetable for Implementation</w:t>
      </w:r>
    </w:p>
    <w:p w14:paraId="35DE6F44" w14:textId="77777777" w:rsidR="00B74B27" w:rsidRPr="0088154E" w:rsidRDefault="00B74B27" w:rsidP="00B74B27">
      <w:pPr>
        <w:jc w:val="both"/>
        <w:rPr>
          <w:color w:val="000000"/>
          <w:sz w:val="22"/>
          <w:szCs w:val="22"/>
        </w:rPr>
      </w:pPr>
      <w:r w:rsidRPr="0088154E">
        <w:rPr>
          <w:color w:val="000000"/>
          <w:sz w:val="22"/>
          <w:szCs w:val="22"/>
        </w:rPr>
        <w:t xml:space="preserve">This activity was approved by HUD in 2011; however, DHCD has not utilized this flexibility to date and has not established a firm implementation timetable.  </w:t>
      </w:r>
    </w:p>
    <w:p w14:paraId="07EE47EB" w14:textId="3E0287CB" w:rsidR="006E42F8" w:rsidRPr="0088154E" w:rsidRDefault="006E42F8" w:rsidP="0007503C">
      <w:pPr>
        <w:jc w:val="both"/>
        <w:rPr>
          <w:b/>
          <w:color w:val="000000"/>
          <w:sz w:val="22"/>
          <w:szCs w:val="22"/>
        </w:rPr>
      </w:pPr>
    </w:p>
    <w:p w14:paraId="02204101" w14:textId="77DAAE37" w:rsidR="006E42F8" w:rsidRPr="0088154E" w:rsidRDefault="006E42F8" w:rsidP="0007503C">
      <w:pPr>
        <w:jc w:val="both"/>
        <w:rPr>
          <w:b/>
          <w:color w:val="000000"/>
          <w:sz w:val="22"/>
          <w:szCs w:val="22"/>
        </w:rPr>
      </w:pPr>
      <w:r w:rsidRPr="0088154E">
        <w:rPr>
          <w:b/>
          <w:color w:val="000000"/>
          <w:sz w:val="22"/>
          <w:szCs w:val="22"/>
        </w:rPr>
        <w:t>Explanation of Non-Significant Changes Since Approval</w:t>
      </w:r>
    </w:p>
    <w:p w14:paraId="1B5A64AD" w14:textId="1208E5DA" w:rsidR="00733938" w:rsidRPr="00E11226" w:rsidRDefault="00733938" w:rsidP="0007503C">
      <w:pPr>
        <w:jc w:val="both"/>
        <w:rPr>
          <w:color w:val="000000"/>
          <w:sz w:val="22"/>
          <w:szCs w:val="22"/>
        </w:rPr>
      </w:pPr>
      <w:r w:rsidRPr="0088154E">
        <w:rPr>
          <w:color w:val="000000"/>
          <w:sz w:val="22"/>
          <w:szCs w:val="22"/>
        </w:rPr>
        <w:t>No changes have been made since approval.</w:t>
      </w:r>
    </w:p>
    <w:p w14:paraId="20B70502" w14:textId="52995C45" w:rsidR="006E42F8" w:rsidRDefault="006E42F8" w:rsidP="0007503C">
      <w:pPr>
        <w:jc w:val="both"/>
        <w:rPr>
          <w:color w:val="000000"/>
        </w:rPr>
      </w:pPr>
    </w:p>
    <w:p w14:paraId="6EEF888E" w14:textId="499308CC" w:rsidR="006E42F8" w:rsidRPr="006E42F8" w:rsidRDefault="006E42F8" w:rsidP="0007503C">
      <w:pPr>
        <w:jc w:val="both"/>
        <w:rPr>
          <w:color w:val="000000"/>
        </w:rPr>
        <w:sectPr w:rsidR="006E42F8" w:rsidRPr="006E42F8" w:rsidSect="00F61294">
          <w:pgSz w:w="12240" w:h="15840"/>
          <w:pgMar w:top="1440" w:right="1440" w:bottom="1440" w:left="1440" w:header="720" w:footer="720" w:gutter="0"/>
          <w:cols w:space="720"/>
          <w:docGrid w:linePitch="360"/>
        </w:sectPr>
      </w:pPr>
    </w:p>
    <w:p w14:paraId="5FA899A5" w14:textId="77777777" w:rsidR="00AD1733" w:rsidRPr="0088154E" w:rsidRDefault="00AD1733" w:rsidP="00AA5A80">
      <w:pPr>
        <w:pStyle w:val="Heading3"/>
        <w:numPr>
          <w:ilvl w:val="0"/>
          <w:numId w:val="9"/>
        </w:numPr>
      </w:pPr>
      <w:bookmarkStart w:id="74" w:name="_Toc33016955"/>
      <w:bookmarkStart w:id="75" w:name="_Toc415115904"/>
      <w:r w:rsidRPr="0088154E">
        <w:t>Activities on Hold</w:t>
      </w:r>
      <w:bookmarkEnd w:id="74"/>
      <w:r w:rsidRPr="0088154E">
        <w:t xml:space="preserve"> </w:t>
      </w:r>
    </w:p>
    <w:p w14:paraId="621B2675" w14:textId="77777777" w:rsidR="00AD1733" w:rsidRPr="0088154E" w:rsidRDefault="00AD1733" w:rsidP="00AD1733">
      <w:pPr>
        <w:rPr>
          <w:sz w:val="22"/>
          <w:szCs w:val="22"/>
        </w:rPr>
      </w:pPr>
    </w:p>
    <w:p w14:paraId="469F3656" w14:textId="5841A2E1" w:rsidR="00AD1733" w:rsidRPr="00E11226" w:rsidRDefault="00776248" w:rsidP="00AD1733">
      <w:pPr>
        <w:rPr>
          <w:sz w:val="22"/>
          <w:szCs w:val="22"/>
        </w:rPr>
      </w:pPr>
      <w:r w:rsidRPr="0088154E">
        <w:rPr>
          <w:sz w:val="22"/>
          <w:szCs w:val="22"/>
        </w:rPr>
        <w:t>Currently there are no activities on hold.</w:t>
      </w:r>
    </w:p>
    <w:p w14:paraId="64F4674B" w14:textId="77777777" w:rsidR="00AD1733" w:rsidRPr="00E94B9C" w:rsidRDefault="00AD1733" w:rsidP="00AD1733">
      <w:pPr>
        <w:rPr>
          <w:sz w:val="22"/>
          <w:szCs w:val="22"/>
        </w:rPr>
      </w:pPr>
    </w:p>
    <w:p w14:paraId="21B51420" w14:textId="77777777" w:rsidR="00DD7701" w:rsidRDefault="00DD7701" w:rsidP="00AA5A80">
      <w:pPr>
        <w:pStyle w:val="Heading3"/>
        <w:numPr>
          <w:ilvl w:val="0"/>
          <w:numId w:val="9"/>
        </w:numPr>
        <w:sectPr w:rsidR="00DD7701" w:rsidSect="00F61294">
          <w:pgSz w:w="12240" w:h="15840"/>
          <w:pgMar w:top="1440" w:right="1440" w:bottom="1440" w:left="1440" w:header="720" w:footer="720" w:gutter="0"/>
          <w:cols w:space="720"/>
          <w:docGrid w:linePitch="360"/>
        </w:sectPr>
      </w:pPr>
    </w:p>
    <w:p w14:paraId="6236D39E" w14:textId="47B2640D" w:rsidR="00FF1DE7" w:rsidRPr="0088154E" w:rsidRDefault="00AD1733" w:rsidP="00AA5A80">
      <w:pPr>
        <w:pStyle w:val="Heading3"/>
        <w:numPr>
          <w:ilvl w:val="0"/>
          <w:numId w:val="9"/>
        </w:numPr>
      </w:pPr>
      <w:bookmarkStart w:id="76" w:name="_Toc33016956"/>
      <w:r w:rsidRPr="0088154E">
        <w:t>Closed O</w:t>
      </w:r>
      <w:r w:rsidR="0013595A" w:rsidRPr="0088154E">
        <w:t>ut</w:t>
      </w:r>
      <w:bookmarkEnd w:id="75"/>
      <w:r w:rsidRPr="0088154E">
        <w:t xml:space="preserve"> Activities</w:t>
      </w:r>
      <w:bookmarkEnd w:id="76"/>
    </w:p>
    <w:p w14:paraId="32D1977E" w14:textId="77777777" w:rsidR="00F06BB5" w:rsidRPr="0088154E" w:rsidRDefault="00F06BB5" w:rsidP="00F06BB5"/>
    <w:p w14:paraId="2DAD9BB6" w14:textId="239C1A70" w:rsidR="003A1230" w:rsidRPr="0088154E" w:rsidRDefault="00F56D0C" w:rsidP="00F56D0C">
      <w:pPr>
        <w:jc w:val="both"/>
        <w:rPr>
          <w:sz w:val="22"/>
          <w:szCs w:val="22"/>
        </w:rPr>
      </w:pPr>
      <w:r w:rsidRPr="0088154E">
        <w:rPr>
          <w:sz w:val="22"/>
          <w:szCs w:val="22"/>
        </w:rPr>
        <w:t>The following table summarizes</w:t>
      </w:r>
      <w:r w:rsidR="003A1230" w:rsidRPr="0088154E">
        <w:rPr>
          <w:sz w:val="22"/>
          <w:szCs w:val="22"/>
        </w:rPr>
        <w:t xml:space="preserve"> previously approved MTW activities that DHCD has completed, discontinued</w:t>
      </w:r>
      <w:r w:rsidR="00D74823" w:rsidRPr="0088154E">
        <w:rPr>
          <w:sz w:val="22"/>
          <w:szCs w:val="22"/>
        </w:rPr>
        <w:t xml:space="preserve">, or determined do not require </w:t>
      </w:r>
      <w:r w:rsidR="003A1230" w:rsidRPr="0088154E">
        <w:rPr>
          <w:sz w:val="22"/>
          <w:szCs w:val="22"/>
        </w:rPr>
        <w:t xml:space="preserve">MTW authority to implement. </w:t>
      </w:r>
    </w:p>
    <w:p w14:paraId="36AF113B" w14:textId="77777777" w:rsidR="00115BBF" w:rsidRPr="0088154E" w:rsidRDefault="00115BBF" w:rsidP="00F56D0C">
      <w:pPr>
        <w:jc w:val="both"/>
      </w:pPr>
    </w:p>
    <w:p w14:paraId="783B4DE9" w14:textId="12468A40" w:rsidR="003A1230" w:rsidRPr="0088154E" w:rsidRDefault="00115BBF" w:rsidP="00115BBF">
      <w:pPr>
        <w:pStyle w:val="Heading4"/>
        <w:numPr>
          <w:ilvl w:val="0"/>
          <w:numId w:val="0"/>
        </w:numPr>
        <w:jc w:val="center"/>
        <w:rPr>
          <w:sz w:val="20"/>
        </w:rPr>
      </w:pPr>
      <w:bookmarkStart w:id="77" w:name="_Toc531163932"/>
      <w:bookmarkStart w:id="78" w:name="_Toc33016957"/>
      <w:r w:rsidRPr="0088154E">
        <w:rPr>
          <w:sz w:val="20"/>
        </w:rPr>
        <w:t>Table 10: Closed-Out MTW Activities</w:t>
      </w:r>
      <w:bookmarkEnd w:id="77"/>
      <w:bookmarkEnd w:id="78"/>
    </w:p>
    <w:p w14:paraId="05328DD9" w14:textId="77777777" w:rsidR="00115BBF" w:rsidRPr="0088154E" w:rsidRDefault="00115BBF" w:rsidP="00115BBF">
      <w:pPr>
        <w:jc w:val="center"/>
        <w:rPr>
          <w:b/>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260"/>
        <w:gridCol w:w="1350"/>
        <w:gridCol w:w="1800"/>
        <w:gridCol w:w="3235"/>
      </w:tblGrid>
      <w:tr w:rsidR="00913076" w:rsidRPr="0088154E" w14:paraId="3C86A849" w14:textId="77777777" w:rsidTr="00CE0B33">
        <w:trPr>
          <w:trHeight w:val="405"/>
          <w:tblHeader/>
        </w:trPr>
        <w:tc>
          <w:tcPr>
            <w:tcW w:w="1705" w:type="dxa"/>
            <w:shd w:val="clear" w:color="auto" w:fill="D9D9D9" w:themeFill="background1" w:themeFillShade="D9"/>
          </w:tcPr>
          <w:p w14:paraId="1628D7B6" w14:textId="487CF621" w:rsidR="00913076" w:rsidRPr="0088154E" w:rsidRDefault="00913076" w:rsidP="00913076">
            <w:pPr>
              <w:jc w:val="center"/>
              <w:rPr>
                <w:rFonts w:eastAsia="Calibri"/>
                <w:b/>
                <w:bCs/>
                <w:sz w:val="20"/>
                <w:szCs w:val="20"/>
              </w:rPr>
            </w:pPr>
            <w:r w:rsidRPr="0088154E">
              <w:rPr>
                <w:rFonts w:eastAsia="Calibri"/>
                <w:b/>
                <w:bCs/>
                <w:sz w:val="20"/>
                <w:szCs w:val="20"/>
              </w:rPr>
              <w:t>Activity</w:t>
            </w:r>
          </w:p>
        </w:tc>
        <w:tc>
          <w:tcPr>
            <w:tcW w:w="1260" w:type="dxa"/>
            <w:shd w:val="clear" w:color="auto" w:fill="D9D9D9" w:themeFill="background1" w:themeFillShade="D9"/>
          </w:tcPr>
          <w:p w14:paraId="37E82288" w14:textId="4354ECF7" w:rsidR="00913076" w:rsidRPr="0088154E" w:rsidRDefault="00913076" w:rsidP="00913076">
            <w:pPr>
              <w:jc w:val="center"/>
              <w:rPr>
                <w:rFonts w:eastAsia="Calibri"/>
                <w:b/>
                <w:bCs/>
                <w:sz w:val="20"/>
                <w:szCs w:val="20"/>
              </w:rPr>
            </w:pPr>
            <w:r w:rsidRPr="0088154E">
              <w:rPr>
                <w:rFonts w:eastAsia="Calibri"/>
                <w:b/>
                <w:bCs/>
                <w:sz w:val="20"/>
                <w:szCs w:val="20"/>
              </w:rPr>
              <w:t>Plan Year Approved</w:t>
            </w:r>
          </w:p>
        </w:tc>
        <w:tc>
          <w:tcPr>
            <w:tcW w:w="1350" w:type="dxa"/>
            <w:shd w:val="clear" w:color="auto" w:fill="D9D9D9" w:themeFill="background1" w:themeFillShade="D9"/>
          </w:tcPr>
          <w:p w14:paraId="37D4A241" w14:textId="19ACB5A8" w:rsidR="00913076" w:rsidRPr="0088154E" w:rsidRDefault="00913076" w:rsidP="00913076">
            <w:pPr>
              <w:jc w:val="center"/>
              <w:rPr>
                <w:rFonts w:eastAsia="Calibri"/>
                <w:b/>
                <w:bCs/>
                <w:sz w:val="20"/>
                <w:szCs w:val="20"/>
              </w:rPr>
            </w:pPr>
            <w:r w:rsidRPr="0088154E">
              <w:rPr>
                <w:rFonts w:eastAsia="Calibri"/>
                <w:b/>
                <w:bCs/>
                <w:sz w:val="20"/>
                <w:szCs w:val="20"/>
              </w:rPr>
              <w:t>Plan Year Implemented</w:t>
            </w:r>
          </w:p>
        </w:tc>
        <w:tc>
          <w:tcPr>
            <w:tcW w:w="1800" w:type="dxa"/>
            <w:shd w:val="clear" w:color="auto" w:fill="D9D9D9" w:themeFill="background1" w:themeFillShade="D9"/>
          </w:tcPr>
          <w:p w14:paraId="5F8184D6" w14:textId="295B8A48" w:rsidR="00913076" w:rsidRPr="0088154E" w:rsidRDefault="00913076" w:rsidP="00913076">
            <w:pPr>
              <w:jc w:val="center"/>
              <w:rPr>
                <w:rFonts w:eastAsia="Calibri"/>
                <w:b/>
                <w:bCs/>
                <w:sz w:val="20"/>
                <w:szCs w:val="20"/>
              </w:rPr>
            </w:pPr>
            <w:r w:rsidRPr="0088154E">
              <w:rPr>
                <w:rFonts w:eastAsia="Calibri"/>
                <w:b/>
                <w:bCs/>
                <w:sz w:val="20"/>
                <w:szCs w:val="20"/>
              </w:rPr>
              <w:t>Close Out Year</w:t>
            </w:r>
          </w:p>
        </w:tc>
        <w:tc>
          <w:tcPr>
            <w:tcW w:w="3235" w:type="dxa"/>
            <w:shd w:val="clear" w:color="auto" w:fill="D9D9D9" w:themeFill="background1" w:themeFillShade="D9"/>
          </w:tcPr>
          <w:p w14:paraId="06D1DFE2" w14:textId="77777777" w:rsidR="00913076" w:rsidRPr="0088154E" w:rsidRDefault="00913076" w:rsidP="00913076">
            <w:pPr>
              <w:jc w:val="center"/>
              <w:rPr>
                <w:rFonts w:eastAsia="Calibri"/>
                <w:b/>
                <w:bCs/>
                <w:sz w:val="20"/>
                <w:szCs w:val="20"/>
              </w:rPr>
            </w:pPr>
            <w:r w:rsidRPr="0088154E">
              <w:rPr>
                <w:rFonts w:eastAsia="Calibri"/>
                <w:b/>
                <w:bCs/>
                <w:sz w:val="20"/>
                <w:szCs w:val="20"/>
              </w:rPr>
              <w:t>Reason for Close Out</w:t>
            </w:r>
          </w:p>
        </w:tc>
      </w:tr>
      <w:tr w:rsidR="00913076" w:rsidRPr="0088154E" w14:paraId="2CB6EE91" w14:textId="77777777" w:rsidTr="00CE0B33">
        <w:trPr>
          <w:trHeight w:val="898"/>
        </w:trPr>
        <w:tc>
          <w:tcPr>
            <w:tcW w:w="1705" w:type="dxa"/>
          </w:tcPr>
          <w:p w14:paraId="14F2C16D" w14:textId="174728B0" w:rsidR="00913076" w:rsidRPr="0088154E" w:rsidRDefault="00913076" w:rsidP="003A1230">
            <w:pPr>
              <w:rPr>
                <w:color w:val="000000"/>
                <w:sz w:val="20"/>
                <w:szCs w:val="20"/>
              </w:rPr>
            </w:pPr>
            <w:r w:rsidRPr="0088154E">
              <w:rPr>
                <w:rFonts w:eastAsia="Calibri"/>
                <w:bCs/>
                <w:color w:val="000000"/>
                <w:sz w:val="20"/>
                <w:szCs w:val="20"/>
              </w:rPr>
              <w:t>Biennial Inspections</w:t>
            </w:r>
            <w:r w:rsidR="00F56D0C" w:rsidRPr="0088154E">
              <w:rPr>
                <w:rFonts w:eastAsia="Calibri"/>
                <w:bCs/>
                <w:color w:val="000000"/>
                <w:sz w:val="20"/>
                <w:szCs w:val="20"/>
              </w:rPr>
              <w:t xml:space="preserve"> (Activity 2011-3)</w:t>
            </w:r>
          </w:p>
        </w:tc>
        <w:tc>
          <w:tcPr>
            <w:tcW w:w="1260" w:type="dxa"/>
          </w:tcPr>
          <w:p w14:paraId="3FF34252" w14:textId="6B039607" w:rsidR="00913076" w:rsidRPr="0088154E" w:rsidRDefault="00F56D0C" w:rsidP="003A1230">
            <w:pPr>
              <w:jc w:val="center"/>
              <w:rPr>
                <w:color w:val="000000"/>
                <w:sz w:val="20"/>
                <w:szCs w:val="20"/>
              </w:rPr>
            </w:pPr>
            <w:r w:rsidRPr="0088154E">
              <w:rPr>
                <w:rFonts w:eastAsia="Calibri"/>
                <w:bCs/>
                <w:color w:val="000000"/>
                <w:sz w:val="20"/>
                <w:szCs w:val="20"/>
              </w:rPr>
              <w:t xml:space="preserve">FY </w:t>
            </w:r>
            <w:r w:rsidR="00913076" w:rsidRPr="0088154E">
              <w:rPr>
                <w:rFonts w:eastAsia="Calibri"/>
                <w:bCs/>
                <w:color w:val="000000"/>
                <w:sz w:val="20"/>
                <w:szCs w:val="20"/>
              </w:rPr>
              <w:t>2011</w:t>
            </w:r>
          </w:p>
        </w:tc>
        <w:tc>
          <w:tcPr>
            <w:tcW w:w="1350" w:type="dxa"/>
          </w:tcPr>
          <w:p w14:paraId="7D1EF73D" w14:textId="3C9DD5BB" w:rsidR="00913076" w:rsidRPr="0088154E" w:rsidRDefault="00F56D0C" w:rsidP="003A1230">
            <w:pPr>
              <w:jc w:val="center"/>
              <w:rPr>
                <w:rFonts w:eastAsia="Calibri"/>
                <w:bCs/>
                <w:color w:val="000000"/>
                <w:sz w:val="20"/>
                <w:szCs w:val="20"/>
              </w:rPr>
            </w:pPr>
            <w:r w:rsidRPr="0088154E">
              <w:rPr>
                <w:rFonts w:eastAsia="Calibri"/>
                <w:bCs/>
                <w:color w:val="000000"/>
                <w:sz w:val="20"/>
                <w:szCs w:val="20"/>
              </w:rPr>
              <w:t>FY 2013</w:t>
            </w:r>
          </w:p>
        </w:tc>
        <w:tc>
          <w:tcPr>
            <w:tcW w:w="1800" w:type="dxa"/>
          </w:tcPr>
          <w:p w14:paraId="724427D1" w14:textId="736176FF" w:rsidR="00913076" w:rsidRPr="0088154E" w:rsidRDefault="00913076" w:rsidP="003A1230">
            <w:pPr>
              <w:jc w:val="center"/>
              <w:rPr>
                <w:color w:val="000000"/>
                <w:sz w:val="20"/>
                <w:szCs w:val="20"/>
              </w:rPr>
            </w:pPr>
            <w:r w:rsidRPr="0088154E">
              <w:rPr>
                <w:rFonts w:eastAsia="Calibri"/>
                <w:bCs/>
                <w:color w:val="000000"/>
                <w:sz w:val="20"/>
                <w:szCs w:val="20"/>
              </w:rPr>
              <w:t>FY 2015</w:t>
            </w:r>
          </w:p>
        </w:tc>
        <w:tc>
          <w:tcPr>
            <w:tcW w:w="3235" w:type="dxa"/>
          </w:tcPr>
          <w:p w14:paraId="3BB86993" w14:textId="77777777" w:rsidR="00913076" w:rsidRPr="0088154E" w:rsidRDefault="00913076" w:rsidP="004E45E0">
            <w:pPr>
              <w:contextualSpacing/>
              <w:rPr>
                <w:color w:val="000000"/>
                <w:sz w:val="20"/>
                <w:szCs w:val="20"/>
              </w:rPr>
            </w:pPr>
            <w:r w:rsidRPr="0088154E">
              <w:rPr>
                <w:color w:val="000000"/>
                <w:sz w:val="20"/>
                <w:szCs w:val="20"/>
              </w:rPr>
              <w:t xml:space="preserve">DHCD closed out this activity as an MTW initiative due to the 2014 Appropriations Act, which allows DHCD to transition to a biennial inspection schedule without MTW authority. </w:t>
            </w:r>
          </w:p>
        </w:tc>
      </w:tr>
      <w:tr w:rsidR="00F56D0C" w:rsidRPr="0088154E" w14:paraId="6D198957" w14:textId="77777777" w:rsidTr="00CE0B33">
        <w:trPr>
          <w:trHeight w:val="898"/>
        </w:trPr>
        <w:tc>
          <w:tcPr>
            <w:tcW w:w="1705" w:type="dxa"/>
          </w:tcPr>
          <w:p w14:paraId="3D9E248F" w14:textId="5EC95BF9" w:rsidR="00F56D0C" w:rsidRPr="0088154E" w:rsidRDefault="00F56D0C" w:rsidP="003A1230">
            <w:pPr>
              <w:rPr>
                <w:rFonts w:eastAsia="Calibri"/>
                <w:bCs/>
                <w:color w:val="000000"/>
                <w:sz w:val="20"/>
                <w:szCs w:val="20"/>
              </w:rPr>
            </w:pPr>
            <w:r w:rsidRPr="0088154E">
              <w:rPr>
                <w:rFonts w:eastAsia="Calibri"/>
                <w:bCs/>
                <w:color w:val="000000"/>
                <w:sz w:val="20"/>
                <w:szCs w:val="20"/>
              </w:rPr>
              <w:t>Project Based Voucher Discretionary Moves (Activity 2012-3)</w:t>
            </w:r>
          </w:p>
        </w:tc>
        <w:tc>
          <w:tcPr>
            <w:tcW w:w="1260" w:type="dxa"/>
          </w:tcPr>
          <w:p w14:paraId="76ED6886" w14:textId="5FDFDDFE" w:rsidR="00F56D0C" w:rsidRPr="0088154E" w:rsidRDefault="00F56D0C" w:rsidP="003A1230">
            <w:pPr>
              <w:jc w:val="center"/>
              <w:rPr>
                <w:rFonts w:eastAsia="Calibri"/>
                <w:bCs/>
                <w:color w:val="000000"/>
                <w:sz w:val="20"/>
                <w:szCs w:val="20"/>
              </w:rPr>
            </w:pPr>
            <w:r w:rsidRPr="0088154E">
              <w:rPr>
                <w:rFonts w:eastAsia="Calibri"/>
                <w:bCs/>
                <w:color w:val="000000"/>
                <w:sz w:val="20"/>
                <w:szCs w:val="20"/>
              </w:rPr>
              <w:t>FY 2012</w:t>
            </w:r>
          </w:p>
        </w:tc>
        <w:tc>
          <w:tcPr>
            <w:tcW w:w="1350" w:type="dxa"/>
          </w:tcPr>
          <w:p w14:paraId="0CCFD013" w14:textId="19ED7B3F" w:rsidR="00F56D0C" w:rsidRPr="0088154E" w:rsidRDefault="00F56D0C" w:rsidP="003A1230">
            <w:pPr>
              <w:jc w:val="center"/>
              <w:rPr>
                <w:rFonts w:eastAsia="Calibri"/>
                <w:bCs/>
                <w:color w:val="000000"/>
                <w:sz w:val="20"/>
                <w:szCs w:val="20"/>
              </w:rPr>
            </w:pPr>
            <w:r w:rsidRPr="0088154E">
              <w:rPr>
                <w:rFonts w:eastAsia="Calibri"/>
                <w:bCs/>
                <w:color w:val="000000"/>
                <w:sz w:val="20"/>
                <w:szCs w:val="20"/>
              </w:rPr>
              <w:t>FY 2012</w:t>
            </w:r>
          </w:p>
        </w:tc>
        <w:tc>
          <w:tcPr>
            <w:tcW w:w="1800" w:type="dxa"/>
          </w:tcPr>
          <w:p w14:paraId="1B6E11E4" w14:textId="63FE6B83" w:rsidR="00F56D0C" w:rsidRPr="0088154E" w:rsidRDefault="00F56D0C" w:rsidP="003A1230">
            <w:pPr>
              <w:jc w:val="center"/>
              <w:rPr>
                <w:rFonts w:eastAsia="Calibri"/>
                <w:bCs/>
                <w:color w:val="000000"/>
                <w:sz w:val="20"/>
                <w:szCs w:val="20"/>
              </w:rPr>
            </w:pPr>
            <w:r w:rsidRPr="0088154E">
              <w:rPr>
                <w:rFonts w:eastAsia="Calibri"/>
                <w:bCs/>
                <w:color w:val="000000"/>
                <w:sz w:val="20"/>
                <w:szCs w:val="20"/>
              </w:rPr>
              <w:t>FY 2018</w:t>
            </w:r>
          </w:p>
        </w:tc>
        <w:tc>
          <w:tcPr>
            <w:tcW w:w="3235" w:type="dxa"/>
          </w:tcPr>
          <w:p w14:paraId="68B11903" w14:textId="0962671A" w:rsidR="00F56D0C" w:rsidRPr="0088154E" w:rsidRDefault="00F56D0C" w:rsidP="004E45E0">
            <w:pPr>
              <w:contextualSpacing/>
              <w:rPr>
                <w:color w:val="000000"/>
                <w:sz w:val="20"/>
                <w:szCs w:val="20"/>
              </w:rPr>
            </w:pPr>
            <w:r w:rsidRPr="0088154E">
              <w:rPr>
                <w:color w:val="000000"/>
                <w:sz w:val="20"/>
                <w:szCs w:val="20"/>
              </w:rPr>
              <w:t>DHCD proposed and received HUD approval for a new Local Project-Based Voucher Program</w:t>
            </w:r>
            <w:r w:rsidR="004E45E0" w:rsidRPr="0088154E">
              <w:rPr>
                <w:color w:val="000000"/>
                <w:sz w:val="20"/>
                <w:szCs w:val="20"/>
              </w:rPr>
              <w:t>,</w:t>
            </w:r>
            <w:r w:rsidRPr="0088154E">
              <w:rPr>
                <w:color w:val="000000"/>
                <w:sz w:val="20"/>
                <w:szCs w:val="20"/>
              </w:rPr>
              <w:t xml:space="preserve"> which includes revisions to the PBV opt out policy.</w:t>
            </w:r>
          </w:p>
        </w:tc>
      </w:tr>
      <w:tr w:rsidR="006C3055" w:rsidRPr="0088154E" w14:paraId="6164F007" w14:textId="77777777" w:rsidTr="00CE0B33">
        <w:trPr>
          <w:trHeight w:val="898"/>
        </w:trPr>
        <w:tc>
          <w:tcPr>
            <w:tcW w:w="1705" w:type="dxa"/>
          </w:tcPr>
          <w:p w14:paraId="547C61DD" w14:textId="54FAA604" w:rsidR="006C3055" w:rsidRPr="0088154E" w:rsidRDefault="006C3055" w:rsidP="003A1230">
            <w:pPr>
              <w:rPr>
                <w:rFonts w:eastAsia="Calibri"/>
                <w:bCs/>
                <w:color w:val="000000"/>
                <w:sz w:val="20"/>
                <w:szCs w:val="20"/>
              </w:rPr>
            </w:pPr>
            <w:r w:rsidRPr="0088154E">
              <w:rPr>
                <w:rFonts w:eastAsia="Calibri"/>
                <w:bCs/>
                <w:color w:val="000000"/>
                <w:sz w:val="20"/>
                <w:szCs w:val="20"/>
              </w:rPr>
              <w:t>Rent Reasonableness (Activity 2013-1)</w:t>
            </w:r>
          </w:p>
        </w:tc>
        <w:tc>
          <w:tcPr>
            <w:tcW w:w="1260" w:type="dxa"/>
          </w:tcPr>
          <w:p w14:paraId="42C34229" w14:textId="6DA78DFD" w:rsidR="006C3055" w:rsidRPr="0088154E" w:rsidRDefault="006C3055" w:rsidP="003A1230">
            <w:pPr>
              <w:jc w:val="center"/>
              <w:rPr>
                <w:rFonts w:eastAsia="Calibri"/>
                <w:bCs/>
                <w:color w:val="000000"/>
                <w:sz w:val="20"/>
                <w:szCs w:val="20"/>
              </w:rPr>
            </w:pPr>
            <w:r w:rsidRPr="0088154E">
              <w:rPr>
                <w:rFonts w:eastAsia="Calibri"/>
                <w:bCs/>
                <w:color w:val="000000"/>
                <w:sz w:val="20"/>
                <w:szCs w:val="20"/>
              </w:rPr>
              <w:t>FY 2013</w:t>
            </w:r>
          </w:p>
        </w:tc>
        <w:tc>
          <w:tcPr>
            <w:tcW w:w="1350" w:type="dxa"/>
          </w:tcPr>
          <w:p w14:paraId="57CE07CB" w14:textId="17259FC3" w:rsidR="006C3055" w:rsidRPr="0088154E" w:rsidRDefault="006C3055" w:rsidP="003A1230">
            <w:pPr>
              <w:jc w:val="center"/>
              <w:rPr>
                <w:rFonts w:eastAsia="Calibri"/>
                <w:bCs/>
                <w:color w:val="000000"/>
                <w:sz w:val="20"/>
                <w:szCs w:val="20"/>
              </w:rPr>
            </w:pPr>
            <w:r w:rsidRPr="0088154E">
              <w:rPr>
                <w:rFonts w:eastAsia="Calibri"/>
                <w:bCs/>
                <w:color w:val="000000"/>
                <w:sz w:val="20"/>
                <w:szCs w:val="20"/>
              </w:rPr>
              <w:t>FY 2013</w:t>
            </w:r>
          </w:p>
        </w:tc>
        <w:tc>
          <w:tcPr>
            <w:tcW w:w="1800" w:type="dxa"/>
          </w:tcPr>
          <w:p w14:paraId="09B44D22" w14:textId="77777777" w:rsidR="006C3055" w:rsidRPr="0088154E" w:rsidRDefault="006C3055" w:rsidP="003A1230">
            <w:pPr>
              <w:jc w:val="center"/>
              <w:rPr>
                <w:rFonts w:eastAsia="Calibri"/>
                <w:bCs/>
                <w:color w:val="000000"/>
                <w:sz w:val="20"/>
                <w:szCs w:val="20"/>
              </w:rPr>
            </w:pPr>
            <w:r w:rsidRPr="0088154E">
              <w:rPr>
                <w:rFonts w:eastAsia="Calibri"/>
                <w:bCs/>
                <w:color w:val="000000"/>
                <w:sz w:val="20"/>
                <w:szCs w:val="20"/>
              </w:rPr>
              <w:t>FY 2018</w:t>
            </w:r>
          </w:p>
          <w:p w14:paraId="160DDBFA" w14:textId="2D213CDC" w:rsidR="00A411A6" w:rsidRPr="0088154E" w:rsidRDefault="00A411A6" w:rsidP="00A411A6">
            <w:pPr>
              <w:rPr>
                <w:sz w:val="20"/>
                <w:szCs w:val="22"/>
              </w:rPr>
            </w:pPr>
            <w:r w:rsidRPr="0088154E">
              <w:rPr>
                <w:sz w:val="20"/>
                <w:szCs w:val="22"/>
              </w:rPr>
              <w:t>Note: The FY 2019 Plan included this activity; however, prior to the end of FY 2018 (after the FY 2019 was submitted) DHCD closed this activity.</w:t>
            </w:r>
          </w:p>
        </w:tc>
        <w:tc>
          <w:tcPr>
            <w:tcW w:w="3235" w:type="dxa"/>
          </w:tcPr>
          <w:p w14:paraId="2CBCC882" w14:textId="07C8F859" w:rsidR="006C3055" w:rsidRPr="0088154E" w:rsidRDefault="006C3055" w:rsidP="004E45E0">
            <w:pPr>
              <w:rPr>
                <w:i/>
                <w:sz w:val="20"/>
                <w:szCs w:val="20"/>
              </w:rPr>
            </w:pPr>
            <w:r w:rsidRPr="0088154E">
              <w:rPr>
                <w:color w:val="222222"/>
                <w:sz w:val="20"/>
                <w:szCs w:val="20"/>
                <w:shd w:val="clear" w:color="auto" w:fill="FFFFFF"/>
              </w:rPr>
              <w:t>Under HOTMA, the trigger for reasonable rent redeterminations increased from a 5% decrease to a 10% decrease in</w:t>
            </w:r>
            <w:r w:rsidR="00436FA3" w:rsidRPr="0088154E">
              <w:rPr>
                <w:color w:val="222222"/>
                <w:sz w:val="20"/>
                <w:szCs w:val="20"/>
                <w:shd w:val="clear" w:color="auto" w:fill="FFFFFF"/>
              </w:rPr>
              <w:t xml:space="preserve"> FMR from one year to the next.</w:t>
            </w:r>
            <w:r w:rsidRPr="0088154E">
              <w:rPr>
                <w:color w:val="222222"/>
                <w:sz w:val="20"/>
                <w:szCs w:val="20"/>
                <w:shd w:val="clear" w:color="auto" w:fill="FFFFFF"/>
              </w:rPr>
              <w:t xml:space="preserve"> DHCD determined that a 10% decrease in FMR was such that a reasonable rent redetermination would be warranted to ensure that subsidies paid are in line with market rents. </w:t>
            </w:r>
          </w:p>
        </w:tc>
      </w:tr>
      <w:tr w:rsidR="004E45E0" w:rsidRPr="0088154E" w14:paraId="0AEDC974" w14:textId="77777777" w:rsidTr="00CE0B33">
        <w:trPr>
          <w:trHeight w:val="898"/>
        </w:trPr>
        <w:tc>
          <w:tcPr>
            <w:tcW w:w="1705" w:type="dxa"/>
          </w:tcPr>
          <w:p w14:paraId="2A662961" w14:textId="77777777" w:rsidR="004E45E0" w:rsidRPr="0088154E" w:rsidRDefault="004E45E0" w:rsidP="003A1230">
            <w:pPr>
              <w:rPr>
                <w:rFonts w:eastAsia="Calibri"/>
                <w:bCs/>
                <w:color w:val="000000"/>
                <w:sz w:val="20"/>
                <w:szCs w:val="20"/>
              </w:rPr>
            </w:pPr>
            <w:r w:rsidRPr="0088154E">
              <w:rPr>
                <w:rFonts w:eastAsia="Calibri"/>
                <w:bCs/>
                <w:color w:val="000000"/>
                <w:sz w:val="20"/>
                <w:szCs w:val="20"/>
              </w:rPr>
              <w:t>PBV Rent Reasonableness</w:t>
            </w:r>
          </w:p>
          <w:p w14:paraId="5C2E723C" w14:textId="1F9A4FF7" w:rsidR="004E45E0" w:rsidRPr="0088154E" w:rsidRDefault="004E45E0" w:rsidP="003A1230">
            <w:pPr>
              <w:rPr>
                <w:rFonts w:eastAsia="Calibri"/>
                <w:bCs/>
                <w:color w:val="000000"/>
                <w:sz w:val="20"/>
                <w:szCs w:val="20"/>
              </w:rPr>
            </w:pPr>
            <w:r w:rsidRPr="0088154E">
              <w:rPr>
                <w:rFonts w:eastAsia="Calibri"/>
                <w:bCs/>
                <w:color w:val="000000"/>
                <w:sz w:val="20"/>
                <w:szCs w:val="20"/>
              </w:rPr>
              <w:t>(Activity 2013-2)</w:t>
            </w:r>
          </w:p>
        </w:tc>
        <w:tc>
          <w:tcPr>
            <w:tcW w:w="1260" w:type="dxa"/>
          </w:tcPr>
          <w:p w14:paraId="7CE16081" w14:textId="19383F74" w:rsidR="004E45E0" w:rsidRPr="0088154E" w:rsidRDefault="004E45E0" w:rsidP="003A1230">
            <w:pPr>
              <w:jc w:val="center"/>
              <w:rPr>
                <w:rFonts w:eastAsia="Calibri"/>
                <w:bCs/>
                <w:color w:val="000000"/>
                <w:sz w:val="20"/>
                <w:szCs w:val="20"/>
              </w:rPr>
            </w:pPr>
            <w:r w:rsidRPr="0088154E">
              <w:rPr>
                <w:rFonts w:eastAsia="Calibri"/>
                <w:bCs/>
                <w:color w:val="000000"/>
                <w:sz w:val="20"/>
                <w:szCs w:val="20"/>
              </w:rPr>
              <w:t>FY 2013</w:t>
            </w:r>
          </w:p>
        </w:tc>
        <w:tc>
          <w:tcPr>
            <w:tcW w:w="1350" w:type="dxa"/>
          </w:tcPr>
          <w:p w14:paraId="6D40269A" w14:textId="1B0F30C0" w:rsidR="004E45E0" w:rsidRPr="0088154E" w:rsidRDefault="00A411A6" w:rsidP="003A1230">
            <w:pPr>
              <w:jc w:val="center"/>
              <w:rPr>
                <w:rFonts w:eastAsia="Calibri"/>
                <w:bCs/>
                <w:color w:val="000000"/>
                <w:sz w:val="20"/>
                <w:szCs w:val="20"/>
              </w:rPr>
            </w:pPr>
            <w:r w:rsidRPr="0088154E">
              <w:rPr>
                <w:rFonts w:eastAsia="Calibri"/>
                <w:bCs/>
                <w:color w:val="000000"/>
                <w:sz w:val="20"/>
                <w:szCs w:val="20"/>
              </w:rPr>
              <w:t>FY 2013</w:t>
            </w:r>
          </w:p>
        </w:tc>
        <w:tc>
          <w:tcPr>
            <w:tcW w:w="1800" w:type="dxa"/>
            <w:shd w:val="clear" w:color="auto" w:fill="FFFFFF" w:themeFill="background1"/>
          </w:tcPr>
          <w:p w14:paraId="5115D7F5" w14:textId="7335004C" w:rsidR="004E45E0" w:rsidRPr="0088154E" w:rsidRDefault="004E45E0" w:rsidP="003A1230">
            <w:pPr>
              <w:jc w:val="center"/>
              <w:rPr>
                <w:rFonts w:eastAsia="Calibri"/>
                <w:bCs/>
                <w:color w:val="000000"/>
                <w:sz w:val="20"/>
                <w:szCs w:val="20"/>
              </w:rPr>
            </w:pPr>
            <w:r w:rsidRPr="0088154E">
              <w:rPr>
                <w:rFonts w:eastAsia="Calibri"/>
                <w:bCs/>
                <w:color w:val="000000"/>
                <w:sz w:val="20"/>
                <w:szCs w:val="20"/>
              </w:rPr>
              <w:t>FY 201</w:t>
            </w:r>
            <w:r w:rsidR="00A411A6" w:rsidRPr="0088154E">
              <w:rPr>
                <w:rFonts w:eastAsia="Calibri"/>
                <w:bCs/>
                <w:color w:val="000000"/>
                <w:sz w:val="20"/>
                <w:szCs w:val="20"/>
              </w:rPr>
              <w:t>9</w:t>
            </w:r>
          </w:p>
        </w:tc>
        <w:tc>
          <w:tcPr>
            <w:tcW w:w="3235" w:type="dxa"/>
          </w:tcPr>
          <w:p w14:paraId="4E0AAF24" w14:textId="4A6213B1" w:rsidR="004E45E0" w:rsidRPr="0088154E" w:rsidRDefault="00F234E2" w:rsidP="00A411A6">
            <w:pPr>
              <w:tabs>
                <w:tab w:val="left" w:pos="0"/>
                <w:tab w:val="left" w:pos="90"/>
              </w:tabs>
              <w:rPr>
                <w:color w:val="000000"/>
                <w:sz w:val="20"/>
                <w:szCs w:val="20"/>
              </w:rPr>
            </w:pPr>
            <w:r w:rsidRPr="0088154E">
              <w:rPr>
                <w:color w:val="000000"/>
                <w:sz w:val="20"/>
                <w:szCs w:val="20"/>
              </w:rPr>
              <w:t>DHCD closed</w:t>
            </w:r>
            <w:r w:rsidR="00A411A6" w:rsidRPr="0088154E">
              <w:rPr>
                <w:color w:val="000000"/>
                <w:sz w:val="20"/>
                <w:szCs w:val="20"/>
              </w:rPr>
              <w:t xml:space="preserve"> o</w:t>
            </w:r>
            <w:r w:rsidRPr="0088154E">
              <w:rPr>
                <w:color w:val="000000"/>
                <w:sz w:val="20"/>
                <w:szCs w:val="20"/>
              </w:rPr>
              <w:t>ut this activity and consolidated</w:t>
            </w:r>
            <w:r w:rsidR="00A411A6" w:rsidRPr="0088154E">
              <w:rPr>
                <w:color w:val="000000"/>
                <w:sz w:val="20"/>
                <w:szCs w:val="20"/>
              </w:rPr>
              <w:t xml:space="preserve"> it with the approved Enhanced PBV Program activity (Activity 2018-7).  This action will allow DHCD to report on all Enhanced PB activity features under one activity.</w:t>
            </w:r>
          </w:p>
        </w:tc>
      </w:tr>
      <w:tr w:rsidR="005D17B2" w:rsidRPr="0088154E" w14:paraId="2D7B6BC2" w14:textId="77777777" w:rsidTr="00CE0B33">
        <w:trPr>
          <w:trHeight w:val="898"/>
        </w:trPr>
        <w:tc>
          <w:tcPr>
            <w:tcW w:w="1705" w:type="dxa"/>
          </w:tcPr>
          <w:p w14:paraId="4B239997" w14:textId="687213D2" w:rsidR="005D17B2" w:rsidRPr="0088154E" w:rsidRDefault="005D17B2" w:rsidP="003A1230">
            <w:pPr>
              <w:rPr>
                <w:rFonts w:eastAsia="Calibri"/>
                <w:bCs/>
                <w:color w:val="000000"/>
                <w:sz w:val="20"/>
                <w:szCs w:val="20"/>
              </w:rPr>
            </w:pPr>
            <w:r w:rsidRPr="0088154E">
              <w:rPr>
                <w:rFonts w:eastAsia="Calibri"/>
                <w:bCs/>
                <w:color w:val="000000"/>
                <w:sz w:val="20"/>
                <w:szCs w:val="20"/>
              </w:rPr>
              <w:t>Equity Builder Program (Activity 2018-8)</w:t>
            </w:r>
          </w:p>
        </w:tc>
        <w:tc>
          <w:tcPr>
            <w:tcW w:w="1260" w:type="dxa"/>
          </w:tcPr>
          <w:p w14:paraId="2FC80FD8" w14:textId="244F267F" w:rsidR="005D17B2" w:rsidRPr="0088154E" w:rsidRDefault="005D17B2" w:rsidP="003A1230">
            <w:pPr>
              <w:jc w:val="center"/>
              <w:rPr>
                <w:rFonts w:eastAsia="Calibri"/>
                <w:bCs/>
                <w:color w:val="000000"/>
                <w:sz w:val="20"/>
                <w:szCs w:val="20"/>
              </w:rPr>
            </w:pPr>
            <w:r w:rsidRPr="0088154E">
              <w:rPr>
                <w:rFonts w:eastAsia="Calibri"/>
                <w:bCs/>
                <w:color w:val="000000"/>
                <w:sz w:val="20"/>
                <w:szCs w:val="20"/>
              </w:rPr>
              <w:t>FY 2018</w:t>
            </w:r>
          </w:p>
        </w:tc>
        <w:tc>
          <w:tcPr>
            <w:tcW w:w="1350" w:type="dxa"/>
          </w:tcPr>
          <w:p w14:paraId="2914B114" w14:textId="744D58AA" w:rsidR="00957569" w:rsidRPr="0088154E" w:rsidRDefault="00957569" w:rsidP="003A1230">
            <w:pPr>
              <w:jc w:val="center"/>
              <w:rPr>
                <w:rFonts w:eastAsia="Calibri"/>
                <w:bCs/>
                <w:color w:val="000000"/>
                <w:sz w:val="20"/>
                <w:szCs w:val="20"/>
              </w:rPr>
            </w:pPr>
            <w:r w:rsidRPr="0088154E">
              <w:rPr>
                <w:rFonts w:eastAsia="Calibri"/>
                <w:bCs/>
                <w:color w:val="000000"/>
                <w:sz w:val="20"/>
                <w:szCs w:val="20"/>
              </w:rPr>
              <w:t>Never Implemented</w:t>
            </w:r>
          </w:p>
        </w:tc>
        <w:tc>
          <w:tcPr>
            <w:tcW w:w="1800" w:type="dxa"/>
            <w:shd w:val="clear" w:color="auto" w:fill="FFFFFF" w:themeFill="background1"/>
          </w:tcPr>
          <w:p w14:paraId="19DA1D6A" w14:textId="4D6F5177" w:rsidR="005D17B2" w:rsidRPr="0088154E" w:rsidRDefault="006D6331" w:rsidP="003A1230">
            <w:pPr>
              <w:jc w:val="center"/>
              <w:rPr>
                <w:rFonts w:eastAsia="Calibri"/>
                <w:bCs/>
                <w:color w:val="000000"/>
                <w:sz w:val="20"/>
                <w:szCs w:val="20"/>
              </w:rPr>
            </w:pPr>
            <w:r w:rsidRPr="0088154E">
              <w:rPr>
                <w:rFonts w:eastAsia="Calibri"/>
                <w:bCs/>
                <w:color w:val="000000"/>
                <w:sz w:val="20"/>
                <w:szCs w:val="20"/>
              </w:rPr>
              <w:t>FY 202</w:t>
            </w:r>
            <w:r w:rsidR="00B86126" w:rsidRPr="0088154E">
              <w:rPr>
                <w:rFonts w:eastAsia="Calibri"/>
                <w:bCs/>
                <w:color w:val="000000"/>
                <w:sz w:val="20"/>
                <w:szCs w:val="20"/>
              </w:rPr>
              <w:t>0</w:t>
            </w:r>
          </w:p>
        </w:tc>
        <w:tc>
          <w:tcPr>
            <w:tcW w:w="3235" w:type="dxa"/>
          </w:tcPr>
          <w:p w14:paraId="5FA73A7B" w14:textId="33E9584A" w:rsidR="005D17B2" w:rsidRPr="0088154E" w:rsidRDefault="005D17B2" w:rsidP="005D17B2">
            <w:pPr>
              <w:rPr>
                <w:color w:val="222222"/>
                <w:sz w:val="20"/>
                <w:szCs w:val="20"/>
                <w:shd w:val="clear" w:color="auto" w:fill="FFFFFF"/>
              </w:rPr>
            </w:pPr>
            <w:r w:rsidRPr="0088154E">
              <w:rPr>
                <w:color w:val="222222"/>
                <w:sz w:val="20"/>
                <w:szCs w:val="20"/>
                <w:shd w:val="clear" w:color="auto" w:fill="FFFFFF"/>
              </w:rPr>
              <w:t>After discussions with for-profit and non-profit owners, DHCD determined the activity was not financially feasible. Owners relayed lack of interest in pursuing the program and a lack of financial benefits. As the success of the program is dependent on owne</w:t>
            </w:r>
            <w:r w:rsidR="00F25EF7" w:rsidRPr="0088154E">
              <w:rPr>
                <w:color w:val="222222"/>
                <w:sz w:val="20"/>
                <w:szCs w:val="20"/>
                <w:shd w:val="clear" w:color="auto" w:fill="FFFFFF"/>
              </w:rPr>
              <w:t>rs providing LTO units, DHCD</w:t>
            </w:r>
            <w:r w:rsidRPr="0088154E">
              <w:rPr>
                <w:color w:val="222222"/>
                <w:sz w:val="20"/>
                <w:szCs w:val="20"/>
                <w:shd w:val="clear" w:color="auto" w:fill="FFFFFF"/>
              </w:rPr>
              <w:t xml:space="preserve"> decided to close the activity out.</w:t>
            </w:r>
          </w:p>
        </w:tc>
      </w:tr>
      <w:tr w:rsidR="00CC60F8" w:rsidRPr="0088154E" w14:paraId="4C92CDEE" w14:textId="77777777" w:rsidTr="00CE0B33">
        <w:trPr>
          <w:trHeight w:val="898"/>
        </w:trPr>
        <w:tc>
          <w:tcPr>
            <w:tcW w:w="1705" w:type="dxa"/>
          </w:tcPr>
          <w:p w14:paraId="78721A73" w14:textId="77777777" w:rsidR="00CC60F8" w:rsidRPr="0088154E" w:rsidRDefault="00CC60F8" w:rsidP="00957569">
            <w:pPr>
              <w:rPr>
                <w:sz w:val="20"/>
              </w:rPr>
            </w:pPr>
            <w:bookmarkStart w:id="79" w:name="_Toc25656546"/>
            <w:bookmarkStart w:id="80" w:name="_Toc415115905"/>
            <w:r w:rsidRPr="0088154E">
              <w:rPr>
                <w:sz w:val="20"/>
              </w:rPr>
              <w:t>Activity 2018-2: Residential Assistance for Families in Transition (RAFT)</w:t>
            </w:r>
            <w:bookmarkEnd w:id="79"/>
          </w:p>
          <w:p w14:paraId="24C26CD6" w14:textId="77777777" w:rsidR="00CC60F8" w:rsidRPr="0088154E" w:rsidRDefault="00CC60F8" w:rsidP="003A1230">
            <w:pPr>
              <w:rPr>
                <w:rFonts w:eastAsia="Calibri"/>
                <w:bCs/>
                <w:color w:val="000000"/>
                <w:sz w:val="20"/>
                <w:szCs w:val="20"/>
              </w:rPr>
            </w:pPr>
          </w:p>
        </w:tc>
        <w:tc>
          <w:tcPr>
            <w:tcW w:w="1260" w:type="dxa"/>
          </w:tcPr>
          <w:p w14:paraId="51D60D81" w14:textId="51F155FA" w:rsidR="00CC60F8" w:rsidRPr="0088154E" w:rsidRDefault="00CC60F8" w:rsidP="003A1230">
            <w:pPr>
              <w:jc w:val="center"/>
              <w:rPr>
                <w:rFonts w:eastAsia="Calibri"/>
                <w:bCs/>
                <w:color w:val="000000"/>
                <w:sz w:val="20"/>
                <w:szCs w:val="20"/>
              </w:rPr>
            </w:pPr>
            <w:r w:rsidRPr="0088154E">
              <w:rPr>
                <w:rFonts w:eastAsia="Calibri"/>
                <w:bCs/>
                <w:color w:val="000000"/>
                <w:sz w:val="20"/>
                <w:szCs w:val="20"/>
              </w:rPr>
              <w:t>FY 2018</w:t>
            </w:r>
          </w:p>
        </w:tc>
        <w:tc>
          <w:tcPr>
            <w:tcW w:w="1350" w:type="dxa"/>
          </w:tcPr>
          <w:p w14:paraId="1BD0FDCF" w14:textId="33149258" w:rsidR="00CC60F8" w:rsidRPr="0088154E" w:rsidRDefault="00CC60F8" w:rsidP="003A1230">
            <w:pPr>
              <w:jc w:val="center"/>
              <w:rPr>
                <w:rFonts w:eastAsia="Calibri"/>
                <w:bCs/>
                <w:color w:val="000000"/>
                <w:sz w:val="20"/>
                <w:szCs w:val="20"/>
              </w:rPr>
            </w:pPr>
            <w:r w:rsidRPr="0088154E">
              <w:rPr>
                <w:rFonts w:eastAsia="Calibri"/>
                <w:bCs/>
                <w:color w:val="000000"/>
                <w:sz w:val="20"/>
                <w:szCs w:val="20"/>
              </w:rPr>
              <w:t>FY 2018</w:t>
            </w:r>
          </w:p>
        </w:tc>
        <w:tc>
          <w:tcPr>
            <w:tcW w:w="1800" w:type="dxa"/>
            <w:shd w:val="clear" w:color="auto" w:fill="FFFFFF" w:themeFill="background1"/>
          </w:tcPr>
          <w:p w14:paraId="3BA5AFE9" w14:textId="36FC8841" w:rsidR="00CC60F8" w:rsidRPr="0088154E" w:rsidRDefault="00CC60F8" w:rsidP="003A1230">
            <w:pPr>
              <w:jc w:val="center"/>
              <w:rPr>
                <w:rFonts w:eastAsia="Calibri"/>
                <w:bCs/>
                <w:color w:val="000000"/>
                <w:sz w:val="20"/>
                <w:szCs w:val="20"/>
              </w:rPr>
            </w:pPr>
            <w:r w:rsidRPr="0088154E">
              <w:rPr>
                <w:rFonts w:eastAsia="Calibri"/>
                <w:bCs/>
                <w:color w:val="000000"/>
                <w:sz w:val="20"/>
                <w:szCs w:val="20"/>
              </w:rPr>
              <w:t>FY 2019</w:t>
            </w:r>
          </w:p>
        </w:tc>
        <w:tc>
          <w:tcPr>
            <w:tcW w:w="3235" w:type="dxa"/>
          </w:tcPr>
          <w:p w14:paraId="4138A4FC" w14:textId="0728A096" w:rsidR="00CC60F8" w:rsidRPr="0088154E" w:rsidRDefault="00CC60F8" w:rsidP="00CC60F8">
            <w:pPr>
              <w:pStyle w:val="PlainText"/>
              <w:rPr>
                <w:rFonts w:ascii="Times New Roman" w:hAnsi="Times New Roman"/>
                <w:color w:val="222222"/>
                <w:sz w:val="20"/>
                <w:szCs w:val="24"/>
                <w:shd w:val="clear" w:color="auto" w:fill="FFFFFF"/>
              </w:rPr>
            </w:pPr>
            <w:r w:rsidRPr="0088154E">
              <w:rPr>
                <w:rFonts w:ascii="Times New Roman" w:hAnsi="Times New Roman"/>
                <w:color w:val="222222"/>
                <w:sz w:val="20"/>
                <w:szCs w:val="24"/>
                <w:shd w:val="clear" w:color="auto" w:fill="FFFFFF"/>
              </w:rPr>
              <w:t xml:space="preserve">This initiative received additional funding from a different source for FY 2020, and DHCD no longer needed to use MTW flexibility to support the program.  </w:t>
            </w:r>
          </w:p>
          <w:p w14:paraId="5E5A62F2" w14:textId="77777777" w:rsidR="00CC60F8" w:rsidRPr="0088154E" w:rsidRDefault="00CC60F8" w:rsidP="005D17B2">
            <w:pPr>
              <w:rPr>
                <w:color w:val="222222"/>
                <w:sz w:val="20"/>
                <w:szCs w:val="20"/>
                <w:shd w:val="clear" w:color="auto" w:fill="FFFFFF"/>
              </w:rPr>
            </w:pPr>
          </w:p>
        </w:tc>
      </w:tr>
    </w:tbl>
    <w:p w14:paraId="645C550E" w14:textId="77777777" w:rsidR="00FF1DE7" w:rsidRPr="0088154E" w:rsidRDefault="00FF1DE7" w:rsidP="000047C6">
      <w:pPr>
        <w:pStyle w:val="Heading1"/>
        <w:pBdr>
          <w:bottom w:val="single" w:sz="4" w:space="1" w:color="auto"/>
        </w:pBdr>
        <w:ind w:left="360" w:hanging="360"/>
        <w:rPr>
          <w:rFonts w:ascii="Times New Roman" w:hAnsi="Times New Roman"/>
          <w:sz w:val="36"/>
          <w:szCs w:val="36"/>
        </w:rPr>
        <w:sectPr w:rsidR="00FF1DE7" w:rsidRPr="0088154E" w:rsidSect="00F61294">
          <w:pgSz w:w="12240" w:h="15840"/>
          <w:pgMar w:top="1440" w:right="1440" w:bottom="1440" w:left="1440" w:header="720" w:footer="720" w:gutter="0"/>
          <w:cols w:space="720"/>
          <w:docGrid w:linePitch="360"/>
        </w:sectPr>
      </w:pPr>
    </w:p>
    <w:p w14:paraId="06EAC759" w14:textId="7003B36A" w:rsidR="0016151B" w:rsidRPr="0088154E" w:rsidRDefault="00A91BB8" w:rsidP="000047C6">
      <w:pPr>
        <w:pStyle w:val="Heading1"/>
        <w:pBdr>
          <w:bottom w:val="single" w:sz="4" w:space="1" w:color="auto"/>
        </w:pBdr>
        <w:ind w:left="360" w:hanging="360"/>
        <w:rPr>
          <w:rFonts w:ascii="Times New Roman" w:hAnsi="Times New Roman"/>
          <w:sz w:val="36"/>
          <w:szCs w:val="36"/>
        </w:rPr>
      </w:pPr>
      <w:bookmarkStart w:id="81" w:name="_Toc33016958"/>
      <w:r w:rsidRPr="0088154E">
        <w:rPr>
          <w:rFonts w:ascii="Times New Roman" w:hAnsi="Times New Roman"/>
          <w:sz w:val="36"/>
          <w:szCs w:val="36"/>
        </w:rPr>
        <w:t xml:space="preserve">V. </w:t>
      </w:r>
      <w:r w:rsidR="0016151B" w:rsidRPr="0088154E">
        <w:rPr>
          <w:rFonts w:ascii="Times New Roman" w:hAnsi="Times New Roman"/>
          <w:sz w:val="36"/>
          <w:szCs w:val="36"/>
        </w:rPr>
        <w:t xml:space="preserve">Sources and Uses of </w:t>
      </w:r>
      <w:r w:rsidR="005C0AB5" w:rsidRPr="0088154E">
        <w:rPr>
          <w:rFonts w:ascii="Times New Roman" w:hAnsi="Times New Roman"/>
          <w:sz w:val="36"/>
          <w:szCs w:val="36"/>
        </w:rPr>
        <w:t xml:space="preserve">MTW </w:t>
      </w:r>
      <w:r w:rsidR="0016151B" w:rsidRPr="0088154E">
        <w:rPr>
          <w:rFonts w:ascii="Times New Roman" w:hAnsi="Times New Roman"/>
          <w:sz w:val="36"/>
          <w:szCs w:val="36"/>
        </w:rPr>
        <w:t>Fund</w:t>
      </w:r>
      <w:bookmarkEnd w:id="80"/>
      <w:r w:rsidR="005C0AB5" w:rsidRPr="0088154E">
        <w:rPr>
          <w:rFonts w:ascii="Times New Roman" w:hAnsi="Times New Roman"/>
          <w:sz w:val="36"/>
          <w:szCs w:val="36"/>
        </w:rPr>
        <w:t>s</w:t>
      </w:r>
      <w:bookmarkEnd w:id="81"/>
    </w:p>
    <w:p w14:paraId="77EE6297" w14:textId="0F8EF05D" w:rsidR="00C31132" w:rsidRPr="0088154E" w:rsidRDefault="00C31132" w:rsidP="00913076"/>
    <w:p w14:paraId="79A7D847" w14:textId="65149305" w:rsidR="00913076" w:rsidRPr="0088154E" w:rsidRDefault="00913076" w:rsidP="00AA5A80">
      <w:pPr>
        <w:pStyle w:val="Heading3"/>
        <w:numPr>
          <w:ilvl w:val="0"/>
          <w:numId w:val="20"/>
        </w:numPr>
        <w:ind w:left="360"/>
      </w:pPr>
      <w:bookmarkStart w:id="82" w:name="_Toc33016959"/>
      <w:r w:rsidRPr="0088154E">
        <w:t>Estimated Sources and Uses of MTW Fund</w:t>
      </w:r>
      <w:r w:rsidR="000047C6" w:rsidRPr="0088154E">
        <w:t>s</w:t>
      </w:r>
      <w:bookmarkEnd w:id="82"/>
    </w:p>
    <w:p w14:paraId="79ED4829" w14:textId="5A4430C6" w:rsidR="00913076" w:rsidRPr="0088154E" w:rsidRDefault="00913076" w:rsidP="00913076"/>
    <w:p w14:paraId="0B7E5AD3" w14:textId="6CF74F21" w:rsidR="00115BBF" w:rsidRPr="0088154E" w:rsidRDefault="00F25EF7" w:rsidP="00115BBF">
      <w:pPr>
        <w:jc w:val="both"/>
        <w:rPr>
          <w:color w:val="000000"/>
          <w:sz w:val="22"/>
          <w:szCs w:val="22"/>
        </w:rPr>
      </w:pPr>
      <w:r w:rsidRPr="0088154E">
        <w:rPr>
          <w:color w:val="000000"/>
          <w:sz w:val="22"/>
          <w:szCs w:val="22"/>
        </w:rPr>
        <w:t>DHCD’s operates an MTW P</w:t>
      </w:r>
      <w:r w:rsidR="00115BBF" w:rsidRPr="0088154E">
        <w:rPr>
          <w:color w:val="000000"/>
          <w:sz w:val="22"/>
          <w:szCs w:val="22"/>
        </w:rPr>
        <w:t>rogram that involves only Housing Choice Vouchers. The tables below provide a projection o</w:t>
      </w:r>
      <w:r w:rsidRPr="0088154E">
        <w:rPr>
          <w:color w:val="000000"/>
          <w:sz w:val="22"/>
          <w:szCs w:val="22"/>
        </w:rPr>
        <w:t>f sources and uses for the MTW P</w:t>
      </w:r>
      <w:r w:rsidR="00115BBF" w:rsidRPr="0088154E">
        <w:rPr>
          <w:color w:val="000000"/>
          <w:sz w:val="22"/>
          <w:szCs w:val="22"/>
        </w:rPr>
        <w:t xml:space="preserve">rogram for </w:t>
      </w:r>
      <w:r w:rsidR="006D6331" w:rsidRPr="0088154E">
        <w:rPr>
          <w:color w:val="000000"/>
          <w:sz w:val="22"/>
          <w:szCs w:val="22"/>
        </w:rPr>
        <w:t>FY 2021</w:t>
      </w:r>
      <w:r w:rsidR="00115BBF" w:rsidRPr="0088154E">
        <w:rPr>
          <w:color w:val="000000"/>
          <w:sz w:val="22"/>
          <w:szCs w:val="22"/>
        </w:rPr>
        <w:t xml:space="preserve">. Note that no state or local funds are utilized.  Note also that HCV funding is allocated on a calendar year (CY) basis. As of the posting of this Plan, DHCD has not been notified of total renewal funding for the CY; thus, the amounts listed below may change based on actual funding levels. DHCD will provide information on actual source and use amounts as part of the MTW Annual Report. </w:t>
      </w:r>
    </w:p>
    <w:p w14:paraId="050FEF7B" w14:textId="77777777" w:rsidR="00115BBF" w:rsidRPr="0088154E" w:rsidRDefault="00115BBF" w:rsidP="00913076">
      <w:pPr>
        <w:rPr>
          <w:sz w:val="22"/>
          <w:szCs w:val="22"/>
        </w:rPr>
      </w:pPr>
    </w:p>
    <w:p w14:paraId="4436927B" w14:textId="61071439" w:rsidR="00913076" w:rsidRPr="0088154E" w:rsidRDefault="00913076" w:rsidP="00AA5A80">
      <w:pPr>
        <w:pStyle w:val="ListParagraph"/>
        <w:numPr>
          <w:ilvl w:val="1"/>
          <w:numId w:val="18"/>
        </w:numPr>
        <w:contextualSpacing/>
        <w:jc w:val="both"/>
        <w:rPr>
          <w:b/>
          <w:i/>
        </w:rPr>
      </w:pPr>
      <w:r w:rsidRPr="0088154E">
        <w:rPr>
          <w:b/>
          <w:i/>
        </w:rPr>
        <w:t>Estimated Sources of MTW Funds</w:t>
      </w:r>
    </w:p>
    <w:p w14:paraId="679FC77D" w14:textId="77777777" w:rsidR="000047C6" w:rsidRPr="0088154E" w:rsidRDefault="000047C6" w:rsidP="000047C6">
      <w:pPr>
        <w:pStyle w:val="ListParagraph"/>
        <w:numPr>
          <w:ilvl w:val="0"/>
          <w:numId w:val="0"/>
        </w:numPr>
        <w:ind w:left="720"/>
        <w:contextualSpacing/>
        <w:jc w:val="both"/>
        <w:rPr>
          <w:b/>
          <w:i/>
        </w:rPr>
      </w:pPr>
    </w:p>
    <w:p w14:paraId="5C24794A" w14:textId="33404927" w:rsidR="00115BBF" w:rsidRPr="0088154E" w:rsidRDefault="00115BBF" w:rsidP="00115BBF">
      <w:pPr>
        <w:pStyle w:val="Heading4"/>
        <w:numPr>
          <w:ilvl w:val="0"/>
          <w:numId w:val="0"/>
        </w:numPr>
        <w:jc w:val="center"/>
        <w:rPr>
          <w:sz w:val="20"/>
        </w:rPr>
      </w:pPr>
      <w:bookmarkStart w:id="83" w:name="_Toc33016960"/>
      <w:r w:rsidRPr="0088154E">
        <w:rPr>
          <w:sz w:val="20"/>
        </w:rPr>
        <w:t xml:space="preserve">Table 11: Estimated Sources of MTW Funding for </w:t>
      </w:r>
      <w:r w:rsidR="006D6331" w:rsidRPr="0088154E">
        <w:rPr>
          <w:sz w:val="20"/>
        </w:rPr>
        <w:t>FY 2021</w:t>
      </w:r>
      <w:bookmarkEnd w:id="83"/>
    </w:p>
    <w:p w14:paraId="4443252D" w14:textId="50C1E161" w:rsidR="004B166A" w:rsidRPr="0088154E" w:rsidRDefault="004B166A" w:rsidP="004B166A"/>
    <w:tbl>
      <w:tblPr>
        <w:tblStyle w:val="TableGrid"/>
        <w:tblW w:w="0" w:type="auto"/>
        <w:tblInd w:w="360" w:type="dxa"/>
        <w:tblLook w:val="04A0" w:firstRow="1" w:lastRow="0" w:firstColumn="1" w:lastColumn="0" w:noHBand="0" w:noVBand="1"/>
      </w:tblPr>
      <w:tblGrid>
        <w:gridCol w:w="4163"/>
        <w:gridCol w:w="3511"/>
        <w:gridCol w:w="1316"/>
      </w:tblGrid>
      <w:tr w:rsidR="004B166A" w:rsidRPr="0088154E" w14:paraId="45966F7B" w14:textId="77777777" w:rsidTr="0092578F">
        <w:tc>
          <w:tcPr>
            <w:tcW w:w="4225" w:type="dxa"/>
            <w:shd w:val="clear" w:color="auto" w:fill="D9D9D9" w:themeFill="background1" w:themeFillShade="D9"/>
          </w:tcPr>
          <w:p w14:paraId="60030D31" w14:textId="77777777" w:rsidR="004B166A" w:rsidRPr="0088154E" w:rsidRDefault="004B166A" w:rsidP="0092578F">
            <w:pPr>
              <w:contextualSpacing/>
              <w:rPr>
                <w:rFonts w:ascii="Times New Roman" w:hAnsi="Times New Roman"/>
                <w:b/>
                <w:sz w:val="20"/>
                <w:szCs w:val="20"/>
              </w:rPr>
            </w:pPr>
            <w:r w:rsidRPr="0088154E">
              <w:rPr>
                <w:rFonts w:ascii="Times New Roman" w:hAnsi="Times New Roman"/>
                <w:b/>
                <w:sz w:val="20"/>
                <w:szCs w:val="20"/>
              </w:rPr>
              <w:t>FDS Line Item Number</w:t>
            </w:r>
          </w:p>
        </w:tc>
        <w:tc>
          <w:tcPr>
            <w:tcW w:w="3690" w:type="dxa"/>
            <w:shd w:val="clear" w:color="auto" w:fill="D9D9D9" w:themeFill="background1" w:themeFillShade="D9"/>
          </w:tcPr>
          <w:p w14:paraId="701DEEE8" w14:textId="77777777" w:rsidR="004B166A" w:rsidRPr="0088154E" w:rsidRDefault="004B166A" w:rsidP="0092578F">
            <w:pPr>
              <w:contextualSpacing/>
              <w:rPr>
                <w:rFonts w:ascii="Times New Roman" w:hAnsi="Times New Roman"/>
                <w:b/>
                <w:sz w:val="20"/>
                <w:szCs w:val="20"/>
              </w:rPr>
            </w:pPr>
            <w:r w:rsidRPr="0088154E">
              <w:rPr>
                <w:rFonts w:ascii="Times New Roman" w:hAnsi="Times New Roman"/>
                <w:b/>
                <w:sz w:val="20"/>
                <w:szCs w:val="20"/>
              </w:rPr>
              <w:t>FDS Line Item Name</w:t>
            </w:r>
          </w:p>
        </w:tc>
        <w:tc>
          <w:tcPr>
            <w:tcW w:w="1075" w:type="dxa"/>
            <w:shd w:val="clear" w:color="auto" w:fill="D9D9D9" w:themeFill="background1" w:themeFillShade="D9"/>
          </w:tcPr>
          <w:p w14:paraId="47633FE1" w14:textId="77777777" w:rsidR="004B166A" w:rsidRPr="0088154E" w:rsidRDefault="004B166A" w:rsidP="0092578F">
            <w:pPr>
              <w:contextualSpacing/>
              <w:rPr>
                <w:rFonts w:ascii="Times New Roman" w:hAnsi="Times New Roman"/>
                <w:b/>
                <w:sz w:val="20"/>
                <w:szCs w:val="20"/>
              </w:rPr>
            </w:pPr>
            <w:r w:rsidRPr="0088154E">
              <w:rPr>
                <w:rFonts w:ascii="Times New Roman" w:hAnsi="Times New Roman"/>
                <w:b/>
                <w:sz w:val="20"/>
                <w:szCs w:val="20"/>
              </w:rPr>
              <w:t>Dollar Amount</w:t>
            </w:r>
          </w:p>
        </w:tc>
      </w:tr>
      <w:tr w:rsidR="004B166A" w:rsidRPr="0088154E" w14:paraId="72D7D26E" w14:textId="77777777" w:rsidTr="0092578F">
        <w:trPr>
          <w:trHeight w:val="432"/>
        </w:trPr>
        <w:tc>
          <w:tcPr>
            <w:tcW w:w="4225" w:type="dxa"/>
          </w:tcPr>
          <w:p w14:paraId="373FAC3C" w14:textId="77777777" w:rsidR="004B166A" w:rsidRPr="0088154E" w:rsidRDefault="004B166A" w:rsidP="0092578F">
            <w:pPr>
              <w:contextualSpacing/>
              <w:jc w:val="left"/>
              <w:rPr>
                <w:rFonts w:ascii="Times New Roman" w:hAnsi="Times New Roman"/>
                <w:sz w:val="20"/>
                <w:szCs w:val="20"/>
              </w:rPr>
            </w:pPr>
            <w:r w:rsidRPr="0088154E">
              <w:rPr>
                <w:rFonts w:ascii="Times New Roman" w:hAnsi="Times New Roman"/>
                <w:sz w:val="20"/>
                <w:szCs w:val="20"/>
              </w:rPr>
              <w:t>70500 (70300+70400)</w:t>
            </w:r>
          </w:p>
        </w:tc>
        <w:tc>
          <w:tcPr>
            <w:tcW w:w="3690" w:type="dxa"/>
          </w:tcPr>
          <w:p w14:paraId="20BF3884" w14:textId="77777777" w:rsidR="004B166A" w:rsidRPr="0088154E" w:rsidRDefault="004B166A" w:rsidP="0092578F">
            <w:pPr>
              <w:contextualSpacing/>
              <w:jc w:val="left"/>
              <w:rPr>
                <w:rFonts w:ascii="Times New Roman" w:hAnsi="Times New Roman"/>
                <w:sz w:val="20"/>
                <w:szCs w:val="20"/>
              </w:rPr>
            </w:pPr>
            <w:r w:rsidRPr="0088154E">
              <w:rPr>
                <w:rFonts w:ascii="Times New Roman" w:hAnsi="Times New Roman"/>
                <w:sz w:val="20"/>
                <w:szCs w:val="20"/>
              </w:rPr>
              <w:t>Total Tenant Revenue</w:t>
            </w:r>
          </w:p>
        </w:tc>
        <w:tc>
          <w:tcPr>
            <w:tcW w:w="1075" w:type="dxa"/>
          </w:tcPr>
          <w:p w14:paraId="62E7D4B3" w14:textId="6677AD9A" w:rsidR="004B166A" w:rsidRPr="0088154E" w:rsidRDefault="004B166A" w:rsidP="0092578F">
            <w:pPr>
              <w:contextualSpacing/>
              <w:jc w:val="right"/>
              <w:rPr>
                <w:rFonts w:ascii="Times New Roman" w:hAnsi="Times New Roman"/>
                <w:sz w:val="20"/>
                <w:szCs w:val="20"/>
              </w:rPr>
            </w:pPr>
            <w:r w:rsidRPr="0088154E">
              <w:rPr>
                <w:rFonts w:ascii="Times New Roman" w:hAnsi="Times New Roman"/>
                <w:sz w:val="20"/>
                <w:szCs w:val="20"/>
              </w:rPr>
              <w:t>$0</w:t>
            </w:r>
          </w:p>
        </w:tc>
      </w:tr>
      <w:tr w:rsidR="004B166A" w:rsidRPr="0088154E" w14:paraId="7B5ABF07" w14:textId="77777777" w:rsidTr="0092578F">
        <w:trPr>
          <w:trHeight w:val="432"/>
        </w:trPr>
        <w:tc>
          <w:tcPr>
            <w:tcW w:w="4225" w:type="dxa"/>
          </w:tcPr>
          <w:p w14:paraId="5CB0CC62" w14:textId="77777777" w:rsidR="004B166A" w:rsidRPr="0088154E" w:rsidRDefault="004B166A" w:rsidP="0092578F">
            <w:pPr>
              <w:contextualSpacing/>
              <w:jc w:val="left"/>
              <w:rPr>
                <w:rFonts w:ascii="Times New Roman" w:hAnsi="Times New Roman"/>
                <w:sz w:val="20"/>
                <w:szCs w:val="20"/>
              </w:rPr>
            </w:pPr>
            <w:r w:rsidRPr="0088154E">
              <w:rPr>
                <w:rFonts w:ascii="Times New Roman" w:hAnsi="Times New Roman"/>
                <w:sz w:val="20"/>
                <w:szCs w:val="20"/>
              </w:rPr>
              <w:t>70600</w:t>
            </w:r>
          </w:p>
        </w:tc>
        <w:tc>
          <w:tcPr>
            <w:tcW w:w="3690" w:type="dxa"/>
          </w:tcPr>
          <w:p w14:paraId="059DA059" w14:textId="77777777" w:rsidR="004B166A" w:rsidRPr="0088154E" w:rsidRDefault="004B166A" w:rsidP="0092578F">
            <w:pPr>
              <w:contextualSpacing/>
              <w:jc w:val="left"/>
              <w:rPr>
                <w:rFonts w:ascii="Times New Roman" w:hAnsi="Times New Roman"/>
                <w:sz w:val="20"/>
                <w:szCs w:val="20"/>
              </w:rPr>
            </w:pPr>
            <w:r w:rsidRPr="0088154E">
              <w:rPr>
                <w:rFonts w:ascii="Times New Roman" w:hAnsi="Times New Roman"/>
                <w:sz w:val="20"/>
                <w:szCs w:val="20"/>
              </w:rPr>
              <w:t>HUD PHA Operating Grants</w:t>
            </w:r>
          </w:p>
        </w:tc>
        <w:tc>
          <w:tcPr>
            <w:tcW w:w="1075" w:type="dxa"/>
          </w:tcPr>
          <w:p w14:paraId="0B1D3A85" w14:textId="0D5F27DE" w:rsidR="004B166A" w:rsidRPr="0088154E" w:rsidRDefault="004B166A" w:rsidP="0092578F">
            <w:pPr>
              <w:contextualSpacing/>
              <w:jc w:val="right"/>
              <w:rPr>
                <w:rFonts w:ascii="Times New Roman" w:hAnsi="Times New Roman"/>
                <w:sz w:val="20"/>
                <w:szCs w:val="20"/>
              </w:rPr>
            </w:pPr>
            <w:r w:rsidRPr="0088154E">
              <w:rPr>
                <w:rFonts w:ascii="Times New Roman" w:hAnsi="Times New Roman"/>
                <w:sz w:val="20"/>
                <w:szCs w:val="20"/>
              </w:rPr>
              <w:t>$275,000,000</w:t>
            </w:r>
          </w:p>
        </w:tc>
      </w:tr>
      <w:tr w:rsidR="004B166A" w:rsidRPr="0088154E" w14:paraId="1CD5F5C8" w14:textId="77777777" w:rsidTr="0092578F">
        <w:trPr>
          <w:trHeight w:val="432"/>
        </w:trPr>
        <w:tc>
          <w:tcPr>
            <w:tcW w:w="4225" w:type="dxa"/>
          </w:tcPr>
          <w:p w14:paraId="635F7104" w14:textId="77777777" w:rsidR="004B166A" w:rsidRPr="0088154E" w:rsidRDefault="004B166A" w:rsidP="0092578F">
            <w:pPr>
              <w:contextualSpacing/>
              <w:jc w:val="left"/>
              <w:rPr>
                <w:rFonts w:ascii="Times New Roman" w:hAnsi="Times New Roman"/>
                <w:sz w:val="20"/>
                <w:szCs w:val="20"/>
              </w:rPr>
            </w:pPr>
            <w:r w:rsidRPr="0088154E">
              <w:rPr>
                <w:rFonts w:ascii="Times New Roman" w:hAnsi="Times New Roman"/>
                <w:sz w:val="20"/>
                <w:szCs w:val="20"/>
              </w:rPr>
              <w:t>70610</w:t>
            </w:r>
          </w:p>
        </w:tc>
        <w:tc>
          <w:tcPr>
            <w:tcW w:w="3690" w:type="dxa"/>
          </w:tcPr>
          <w:p w14:paraId="5F7FA1DC" w14:textId="77777777" w:rsidR="004B166A" w:rsidRPr="0088154E" w:rsidRDefault="004B166A" w:rsidP="0092578F">
            <w:pPr>
              <w:contextualSpacing/>
              <w:jc w:val="left"/>
              <w:rPr>
                <w:rFonts w:ascii="Times New Roman" w:hAnsi="Times New Roman"/>
                <w:sz w:val="20"/>
                <w:szCs w:val="20"/>
              </w:rPr>
            </w:pPr>
            <w:r w:rsidRPr="0088154E">
              <w:rPr>
                <w:rFonts w:ascii="Times New Roman" w:hAnsi="Times New Roman"/>
                <w:sz w:val="20"/>
                <w:szCs w:val="20"/>
              </w:rPr>
              <w:t>Capital Grants</w:t>
            </w:r>
          </w:p>
        </w:tc>
        <w:tc>
          <w:tcPr>
            <w:tcW w:w="1075" w:type="dxa"/>
          </w:tcPr>
          <w:p w14:paraId="3E7154FB" w14:textId="6039121C" w:rsidR="004B166A" w:rsidRPr="0088154E" w:rsidRDefault="004B166A" w:rsidP="0092578F">
            <w:pPr>
              <w:contextualSpacing/>
              <w:jc w:val="right"/>
              <w:rPr>
                <w:rFonts w:ascii="Times New Roman" w:hAnsi="Times New Roman"/>
                <w:sz w:val="20"/>
                <w:szCs w:val="20"/>
              </w:rPr>
            </w:pPr>
            <w:r w:rsidRPr="0088154E">
              <w:rPr>
                <w:rFonts w:ascii="Times New Roman" w:hAnsi="Times New Roman"/>
                <w:sz w:val="20"/>
                <w:szCs w:val="20"/>
              </w:rPr>
              <w:t>$0</w:t>
            </w:r>
          </w:p>
        </w:tc>
      </w:tr>
      <w:tr w:rsidR="004B166A" w:rsidRPr="0088154E" w14:paraId="66CAC4C4" w14:textId="77777777" w:rsidTr="0092578F">
        <w:trPr>
          <w:trHeight w:val="432"/>
        </w:trPr>
        <w:tc>
          <w:tcPr>
            <w:tcW w:w="4225" w:type="dxa"/>
          </w:tcPr>
          <w:p w14:paraId="5742AFE7" w14:textId="77777777" w:rsidR="004B166A" w:rsidRPr="0088154E" w:rsidRDefault="004B166A" w:rsidP="0092578F">
            <w:pPr>
              <w:contextualSpacing/>
              <w:jc w:val="left"/>
              <w:rPr>
                <w:rFonts w:ascii="Times New Roman" w:hAnsi="Times New Roman"/>
                <w:sz w:val="20"/>
                <w:szCs w:val="20"/>
              </w:rPr>
            </w:pPr>
            <w:r w:rsidRPr="0088154E">
              <w:rPr>
                <w:rFonts w:ascii="Times New Roman" w:hAnsi="Times New Roman"/>
                <w:sz w:val="20"/>
                <w:szCs w:val="20"/>
              </w:rPr>
              <w:t>70700 (70710+70720+70730+70740+70750)</w:t>
            </w:r>
          </w:p>
        </w:tc>
        <w:tc>
          <w:tcPr>
            <w:tcW w:w="3690" w:type="dxa"/>
          </w:tcPr>
          <w:p w14:paraId="34631E3D" w14:textId="77777777" w:rsidR="004B166A" w:rsidRPr="0088154E" w:rsidRDefault="004B166A" w:rsidP="0092578F">
            <w:pPr>
              <w:contextualSpacing/>
              <w:jc w:val="left"/>
              <w:rPr>
                <w:rFonts w:ascii="Times New Roman" w:hAnsi="Times New Roman"/>
                <w:sz w:val="20"/>
                <w:szCs w:val="20"/>
              </w:rPr>
            </w:pPr>
            <w:r w:rsidRPr="0088154E">
              <w:rPr>
                <w:rFonts w:ascii="Times New Roman" w:hAnsi="Times New Roman"/>
                <w:sz w:val="20"/>
                <w:szCs w:val="20"/>
              </w:rPr>
              <w:t>Total Fee Revenue</w:t>
            </w:r>
          </w:p>
        </w:tc>
        <w:tc>
          <w:tcPr>
            <w:tcW w:w="1075" w:type="dxa"/>
          </w:tcPr>
          <w:p w14:paraId="598BE486" w14:textId="2FBD2351" w:rsidR="004B166A" w:rsidRPr="0088154E" w:rsidRDefault="004B166A" w:rsidP="0092578F">
            <w:pPr>
              <w:contextualSpacing/>
              <w:jc w:val="right"/>
              <w:rPr>
                <w:rFonts w:ascii="Times New Roman" w:hAnsi="Times New Roman"/>
                <w:sz w:val="20"/>
                <w:szCs w:val="20"/>
              </w:rPr>
            </w:pPr>
            <w:r w:rsidRPr="0088154E">
              <w:rPr>
                <w:rFonts w:ascii="Times New Roman" w:hAnsi="Times New Roman"/>
                <w:sz w:val="20"/>
                <w:szCs w:val="20"/>
              </w:rPr>
              <w:t>$24,240,000</w:t>
            </w:r>
          </w:p>
        </w:tc>
      </w:tr>
      <w:tr w:rsidR="004B166A" w:rsidRPr="0088154E" w14:paraId="7219DD59" w14:textId="77777777" w:rsidTr="0092578F">
        <w:trPr>
          <w:trHeight w:val="432"/>
        </w:trPr>
        <w:tc>
          <w:tcPr>
            <w:tcW w:w="4225" w:type="dxa"/>
          </w:tcPr>
          <w:p w14:paraId="0BEB761D" w14:textId="77777777" w:rsidR="004B166A" w:rsidRPr="0088154E" w:rsidRDefault="004B166A" w:rsidP="0092578F">
            <w:pPr>
              <w:contextualSpacing/>
              <w:jc w:val="left"/>
              <w:rPr>
                <w:rFonts w:ascii="Times New Roman" w:hAnsi="Times New Roman"/>
                <w:sz w:val="20"/>
                <w:szCs w:val="20"/>
              </w:rPr>
            </w:pPr>
            <w:r w:rsidRPr="0088154E">
              <w:rPr>
                <w:rFonts w:ascii="Times New Roman" w:hAnsi="Times New Roman"/>
                <w:sz w:val="20"/>
                <w:szCs w:val="20"/>
              </w:rPr>
              <w:t>71100+72000</w:t>
            </w:r>
          </w:p>
        </w:tc>
        <w:tc>
          <w:tcPr>
            <w:tcW w:w="3690" w:type="dxa"/>
          </w:tcPr>
          <w:p w14:paraId="631EE105" w14:textId="77777777" w:rsidR="004B166A" w:rsidRPr="0088154E" w:rsidRDefault="004B166A" w:rsidP="0092578F">
            <w:pPr>
              <w:contextualSpacing/>
              <w:jc w:val="left"/>
              <w:rPr>
                <w:rFonts w:ascii="Times New Roman" w:hAnsi="Times New Roman"/>
                <w:sz w:val="20"/>
                <w:szCs w:val="20"/>
              </w:rPr>
            </w:pPr>
            <w:r w:rsidRPr="0088154E">
              <w:rPr>
                <w:rFonts w:ascii="Times New Roman" w:hAnsi="Times New Roman"/>
                <w:sz w:val="20"/>
                <w:szCs w:val="20"/>
              </w:rPr>
              <w:t>Interest Income</w:t>
            </w:r>
          </w:p>
        </w:tc>
        <w:tc>
          <w:tcPr>
            <w:tcW w:w="1075" w:type="dxa"/>
          </w:tcPr>
          <w:p w14:paraId="32AB5648" w14:textId="0BD71769" w:rsidR="004B166A" w:rsidRPr="0088154E" w:rsidRDefault="004B166A" w:rsidP="0092578F">
            <w:pPr>
              <w:contextualSpacing/>
              <w:jc w:val="right"/>
              <w:rPr>
                <w:rFonts w:ascii="Times New Roman" w:hAnsi="Times New Roman"/>
                <w:sz w:val="20"/>
                <w:szCs w:val="20"/>
              </w:rPr>
            </w:pPr>
            <w:r w:rsidRPr="0088154E">
              <w:rPr>
                <w:rFonts w:ascii="Times New Roman" w:hAnsi="Times New Roman"/>
                <w:sz w:val="20"/>
                <w:szCs w:val="20"/>
              </w:rPr>
              <w:t>$216,000</w:t>
            </w:r>
          </w:p>
        </w:tc>
      </w:tr>
      <w:tr w:rsidR="004B166A" w:rsidRPr="0088154E" w14:paraId="3DCF4027" w14:textId="77777777" w:rsidTr="0092578F">
        <w:trPr>
          <w:trHeight w:val="432"/>
        </w:trPr>
        <w:tc>
          <w:tcPr>
            <w:tcW w:w="4225" w:type="dxa"/>
          </w:tcPr>
          <w:p w14:paraId="654D8D53" w14:textId="77777777" w:rsidR="004B166A" w:rsidRPr="0088154E" w:rsidRDefault="004B166A" w:rsidP="0092578F">
            <w:pPr>
              <w:contextualSpacing/>
              <w:jc w:val="left"/>
              <w:rPr>
                <w:rFonts w:ascii="Times New Roman" w:hAnsi="Times New Roman"/>
                <w:sz w:val="20"/>
                <w:szCs w:val="20"/>
              </w:rPr>
            </w:pPr>
            <w:r w:rsidRPr="0088154E">
              <w:rPr>
                <w:rFonts w:ascii="Times New Roman" w:hAnsi="Times New Roman"/>
                <w:sz w:val="20"/>
                <w:szCs w:val="20"/>
              </w:rPr>
              <w:t>71600</w:t>
            </w:r>
          </w:p>
        </w:tc>
        <w:tc>
          <w:tcPr>
            <w:tcW w:w="3690" w:type="dxa"/>
          </w:tcPr>
          <w:p w14:paraId="6B339BDE" w14:textId="77777777" w:rsidR="004B166A" w:rsidRPr="0088154E" w:rsidRDefault="004B166A" w:rsidP="0092578F">
            <w:pPr>
              <w:contextualSpacing/>
              <w:jc w:val="left"/>
              <w:rPr>
                <w:rFonts w:ascii="Times New Roman" w:hAnsi="Times New Roman"/>
                <w:sz w:val="20"/>
                <w:szCs w:val="20"/>
              </w:rPr>
            </w:pPr>
            <w:r w:rsidRPr="0088154E">
              <w:rPr>
                <w:rFonts w:ascii="Times New Roman" w:hAnsi="Times New Roman"/>
                <w:sz w:val="20"/>
                <w:szCs w:val="20"/>
              </w:rPr>
              <w:t>Gain or Loss on Sale of Capital Assets</w:t>
            </w:r>
          </w:p>
        </w:tc>
        <w:tc>
          <w:tcPr>
            <w:tcW w:w="1075" w:type="dxa"/>
          </w:tcPr>
          <w:p w14:paraId="35EF7103" w14:textId="2878F6DD" w:rsidR="004B166A" w:rsidRPr="0088154E" w:rsidRDefault="004B166A" w:rsidP="0092578F">
            <w:pPr>
              <w:contextualSpacing/>
              <w:jc w:val="right"/>
              <w:rPr>
                <w:rFonts w:ascii="Times New Roman" w:hAnsi="Times New Roman"/>
                <w:sz w:val="20"/>
                <w:szCs w:val="20"/>
              </w:rPr>
            </w:pPr>
            <w:r w:rsidRPr="0088154E">
              <w:rPr>
                <w:rFonts w:ascii="Times New Roman" w:hAnsi="Times New Roman"/>
                <w:sz w:val="20"/>
                <w:szCs w:val="20"/>
              </w:rPr>
              <w:t>$0</w:t>
            </w:r>
          </w:p>
        </w:tc>
      </w:tr>
      <w:tr w:rsidR="004B166A" w:rsidRPr="0088154E" w14:paraId="206A1513" w14:textId="77777777" w:rsidTr="0092578F">
        <w:trPr>
          <w:trHeight w:val="432"/>
        </w:trPr>
        <w:tc>
          <w:tcPr>
            <w:tcW w:w="4225" w:type="dxa"/>
          </w:tcPr>
          <w:p w14:paraId="52DCFD9F" w14:textId="77777777" w:rsidR="004B166A" w:rsidRPr="0088154E" w:rsidRDefault="004B166A" w:rsidP="0092578F">
            <w:pPr>
              <w:contextualSpacing/>
              <w:jc w:val="left"/>
              <w:rPr>
                <w:rFonts w:ascii="Times New Roman" w:hAnsi="Times New Roman"/>
                <w:sz w:val="20"/>
                <w:szCs w:val="20"/>
              </w:rPr>
            </w:pPr>
            <w:r w:rsidRPr="0088154E">
              <w:rPr>
                <w:rFonts w:ascii="Times New Roman" w:hAnsi="Times New Roman"/>
                <w:sz w:val="20"/>
                <w:szCs w:val="20"/>
              </w:rPr>
              <w:t>71200+71300+71310+71400+71500</w:t>
            </w:r>
          </w:p>
        </w:tc>
        <w:tc>
          <w:tcPr>
            <w:tcW w:w="3690" w:type="dxa"/>
          </w:tcPr>
          <w:p w14:paraId="02FA945B" w14:textId="77777777" w:rsidR="004B166A" w:rsidRPr="0088154E" w:rsidRDefault="004B166A" w:rsidP="0092578F">
            <w:pPr>
              <w:contextualSpacing/>
              <w:jc w:val="left"/>
              <w:rPr>
                <w:rFonts w:ascii="Times New Roman" w:hAnsi="Times New Roman"/>
                <w:sz w:val="20"/>
                <w:szCs w:val="20"/>
              </w:rPr>
            </w:pPr>
            <w:r w:rsidRPr="0088154E">
              <w:rPr>
                <w:rFonts w:ascii="Times New Roman" w:hAnsi="Times New Roman"/>
                <w:sz w:val="20"/>
                <w:szCs w:val="20"/>
              </w:rPr>
              <w:t>Other Income</w:t>
            </w:r>
          </w:p>
        </w:tc>
        <w:tc>
          <w:tcPr>
            <w:tcW w:w="1075" w:type="dxa"/>
          </w:tcPr>
          <w:p w14:paraId="621A277F" w14:textId="4D2CB3E2" w:rsidR="004B166A" w:rsidRPr="0088154E" w:rsidRDefault="004B166A" w:rsidP="0092578F">
            <w:pPr>
              <w:contextualSpacing/>
              <w:jc w:val="right"/>
              <w:rPr>
                <w:rFonts w:ascii="Times New Roman" w:hAnsi="Times New Roman"/>
                <w:sz w:val="20"/>
                <w:szCs w:val="20"/>
              </w:rPr>
            </w:pPr>
            <w:r w:rsidRPr="0088154E">
              <w:rPr>
                <w:rFonts w:ascii="Times New Roman" w:hAnsi="Times New Roman"/>
                <w:sz w:val="20"/>
                <w:szCs w:val="20"/>
              </w:rPr>
              <w:t>$8,000</w:t>
            </w:r>
          </w:p>
        </w:tc>
      </w:tr>
      <w:tr w:rsidR="004B166A" w:rsidRPr="0088154E" w14:paraId="0B0410A1" w14:textId="77777777" w:rsidTr="0092578F">
        <w:trPr>
          <w:trHeight w:val="432"/>
        </w:trPr>
        <w:tc>
          <w:tcPr>
            <w:tcW w:w="4225" w:type="dxa"/>
            <w:shd w:val="clear" w:color="auto" w:fill="D9D9D9" w:themeFill="background1" w:themeFillShade="D9"/>
          </w:tcPr>
          <w:p w14:paraId="20B72D88" w14:textId="77777777" w:rsidR="004B166A" w:rsidRPr="0088154E" w:rsidRDefault="004B166A" w:rsidP="0092578F">
            <w:pPr>
              <w:contextualSpacing/>
              <w:jc w:val="left"/>
              <w:rPr>
                <w:rFonts w:ascii="Times New Roman" w:hAnsi="Times New Roman"/>
                <w:b/>
                <w:sz w:val="20"/>
                <w:szCs w:val="20"/>
              </w:rPr>
            </w:pPr>
            <w:r w:rsidRPr="0088154E">
              <w:rPr>
                <w:rFonts w:ascii="Times New Roman" w:hAnsi="Times New Roman"/>
                <w:b/>
                <w:sz w:val="20"/>
                <w:szCs w:val="20"/>
              </w:rPr>
              <w:t>70000</w:t>
            </w:r>
          </w:p>
        </w:tc>
        <w:tc>
          <w:tcPr>
            <w:tcW w:w="3690" w:type="dxa"/>
            <w:shd w:val="clear" w:color="auto" w:fill="D9D9D9" w:themeFill="background1" w:themeFillShade="D9"/>
          </w:tcPr>
          <w:p w14:paraId="2E5A73A7" w14:textId="77777777" w:rsidR="004B166A" w:rsidRPr="0088154E" w:rsidRDefault="004B166A" w:rsidP="0092578F">
            <w:pPr>
              <w:contextualSpacing/>
              <w:jc w:val="left"/>
              <w:rPr>
                <w:rFonts w:ascii="Times New Roman" w:hAnsi="Times New Roman"/>
                <w:b/>
                <w:sz w:val="20"/>
                <w:szCs w:val="20"/>
              </w:rPr>
            </w:pPr>
            <w:r w:rsidRPr="0088154E">
              <w:rPr>
                <w:rFonts w:ascii="Times New Roman" w:hAnsi="Times New Roman"/>
                <w:b/>
                <w:sz w:val="20"/>
                <w:szCs w:val="20"/>
              </w:rPr>
              <w:t>Total Revenue</w:t>
            </w:r>
          </w:p>
        </w:tc>
        <w:tc>
          <w:tcPr>
            <w:tcW w:w="1075" w:type="dxa"/>
            <w:shd w:val="clear" w:color="auto" w:fill="D9D9D9" w:themeFill="background1" w:themeFillShade="D9"/>
          </w:tcPr>
          <w:p w14:paraId="0EC086E7" w14:textId="645A113B" w:rsidR="004B166A" w:rsidRPr="0088154E" w:rsidRDefault="004B166A" w:rsidP="004B166A">
            <w:pPr>
              <w:contextualSpacing/>
              <w:jc w:val="right"/>
              <w:rPr>
                <w:rFonts w:ascii="Times New Roman" w:hAnsi="Times New Roman"/>
                <w:b/>
                <w:sz w:val="20"/>
                <w:szCs w:val="20"/>
              </w:rPr>
            </w:pPr>
            <w:r w:rsidRPr="0088154E">
              <w:rPr>
                <w:rFonts w:ascii="Times New Roman" w:hAnsi="Times New Roman"/>
                <w:b/>
                <w:sz w:val="20"/>
                <w:szCs w:val="20"/>
              </w:rPr>
              <w:t>$299,464,000</w:t>
            </w:r>
          </w:p>
        </w:tc>
      </w:tr>
    </w:tbl>
    <w:p w14:paraId="647274E4" w14:textId="14DD02DD" w:rsidR="00913076" w:rsidRPr="0088154E" w:rsidRDefault="00913076" w:rsidP="00913076">
      <w:pPr>
        <w:contextualSpacing/>
        <w:jc w:val="both"/>
        <w:rPr>
          <w:b/>
        </w:rPr>
      </w:pPr>
    </w:p>
    <w:p w14:paraId="42E8C3F8" w14:textId="548D1C12" w:rsidR="00913076" w:rsidRPr="0088154E" w:rsidRDefault="00913076" w:rsidP="00AA5A80">
      <w:pPr>
        <w:pStyle w:val="ListParagraph"/>
        <w:numPr>
          <w:ilvl w:val="1"/>
          <w:numId w:val="18"/>
        </w:numPr>
        <w:contextualSpacing/>
        <w:jc w:val="both"/>
        <w:rPr>
          <w:b/>
          <w:i/>
        </w:rPr>
      </w:pPr>
      <w:r w:rsidRPr="0088154E">
        <w:rPr>
          <w:b/>
          <w:i/>
        </w:rPr>
        <w:t>Estimated Uses of MTW Funds</w:t>
      </w:r>
    </w:p>
    <w:p w14:paraId="60763362" w14:textId="2D6C62CD" w:rsidR="00972DDA" w:rsidRPr="0088154E" w:rsidRDefault="00972DDA" w:rsidP="00972DDA">
      <w:pPr>
        <w:ind w:left="720" w:hanging="360"/>
        <w:contextualSpacing/>
        <w:jc w:val="both"/>
      </w:pPr>
    </w:p>
    <w:p w14:paraId="5DCB5E61" w14:textId="2A8F5E56" w:rsidR="00115BBF" w:rsidRPr="0088154E" w:rsidRDefault="00126A66" w:rsidP="00115BBF">
      <w:pPr>
        <w:pStyle w:val="Heading4"/>
        <w:numPr>
          <w:ilvl w:val="0"/>
          <w:numId w:val="0"/>
        </w:numPr>
        <w:jc w:val="center"/>
        <w:rPr>
          <w:sz w:val="20"/>
        </w:rPr>
      </w:pPr>
      <w:bookmarkStart w:id="84" w:name="_Toc33016961"/>
      <w:r w:rsidRPr="0088154E">
        <w:rPr>
          <w:sz w:val="20"/>
        </w:rPr>
        <w:t>Table 12</w:t>
      </w:r>
      <w:r w:rsidR="00115BBF" w:rsidRPr="0088154E">
        <w:rPr>
          <w:sz w:val="20"/>
        </w:rPr>
        <w:t xml:space="preserve">: Estimated Uses of MTW Funding for </w:t>
      </w:r>
      <w:r w:rsidR="006D6331" w:rsidRPr="0088154E">
        <w:rPr>
          <w:sz w:val="20"/>
        </w:rPr>
        <w:t>FY 2021</w:t>
      </w:r>
      <w:bookmarkEnd w:id="84"/>
    </w:p>
    <w:p w14:paraId="32172040" w14:textId="77777777" w:rsidR="00115BBF" w:rsidRPr="0088154E" w:rsidRDefault="00115BBF" w:rsidP="00972DDA">
      <w:pPr>
        <w:ind w:left="720" w:hanging="360"/>
        <w:contextualSpacing/>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2535"/>
        <w:gridCol w:w="1316"/>
      </w:tblGrid>
      <w:tr w:rsidR="00856EA0" w:rsidRPr="0088154E" w14:paraId="3A445B81" w14:textId="77777777" w:rsidTr="00CF1D8F">
        <w:trPr>
          <w:tblHeader/>
        </w:trPr>
        <w:tc>
          <w:tcPr>
            <w:tcW w:w="5139" w:type="dxa"/>
            <w:shd w:val="clear" w:color="auto" w:fill="D9D9D9" w:themeFill="background1" w:themeFillShade="D9"/>
          </w:tcPr>
          <w:p w14:paraId="1ABCAE10" w14:textId="77777777" w:rsidR="00856EA0" w:rsidRPr="0088154E" w:rsidRDefault="00856EA0" w:rsidP="00295290">
            <w:pPr>
              <w:contextualSpacing/>
              <w:rPr>
                <w:b/>
                <w:sz w:val="20"/>
                <w:szCs w:val="20"/>
              </w:rPr>
            </w:pPr>
            <w:r w:rsidRPr="0088154E">
              <w:rPr>
                <w:b/>
                <w:sz w:val="20"/>
                <w:szCs w:val="20"/>
              </w:rPr>
              <w:t>FDS Line Item Number</w:t>
            </w:r>
          </w:p>
        </w:tc>
        <w:tc>
          <w:tcPr>
            <w:tcW w:w="2835" w:type="dxa"/>
            <w:shd w:val="clear" w:color="auto" w:fill="D9D9D9" w:themeFill="background1" w:themeFillShade="D9"/>
          </w:tcPr>
          <w:p w14:paraId="536E64D4" w14:textId="77777777" w:rsidR="00856EA0" w:rsidRPr="0088154E" w:rsidRDefault="00856EA0" w:rsidP="002F0EF5">
            <w:pPr>
              <w:contextualSpacing/>
              <w:jc w:val="center"/>
              <w:rPr>
                <w:b/>
                <w:sz w:val="20"/>
                <w:szCs w:val="20"/>
              </w:rPr>
            </w:pPr>
            <w:r w:rsidRPr="0088154E">
              <w:rPr>
                <w:b/>
                <w:sz w:val="20"/>
                <w:szCs w:val="20"/>
              </w:rPr>
              <w:t>FDS Line Item Name</w:t>
            </w:r>
          </w:p>
        </w:tc>
        <w:tc>
          <w:tcPr>
            <w:tcW w:w="1016" w:type="dxa"/>
            <w:shd w:val="clear" w:color="auto" w:fill="D9D9D9" w:themeFill="background1" w:themeFillShade="D9"/>
          </w:tcPr>
          <w:p w14:paraId="4D1F065F" w14:textId="77777777" w:rsidR="00856EA0" w:rsidRPr="0088154E" w:rsidRDefault="00856EA0" w:rsidP="002F0EF5">
            <w:pPr>
              <w:contextualSpacing/>
              <w:jc w:val="center"/>
              <w:rPr>
                <w:b/>
                <w:sz w:val="20"/>
                <w:szCs w:val="20"/>
              </w:rPr>
            </w:pPr>
            <w:r w:rsidRPr="0088154E">
              <w:rPr>
                <w:b/>
                <w:sz w:val="20"/>
                <w:szCs w:val="20"/>
              </w:rPr>
              <w:t>Dollar Amount</w:t>
            </w:r>
          </w:p>
        </w:tc>
      </w:tr>
      <w:tr w:rsidR="00856EA0" w:rsidRPr="0088154E" w14:paraId="51FA06EF" w14:textId="77777777" w:rsidTr="00CF1D8F">
        <w:trPr>
          <w:trHeight w:val="432"/>
        </w:trPr>
        <w:tc>
          <w:tcPr>
            <w:tcW w:w="5139" w:type="dxa"/>
          </w:tcPr>
          <w:p w14:paraId="6B773A67" w14:textId="77777777" w:rsidR="00856EA0" w:rsidRPr="0088154E" w:rsidRDefault="00856EA0" w:rsidP="00295290">
            <w:pPr>
              <w:contextualSpacing/>
              <w:rPr>
                <w:sz w:val="20"/>
                <w:szCs w:val="20"/>
              </w:rPr>
            </w:pPr>
            <w:r w:rsidRPr="0088154E">
              <w:rPr>
                <w:sz w:val="20"/>
                <w:szCs w:val="20"/>
              </w:rPr>
              <w:t>91000 (91100+91200+91400+91500+91600+91700+91800+91900)</w:t>
            </w:r>
          </w:p>
        </w:tc>
        <w:tc>
          <w:tcPr>
            <w:tcW w:w="2835" w:type="dxa"/>
          </w:tcPr>
          <w:p w14:paraId="580879C0" w14:textId="77777777" w:rsidR="00856EA0" w:rsidRPr="0088154E" w:rsidRDefault="00856EA0" w:rsidP="00295290">
            <w:pPr>
              <w:contextualSpacing/>
              <w:rPr>
                <w:sz w:val="20"/>
                <w:szCs w:val="20"/>
              </w:rPr>
            </w:pPr>
            <w:r w:rsidRPr="0088154E">
              <w:rPr>
                <w:sz w:val="20"/>
                <w:szCs w:val="20"/>
              </w:rPr>
              <w:t>Total Operating – Administrative</w:t>
            </w:r>
          </w:p>
        </w:tc>
        <w:tc>
          <w:tcPr>
            <w:tcW w:w="1016" w:type="dxa"/>
          </w:tcPr>
          <w:p w14:paraId="5833B029" w14:textId="20583506" w:rsidR="00856EA0" w:rsidRPr="0088154E" w:rsidRDefault="00CF1D8F" w:rsidP="00295290">
            <w:pPr>
              <w:contextualSpacing/>
              <w:jc w:val="right"/>
              <w:rPr>
                <w:sz w:val="20"/>
                <w:szCs w:val="20"/>
              </w:rPr>
            </w:pPr>
            <w:r w:rsidRPr="0088154E">
              <w:rPr>
                <w:sz w:val="20"/>
                <w:szCs w:val="20"/>
              </w:rPr>
              <w:t>$</w:t>
            </w:r>
            <w:r w:rsidR="004B166A" w:rsidRPr="0088154E">
              <w:rPr>
                <w:sz w:val="20"/>
                <w:szCs w:val="20"/>
              </w:rPr>
              <w:t>3,600,000</w:t>
            </w:r>
          </w:p>
        </w:tc>
      </w:tr>
      <w:tr w:rsidR="00856EA0" w:rsidRPr="0088154E" w14:paraId="4EDD965E" w14:textId="77777777" w:rsidTr="00CF1D8F">
        <w:trPr>
          <w:trHeight w:val="432"/>
        </w:trPr>
        <w:tc>
          <w:tcPr>
            <w:tcW w:w="5139" w:type="dxa"/>
          </w:tcPr>
          <w:p w14:paraId="7FE8EA31" w14:textId="77777777" w:rsidR="00856EA0" w:rsidRPr="0088154E" w:rsidRDefault="00856EA0" w:rsidP="00295290">
            <w:pPr>
              <w:contextualSpacing/>
              <w:rPr>
                <w:sz w:val="20"/>
                <w:szCs w:val="20"/>
              </w:rPr>
            </w:pPr>
            <w:r w:rsidRPr="0088154E">
              <w:rPr>
                <w:sz w:val="20"/>
                <w:szCs w:val="20"/>
              </w:rPr>
              <w:t>91300+91310+92000</w:t>
            </w:r>
          </w:p>
        </w:tc>
        <w:tc>
          <w:tcPr>
            <w:tcW w:w="2835" w:type="dxa"/>
          </w:tcPr>
          <w:p w14:paraId="256D652B" w14:textId="77777777" w:rsidR="00856EA0" w:rsidRPr="0088154E" w:rsidRDefault="00856EA0" w:rsidP="00295290">
            <w:pPr>
              <w:contextualSpacing/>
              <w:rPr>
                <w:sz w:val="20"/>
                <w:szCs w:val="20"/>
              </w:rPr>
            </w:pPr>
            <w:r w:rsidRPr="0088154E">
              <w:rPr>
                <w:sz w:val="20"/>
                <w:szCs w:val="20"/>
              </w:rPr>
              <w:t>Management Fee Expense</w:t>
            </w:r>
          </w:p>
        </w:tc>
        <w:tc>
          <w:tcPr>
            <w:tcW w:w="1016" w:type="dxa"/>
          </w:tcPr>
          <w:p w14:paraId="70CEF6C3" w14:textId="44362AFC" w:rsidR="00856EA0" w:rsidRPr="0088154E" w:rsidRDefault="00CF1D8F" w:rsidP="00295290">
            <w:pPr>
              <w:contextualSpacing/>
              <w:jc w:val="right"/>
              <w:rPr>
                <w:sz w:val="20"/>
                <w:szCs w:val="20"/>
              </w:rPr>
            </w:pPr>
            <w:r w:rsidRPr="0088154E">
              <w:rPr>
                <w:sz w:val="20"/>
                <w:szCs w:val="20"/>
              </w:rPr>
              <w:t>$</w:t>
            </w:r>
            <w:r w:rsidR="004B166A" w:rsidRPr="0088154E">
              <w:rPr>
                <w:sz w:val="20"/>
                <w:szCs w:val="20"/>
              </w:rPr>
              <w:t>20,565,000</w:t>
            </w:r>
          </w:p>
        </w:tc>
      </w:tr>
      <w:tr w:rsidR="00856EA0" w:rsidRPr="0088154E" w14:paraId="64D319C3" w14:textId="77777777" w:rsidTr="00CF1D8F">
        <w:trPr>
          <w:trHeight w:val="432"/>
        </w:trPr>
        <w:tc>
          <w:tcPr>
            <w:tcW w:w="5139" w:type="dxa"/>
          </w:tcPr>
          <w:p w14:paraId="25DE73FC" w14:textId="77777777" w:rsidR="00856EA0" w:rsidRPr="0088154E" w:rsidRDefault="00856EA0" w:rsidP="00295290">
            <w:pPr>
              <w:contextualSpacing/>
              <w:rPr>
                <w:sz w:val="20"/>
                <w:szCs w:val="20"/>
              </w:rPr>
            </w:pPr>
            <w:r w:rsidRPr="0088154E">
              <w:rPr>
                <w:sz w:val="20"/>
                <w:szCs w:val="20"/>
              </w:rPr>
              <w:t>91810</w:t>
            </w:r>
          </w:p>
        </w:tc>
        <w:tc>
          <w:tcPr>
            <w:tcW w:w="2835" w:type="dxa"/>
          </w:tcPr>
          <w:p w14:paraId="62144A3C" w14:textId="77777777" w:rsidR="00856EA0" w:rsidRPr="0088154E" w:rsidRDefault="00856EA0" w:rsidP="00295290">
            <w:pPr>
              <w:contextualSpacing/>
              <w:rPr>
                <w:sz w:val="20"/>
                <w:szCs w:val="20"/>
              </w:rPr>
            </w:pPr>
            <w:r w:rsidRPr="0088154E">
              <w:rPr>
                <w:sz w:val="20"/>
                <w:szCs w:val="20"/>
              </w:rPr>
              <w:t>Allocated Overhead</w:t>
            </w:r>
          </w:p>
        </w:tc>
        <w:tc>
          <w:tcPr>
            <w:tcW w:w="1016" w:type="dxa"/>
          </w:tcPr>
          <w:p w14:paraId="3F70C8C6" w14:textId="07D750BB" w:rsidR="00856EA0" w:rsidRPr="0088154E" w:rsidRDefault="00CF1D8F" w:rsidP="00295290">
            <w:pPr>
              <w:contextualSpacing/>
              <w:jc w:val="right"/>
              <w:rPr>
                <w:sz w:val="20"/>
                <w:szCs w:val="20"/>
              </w:rPr>
            </w:pPr>
            <w:r w:rsidRPr="0088154E">
              <w:rPr>
                <w:sz w:val="20"/>
                <w:szCs w:val="20"/>
              </w:rPr>
              <w:t>$</w:t>
            </w:r>
            <w:r w:rsidR="004B166A" w:rsidRPr="0088154E">
              <w:rPr>
                <w:sz w:val="20"/>
                <w:szCs w:val="20"/>
              </w:rPr>
              <w:t>8</w:t>
            </w:r>
            <w:r w:rsidR="00856EA0" w:rsidRPr="0088154E">
              <w:rPr>
                <w:sz w:val="20"/>
                <w:szCs w:val="20"/>
              </w:rPr>
              <w:t>5,000</w:t>
            </w:r>
          </w:p>
        </w:tc>
      </w:tr>
      <w:tr w:rsidR="00856EA0" w:rsidRPr="0088154E" w14:paraId="11865003" w14:textId="77777777" w:rsidTr="00CF1D8F">
        <w:trPr>
          <w:trHeight w:val="432"/>
        </w:trPr>
        <w:tc>
          <w:tcPr>
            <w:tcW w:w="5139" w:type="dxa"/>
          </w:tcPr>
          <w:p w14:paraId="119032C5" w14:textId="77777777" w:rsidR="00856EA0" w:rsidRPr="0088154E" w:rsidRDefault="00856EA0" w:rsidP="00295290">
            <w:pPr>
              <w:contextualSpacing/>
              <w:rPr>
                <w:sz w:val="20"/>
                <w:szCs w:val="20"/>
              </w:rPr>
            </w:pPr>
            <w:r w:rsidRPr="0088154E">
              <w:rPr>
                <w:sz w:val="20"/>
                <w:szCs w:val="20"/>
              </w:rPr>
              <w:t>92500 (92100+92200+92300+92400)</w:t>
            </w:r>
          </w:p>
        </w:tc>
        <w:tc>
          <w:tcPr>
            <w:tcW w:w="2835" w:type="dxa"/>
          </w:tcPr>
          <w:p w14:paraId="63F87CBE" w14:textId="77777777" w:rsidR="00856EA0" w:rsidRPr="0088154E" w:rsidRDefault="00856EA0" w:rsidP="00295290">
            <w:pPr>
              <w:contextualSpacing/>
              <w:rPr>
                <w:sz w:val="20"/>
                <w:szCs w:val="20"/>
              </w:rPr>
            </w:pPr>
            <w:r w:rsidRPr="0088154E">
              <w:rPr>
                <w:sz w:val="20"/>
                <w:szCs w:val="20"/>
              </w:rPr>
              <w:t>Total Tenant Services</w:t>
            </w:r>
          </w:p>
        </w:tc>
        <w:tc>
          <w:tcPr>
            <w:tcW w:w="1016" w:type="dxa"/>
          </w:tcPr>
          <w:p w14:paraId="4ED6624F" w14:textId="08244041" w:rsidR="00856EA0" w:rsidRPr="0088154E" w:rsidRDefault="00CF1D8F" w:rsidP="00295290">
            <w:pPr>
              <w:contextualSpacing/>
              <w:jc w:val="right"/>
              <w:rPr>
                <w:sz w:val="20"/>
                <w:szCs w:val="20"/>
              </w:rPr>
            </w:pPr>
            <w:r w:rsidRPr="0088154E">
              <w:rPr>
                <w:sz w:val="20"/>
                <w:szCs w:val="20"/>
              </w:rPr>
              <w:t>$</w:t>
            </w:r>
            <w:r w:rsidR="004B166A" w:rsidRPr="0088154E">
              <w:rPr>
                <w:sz w:val="20"/>
                <w:szCs w:val="20"/>
              </w:rPr>
              <w:t>73</w:t>
            </w:r>
            <w:r w:rsidR="00856EA0" w:rsidRPr="0088154E">
              <w:rPr>
                <w:sz w:val="20"/>
                <w:szCs w:val="20"/>
              </w:rPr>
              <w:t>0,000</w:t>
            </w:r>
          </w:p>
        </w:tc>
      </w:tr>
      <w:tr w:rsidR="00856EA0" w:rsidRPr="0088154E" w14:paraId="6112195F" w14:textId="77777777" w:rsidTr="00CF1D8F">
        <w:trPr>
          <w:trHeight w:val="432"/>
        </w:trPr>
        <w:tc>
          <w:tcPr>
            <w:tcW w:w="5139" w:type="dxa"/>
          </w:tcPr>
          <w:p w14:paraId="68B8385D" w14:textId="77777777" w:rsidR="00856EA0" w:rsidRPr="0088154E" w:rsidRDefault="00856EA0" w:rsidP="00295290">
            <w:pPr>
              <w:contextualSpacing/>
              <w:rPr>
                <w:sz w:val="20"/>
                <w:szCs w:val="20"/>
              </w:rPr>
            </w:pPr>
            <w:r w:rsidRPr="0088154E">
              <w:rPr>
                <w:sz w:val="20"/>
                <w:szCs w:val="20"/>
              </w:rPr>
              <w:t>93000 (93100+93600+93200+93300+93400+93800)</w:t>
            </w:r>
          </w:p>
        </w:tc>
        <w:tc>
          <w:tcPr>
            <w:tcW w:w="2835" w:type="dxa"/>
          </w:tcPr>
          <w:p w14:paraId="7E57273E" w14:textId="77777777" w:rsidR="00856EA0" w:rsidRPr="0088154E" w:rsidRDefault="00856EA0" w:rsidP="00295290">
            <w:pPr>
              <w:contextualSpacing/>
              <w:rPr>
                <w:sz w:val="20"/>
                <w:szCs w:val="20"/>
              </w:rPr>
            </w:pPr>
            <w:r w:rsidRPr="0088154E">
              <w:rPr>
                <w:sz w:val="20"/>
                <w:szCs w:val="20"/>
              </w:rPr>
              <w:t>Total Utilities</w:t>
            </w:r>
          </w:p>
        </w:tc>
        <w:tc>
          <w:tcPr>
            <w:tcW w:w="1016" w:type="dxa"/>
          </w:tcPr>
          <w:p w14:paraId="70895F18" w14:textId="402930FB" w:rsidR="00856EA0" w:rsidRPr="0088154E" w:rsidRDefault="00CF1D8F" w:rsidP="00295290">
            <w:pPr>
              <w:contextualSpacing/>
              <w:jc w:val="right"/>
              <w:rPr>
                <w:sz w:val="20"/>
                <w:szCs w:val="20"/>
              </w:rPr>
            </w:pPr>
            <w:r w:rsidRPr="0088154E">
              <w:rPr>
                <w:sz w:val="20"/>
                <w:szCs w:val="20"/>
              </w:rPr>
              <w:t>$0</w:t>
            </w:r>
          </w:p>
        </w:tc>
      </w:tr>
      <w:tr w:rsidR="00856EA0" w:rsidRPr="0088154E" w14:paraId="5EC8C406" w14:textId="77777777" w:rsidTr="00CF1D8F">
        <w:trPr>
          <w:trHeight w:val="432"/>
        </w:trPr>
        <w:tc>
          <w:tcPr>
            <w:tcW w:w="5139" w:type="dxa"/>
          </w:tcPr>
          <w:p w14:paraId="0E6442E2" w14:textId="77777777" w:rsidR="00856EA0" w:rsidRPr="0088154E" w:rsidRDefault="00856EA0" w:rsidP="00295290">
            <w:pPr>
              <w:contextualSpacing/>
              <w:rPr>
                <w:sz w:val="20"/>
                <w:szCs w:val="20"/>
              </w:rPr>
            </w:pPr>
            <w:r w:rsidRPr="0088154E">
              <w:rPr>
                <w:sz w:val="20"/>
                <w:szCs w:val="20"/>
              </w:rPr>
              <w:t>93500+93700</w:t>
            </w:r>
          </w:p>
        </w:tc>
        <w:tc>
          <w:tcPr>
            <w:tcW w:w="2835" w:type="dxa"/>
          </w:tcPr>
          <w:p w14:paraId="376684C2" w14:textId="77777777" w:rsidR="00856EA0" w:rsidRPr="0088154E" w:rsidRDefault="00856EA0" w:rsidP="00295290">
            <w:pPr>
              <w:contextualSpacing/>
              <w:rPr>
                <w:sz w:val="20"/>
                <w:szCs w:val="20"/>
              </w:rPr>
            </w:pPr>
            <w:r w:rsidRPr="0088154E">
              <w:rPr>
                <w:sz w:val="20"/>
                <w:szCs w:val="20"/>
              </w:rPr>
              <w:t>Labor</w:t>
            </w:r>
          </w:p>
        </w:tc>
        <w:tc>
          <w:tcPr>
            <w:tcW w:w="1016" w:type="dxa"/>
          </w:tcPr>
          <w:p w14:paraId="72FFEA34" w14:textId="2949C4BD" w:rsidR="00856EA0" w:rsidRPr="0088154E" w:rsidRDefault="00CF1D8F" w:rsidP="00295290">
            <w:pPr>
              <w:contextualSpacing/>
              <w:jc w:val="right"/>
              <w:rPr>
                <w:sz w:val="20"/>
                <w:szCs w:val="20"/>
              </w:rPr>
            </w:pPr>
            <w:r w:rsidRPr="0088154E">
              <w:rPr>
                <w:sz w:val="20"/>
                <w:szCs w:val="20"/>
              </w:rPr>
              <w:t>$0</w:t>
            </w:r>
          </w:p>
        </w:tc>
      </w:tr>
      <w:tr w:rsidR="00856EA0" w:rsidRPr="0088154E" w14:paraId="205B3C0D" w14:textId="77777777" w:rsidTr="00CF1D8F">
        <w:trPr>
          <w:trHeight w:val="432"/>
        </w:trPr>
        <w:tc>
          <w:tcPr>
            <w:tcW w:w="5139" w:type="dxa"/>
          </w:tcPr>
          <w:p w14:paraId="57151330" w14:textId="77777777" w:rsidR="00856EA0" w:rsidRPr="0088154E" w:rsidRDefault="00856EA0" w:rsidP="00295290">
            <w:pPr>
              <w:contextualSpacing/>
              <w:rPr>
                <w:sz w:val="20"/>
                <w:szCs w:val="20"/>
              </w:rPr>
            </w:pPr>
            <w:r w:rsidRPr="0088154E">
              <w:rPr>
                <w:sz w:val="20"/>
                <w:szCs w:val="20"/>
              </w:rPr>
              <w:t>94000 (94100+94200+94300+94500)</w:t>
            </w:r>
          </w:p>
        </w:tc>
        <w:tc>
          <w:tcPr>
            <w:tcW w:w="2835" w:type="dxa"/>
          </w:tcPr>
          <w:p w14:paraId="5E8DFFB0" w14:textId="77777777" w:rsidR="00856EA0" w:rsidRPr="0088154E" w:rsidRDefault="00856EA0" w:rsidP="00295290">
            <w:pPr>
              <w:contextualSpacing/>
              <w:rPr>
                <w:sz w:val="20"/>
                <w:szCs w:val="20"/>
              </w:rPr>
            </w:pPr>
            <w:r w:rsidRPr="0088154E">
              <w:rPr>
                <w:sz w:val="20"/>
                <w:szCs w:val="20"/>
              </w:rPr>
              <w:t>Total Ordinary Maintenance</w:t>
            </w:r>
          </w:p>
        </w:tc>
        <w:tc>
          <w:tcPr>
            <w:tcW w:w="1016" w:type="dxa"/>
          </w:tcPr>
          <w:p w14:paraId="0896E852" w14:textId="075C3509" w:rsidR="00856EA0" w:rsidRPr="0088154E" w:rsidRDefault="00CF1D8F" w:rsidP="00295290">
            <w:pPr>
              <w:contextualSpacing/>
              <w:jc w:val="right"/>
              <w:rPr>
                <w:sz w:val="20"/>
                <w:szCs w:val="20"/>
              </w:rPr>
            </w:pPr>
            <w:r w:rsidRPr="0088154E">
              <w:rPr>
                <w:sz w:val="20"/>
                <w:szCs w:val="20"/>
              </w:rPr>
              <w:t>$0</w:t>
            </w:r>
          </w:p>
        </w:tc>
      </w:tr>
      <w:tr w:rsidR="00856EA0" w:rsidRPr="0088154E" w14:paraId="3EEEBCD4" w14:textId="77777777" w:rsidTr="00CF1D8F">
        <w:trPr>
          <w:trHeight w:val="432"/>
        </w:trPr>
        <w:tc>
          <w:tcPr>
            <w:tcW w:w="5139" w:type="dxa"/>
          </w:tcPr>
          <w:p w14:paraId="671B8348" w14:textId="77777777" w:rsidR="00856EA0" w:rsidRPr="0088154E" w:rsidRDefault="00856EA0" w:rsidP="00295290">
            <w:pPr>
              <w:contextualSpacing/>
              <w:rPr>
                <w:sz w:val="20"/>
                <w:szCs w:val="20"/>
              </w:rPr>
            </w:pPr>
            <w:r w:rsidRPr="0088154E">
              <w:rPr>
                <w:sz w:val="20"/>
                <w:szCs w:val="20"/>
              </w:rPr>
              <w:t>95000 (95100+95200+95300+95500)</w:t>
            </w:r>
          </w:p>
        </w:tc>
        <w:tc>
          <w:tcPr>
            <w:tcW w:w="2835" w:type="dxa"/>
          </w:tcPr>
          <w:p w14:paraId="258842B7" w14:textId="77777777" w:rsidR="00856EA0" w:rsidRPr="0088154E" w:rsidRDefault="00856EA0" w:rsidP="00295290">
            <w:pPr>
              <w:contextualSpacing/>
              <w:rPr>
                <w:sz w:val="20"/>
                <w:szCs w:val="20"/>
              </w:rPr>
            </w:pPr>
            <w:r w:rsidRPr="0088154E">
              <w:rPr>
                <w:sz w:val="20"/>
                <w:szCs w:val="20"/>
              </w:rPr>
              <w:t>Total Protective Services</w:t>
            </w:r>
          </w:p>
        </w:tc>
        <w:tc>
          <w:tcPr>
            <w:tcW w:w="1016" w:type="dxa"/>
          </w:tcPr>
          <w:p w14:paraId="77742CFC" w14:textId="6736D3AC" w:rsidR="00856EA0" w:rsidRPr="0088154E" w:rsidRDefault="00CF1D8F" w:rsidP="00295290">
            <w:pPr>
              <w:contextualSpacing/>
              <w:jc w:val="right"/>
              <w:rPr>
                <w:sz w:val="20"/>
                <w:szCs w:val="20"/>
              </w:rPr>
            </w:pPr>
            <w:r w:rsidRPr="0088154E">
              <w:rPr>
                <w:sz w:val="20"/>
                <w:szCs w:val="20"/>
              </w:rPr>
              <w:t>$0</w:t>
            </w:r>
          </w:p>
        </w:tc>
      </w:tr>
      <w:tr w:rsidR="00856EA0" w:rsidRPr="0088154E" w14:paraId="65E44B0E" w14:textId="77777777" w:rsidTr="00CF1D8F">
        <w:trPr>
          <w:trHeight w:val="432"/>
        </w:trPr>
        <w:tc>
          <w:tcPr>
            <w:tcW w:w="5139" w:type="dxa"/>
          </w:tcPr>
          <w:p w14:paraId="67CEDF77" w14:textId="77777777" w:rsidR="00856EA0" w:rsidRPr="0088154E" w:rsidRDefault="00856EA0" w:rsidP="00295290">
            <w:pPr>
              <w:contextualSpacing/>
              <w:rPr>
                <w:sz w:val="20"/>
                <w:szCs w:val="20"/>
              </w:rPr>
            </w:pPr>
            <w:r w:rsidRPr="0088154E">
              <w:rPr>
                <w:sz w:val="20"/>
                <w:szCs w:val="20"/>
              </w:rPr>
              <w:t>96100 (96110+96120+96130+96140)</w:t>
            </w:r>
          </w:p>
        </w:tc>
        <w:tc>
          <w:tcPr>
            <w:tcW w:w="2835" w:type="dxa"/>
          </w:tcPr>
          <w:p w14:paraId="065FB8E4" w14:textId="77777777" w:rsidR="00856EA0" w:rsidRPr="0088154E" w:rsidRDefault="00856EA0" w:rsidP="00295290">
            <w:pPr>
              <w:contextualSpacing/>
              <w:rPr>
                <w:sz w:val="20"/>
                <w:szCs w:val="20"/>
              </w:rPr>
            </w:pPr>
            <w:r w:rsidRPr="0088154E">
              <w:rPr>
                <w:sz w:val="20"/>
                <w:szCs w:val="20"/>
              </w:rPr>
              <w:t>Total Insurance Premiums</w:t>
            </w:r>
          </w:p>
        </w:tc>
        <w:tc>
          <w:tcPr>
            <w:tcW w:w="1016" w:type="dxa"/>
          </w:tcPr>
          <w:p w14:paraId="2144C272" w14:textId="5A06DFE9" w:rsidR="00856EA0" w:rsidRPr="0088154E" w:rsidRDefault="00CF1D8F" w:rsidP="00295290">
            <w:pPr>
              <w:contextualSpacing/>
              <w:jc w:val="right"/>
              <w:rPr>
                <w:sz w:val="20"/>
                <w:szCs w:val="20"/>
              </w:rPr>
            </w:pPr>
            <w:r w:rsidRPr="0088154E">
              <w:rPr>
                <w:sz w:val="20"/>
                <w:szCs w:val="20"/>
              </w:rPr>
              <w:t>$0</w:t>
            </w:r>
          </w:p>
        </w:tc>
      </w:tr>
      <w:tr w:rsidR="00856EA0" w:rsidRPr="0088154E" w14:paraId="27947110" w14:textId="77777777" w:rsidTr="00CF1D8F">
        <w:trPr>
          <w:trHeight w:val="432"/>
        </w:trPr>
        <w:tc>
          <w:tcPr>
            <w:tcW w:w="5139" w:type="dxa"/>
          </w:tcPr>
          <w:p w14:paraId="02204868" w14:textId="77777777" w:rsidR="00856EA0" w:rsidRPr="0088154E" w:rsidRDefault="00856EA0" w:rsidP="00295290">
            <w:pPr>
              <w:contextualSpacing/>
              <w:rPr>
                <w:sz w:val="20"/>
                <w:szCs w:val="20"/>
              </w:rPr>
            </w:pPr>
            <w:r w:rsidRPr="0088154E">
              <w:rPr>
                <w:sz w:val="20"/>
                <w:szCs w:val="20"/>
              </w:rPr>
              <w:t>96000 (96200+96210+96300+96400+96500+96600+96800)</w:t>
            </w:r>
          </w:p>
        </w:tc>
        <w:tc>
          <w:tcPr>
            <w:tcW w:w="2835" w:type="dxa"/>
          </w:tcPr>
          <w:p w14:paraId="2B867BF9" w14:textId="77777777" w:rsidR="00856EA0" w:rsidRPr="0088154E" w:rsidRDefault="00856EA0" w:rsidP="00295290">
            <w:pPr>
              <w:contextualSpacing/>
              <w:rPr>
                <w:sz w:val="20"/>
                <w:szCs w:val="20"/>
              </w:rPr>
            </w:pPr>
            <w:r w:rsidRPr="0088154E">
              <w:rPr>
                <w:sz w:val="20"/>
                <w:szCs w:val="20"/>
              </w:rPr>
              <w:t>Total Other General Expenses</w:t>
            </w:r>
          </w:p>
        </w:tc>
        <w:tc>
          <w:tcPr>
            <w:tcW w:w="1016" w:type="dxa"/>
          </w:tcPr>
          <w:p w14:paraId="614ED028" w14:textId="4777CB31" w:rsidR="00856EA0" w:rsidRPr="0088154E" w:rsidRDefault="00CF1D8F" w:rsidP="00295290">
            <w:pPr>
              <w:contextualSpacing/>
              <w:jc w:val="right"/>
              <w:rPr>
                <w:sz w:val="20"/>
                <w:szCs w:val="20"/>
              </w:rPr>
            </w:pPr>
            <w:r w:rsidRPr="0088154E">
              <w:rPr>
                <w:sz w:val="20"/>
                <w:szCs w:val="20"/>
              </w:rPr>
              <w:t>$0</w:t>
            </w:r>
          </w:p>
        </w:tc>
      </w:tr>
      <w:tr w:rsidR="00856EA0" w:rsidRPr="0088154E" w14:paraId="4ABD540F" w14:textId="77777777" w:rsidTr="00CF1D8F">
        <w:tc>
          <w:tcPr>
            <w:tcW w:w="5139" w:type="dxa"/>
          </w:tcPr>
          <w:p w14:paraId="04C24730" w14:textId="77777777" w:rsidR="00856EA0" w:rsidRPr="0088154E" w:rsidRDefault="00856EA0" w:rsidP="00295290">
            <w:pPr>
              <w:contextualSpacing/>
              <w:rPr>
                <w:sz w:val="20"/>
                <w:szCs w:val="20"/>
              </w:rPr>
            </w:pPr>
            <w:r w:rsidRPr="0088154E">
              <w:rPr>
                <w:sz w:val="20"/>
                <w:szCs w:val="20"/>
              </w:rPr>
              <w:t>96700 (96710+96720+96730)</w:t>
            </w:r>
          </w:p>
        </w:tc>
        <w:tc>
          <w:tcPr>
            <w:tcW w:w="2835" w:type="dxa"/>
          </w:tcPr>
          <w:p w14:paraId="2C319DC8" w14:textId="77777777" w:rsidR="00856EA0" w:rsidRPr="0088154E" w:rsidRDefault="00856EA0" w:rsidP="00295290">
            <w:pPr>
              <w:contextualSpacing/>
              <w:rPr>
                <w:sz w:val="20"/>
                <w:szCs w:val="20"/>
              </w:rPr>
            </w:pPr>
            <w:r w:rsidRPr="0088154E">
              <w:rPr>
                <w:sz w:val="20"/>
                <w:szCs w:val="20"/>
              </w:rPr>
              <w:t>Total Interest Expense &amp; Amortization Cost</w:t>
            </w:r>
          </w:p>
        </w:tc>
        <w:tc>
          <w:tcPr>
            <w:tcW w:w="1016" w:type="dxa"/>
          </w:tcPr>
          <w:p w14:paraId="067ED4FB" w14:textId="6254E559" w:rsidR="00856EA0" w:rsidRPr="0088154E" w:rsidRDefault="00CF1D8F" w:rsidP="00295290">
            <w:pPr>
              <w:contextualSpacing/>
              <w:jc w:val="right"/>
              <w:rPr>
                <w:sz w:val="20"/>
                <w:szCs w:val="20"/>
              </w:rPr>
            </w:pPr>
            <w:r w:rsidRPr="0088154E">
              <w:rPr>
                <w:sz w:val="20"/>
                <w:szCs w:val="20"/>
              </w:rPr>
              <w:t>$</w:t>
            </w:r>
            <w:r w:rsidR="004B166A" w:rsidRPr="0088154E">
              <w:rPr>
                <w:sz w:val="20"/>
                <w:szCs w:val="20"/>
              </w:rPr>
              <w:t>216,000</w:t>
            </w:r>
          </w:p>
        </w:tc>
      </w:tr>
      <w:tr w:rsidR="00856EA0" w:rsidRPr="0088154E" w14:paraId="5E8FB0B8" w14:textId="77777777" w:rsidTr="00CF1D8F">
        <w:tc>
          <w:tcPr>
            <w:tcW w:w="5139" w:type="dxa"/>
          </w:tcPr>
          <w:p w14:paraId="5C4EAA19" w14:textId="77777777" w:rsidR="00856EA0" w:rsidRPr="0088154E" w:rsidRDefault="00856EA0" w:rsidP="00295290">
            <w:pPr>
              <w:contextualSpacing/>
              <w:rPr>
                <w:sz w:val="20"/>
                <w:szCs w:val="20"/>
              </w:rPr>
            </w:pPr>
            <w:r w:rsidRPr="0088154E">
              <w:rPr>
                <w:sz w:val="20"/>
                <w:szCs w:val="20"/>
              </w:rPr>
              <w:t>97100+97200</w:t>
            </w:r>
          </w:p>
        </w:tc>
        <w:tc>
          <w:tcPr>
            <w:tcW w:w="2835" w:type="dxa"/>
          </w:tcPr>
          <w:p w14:paraId="50E07B70" w14:textId="77777777" w:rsidR="00856EA0" w:rsidRPr="0088154E" w:rsidRDefault="00856EA0" w:rsidP="00295290">
            <w:pPr>
              <w:contextualSpacing/>
              <w:rPr>
                <w:sz w:val="20"/>
                <w:szCs w:val="20"/>
              </w:rPr>
            </w:pPr>
            <w:r w:rsidRPr="0088154E">
              <w:rPr>
                <w:sz w:val="20"/>
                <w:szCs w:val="20"/>
              </w:rPr>
              <w:t>Total Extraordinary Maintenance</w:t>
            </w:r>
          </w:p>
        </w:tc>
        <w:tc>
          <w:tcPr>
            <w:tcW w:w="1016" w:type="dxa"/>
          </w:tcPr>
          <w:p w14:paraId="4EEC6947" w14:textId="458F0CBE" w:rsidR="00856EA0" w:rsidRPr="0088154E" w:rsidRDefault="00CF1D8F" w:rsidP="00295290">
            <w:pPr>
              <w:contextualSpacing/>
              <w:jc w:val="right"/>
              <w:rPr>
                <w:sz w:val="20"/>
                <w:szCs w:val="20"/>
              </w:rPr>
            </w:pPr>
            <w:r w:rsidRPr="0088154E">
              <w:rPr>
                <w:sz w:val="20"/>
                <w:szCs w:val="20"/>
              </w:rPr>
              <w:t>$0</w:t>
            </w:r>
          </w:p>
        </w:tc>
      </w:tr>
      <w:tr w:rsidR="00856EA0" w:rsidRPr="0088154E" w14:paraId="51656C53" w14:textId="77777777" w:rsidTr="00CF1D8F">
        <w:trPr>
          <w:trHeight w:val="432"/>
        </w:trPr>
        <w:tc>
          <w:tcPr>
            <w:tcW w:w="5139" w:type="dxa"/>
          </w:tcPr>
          <w:p w14:paraId="497B5A36" w14:textId="77777777" w:rsidR="00856EA0" w:rsidRPr="0088154E" w:rsidRDefault="00856EA0" w:rsidP="00295290">
            <w:pPr>
              <w:contextualSpacing/>
              <w:rPr>
                <w:sz w:val="20"/>
                <w:szCs w:val="20"/>
              </w:rPr>
            </w:pPr>
            <w:r w:rsidRPr="0088154E">
              <w:rPr>
                <w:sz w:val="20"/>
                <w:szCs w:val="20"/>
              </w:rPr>
              <w:t>97300+97350</w:t>
            </w:r>
          </w:p>
        </w:tc>
        <w:tc>
          <w:tcPr>
            <w:tcW w:w="2835" w:type="dxa"/>
          </w:tcPr>
          <w:p w14:paraId="1C409B84" w14:textId="77777777" w:rsidR="00856EA0" w:rsidRPr="0088154E" w:rsidRDefault="00856EA0" w:rsidP="00295290">
            <w:pPr>
              <w:contextualSpacing/>
              <w:rPr>
                <w:sz w:val="20"/>
                <w:szCs w:val="20"/>
              </w:rPr>
            </w:pPr>
            <w:r w:rsidRPr="0088154E">
              <w:rPr>
                <w:sz w:val="20"/>
                <w:szCs w:val="20"/>
              </w:rPr>
              <w:t>HAP + HAP Portability-In</w:t>
            </w:r>
          </w:p>
        </w:tc>
        <w:tc>
          <w:tcPr>
            <w:tcW w:w="1016" w:type="dxa"/>
          </w:tcPr>
          <w:p w14:paraId="759ADEE2" w14:textId="38868610" w:rsidR="00856EA0" w:rsidRPr="0088154E" w:rsidRDefault="00CF1D8F" w:rsidP="00295290">
            <w:pPr>
              <w:contextualSpacing/>
              <w:jc w:val="right"/>
              <w:rPr>
                <w:sz w:val="20"/>
                <w:szCs w:val="20"/>
              </w:rPr>
            </w:pPr>
            <w:r w:rsidRPr="0088154E">
              <w:rPr>
                <w:sz w:val="20"/>
                <w:szCs w:val="20"/>
              </w:rPr>
              <w:t>$</w:t>
            </w:r>
            <w:r w:rsidR="004B166A" w:rsidRPr="0088154E">
              <w:rPr>
                <w:sz w:val="20"/>
                <w:szCs w:val="20"/>
              </w:rPr>
              <w:t>265,000,000</w:t>
            </w:r>
          </w:p>
        </w:tc>
      </w:tr>
      <w:tr w:rsidR="00856EA0" w:rsidRPr="0088154E" w14:paraId="276FCE81" w14:textId="77777777" w:rsidTr="00CF1D8F">
        <w:trPr>
          <w:trHeight w:val="432"/>
        </w:trPr>
        <w:tc>
          <w:tcPr>
            <w:tcW w:w="5139" w:type="dxa"/>
          </w:tcPr>
          <w:p w14:paraId="3AF99F78" w14:textId="77777777" w:rsidR="00856EA0" w:rsidRPr="0088154E" w:rsidRDefault="00856EA0" w:rsidP="00295290">
            <w:pPr>
              <w:contextualSpacing/>
              <w:rPr>
                <w:sz w:val="20"/>
                <w:szCs w:val="20"/>
              </w:rPr>
            </w:pPr>
            <w:r w:rsidRPr="0088154E">
              <w:rPr>
                <w:sz w:val="20"/>
                <w:szCs w:val="20"/>
              </w:rPr>
              <w:t>97400</w:t>
            </w:r>
          </w:p>
        </w:tc>
        <w:tc>
          <w:tcPr>
            <w:tcW w:w="2835" w:type="dxa"/>
          </w:tcPr>
          <w:p w14:paraId="156786FA" w14:textId="77777777" w:rsidR="00856EA0" w:rsidRPr="0088154E" w:rsidRDefault="00856EA0" w:rsidP="00295290">
            <w:pPr>
              <w:contextualSpacing/>
              <w:rPr>
                <w:sz w:val="20"/>
                <w:szCs w:val="20"/>
              </w:rPr>
            </w:pPr>
            <w:r w:rsidRPr="0088154E">
              <w:rPr>
                <w:sz w:val="20"/>
                <w:szCs w:val="20"/>
              </w:rPr>
              <w:t>Depreciation Expense</w:t>
            </w:r>
          </w:p>
        </w:tc>
        <w:tc>
          <w:tcPr>
            <w:tcW w:w="1016" w:type="dxa"/>
          </w:tcPr>
          <w:p w14:paraId="3FB1EA21" w14:textId="16FF75A1" w:rsidR="00856EA0" w:rsidRPr="0088154E" w:rsidRDefault="00CF1D8F" w:rsidP="00295290">
            <w:pPr>
              <w:contextualSpacing/>
              <w:jc w:val="right"/>
              <w:rPr>
                <w:sz w:val="20"/>
                <w:szCs w:val="20"/>
              </w:rPr>
            </w:pPr>
            <w:r w:rsidRPr="0088154E">
              <w:rPr>
                <w:sz w:val="20"/>
                <w:szCs w:val="20"/>
              </w:rPr>
              <w:t>$0</w:t>
            </w:r>
          </w:p>
        </w:tc>
      </w:tr>
      <w:tr w:rsidR="00856EA0" w:rsidRPr="0088154E" w14:paraId="0E93372D" w14:textId="77777777" w:rsidTr="00CF1D8F">
        <w:trPr>
          <w:trHeight w:val="432"/>
        </w:trPr>
        <w:tc>
          <w:tcPr>
            <w:tcW w:w="5139" w:type="dxa"/>
          </w:tcPr>
          <w:p w14:paraId="0751EE87" w14:textId="77777777" w:rsidR="00856EA0" w:rsidRPr="0088154E" w:rsidRDefault="00856EA0" w:rsidP="00295290">
            <w:pPr>
              <w:contextualSpacing/>
              <w:rPr>
                <w:sz w:val="20"/>
                <w:szCs w:val="20"/>
              </w:rPr>
            </w:pPr>
            <w:r w:rsidRPr="0088154E">
              <w:rPr>
                <w:sz w:val="20"/>
                <w:szCs w:val="20"/>
              </w:rPr>
              <w:t>97500+97600+97700+97800</w:t>
            </w:r>
          </w:p>
        </w:tc>
        <w:tc>
          <w:tcPr>
            <w:tcW w:w="2835" w:type="dxa"/>
          </w:tcPr>
          <w:p w14:paraId="6D386557" w14:textId="77777777" w:rsidR="00856EA0" w:rsidRPr="0088154E" w:rsidRDefault="00856EA0" w:rsidP="00295290">
            <w:pPr>
              <w:contextualSpacing/>
              <w:rPr>
                <w:sz w:val="20"/>
                <w:szCs w:val="20"/>
              </w:rPr>
            </w:pPr>
            <w:r w:rsidRPr="0088154E">
              <w:rPr>
                <w:sz w:val="20"/>
                <w:szCs w:val="20"/>
              </w:rPr>
              <w:t>All Other Expense</w:t>
            </w:r>
          </w:p>
        </w:tc>
        <w:tc>
          <w:tcPr>
            <w:tcW w:w="1016" w:type="dxa"/>
          </w:tcPr>
          <w:p w14:paraId="2794B291" w14:textId="750465AD" w:rsidR="00856EA0" w:rsidRPr="0088154E" w:rsidRDefault="00CF1D8F" w:rsidP="00295290">
            <w:pPr>
              <w:contextualSpacing/>
              <w:jc w:val="right"/>
              <w:rPr>
                <w:sz w:val="20"/>
                <w:szCs w:val="20"/>
              </w:rPr>
            </w:pPr>
            <w:r w:rsidRPr="0088154E">
              <w:rPr>
                <w:sz w:val="20"/>
                <w:szCs w:val="20"/>
              </w:rPr>
              <w:t>$</w:t>
            </w:r>
            <w:r w:rsidR="004B166A" w:rsidRPr="0088154E">
              <w:rPr>
                <w:sz w:val="20"/>
                <w:szCs w:val="20"/>
              </w:rPr>
              <w:t>9,268,000</w:t>
            </w:r>
          </w:p>
        </w:tc>
      </w:tr>
      <w:tr w:rsidR="00856EA0" w:rsidRPr="0088154E" w14:paraId="2D9F0274" w14:textId="77777777" w:rsidTr="00CF1D8F">
        <w:trPr>
          <w:trHeight w:val="432"/>
        </w:trPr>
        <w:tc>
          <w:tcPr>
            <w:tcW w:w="5139" w:type="dxa"/>
            <w:shd w:val="clear" w:color="auto" w:fill="D9D9D9" w:themeFill="background1" w:themeFillShade="D9"/>
          </w:tcPr>
          <w:p w14:paraId="40B86C4D" w14:textId="77777777" w:rsidR="00856EA0" w:rsidRPr="0088154E" w:rsidRDefault="00856EA0" w:rsidP="00295290">
            <w:pPr>
              <w:contextualSpacing/>
              <w:rPr>
                <w:b/>
                <w:sz w:val="20"/>
                <w:szCs w:val="20"/>
              </w:rPr>
            </w:pPr>
            <w:r w:rsidRPr="0088154E">
              <w:rPr>
                <w:b/>
                <w:sz w:val="20"/>
                <w:szCs w:val="20"/>
              </w:rPr>
              <w:t>90000</w:t>
            </w:r>
          </w:p>
        </w:tc>
        <w:tc>
          <w:tcPr>
            <w:tcW w:w="2835" w:type="dxa"/>
            <w:shd w:val="clear" w:color="auto" w:fill="D9D9D9" w:themeFill="background1" w:themeFillShade="D9"/>
          </w:tcPr>
          <w:p w14:paraId="7E1F8D3A" w14:textId="77777777" w:rsidR="00856EA0" w:rsidRPr="0088154E" w:rsidRDefault="00856EA0" w:rsidP="00295290">
            <w:pPr>
              <w:contextualSpacing/>
              <w:rPr>
                <w:b/>
                <w:sz w:val="20"/>
                <w:szCs w:val="20"/>
              </w:rPr>
            </w:pPr>
            <w:r w:rsidRPr="0088154E">
              <w:rPr>
                <w:b/>
                <w:sz w:val="20"/>
                <w:szCs w:val="20"/>
              </w:rPr>
              <w:t>Total Expenses</w:t>
            </w:r>
          </w:p>
        </w:tc>
        <w:tc>
          <w:tcPr>
            <w:tcW w:w="1016" w:type="dxa"/>
            <w:shd w:val="clear" w:color="auto" w:fill="D9D9D9" w:themeFill="background1" w:themeFillShade="D9"/>
          </w:tcPr>
          <w:p w14:paraId="1B79E04F" w14:textId="5A803692" w:rsidR="00856EA0" w:rsidRPr="0088154E" w:rsidRDefault="004B166A" w:rsidP="00295290">
            <w:pPr>
              <w:contextualSpacing/>
              <w:jc w:val="right"/>
              <w:rPr>
                <w:b/>
                <w:sz w:val="20"/>
                <w:szCs w:val="20"/>
              </w:rPr>
            </w:pPr>
            <w:r w:rsidRPr="0088154E">
              <w:rPr>
                <w:b/>
                <w:sz w:val="20"/>
                <w:szCs w:val="20"/>
              </w:rPr>
              <w:t>$299,464,000</w:t>
            </w:r>
          </w:p>
        </w:tc>
      </w:tr>
    </w:tbl>
    <w:p w14:paraId="261D668B" w14:textId="48BE620F" w:rsidR="00D50304" w:rsidRPr="0088154E" w:rsidRDefault="00D50304" w:rsidP="00D50304">
      <w:pPr>
        <w:ind w:left="720"/>
        <w:contextualSpacing/>
        <w:jc w:val="both"/>
      </w:pPr>
    </w:p>
    <w:p w14:paraId="233F6A68" w14:textId="5FE20476" w:rsidR="00CF1D8F" w:rsidRPr="0088154E" w:rsidRDefault="00CF1D8F" w:rsidP="00CF1D8F">
      <w:pPr>
        <w:rPr>
          <w:b/>
          <w:sz w:val="22"/>
        </w:rPr>
      </w:pPr>
      <w:r w:rsidRPr="0088154E">
        <w:rPr>
          <w:b/>
          <w:sz w:val="22"/>
        </w:rPr>
        <w:t xml:space="preserve">Please describe any </w:t>
      </w:r>
      <w:r w:rsidRPr="0088154E">
        <w:rPr>
          <w:b/>
          <w:sz w:val="22"/>
          <w:szCs w:val="22"/>
        </w:rPr>
        <w:t>variances between Estimated Total Revenue and Estimated Total Expenses</w:t>
      </w:r>
      <w:r w:rsidRPr="0088154E">
        <w:rPr>
          <w:b/>
          <w:sz w:val="22"/>
        </w:rPr>
        <w:t>:</w:t>
      </w:r>
    </w:p>
    <w:tbl>
      <w:tblPr>
        <w:tblW w:w="0" w:type="auto"/>
        <w:tblInd w:w="355" w:type="dxa"/>
        <w:tblLook w:val="04A0" w:firstRow="1" w:lastRow="0" w:firstColumn="1" w:lastColumn="0" w:noHBand="0" w:noVBand="1"/>
      </w:tblPr>
      <w:tblGrid>
        <w:gridCol w:w="8995"/>
      </w:tblGrid>
      <w:tr w:rsidR="00D50304" w:rsidRPr="0088154E" w14:paraId="7A5DF21A" w14:textId="77777777" w:rsidTr="00CF1D8F">
        <w:tc>
          <w:tcPr>
            <w:tcW w:w="8995" w:type="dxa"/>
            <w:tcBorders>
              <w:top w:val="single" w:sz="4" w:space="0" w:color="auto"/>
              <w:left w:val="single" w:sz="4" w:space="0" w:color="auto"/>
              <w:bottom w:val="single" w:sz="4" w:space="0" w:color="auto"/>
              <w:right w:val="single" w:sz="4" w:space="0" w:color="auto"/>
            </w:tcBorders>
          </w:tcPr>
          <w:p w14:paraId="79F65669" w14:textId="1C52EAF6" w:rsidR="00D50304" w:rsidRPr="0088154E" w:rsidRDefault="00D50304" w:rsidP="00CF1D8F">
            <w:pPr>
              <w:contextualSpacing/>
              <w:jc w:val="both"/>
              <w:rPr>
                <w:sz w:val="22"/>
                <w:szCs w:val="22"/>
              </w:rPr>
            </w:pPr>
            <w:r w:rsidRPr="0088154E">
              <w:rPr>
                <w:sz w:val="22"/>
                <w:szCs w:val="22"/>
              </w:rPr>
              <w:t>N/A</w:t>
            </w:r>
          </w:p>
        </w:tc>
      </w:tr>
    </w:tbl>
    <w:p w14:paraId="4B6BE5C8" w14:textId="77777777" w:rsidR="00972DDA" w:rsidRPr="0088154E" w:rsidRDefault="00972DDA" w:rsidP="00972DDA">
      <w:pPr>
        <w:ind w:left="720" w:hanging="360"/>
        <w:contextualSpacing/>
        <w:jc w:val="both"/>
        <w:rPr>
          <w:sz w:val="22"/>
          <w:szCs w:val="22"/>
        </w:rPr>
      </w:pPr>
    </w:p>
    <w:p w14:paraId="447AC51E" w14:textId="39AFA492" w:rsidR="00913076" w:rsidRPr="0088154E" w:rsidRDefault="00913076" w:rsidP="00AA5A80">
      <w:pPr>
        <w:pStyle w:val="ListParagraph"/>
        <w:numPr>
          <w:ilvl w:val="1"/>
          <w:numId w:val="18"/>
        </w:numPr>
        <w:tabs>
          <w:tab w:val="left" w:pos="720"/>
        </w:tabs>
        <w:contextualSpacing/>
        <w:jc w:val="both"/>
        <w:rPr>
          <w:b/>
          <w:i/>
        </w:rPr>
      </w:pPr>
      <w:r w:rsidRPr="0088154E">
        <w:rPr>
          <w:b/>
          <w:i/>
        </w:rPr>
        <w:t>Description of Planned Use of MTW Single Fund Flexibility</w:t>
      </w:r>
    </w:p>
    <w:p w14:paraId="5BDE75AB" w14:textId="77777777" w:rsidR="00022338" w:rsidRPr="0088154E" w:rsidRDefault="00022338" w:rsidP="00022338">
      <w:pPr>
        <w:autoSpaceDE w:val="0"/>
        <w:autoSpaceDN w:val="0"/>
        <w:adjustRightInd w:val="0"/>
        <w:jc w:val="both"/>
        <w:rPr>
          <w:sz w:val="22"/>
          <w:szCs w:val="22"/>
        </w:rPr>
      </w:pPr>
    </w:p>
    <w:p w14:paraId="0C8FB75D" w14:textId="514AC0ED" w:rsidR="00022338" w:rsidRPr="0088154E" w:rsidRDefault="00022338" w:rsidP="00774436">
      <w:pPr>
        <w:autoSpaceDE w:val="0"/>
        <w:autoSpaceDN w:val="0"/>
        <w:adjustRightInd w:val="0"/>
        <w:jc w:val="both"/>
        <w:rPr>
          <w:sz w:val="22"/>
          <w:szCs w:val="22"/>
        </w:rPr>
      </w:pPr>
      <w:r w:rsidRPr="0088154E">
        <w:rPr>
          <w:sz w:val="22"/>
          <w:szCs w:val="22"/>
        </w:rPr>
        <w:t>Under the MTW Program, DHCD is authorized to establish an MTW Block Grant budget.</w:t>
      </w:r>
      <w:r w:rsidR="00774436" w:rsidRPr="0088154E">
        <w:rPr>
          <w:sz w:val="22"/>
          <w:szCs w:val="22"/>
        </w:rPr>
        <w:t xml:space="preserve"> </w:t>
      </w:r>
      <w:r w:rsidRPr="0088154E">
        <w:rPr>
          <w:sz w:val="22"/>
          <w:szCs w:val="22"/>
        </w:rPr>
        <w:t>Activities that utilize Block Grant single fund flexibility are described below:</w:t>
      </w:r>
    </w:p>
    <w:p w14:paraId="007A259C" w14:textId="77777777" w:rsidR="00022338" w:rsidRPr="0088154E" w:rsidRDefault="00022338" w:rsidP="00022338">
      <w:pPr>
        <w:autoSpaceDE w:val="0"/>
        <w:autoSpaceDN w:val="0"/>
        <w:adjustRightInd w:val="0"/>
        <w:jc w:val="both"/>
        <w:rPr>
          <w:sz w:val="22"/>
          <w:szCs w:val="22"/>
        </w:rPr>
      </w:pPr>
    </w:p>
    <w:p w14:paraId="2AB8AED0" w14:textId="0F8B12ED" w:rsidR="009930D9" w:rsidRPr="0088154E" w:rsidRDefault="002011D1" w:rsidP="00AA5A80">
      <w:pPr>
        <w:pStyle w:val="PlainText"/>
        <w:numPr>
          <w:ilvl w:val="0"/>
          <w:numId w:val="32"/>
        </w:numPr>
        <w:jc w:val="both"/>
        <w:rPr>
          <w:rFonts w:ascii="Times New Roman" w:hAnsi="Times New Roman"/>
        </w:rPr>
      </w:pPr>
      <w:r w:rsidRPr="0088154E">
        <w:rPr>
          <w:rFonts w:ascii="Times New Roman" w:hAnsi="Times New Roman"/>
          <w:iCs/>
        </w:rPr>
        <w:t>DHCD will use up to $1</w:t>
      </w:r>
      <w:r w:rsidR="005E78E1" w:rsidRPr="0088154E">
        <w:rPr>
          <w:rFonts w:ascii="Times New Roman" w:hAnsi="Times New Roman"/>
          <w:iCs/>
        </w:rPr>
        <w:t>50,000</w:t>
      </w:r>
      <w:r w:rsidR="009930D9" w:rsidRPr="0088154E">
        <w:rPr>
          <w:rFonts w:ascii="Times New Roman" w:hAnsi="Times New Roman"/>
          <w:iCs/>
        </w:rPr>
        <w:t>, in Single Fund Flexibility,</w:t>
      </w:r>
      <w:r w:rsidR="005E78E1" w:rsidRPr="0088154E">
        <w:rPr>
          <w:rFonts w:ascii="Times New Roman" w:hAnsi="Times New Roman"/>
          <w:iCs/>
        </w:rPr>
        <w:t xml:space="preserve"> to support the development and implementation of</w:t>
      </w:r>
      <w:r w:rsidR="009930D9" w:rsidRPr="0088154E">
        <w:rPr>
          <w:rFonts w:ascii="Times New Roman" w:hAnsi="Times New Roman"/>
          <w:iCs/>
        </w:rPr>
        <w:t xml:space="preserve"> a</w:t>
      </w:r>
      <w:r w:rsidR="005E78E1" w:rsidRPr="0088154E">
        <w:rPr>
          <w:rFonts w:ascii="Times New Roman" w:hAnsi="Times New Roman"/>
          <w:iCs/>
        </w:rPr>
        <w:t xml:space="preserve"> data warehouse. DHCD is partnering with the Regional Housing Network (RHN), made up of nine regionally based non-profit housing agencies and one regional housing authority, to </w:t>
      </w:r>
      <w:r w:rsidR="009930D9" w:rsidRPr="0088154E">
        <w:rPr>
          <w:rFonts w:ascii="Times New Roman" w:hAnsi="Times New Roman"/>
          <w:iCs/>
        </w:rPr>
        <w:t xml:space="preserve">design </w:t>
      </w:r>
      <w:r w:rsidR="005E78E1" w:rsidRPr="0088154E">
        <w:rPr>
          <w:rFonts w:ascii="Times New Roman" w:hAnsi="Times New Roman"/>
          <w:iCs/>
        </w:rPr>
        <w:t xml:space="preserve">an RHN Data Warehouse. The RHN Data Warehouse will pool and house </w:t>
      </w:r>
      <w:r w:rsidR="009930D9" w:rsidRPr="0088154E">
        <w:rPr>
          <w:rFonts w:ascii="Times New Roman" w:hAnsi="Times New Roman"/>
          <w:iCs/>
        </w:rPr>
        <w:t xml:space="preserve">client </w:t>
      </w:r>
      <w:r w:rsidR="005E78E1" w:rsidRPr="0088154E">
        <w:rPr>
          <w:rFonts w:ascii="Times New Roman" w:hAnsi="Times New Roman"/>
          <w:iCs/>
        </w:rPr>
        <w:t>data for all participating organizations and will allow for the sharing</w:t>
      </w:r>
      <w:r w:rsidR="009930D9" w:rsidRPr="0088154E">
        <w:rPr>
          <w:rFonts w:ascii="Times New Roman" w:hAnsi="Times New Roman"/>
          <w:iCs/>
        </w:rPr>
        <w:t xml:space="preserve"> of information. The system will house </w:t>
      </w:r>
      <w:r w:rsidR="005E78E1" w:rsidRPr="0088154E">
        <w:rPr>
          <w:rFonts w:ascii="Times New Roman" w:hAnsi="Times New Roman"/>
          <w:iCs/>
        </w:rPr>
        <w:t>common data points</w:t>
      </w:r>
      <w:r w:rsidR="009930D9" w:rsidRPr="0088154E">
        <w:rPr>
          <w:rFonts w:ascii="Times New Roman" w:hAnsi="Times New Roman"/>
          <w:iCs/>
        </w:rPr>
        <w:t xml:space="preserve"> across all agencies,</w:t>
      </w:r>
      <w:r w:rsidR="005E78E1" w:rsidRPr="0088154E">
        <w:rPr>
          <w:rFonts w:ascii="Times New Roman" w:hAnsi="Times New Roman"/>
          <w:iCs/>
        </w:rPr>
        <w:t xml:space="preserve"> </w:t>
      </w:r>
      <w:r w:rsidR="009930D9" w:rsidRPr="0088154E">
        <w:rPr>
          <w:rFonts w:ascii="Times New Roman" w:hAnsi="Times New Roman"/>
          <w:iCs/>
        </w:rPr>
        <w:t xml:space="preserve">which will be collected through </w:t>
      </w:r>
      <w:r w:rsidR="005E78E1" w:rsidRPr="0088154E">
        <w:rPr>
          <w:rFonts w:ascii="Times New Roman" w:hAnsi="Times New Roman"/>
          <w:iCs/>
        </w:rPr>
        <w:t>tracking and data management protocols,</w:t>
      </w:r>
      <w:r w:rsidR="009930D9" w:rsidRPr="0088154E">
        <w:t xml:space="preserve"> </w:t>
      </w:r>
      <w:r w:rsidR="009930D9" w:rsidRPr="0088154E">
        <w:rPr>
          <w:rFonts w:ascii="Times New Roman" w:hAnsi="Times New Roman"/>
          <w:iCs/>
        </w:rPr>
        <w:t xml:space="preserve">pre-assessment and assessment processes and evaluation procedures. This will allow </w:t>
      </w:r>
      <w:r w:rsidR="005E78E1" w:rsidRPr="0088154E">
        <w:rPr>
          <w:rFonts w:ascii="Times New Roman" w:hAnsi="Times New Roman"/>
          <w:iCs/>
        </w:rPr>
        <w:t xml:space="preserve">DHCD </w:t>
      </w:r>
      <w:r w:rsidR="009930D9" w:rsidRPr="0088154E">
        <w:rPr>
          <w:rFonts w:ascii="Times New Roman" w:hAnsi="Times New Roman"/>
          <w:iCs/>
        </w:rPr>
        <w:t xml:space="preserve">to be able to </w:t>
      </w:r>
      <w:r w:rsidR="005E78E1" w:rsidRPr="0088154E">
        <w:rPr>
          <w:rFonts w:ascii="Times New Roman" w:hAnsi="Times New Roman"/>
          <w:iCs/>
        </w:rPr>
        <w:t>better review program outcomes and understand the impact of pr</w:t>
      </w:r>
      <w:r w:rsidR="00D41D13" w:rsidRPr="0088154E">
        <w:rPr>
          <w:rFonts w:ascii="Times New Roman" w:hAnsi="Times New Roman"/>
          <w:iCs/>
        </w:rPr>
        <w:t>ogram and policy interventions.</w:t>
      </w:r>
      <w:r w:rsidR="005E78E1" w:rsidRPr="0088154E">
        <w:rPr>
          <w:rFonts w:ascii="Times New Roman" w:hAnsi="Times New Roman"/>
          <w:iCs/>
        </w:rPr>
        <w:t xml:space="preserve"> System design will also include data bridges to allow data to flow directly from member organizations’ existing or newly developed software systems and/or client management systems to an RHN data warehouse.  </w:t>
      </w:r>
    </w:p>
    <w:p w14:paraId="56A06D6E" w14:textId="77777777" w:rsidR="009930D9" w:rsidRPr="0088154E" w:rsidRDefault="009930D9" w:rsidP="009930D9">
      <w:pPr>
        <w:pStyle w:val="PlainText"/>
        <w:ind w:left="720"/>
        <w:jc w:val="both"/>
        <w:rPr>
          <w:rFonts w:ascii="Times New Roman" w:hAnsi="Times New Roman"/>
        </w:rPr>
      </w:pPr>
    </w:p>
    <w:p w14:paraId="5E3B6D3C" w14:textId="55AB6F77" w:rsidR="009930D9" w:rsidRPr="0088154E" w:rsidRDefault="009930D9" w:rsidP="00AA5A80">
      <w:pPr>
        <w:pStyle w:val="PlainText"/>
        <w:numPr>
          <w:ilvl w:val="0"/>
          <w:numId w:val="32"/>
        </w:numPr>
        <w:jc w:val="both"/>
        <w:rPr>
          <w:rFonts w:ascii="Times New Roman" w:hAnsi="Times New Roman"/>
        </w:rPr>
      </w:pPr>
      <w:r w:rsidRPr="0088154E">
        <w:rPr>
          <w:rFonts w:ascii="Times New Roman" w:hAnsi="Times New Roman"/>
        </w:rPr>
        <w:t>DHCD will use up to $500,000, in Single Fund Flexibility</w:t>
      </w:r>
      <w:r w:rsidR="002011D1" w:rsidRPr="0088154E">
        <w:rPr>
          <w:rFonts w:ascii="Times New Roman" w:hAnsi="Times New Roman"/>
        </w:rPr>
        <w:t xml:space="preserve"> over three years</w:t>
      </w:r>
      <w:r w:rsidRPr="0088154E">
        <w:rPr>
          <w:rFonts w:ascii="Times New Roman" w:hAnsi="Times New Roman"/>
        </w:rPr>
        <w:t xml:space="preserve">, to fund MTW program evaluations. </w:t>
      </w:r>
      <w:r w:rsidR="00294F09" w:rsidRPr="0088154E">
        <w:rPr>
          <w:rFonts w:ascii="Times New Roman" w:hAnsi="Times New Roman"/>
        </w:rPr>
        <w:t xml:space="preserve">Specifically, in </w:t>
      </w:r>
      <w:r w:rsidR="006D6331" w:rsidRPr="0088154E">
        <w:rPr>
          <w:rFonts w:ascii="Times New Roman" w:hAnsi="Times New Roman"/>
        </w:rPr>
        <w:t>FY 2021</w:t>
      </w:r>
      <w:r w:rsidR="00E5529C" w:rsidRPr="0088154E">
        <w:rPr>
          <w:rFonts w:ascii="Times New Roman" w:hAnsi="Times New Roman"/>
        </w:rPr>
        <w:t>, DHCD will use a third-</w:t>
      </w:r>
      <w:r w:rsidR="00294F09" w:rsidRPr="0088154E">
        <w:rPr>
          <w:rFonts w:ascii="Times New Roman" w:hAnsi="Times New Roman"/>
        </w:rPr>
        <w:t>party to perform program evaluations of two of the MTW programs, ABL</w:t>
      </w:r>
      <w:r w:rsidR="00234500" w:rsidRPr="0088154E">
        <w:rPr>
          <w:rFonts w:ascii="Times New Roman" w:hAnsi="Times New Roman"/>
        </w:rPr>
        <w:t xml:space="preserve"> and Launch. Program evaluators</w:t>
      </w:r>
      <w:r w:rsidR="00294F09" w:rsidRPr="0088154E">
        <w:rPr>
          <w:rFonts w:ascii="Times New Roman" w:hAnsi="Times New Roman"/>
        </w:rPr>
        <w:t xml:space="preserve"> will collect data and information on the</w:t>
      </w:r>
      <w:r w:rsidR="008331D2" w:rsidRPr="0088154E">
        <w:rPr>
          <w:rFonts w:ascii="Times New Roman" w:hAnsi="Times New Roman"/>
        </w:rPr>
        <w:t xml:space="preserve"> participant</w:t>
      </w:r>
      <w:r w:rsidR="00294F09" w:rsidRPr="0088154E">
        <w:rPr>
          <w:rFonts w:ascii="Times New Roman" w:hAnsi="Times New Roman"/>
        </w:rPr>
        <w:t xml:space="preserve"> outcomes </w:t>
      </w:r>
      <w:r w:rsidR="008331D2" w:rsidRPr="0088154E">
        <w:rPr>
          <w:rFonts w:ascii="Times New Roman" w:hAnsi="Times New Roman"/>
        </w:rPr>
        <w:t xml:space="preserve">as a result of the targeted MTW initiatives and assist DHCD in revising program provisions to better serve participants. </w:t>
      </w:r>
      <w:r w:rsidR="00294F09" w:rsidRPr="0088154E">
        <w:rPr>
          <w:rFonts w:ascii="Times New Roman" w:hAnsi="Times New Roman"/>
        </w:rPr>
        <w:t xml:space="preserve"> </w:t>
      </w:r>
    </w:p>
    <w:p w14:paraId="7641EAF1" w14:textId="77777777" w:rsidR="004E195D" w:rsidRPr="0088154E" w:rsidRDefault="004E195D" w:rsidP="004E195D">
      <w:pPr>
        <w:pStyle w:val="ListParagraph"/>
        <w:numPr>
          <w:ilvl w:val="0"/>
          <w:numId w:val="0"/>
        </w:numPr>
        <w:ind w:left="720"/>
      </w:pPr>
    </w:p>
    <w:p w14:paraId="725A9B9A" w14:textId="65EC8C1E" w:rsidR="004E195D" w:rsidRPr="0088154E" w:rsidRDefault="004E195D" w:rsidP="00AA5A80">
      <w:pPr>
        <w:pStyle w:val="PlainText"/>
        <w:numPr>
          <w:ilvl w:val="0"/>
          <w:numId w:val="32"/>
        </w:numPr>
        <w:jc w:val="both"/>
      </w:pPr>
      <w:r w:rsidRPr="0088154E">
        <w:rPr>
          <w:rFonts w:ascii="Times New Roman" w:hAnsi="Times New Roman"/>
        </w:rPr>
        <w:t>DHCD will use</w:t>
      </w:r>
      <w:r w:rsidR="00AF2475" w:rsidRPr="0088154E">
        <w:rPr>
          <w:rFonts w:ascii="Times New Roman" w:hAnsi="Times New Roman"/>
        </w:rPr>
        <w:t xml:space="preserve"> up to $4.5M over five years</w:t>
      </w:r>
      <w:r w:rsidR="005A025E" w:rsidRPr="0088154E">
        <w:rPr>
          <w:rFonts w:ascii="Times New Roman" w:hAnsi="Times New Roman"/>
        </w:rPr>
        <w:t xml:space="preserve"> in Single Fund Flexibility to support</w:t>
      </w:r>
      <w:r w:rsidRPr="0088154E">
        <w:rPr>
          <w:rFonts w:ascii="Times New Roman" w:hAnsi="Times New Roman"/>
        </w:rPr>
        <w:t xml:space="preserve"> </w:t>
      </w:r>
      <w:r w:rsidR="00F3169D" w:rsidRPr="0088154E">
        <w:rPr>
          <w:rFonts w:ascii="Times New Roman" w:hAnsi="Times New Roman"/>
        </w:rPr>
        <w:t xml:space="preserve">a career navigation initiative for HCV participants. </w:t>
      </w:r>
      <w:r w:rsidR="009E4BCD" w:rsidRPr="0088154E">
        <w:rPr>
          <w:rFonts w:ascii="Times New Roman" w:hAnsi="Times New Roman"/>
        </w:rPr>
        <w:t xml:space="preserve">DHCD anticipates that approximately $256,000 will be spent in FY 2021. </w:t>
      </w:r>
      <w:r w:rsidR="00F3169D" w:rsidRPr="0088154E">
        <w:rPr>
          <w:rFonts w:ascii="Times New Roman" w:hAnsi="Times New Roman"/>
        </w:rPr>
        <w:t>Specifically the funds will support the cost of</w:t>
      </w:r>
      <w:r w:rsidR="00485549" w:rsidRPr="0088154E">
        <w:rPr>
          <w:rFonts w:ascii="Times New Roman" w:hAnsi="Times New Roman"/>
        </w:rPr>
        <w:t xml:space="preserve"> hiring new</w:t>
      </w:r>
      <w:r w:rsidR="00F3169D" w:rsidRPr="0088154E">
        <w:rPr>
          <w:rFonts w:ascii="Times New Roman" w:hAnsi="Times New Roman"/>
        </w:rPr>
        <w:t xml:space="preserve"> </w:t>
      </w:r>
      <w:r w:rsidRPr="0088154E">
        <w:rPr>
          <w:rFonts w:ascii="Times New Roman" w:hAnsi="Times New Roman"/>
        </w:rPr>
        <w:t>Career N</w:t>
      </w:r>
      <w:r w:rsidR="00F3169D" w:rsidRPr="0088154E">
        <w:rPr>
          <w:rFonts w:ascii="Times New Roman" w:hAnsi="Times New Roman"/>
        </w:rPr>
        <w:t>avigators (Navigators</w:t>
      </w:r>
      <w:r w:rsidR="00E5529C" w:rsidRPr="0088154E">
        <w:rPr>
          <w:rFonts w:ascii="Times New Roman" w:hAnsi="Times New Roman"/>
        </w:rPr>
        <w:t>)</w:t>
      </w:r>
      <w:r w:rsidR="00C548F4" w:rsidRPr="0088154E">
        <w:rPr>
          <w:rFonts w:ascii="Times New Roman" w:hAnsi="Times New Roman"/>
        </w:rPr>
        <w:t xml:space="preserve"> at </w:t>
      </w:r>
      <w:r w:rsidR="00485549" w:rsidRPr="0088154E">
        <w:rPr>
          <w:rFonts w:ascii="Times New Roman" w:hAnsi="Times New Roman"/>
        </w:rPr>
        <w:t>Career Centers in four regions</w:t>
      </w:r>
      <w:r w:rsidR="00C548F4" w:rsidRPr="0088154E">
        <w:rPr>
          <w:rFonts w:ascii="Times New Roman" w:hAnsi="Times New Roman"/>
        </w:rPr>
        <w:t>. Navigators</w:t>
      </w:r>
      <w:r w:rsidRPr="0088154E">
        <w:rPr>
          <w:rFonts w:ascii="Times New Roman" w:hAnsi="Times New Roman"/>
        </w:rPr>
        <w:t xml:space="preserve"> will meet one-on-one with individuals to help them identify a career path that fits with the available jobs in their region with good wages, benefits and opportunity for advancement. Navigators will also work with participants to identify training or education</w:t>
      </w:r>
      <w:r w:rsidR="005A025E" w:rsidRPr="0088154E">
        <w:rPr>
          <w:rFonts w:ascii="Times New Roman" w:hAnsi="Times New Roman"/>
        </w:rPr>
        <w:t xml:space="preserve"> opportunities</w:t>
      </w:r>
      <w:r w:rsidRPr="0088154E">
        <w:rPr>
          <w:rFonts w:ascii="Times New Roman" w:hAnsi="Times New Roman"/>
        </w:rPr>
        <w:t xml:space="preserve">, facilitate employer relationships </w:t>
      </w:r>
      <w:r w:rsidR="00255724" w:rsidRPr="0088154E">
        <w:rPr>
          <w:rFonts w:ascii="Times New Roman" w:hAnsi="Times New Roman"/>
        </w:rPr>
        <w:t>and support</w:t>
      </w:r>
      <w:r w:rsidRPr="0088154E">
        <w:rPr>
          <w:rFonts w:ascii="Times New Roman" w:hAnsi="Times New Roman"/>
        </w:rPr>
        <w:t xml:space="preserve"> participants through the process of finding a job and post-employment transition. Individuals will be referred to Navigators by FSS Coordinators</w:t>
      </w:r>
      <w:r w:rsidR="00255724" w:rsidRPr="0088154E">
        <w:rPr>
          <w:rFonts w:ascii="Times New Roman" w:hAnsi="Times New Roman"/>
        </w:rPr>
        <w:t>. Given the Career Centers’ specialized expertise</w:t>
      </w:r>
      <w:r w:rsidR="005A025E" w:rsidRPr="0088154E">
        <w:rPr>
          <w:rFonts w:ascii="Times New Roman" w:hAnsi="Times New Roman"/>
        </w:rPr>
        <w:t xml:space="preserve"> in</w:t>
      </w:r>
      <w:r w:rsidR="00255724" w:rsidRPr="0088154E">
        <w:rPr>
          <w:rFonts w:ascii="Times New Roman" w:hAnsi="Times New Roman"/>
        </w:rPr>
        <w:t xml:space="preserve"> </w:t>
      </w:r>
      <w:r w:rsidRPr="0088154E">
        <w:rPr>
          <w:rFonts w:ascii="Times New Roman" w:hAnsi="Times New Roman"/>
        </w:rPr>
        <w:t xml:space="preserve">career navigation/job development </w:t>
      </w:r>
      <w:r w:rsidR="00255724" w:rsidRPr="0088154E">
        <w:rPr>
          <w:rFonts w:ascii="Times New Roman" w:hAnsi="Times New Roman"/>
        </w:rPr>
        <w:t>and strong</w:t>
      </w:r>
      <w:r w:rsidRPr="0088154E">
        <w:rPr>
          <w:rFonts w:ascii="Times New Roman" w:hAnsi="Times New Roman"/>
        </w:rPr>
        <w:t xml:space="preserve"> employer relationships</w:t>
      </w:r>
      <w:r w:rsidR="00255724" w:rsidRPr="0088154E">
        <w:rPr>
          <w:rFonts w:ascii="Times New Roman" w:hAnsi="Times New Roman"/>
        </w:rPr>
        <w:t xml:space="preserve">, they are best suited to support HCV participants in this aspect of self-sufficiency development. </w:t>
      </w:r>
      <w:r w:rsidRPr="0088154E">
        <w:rPr>
          <w:rFonts w:ascii="Times New Roman" w:hAnsi="Times New Roman"/>
        </w:rPr>
        <w:t xml:space="preserve"> </w:t>
      </w:r>
      <w:r w:rsidR="005A025E" w:rsidRPr="0088154E">
        <w:rPr>
          <w:rFonts w:ascii="Times New Roman" w:hAnsi="Times New Roman"/>
        </w:rPr>
        <w:t xml:space="preserve">Additionally, funds will support the development </w:t>
      </w:r>
      <w:r w:rsidR="00485549" w:rsidRPr="0088154E">
        <w:rPr>
          <w:rFonts w:ascii="Times New Roman" w:hAnsi="Times New Roman"/>
        </w:rPr>
        <w:t xml:space="preserve">of </w:t>
      </w:r>
      <w:r w:rsidR="005A025E" w:rsidRPr="0088154E">
        <w:rPr>
          <w:rFonts w:ascii="Times New Roman" w:hAnsi="Times New Roman"/>
        </w:rPr>
        <w:t xml:space="preserve">resources, such as </w:t>
      </w:r>
      <w:r w:rsidRPr="0088154E">
        <w:rPr>
          <w:rFonts w:ascii="Times New Roman" w:hAnsi="Times New Roman"/>
        </w:rPr>
        <w:t>regional employment maps</w:t>
      </w:r>
      <w:r w:rsidR="005A025E" w:rsidRPr="0088154E">
        <w:rPr>
          <w:rFonts w:ascii="Times New Roman" w:hAnsi="Times New Roman"/>
        </w:rPr>
        <w:t xml:space="preserve">. The employment resources will assist </w:t>
      </w:r>
      <w:r w:rsidR="00F3169D" w:rsidRPr="0088154E">
        <w:rPr>
          <w:rFonts w:ascii="Times New Roman" w:hAnsi="Times New Roman"/>
        </w:rPr>
        <w:t xml:space="preserve">staff at </w:t>
      </w:r>
      <w:r w:rsidR="005A025E" w:rsidRPr="0088154E">
        <w:rPr>
          <w:rFonts w:ascii="Times New Roman" w:hAnsi="Times New Roman"/>
        </w:rPr>
        <w:t>Career Centers and RAAs in</w:t>
      </w:r>
      <w:r w:rsidR="00F3169D" w:rsidRPr="0088154E">
        <w:rPr>
          <w:rFonts w:ascii="Times New Roman" w:hAnsi="Times New Roman"/>
        </w:rPr>
        <w:t xml:space="preserve"> directing participants toward areas of employment opportunity. </w:t>
      </w:r>
      <w:r w:rsidRPr="0088154E">
        <w:rPr>
          <w:rFonts w:ascii="Times New Roman" w:hAnsi="Times New Roman"/>
        </w:rPr>
        <w:t>Navigators and FSS Coordinators</w:t>
      </w:r>
      <w:r w:rsidR="00F3169D" w:rsidRPr="0088154E">
        <w:rPr>
          <w:rFonts w:ascii="Times New Roman" w:hAnsi="Times New Roman"/>
        </w:rPr>
        <w:t xml:space="preserve"> will be brought t</w:t>
      </w:r>
      <w:r w:rsidRPr="0088154E">
        <w:rPr>
          <w:rFonts w:ascii="Times New Roman" w:hAnsi="Times New Roman"/>
        </w:rPr>
        <w:t>ogether quarte</w:t>
      </w:r>
      <w:r w:rsidR="00F3169D" w:rsidRPr="0088154E">
        <w:rPr>
          <w:rFonts w:ascii="Times New Roman" w:hAnsi="Times New Roman"/>
        </w:rPr>
        <w:t xml:space="preserve">rly for training and networking. </w:t>
      </w:r>
    </w:p>
    <w:p w14:paraId="43DA6CBA" w14:textId="77777777" w:rsidR="005E78E1" w:rsidRPr="0088154E" w:rsidRDefault="005E78E1" w:rsidP="005E78E1">
      <w:pPr>
        <w:pStyle w:val="PlainText"/>
        <w:ind w:left="720"/>
        <w:jc w:val="both"/>
        <w:rPr>
          <w:rFonts w:ascii="Times New Roman" w:hAnsi="Times New Roman"/>
        </w:rPr>
      </w:pPr>
    </w:p>
    <w:p w14:paraId="77FF4FC3" w14:textId="119B9B24" w:rsidR="00022338" w:rsidRPr="0088154E" w:rsidRDefault="00022338" w:rsidP="006E14DC">
      <w:pPr>
        <w:pStyle w:val="PlainText"/>
        <w:ind w:left="720"/>
        <w:jc w:val="both"/>
        <w:rPr>
          <w:rFonts w:ascii="Times New Roman" w:hAnsi="Times New Roman"/>
        </w:rPr>
      </w:pPr>
      <w:r w:rsidRPr="0088154E">
        <w:rPr>
          <w:rFonts w:ascii="Times New Roman" w:hAnsi="Times New Roman"/>
          <w:iCs/>
        </w:rPr>
        <w:t>DHCD plans to utilize approximately $150,000 to fund an Economi</w:t>
      </w:r>
      <w:r w:rsidR="00D41D13" w:rsidRPr="0088154E">
        <w:rPr>
          <w:rFonts w:ascii="Times New Roman" w:hAnsi="Times New Roman"/>
          <w:iCs/>
        </w:rPr>
        <w:t>c Prosperity Coordinator (EPC).</w:t>
      </w:r>
      <w:r w:rsidRPr="0088154E">
        <w:rPr>
          <w:rFonts w:ascii="Times New Roman" w:hAnsi="Times New Roman"/>
          <w:iCs/>
        </w:rPr>
        <w:t xml:space="preserve"> The EPC will be responsible for planning, implementation and ove</w:t>
      </w:r>
      <w:r w:rsidR="00D41D13" w:rsidRPr="0088154E">
        <w:rPr>
          <w:rFonts w:ascii="Times New Roman" w:hAnsi="Times New Roman"/>
          <w:iCs/>
        </w:rPr>
        <w:t>rsight of all MTW programs that</w:t>
      </w:r>
      <w:r w:rsidRPr="0088154E">
        <w:rPr>
          <w:rFonts w:ascii="Times New Roman" w:hAnsi="Times New Roman"/>
          <w:iCs/>
        </w:rPr>
        <w:t xml:space="preserve"> support economic prosperity.  </w:t>
      </w:r>
    </w:p>
    <w:p w14:paraId="7134EA78" w14:textId="77777777" w:rsidR="007C3CFC" w:rsidRPr="0088154E" w:rsidRDefault="007C3CFC" w:rsidP="006E14DC">
      <w:pPr>
        <w:pStyle w:val="PlainText"/>
        <w:ind w:left="720"/>
        <w:jc w:val="both"/>
      </w:pPr>
    </w:p>
    <w:p w14:paraId="18A3EA3F" w14:textId="77777777" w:rsidR="00022338" w:rsidRPr="0088154E" w:rsidRDefault="00022338" w:rsidP="00AA5A80">
      <w:pPr>
        <w:pStyle w:val="ListParagraph"/>
        <w:numPr>
          <w:ilvl w:val="0"/>
          <w:numId w:val="32"/>
        </w:numPr>
        <w:jc w:val="both"/>
      </w:pPr>
      <w:r w:rsidRPr="0088154E">
        <w:t>Supportive Services:</w:t>
      </w:r>
    </w:p>
    <w:p w14:paraId="363BA454" w14:textId="03185A70" w:rsidR="00AA5CA3" w:rsidRPr="0088154E" w:rsidRDefault="00AA5CA3" w:rsidP="00AF2475">
      <w:pPr>
        <w:jc w:val="both"/>
      </w:pPr>
    </w:p>
    <w:p w14:paraId="7A62CE85" w14:textId="260C5E4E" w:rsidR="00137A89" w:rsidRPr="0088154E" w:rsidRDefault="00022338" w:rsidP="00AA5A80">
      <w:pPr>
        <w:pStyle w:val="ListParagraph"/>
        <w:numPr>
          <w:ilvl w:val="1"/>
          <w:numId w:val="32"/>
        </w:numPr>
        <w:jc w:val="both"/>
      </w:pPr>
      <w:r w:rsidRPr="0088154E">
        <w:t>Education Partnersh</w:t>
      </w:r>
      <w:r w:rsidR="00820B6D" w:rsidRPr="0088154E">
        <w:t>ip: DHCD will use up to $2M</w:t>
      </w:r>
      <w:r w:rsidRPr="0088154E">
        <w:t xml:space="preserve"> in single fund flexibility on education</w:t>
      </w:r>
      <w:r w:rsidR="00C03C7E" w:rsidRPr="0088154E">
        <w:t>al</w:t>
      </w:r>
      <w:r w:rsidRPr="0088154E">
        <w:t xml:space="preserve"> activities</w:t>
      </w:r>
      <w:r w:rsidR="00D41D13" w:rsidRPr="0088154E">
        <w:t xml:space="preserve"> that</w:t>
      </w:r>
      <w:r w:rsidRPr="0088154E">
        <w:t xml:space="preserve"> target </w:t>
      </w:r>
      <w:r w:rsidR="00137A89" w:rsidRPr="0088154E">
        <w:t xml:space="preserve">youth members of </w:t>
      </w:r>
      <w:r w:rsidRPr="0088154E">
        <w:t xml:space="preserve">DHCD voucher households. </w:t>
      </w:r>
      <w:r w:rsidRPr="0088154E">
        <w:rPr>
          <w:color w:val="000000"/>
        </w:rPr>
        <w:t>The purpose of this education initiative is to</w:t>
      </w:r>
      <w:r w:rsidR="00137A89" w:rsidRPr="0088154E">
        <w:rPr>
          <w:color w:val="000000"/>
        </w:rPr>
        <w:t xml:space="preserve"> provide younger students</w:t>
      </w:r>
      <w:r w:rsidRPr="0088154E">
        <w:rPr>
          <w:color w:val="000000"/>
        </w:rPr>
        <w:t xml:space="preserve"> </w:t>
      </w:r>
      <w:r w:rsidR="00820B6D" w:rsidRPr="0088154E">
        <w:rPr>
          <w:color w:val="000000"/>
        </w:rPr>
        <w:t>w</w:t>
      </w:r>
      <w:r w:rsidRPr="0088154E">
        <w:rPr>
          <w:color w:val="000000"/>
        </w:rPr>
        <w:t>ith the support needed to ensure positive education</w:t>
      </w:r>
      <w:r w:rsidR="00820B6D" w:rsidRPr="0088154E">
        <w:rPr>
          <w:color w:val="000000"/>
        </w:rPr>
        <w:t>al</w:t>
      </w:r>
      <w:r w:rsidRPr="0088154E">
        <w:rPr>
          <w:color w:val="000000"/>
        </w:rPr>
        <w:t xml:space="preserve"> outcomes</w:t>
      </w:r>
      <w:r w:rsidR="00137A89" w:rsidRPr="0088154E">
        <w:rPr>
          <w:color w:val="000000"/>
        </w:rPr>
        <w:t xml:space="preserve"> and </w:t>
      </w:r>
      <w:r w:rsidR="00D41D13" w:rsidRPr="0088154E">
        <w:rPr>
          <w:color w:val="000000"/>
        </w:rPr>
        <w:t xml:space="preserve">to provide </w:t>
      </w:r>
      <w:r w:rsidR="00137A89" w:rsidRPr="0088154E">
        <w:rPr>
          <w:color w:val="000000"/>
        </w:rPr>
        <w:t>family members who may</w:t>
      </w:r>
      <w:r w:rsidR="00C03C7E" w:rsidRPr="0088154E">
        <w:rPr>
          <w:color w:val="000000"/>
        </w:rPr>
        <w:t xml:space="preserve"> </w:t>
      </w:r>
      <w:r w:rsidR="00D41D13" w:rsidRPr="0088154E">
        <w:rPr>
          <w:color w:val="000000"/>
        </w:rPr>
        <w:t xml:space="preserve">be </w:t>
      </w:r>
      <w:r w:rsidR="00C03C7E" w:rsidRPr="0088154E">
        <w:rPr>
          <w:color w:val="000000"/>
        </w:rPr>
        <w:t xml:space="preserve">of high school age or older </w:t>
      </w:r>
      <w:r w:rsidR="00D41D13" w:rsidRPr="0088154E">
        <w:rPr>
          <w:color w:val="000000"/>
        </w:rPr>
        <w:t xml:space="preserve">with </w:t>
      </w:r>
      <w:r w:rsidR="00137A89" w:rsidRPr="0088154E">
        <w:rPr>
          <w:color w:val="000000"/>
        </w:rPr>
        <w:t>greater</w:t>
      </w:r>
      <w:r w:rsidRPr="0088154E">
        <w:rPr>
          <w:color w:val="000000"/>
        </w:rPr>
        <w:t xml:space="preserve"> exposure to career and post-graduation education</w:t>
      </w:r>
      <w:r w:rsidR="00820B6D" w:rsidRPr="0088154E">
        <w:rPr>
          <w:color w:val="000000"/>
        </w:rPr>
        <w:t>al</w:t>
      </w:r>
      <w:r w:rsidRPr="0088154E">
        <w:rPr>
          <w:color w:val="000000"/>
        </w:rPr>
        <w:t xml:space="preserve"> options. </w:t>
      </w:r>
      <w:r w:rsidR="00137A89" w:rsidRPr="0088154E">
        <w:rPr>
          <w:color w:val="000000"/>
        </w:rPr>
        <w:t>Support and educational activities will be tailored to the participant based on need and age. For example, e</w:t>
      </w:r>
      <w:r w:rsidR="00137A89" w:rsidRPr="0088154E">
        <w:t>ducational activities, which target elementary school students or older, will include afterschool programing for students that exposes participants, through hands on learning activities, to scienc</w:t>
      </w:r>
      <w:r w:rsidR="00EB36A8" w:rsidRPr="0088154E">
        <w:t xml:space="preserve">e, technology, engineering, </w:t>
      </w:r>
      <w:r w:rsidR="00137A89" w:rsidRPr="0088154E">
        <w:t xml:space="preserve">mathematics, music, </w:t>
      </w:r>
      <w:r w:rsidR="00EB36A8" w:rsidRPr="0088154E">
        <w:t xml:space="preserve">and </w:t>
      </w:r>
      <w:r w:rsidR="00137A89" w:rsidRPr="0088154E">
        <w:t xml:space="preserve">arts. </w:t>
      </w:r>
    </w:p>
    <w:p w14:paraId="2D4D6585" w14:textId="77777777" w:rsidR="00137A89" w:rsidRPr="0088154E" w:rsidRDefault="00137A89" w:rsidP="00137A89">
      <w:pPr>
        <w:pStyle w:val="ListParagraph"/>
        <w:numPr>
          <w:ilvl w:val="0"/>
          <w:numId w:val="0"/>
        </w:numPr>
        <w:ind w:left="1440"/>
        <w:jc w:val="both"/>
      </w:pPr>
    </w:p>
    <w:p w14:paraId="306AF302" w14:textId="16ACDCEF" w:rsidR="00022338" w:rsidRPr="0088154E" w:rsidRDefault="00022338" w:rsidP="00137A89">
      <w:pPr>
        <w:pStyle w:val="ListParagraph"/>
        <w:numPr>
          <w:ilvl w:val="0"/>
          <w:numId w:val="0"/>
        </w:numPr>
        <w:ind w:left="1440"/>
        <w:jc w:val="both"/>
      </w:pPr>
      <w:r w:rsidRPr="0088154E">
        <w:rPr>
          <w:color w:val="000000"/>
        </w:rPr>
        <w:t>DHCD’s RAAs will identify high quality education programs/activities in place in their regions and then look to establish pa</w:t>
      </w:r>
      <w:r w:rsidR="004A31F8" w:rsidRPr="0088154E">
        <w:rPr>
          <w:color w:val="000000"/>
        </w:rPr>
        <w:t>rtnerships with these agencies.</w:t>
      </w:r>
      <w:r w:rsidRPr="0088154E">
        <w:rPr>
          <w:color w:val="000000"/>
        </w:rPr>
        <w:t xml:space="preserve"> DHCD will address the barriers to access and may provide funding for an education program initiative for </w:t>
      </w:r>
      <w:r w:rsidR="004A31F8" w:rsidRPr="0088154E">
        <w:rPr>
          <w:color w:val="000000"/>
        </w:rPr>
        <w:t>HCV youth in the impacted area.</w:t>
      </w:r>
      <w:r w:rsidRPr="0088154E">
        <w:rPr>
          <w:color w:val="000000"/>
        </w:rPr>
        <w:t xml:space="preserve"> The education partnership activity</w:t>
      </w:r>
      <w:r w:rsidRPr="0088154E">
        <w:t xml:space="preserve"> includes a financial incentive for a college saving account contribution upon program completion.</w:t>
      </w:r>
    </w:p>
    <w:p w14:paraId="523B5F97" w14:textId="66C3772D" w:rsidR="00C10DEF" w:rsidRPr="0088154E" w:rsidRDefault="00C10DEF" w:rsidP="00234500">
      <w:pPr>
        <w:jc w:val="both"/>
      </w:pPr>
    </w:p>
    <w:p w14:paraId="1079AFD2" w14:textId="07F8811E" w:rsidR="005B778F" w:rsidRPr="0088154E" w:rsidRDefault="00022338" w:rsidP="005B778F">
      <w:pPr>
        <w:pStyle w:val="ListParagraph"/>
        <w:numPr>
          <w:ilvl w:val="1"/>
          <w:numId w:val="32"/>
        </w:numPr>
        <w:jc w:val="both"/>
      </w:pPr>
      <w:r w:rsidRPr="0088154E">
        <w:rPr>
          <w:color w:val="000000"/>
        </w:rPr>
        <w:t>Other Supportive Services: DHCD will use approximately $726,000 in MTW funds on activities to support a wide range of supportive services for DHCD program participants including: expansion of FSS programming, job training and placement; educational partnership initiatives; affordable homeownership programs and other economic development and self-s</w:t>
      </w:r>
      <w:r w:rsidR="004A31F8" w:rsidRPr="0088154E">
        <w:rPr>
          <w:color w:val="000000"/>
        </w:rPr>
        <w:t xml:space="preserve">ufficiency program activities. </w:t>
      </w:r>
      <w:r w:rsidRPr="0088154E">
        <w:rPr>
          <w:color w:val="000000"/>
        </w:rPr>
        <w:t xml:space="preserve">This includes funding for case management services to </w:t>
      </w:r>
      <w:r w:rsidRPr="0088154E">
        <w:t xml:space="preserve">connect targeted HCV youth ages 18-24 to employment readiness, job placement, vocational training, certificate programs and/or other post-secondary education programs under the proposed MTW </w:t>
      </w:r>
      <w:r w:rsidR="00485549" w:rsidRPr="0088154E">
        <w:t>Launch</w:t>
      </w:r>
      <w:r w:rsidRPr="0088154E">
        <w:t xml:space="preserve"> activities. </w:t>
      </w:r>
      <w:r w:rsidR="005B778F" w:rsidRPr="0088154E">
        <w:t>In 2021</w:t>
      </w:r>
      <w:r w:rsidR="00E5529C" w:rsidRPr="0088154E">
        <w:t>,</w:t>
      </w:r>
      <w:r w:rsidR="005B778F" w:rsidRPr="0088154E">
        <w:t xml:space="preserve"> DHCD will work with the Massachusetts Department of Treasury to develop ways to support the Massachusetts Baby Steps Program, a child educat</w:t>
      </w:r>
      <w:r w:rsidR="00B8088A" w:rsidRPr="0088154E">
        <w:t>ion savings account for all newb</w:t>
      </w:r>
      <w:r w:rsidR="005B778F" w:rsidRPr="0088154E">
        <w:t xml:space="preserve">orns and adopted children.  This support could include assisting with promoting the program, assisting HCV families with the account opening process and possibly providing matching funds. </w:t>
      </w:r>
    </w:p>
    <w:p w14:paraId="115D575C" w14:textId="77777777" w:rsidR="005B778F" w:rsidRPr="0088154E" w:rsidRDefault="005B778F" w:rsidP="005B778F">
      <w:pPr>
        <w:ind w:left="1080"/>
        <w:jc w:val="both"/>
      </w:pPr>
    </w:p>
    <w:p w14:paraId="790CE4CE" w14:textId="3F245256" w:rsidR="00211162" w:rsidRPr="0088154E" w:rsidRDefault="00211162" w:rsidP="00211162">
      <w:pPr>
        <w:contextualSpacing/>
        <w:jc w:val="both"/>
      </w:pPr>
    </w:p>
    <w:p w14:paraId="537F68A4" w14:textId="75A17A34" w:rsidR="00211162" w:rsidRPr="0088154E" w:rsidRDefault="00211162" w:rsidP="00AA5A80">
      <w:pPr>
        <w:pStyle w:val="Heading3"/>
        <w:numPr>
          <w:ilvl w:val="0"/>
          <w:numId w:val="20"/>
        </w:numPr>
        <w:ind w:left="360"/>
      </w:pPr>
      <w:bookmarkStart w:id="85" w:name="_Toc33016962"/>
      <w:r w:rsidRPr="0088154E">
        <w:t>Local Asset Management Plan</w:t>
      </w:r>
      <w:bookmarkEnd w:id="85"/>
    </w:p>
    <w:p w14:paraId="4EDA06D7" w14:textId="2F0E6D07" w:rsidR="00022338" w:rsidRPr="0088154E" w:rsidRDefault="00022338" w:rsidP="00022338"/>
    <w:tbl>
      <w:tblPr>
        <w:tblStyle w:val="TableGrid2"/>
        <w:tblW w:w="0" w:type="auto"/>
        <w:tblInd w:w="360" w:type="dxa"/>
        <w:tblLook w:val="04A0" w:firstRow="1" w:lastRow="0" w:firstColumn="1" w:lastColumn="0" w:noHBand="0" w:noVBand="1"/>
      </w:tblPr>
      <w:tblGrid>
        <w:gridCol w:w="6750"/>
        <w:gridCol w:w="2240"/>
      </w:tblGrid>
      <w:tr w:rsidR="00B545CE" w:rsidRPr="0088154E" w14:paraId="769BD080" w14:textId="77777777" w:rsidTr="00B545CE">
        <w:trPr>
          <w:trHeight w:val="506"/>
        </w:trPr>
        <w:tc>
          <w:tcPr>
            <w:tcW w:w="6750" w:type="dxa"/>
            <w:tcBorders>
              <w:top w:val="nil"/>
              <w:left w:val="nil"/>
              <w:bottom w:val="nil"/>
              <w:right w:val="single" w:sz="4" w:space="0" w:color="auto"/>
            </w:tcBorders>
            <w:vAlign w:val="center"/>
          </w:tcPr>
          <w:p w14:paraId="5C360FA1" w14:textId="59D613CF" w:rsidR="00B545CE" w:rsidRPr="0088154E" w:rsidRDefault="00B545CE" w:rsidP="00AA5A80">
            <w:pPr>
              <w:numPr>
                <w:ilvl w:val="8"/>
                <w:numId w:val="18"/>
              </w:numPr>
              <w:ind w:left="720"/>
              <w:rPr>
                <w:rFonts w:ascii="Times New Roman" w:hAnsi="Times New Roman" w:cs="Times New Roman"/>
                <w:b/>
                <w:i/>
                <w:sz w:val="22"/>
                <w:szCs w:val="22"/>
              </w:rPr>
            </w:pPr>
            <w:r w:rsidRPr="0088154E">
              <w:rPr>
                <w:rFonts w:ascii="Times New Roman" w:hAnsi="Times New Roman" w:cs="Times New Roman"/>
                <w:b/>
                <w:i/>
                <w:sz w:val="22"/>
                <w:szCs w:val="22"/>
              </w:rPr>
              <w:t xml:space="preserve">Is the MTW PHA allocating costs within statute? </w:t>
            </w:r>
          </w:p>
        </w:tc>
        <w:tc>
          <w:tcPr>
            <w:tcW w:w="2240" w:type="dxa"/>
            <w:tcBorders>
              <w:top w:val="single" w:sz="4" w:space="0" w:color="auto"/>
              <w:left w:val="single" w:sz="4" w:space="0" w:color="auto"/>
              <w:bottom w:val="single" w:sz="4" w:space="0" w:color="auto"/>
              <w:right w:val="single" w:sz="4" w:space="0" w:color="auto"/>
            </w:tcBorders>
            <w:vAlign w:val="center"/>
          </w:tcPr>
          <w:p w14:paraId="210276FF" w14:textId="1BD37C09" w:rsidR="00B545CE" w:rsidRPr="0088154E" w:rsidRDefault="00B545CE" w:rsidP="00022338">
            <w:pPr>
              <w:rPr>
                <w:rFonts w:ascii="Times New Roman" w:hAnsi="Times New Roman" w:cs="Times New Roman"/>
                <w:sz w:val="22"/>
                <w:szCs w:val="22"/>
              </w:rPr>
            </w:pPr>
            <w:r w:rsidRPr="0088154E">
              <w:rPr>
                <w:rFonts w:ascii="Times New Roman" w:hAnsi="Times New Roman" w:cs="Times New Roman"/>
                <w:sz w:val="22"/>
                <w:szCs w:val="22"/>
              </w:rPr>
              <w:t>Yes</w:t>
            </w:r>
          </w:p>
        </w:tc>
      </w:tr>
      <w:tr w:rsidR="00B545CE" w:rsidRPr="0088154E" w14:paraId="315925FF" w14:textId="77777777" w:rsidTr="00B545CE">
        <w:trPr>
          <w:trHeight w:hRule="exact" w:val="144"/>
        </w:trPr>
        <w:tc>
          <w:tcPr>
            <w:tcW w:w="6750" w:type="dxa"/>
            <w:tcBorders>
              <w:top w:val="nil"/>
              <w:left w:val="nil"/>
              <w:bottom w:val="nil"/>
              <w:right w:val="nil"/>
            </w:tcBorders>
            <w:vAlign w:val="center"/>
          </w:tcPr>
          <w:p w14:paraId="7D6E1155" w14:textId="77777777" w:rsidR="00B545CE" w:rsidRPr="0088154E" w:rsidRDefault="00B545CE" w:rsidP="00B545CE">
            <w:pPr>
              <w:rPr>
                <w:b/>
                <w:i/>
                <w:sz w:val="22"/>
                <w:szCs w:val="22"/>
              </w:rPr>
            </w:pPr>
          </w:p>
        </w:tc>
        <w:tc>
          <w:tcPr>
            <w:tcW w:w="2240" w:type="dxa"/>
            <w:tcBorders>
              <w:top w:val="single" w:sz="4" w:space="0" w:color="auto"/>
              <w:left w:val="nil"/>
              <w:bottom w:val="single" w:sz="4" w:space="0" w:color="auto"/>
              <w:right w:val="nil"/>
            </w:tcBorders>
            <w:vAlign w:val="center"/>
          </w:tcPr>
          <w:p w14:paraId="029BE2D1" w14:textId="77777777" w:rsidR="00B545CE" w:rsidRPr="0088154E" w:rsidRDefault="00B545CE" w:rsidP="00022338">
            <w:pPr>
              <w:rPr>
                <w:sz w:val="22"/>
                <w:szCs w:val="22"/>
              </w:rPr>
            </w:pPr>
          </w:p>
        </w:tc>
      </w:tr>
      <w:tr w:rsidR="00B545CE" w:rsidRPr="0088154E" w14:paraId="42A0B7FC" w14:textId="77777777" w:rsidTr="00B545CE">
        <w:trPr>
          <w:trHeight w:val="516"/>
        </w:trPr>
        <w:tc>
          <w:tcPr>
            <w:tcW w:w="6750" w:type="dxa"/>
            <w:tcBorders>
              <w:top w:val="nil"/>
              <w:left w:val="nil"/>
              <w:bottom w:val="nil"/>
              <w:right w:val="single" w:sz="4" w:space="0" w:color="auto"/>
            </w:tcBorders>
            <w:vAlign w:val="center"/>
          </w:tcPr>
          <w:p w14:paraId="269569C8" w14:textId="77777777" w:rsidR="00B545CE" w:rsidRPr="0088154E" w:rsidRDefault="00B545CE" w:rsidP="00AA5A80">
            <w:pPr>
              <w:numPr>
                <w:ilvl w:val="8"/>
                <w:numId w:val="18"/>
              </w:numPr>
              <w:ind w:left="720"/>
              <w:rPr>
                <w:rFonts w:ascii="Times New Roman" w:hAnsi="Times New Roman" w:cs="Times New Roman"/>
                <w:b/>
                <w:i/>
                <w:sz w:val="22"/>
                <w:szCs w:val="22"/>
              </w:rPr>
            </w:pPr>
            <w:r w:rsidRPr="0088154E">
              <w:rPr>
                <w:rFonts w:ascii="Times New Roman" w:hAnsi="Times New Roman" w:cs="Times New Roman"/>
                <w:b/>
                <w:i/>
                <w:sz w:val="22"/>
                <w:szCs w:val="22"/>
              </w:rPr>
              <w:t xml:space="preserve">Is the MTW PHA implementing a local asset management plan (LAMP)?  </w:t>
            </w:r>
          </w:p>
        </w:tc>
        <w:tc>
          <w:tcPr>
            <w:tcW w:w="2240" w:type="dxa"/>
            <w:tcBorders>
              <w:top w:val="single" w:sz="4" w:space="0" w:color="auto"/>
              <w:left w:val="single" w:sz="4" w:space="0" w:color="auto"/>
              <w:bottom w:val="single" w:sz="4" w:space="0" w:color="auto"/>
              <w:right w:val="single" w:sz="4" w:space="0" w:color="auto"/>
            </w:tcBorders>
            <w:vAlign w:val="center"/>
          </w:tcPr>
          <w:p w14:paraId="4D07E31D" w14:textId="0D7D261D" w:rsidR="00B545CE" w:rsidRPr="0088154E" w:rsidRDefault="00B545CE" w:rsidP="00022338">
            <w:pPr>
              <w:rPr>
                <w:rFonts w:ascii="Times New Roman" w:hAnsi="Times New Roman" w:cs="Times New Roman"/>
                <w:sz w:val="22"/>
                <w:szCs w:val="22"/>
              </w:rPr>
            </w:pPr>
            <w:r w:rsidRPr="0088154E">
              <w:rPr>
                <w:rFonts w:ascii="Times New Roman" w:hAnsi="Times New Roman" w:cs="Times New Roman"/>
                <w:sz w:val="22"/>
                <w:szCs w:val="22"/>
              </w:rPr>
              <w:t>No</w:t>
            </w:r>
          </w:p>
        </w:tc>
      </w:tr>
      <w:tr w:rsidR="00B545CE" w:rsidRPr="0088154E" w14:paraId="20C1137E" w14:textId="77777777" w:rsidTr="00B545CE">
        <w:trPr>
          <w:trHeight w:hRule="exact" w:val="144"/>
        </w:trPr>
        <w:tc>
          <w:tcPr>
            <w:tcW w:w="6750" w:type="dxa"/>
            <w:tcBorders>
              <w:top w:val="nil"/>
              <w:left w:val="nil"/>
              <w:bottom w:val="nil"/>
              <w:right w:val="nil"/>
            </w:tcBorders>
            <w:vAlign w:val="center"/>
          </w:tcPr>
          <w:p w14:paraId="7571F949" w14:textId="77777777" w:rsidR="00B545CE" w:rsidRPr="0088154E" w:rsidRDefault="00B545CE" w:rsidP="00B545CE">
            <w:pPr>
              <w:rPr>
                <w:b/>
                <w:i/>
                <w:sz w:val="10"/>
                <w:szCs w:val="22"/>
              </w:rPr>
            </w:pPr>
          </w:p>
        </w:tc>
        <w:tc>
          <w:tcPr>
            <w:tcW w:w="2240" w:type="dxa"/>
            <w:tcBorders>
              <w:top w:val="single" w:sz="4" w:space="0" w:color="auto"/>
              <w:left w:val="nil"/>
              <w:bottom w:val="single" w:sz="4" w:space="0" w:color="auto"/>
              <w:right w:val="nil"/>
            </w:tcBorders>
            <w:vAlign w:val="center"/>
          </w:tcPr>
          <w:p w14:paraId="30755816" w14:textId="77777777" w:rsidR="00B545CE" w:rsidRPr="0088154E" w:rsidRDefault="00B545CE" w:rsidP="00022338">
            <w:pPr>
              <w:rPr>
                <w:sz w:val="22"/>
                <w:szCs w:val="22"/>
              </w:rPr>
            </w:pPr>
          </w:p>
        </w:tc>
      </w:tr>
      <w:tr w:rsidR="00B545CE" w:rsidRPr="0088154E" w14:paraId="0A68B390" w14:textId="77777777" w:rsidTr="00B545CE">
        <w:trPr>
          <w:trHeight w:val="516"/>
        </w:trPr>
        <w:tc>
          <w:tcPr>
            <w:tcW w:w="6750" w:type="dxa"/>
            <w:tcBorders>
              <w:top w:val="nil"/>
              <w:left w:val="nil"/>
              <w:bottom w:val="nil"/>
              <w:right w:val="single" w:sz="4" w:space="0" w:color="auto"/>
            </w:tcBorders>
            <w:vAlign w:val="center"/>
          </w:tcPr>
          <w:p w14:paraId="2DA0451A" w14:textId="77777777" w:rsidR="00B545CE" w:rsidRPr="0088154E" w:rsidRDefault="00B545CE" w:rsidP="00AA5A80">
            <w:pPr>
              <w:numPr>
                <w:ilvl w:val="8"/>
                <w:numId w:val="18"/>
              </w:numPr>
              <w:ind w:left="720"/>
              <w:rPr>
                <w:rFonts w:ascii="Times New Roman" w:hAnsi="Times New Roman" w:cs="Times New Roman"/>
                <w:b/>
                <w:i/>
                <w:sz w:val="22"/>
                <w:szCs w:val="22"/>
              </w:rPr>
            </w:pPr>
            <w:r w:rsidRPr="0088154E">
              <w:rPr>
                <w:rFonts w:ascii="Times New Roman" w:hAnsi="Times New Roman" w:cs="Times New Roman"/>
                <w:b/>
                <w:i/>
                <w:sz w:val="22"/>
                <w:szCs w:val="22"/>
              </w:rPr>
              <w:t>Has the MTW PHA provided a LAMP in the appendix?</w:t>
            </w:r>
          </w:p>
        </w:tc>
        <w:tc>
          <w:tcPr>
            <w:tcW w:w="2240" w:type="dxa"/>
            <w:tcBorders>
              <w:top w:val="single" w:sz="4" w:space="0" w:color="auto"/>
              <w:left w:val="single" w:sz="4" w:space="0" w:color="auto"/>
              <w:bottom w:val="single" w:sz="4" w:space="0" w:color="auto"/>
              <w:right w:val="single" w:sz="4" w:space="0" w:color="auto"/>
            </w:tcBorders>
            <w:vAlign w:val="center"/>
          </w:tcPr>
          <w:p w14:paraId="7887BCF3" w14:textId="6794A5FA" w:rsidR="00B545CE" w:rsidRPr="0088154E" w:rsidRDefault="00B545CE" w:rsidP="00022338">
            <w:pPr>
              <w:rPr>
                <w:rFonts w:ascii="Times New Roman" w:hAnsi="Times New Roman" w:cs="Times New Roman"/>
                <w:sz w:val="22"/>
                <w:szCs w:val="22"/>
              </w:rPr>
            </w:pPr>
            <w:r w:rsidRPr="0088154E">
              <w:rPr>
                <w:rFonts w:ascii="Times New Roman" w:hAnsi="Times New Roman" w:cs="Times New Roman"/>
                <w:sz w:val="22"/>
                <w:szCs w:val="22"/>
              </w:rPr>
              <w:t>No</w:t>
            </w:r>
          </w:p>
        </w:tc>
      </w:tr>
      <w:tr w:rsidR="00B545CE" w:rsidRPr="0088154E" w14:paraId="3B830993" w14:textId="77777777" w:rsidTr="00B545CE">
        <w:trPr>
          <w:trHeight w:hRule="exact" w:val="144"/>
        </w:trPr>
        <w:tc>
          <w:tcPr>
            <w:tcW w:w="6750" w:type="dxa"/>
            <w:tcBorders>
              <w:top w:val="nil"/>
              <w:left w:val="nil"/>
              <w:bottom w:val="nil"/>
              <w:right w:val="nil"/>
            </w:tcBorders>
            <w:vAlign w:val="center"/>
          </w:tcPr>
          <w:p w14:paraId="11378C29" w14:textId="77777777" w:rsidR="00B545CE" w:rsidRPr="0088154E" w:rsidRDefault="00B545CE" w:rsidP="00022338">
            <w:pPr>
              <w:ind w:left="720" w:hanging="360"/>
              <w:contextualSpacing/>
              <w:rPr>
                <w:b/>
                <w:i/>
                <w:sz w:val="22"/>
                <w:szCs w:val="22"/>
              </w:rPr>
            </w:pPr>
          </w:p>
        </w:tc>
        <w:tc>
          <w:tcPr>
            <w:tcW w:w="2240" w:type="dxa"/>
            <w:tcBorders>
              <w:top w:val="single" w:sz="4" w:space="0" w:color="auto"/>
              <w:left w:val="nil"/>
              <w:bottom w:val="nil"/>
              <w:right w:val="nil"/>
            </w:tcBorders>
            <w:vAlign w:val="center"/>
          </w:tcPr>
          <w:p w14:paraId="1B08CBE6" w14:textId="77777777" w:rsidR="00B545CE" w:rsidRPr="0088154E" w:rsidRDefault="00B545CE" w:rsidP="00022338">
            <w:pPr>
              <w:rPr>
                <w:sz w:val="22"/>
                <w:szCs w:val="22"/>
              </w:rPr>
            </w:pPr>
          </w:p>
        </w:tc>
      </w:tr>
      <w:tr w:rsidR="00022338" w:rsidRPr="0088154E" w14:paraId="5CA724A3" w14:textId="77777777" w:rsidTr="00B545CE">
        <w:trPr>
          <w:trHeight w:val="899"/>
        </w:trPr>
        <w:tc>
          <w:tcPr>
            <w:tcW w:w="8990" w:type="dxa"/>
            <w:gridSpan w:val="2"/>
            <w:tcBorders>
              <w:top w:val="nil"/>
              <w:left w:val="nil"/>
              <w:bottom w:val="single" w:sz="4" w:space="0" w:color="auto"/>
              <w:right w:val="nil"/>
            </w:tcBorders>
            <w:vAlign w:val="center"/>
          </w:tcPr>
          <w:p w14:paraId="7DE1DB4D" w14:textId="49501FEB" w:rsidR="009D5067" w:rsidRPr="0088154E" w:rsidRDefault="00022338" w:rsidP="00AA5A80">
            <w:pPr>
              <w:numPr>
                <w:ilvl w:val="0"/>
                <w:numId w:val="33"/>
              </w:numPr>
              <w:ind w:hanging="199"/>
              <w:contextualSpacing/>
              <w:rPr>
                <w:rFonts w:ascii="Times New Roman" w:hAnsi="Times New Roman" w:cs="Times New Roman"/>
                <w:b/>
                <w:i/>
                <w:sz w:val="22"/>
                <w:szCs w:val="22"/>
              </w:rPr>
            </w:pPr>
            <w:r w:rsidRPr="0088154E">
              <w:rPr>
                <w:rFonts w:ascii="Times New Roman" w:hAnsi="Times New Roman" w:cs="Times New Roman"/>
                <w:b/>
                <w:i/>
                <w:sz w:val="22"/>
                <w:szCs w:val="22"/>
              </w:rPr>
              <w:t>If the MTW PHA has provided a LAMP in the appendix, please describe any proposed changes to the LAMP in the Plan Year or state that the MTW PHA does not plan to make any changes in the Plan year.</w:t>
            </w:r>
          </w:p>
        </w:tc>
      </w:tr>
      <w:tr w:rsidR="009D5067" w:rsidRPr="0088154E" w14:paraId="71335F70" w14:textId="77777777" w:rsidTr="00B545CE">
        <w:trPr>
          <w:trHeight w:val="68"/>
        </w:trPr>
        <w:tc>
          <w:tcPr>
            <w:tcW w:w="8990" w:type="dxa"/>
            <w:gridSpan w:val="2"/>
            <w:tcBorders>
              <w:top w:val="single" w:sz="4" w:space="0" w:color="auto"/>
              <w:left w:val="single" w:sz="4" w:space="0" w:color="auto"/>
              <w:bottom w:val="single" w:sz="4" w:space="0" w:color="auto"/>
              <w:right w:val="single" w:sz="4" w:space="0" w:color="auto"/>
            </w:tcBorders>
            <w:vAlign w:val="bottom"/>
          </w:tcPr>
          <w:p w14:paraId="7851B255" w14:textId="7F1E91CA" w:rsidR="009D5067" w:rsidRPr="0088154E" w:rsidRDefault="009D5067" w:rsidP="00B545CE">
            <w:pPr>
              <w:ind w:left="720"/>
              <w:contextualSpacing/>
              <w:rPr>
                <w:rFonts w:ascii="Times New Roman" w:hAnsi="Times New Roman" w:cs="Times New Roman"/>
                <w:sz w:val="22"/>
                <w:szCs w:val="22"/>
              </w:rPr>
            </w:pPr>
            <w:r w:rsidRPr="0088154E">
              <w:rPr>
                <w:rFonts w:ascii="Times New Roman" w:hAnsi="Times New Roman" w:cs="Times New Roman"/>
                <w:sz w:val="22"/>
                <w:szCs w:val="22"/>
              </w:rPr>
              <w:t>Not applicable</w:t>
            </w:r>
          </w:p>
        </w:tc>
      </w:tr>
    </w:tbl>
    <w:p w14:paraId="57795F76" w14:textId="54F87EDD" w:rsidR="00022338" w:rsidRPr="0088154E" w:rsidRDefault="00022338" w:rsidP="00022338"/>
    <w:p w14:paraId="5C27C64A" w14:textId="73FD6C87" w:rsidR="00022338" w:rsidRPr="0088154E" w:rsidRDefault="00022338" w:rsidP="00022338"/>
    <w:p w14:paraId="2F30D5DA" w14:textId="137F467D" w:rsidR="00312908" w:rsidRPr="0088154E" w:rsidRDefault="007A0C52" w:rsidP="00AA5A80">
      <w:pPr>
        <w:pStyle w:val="Heading3"/>
        <w:numPr>
          <w:ilvl w:val="0"/>
          <w:numId w:val="20"/>
        </w:numPr>
        <w:ind w:left="360"/>
      </w:pPr>
      <w:bookmarkStart w:id="86" w:name="_Toc33016963"/>
      <w:r w:rsidRPr="0088154E">
        <w:t>Rental Assistance Demonstration (RAD) Participation</w:t>
      </w:r>
      <w:bookmarkEnd w:id="86"/>
    </w:p>
    <w:p w14:paraId="14BFF17F" w14:textId="505309B0" w:rsidR="007A0C52" w:rsidRPr="0088154E" w:rsidRDefault="007A0C52" w:rsidP="007A0C52"/>
    <w:p w14:paraId="1CA77437" w14:textId="5B33538F" w:rsidR="007A0C52" w:rsidRPr="0088154E" w:rsidRDefault="007A0C52" w:rsidP="00AA5A80">
      <w:pPr>
        <w:pStyle w:val="ListParagraph"/>
        <w:numPr>
          <w:ilvl w:val="0"/>
          <w:numId w:val="21"/>
        </w:numPr>
        <w:tabs>
          <w:tab w:val="center" w:pos="720"/>
        </w:tabs>
        <w:ind w:left="720" w:hanging="360"/>
        <w:rPr>
          <w:b/>
          <w:i/>
        </w:rPr>
      </w:pPr>
      <w:r w:rsidRPr="0088154E">
        <w:rPr>
          <w:b/>
          <w:i/>
        </w:rPr>
        <w:t>Description of the RAD Participation</w:t>
      </w:r>
    </w:p>
    <w:p w14:paraId="5B1979BA" w14:textId="0D230795" w:rsidR="008B4128" w:rsidRPr="0088154E" w:rsidRDefault="008B4128" w:rsidP="008B4128">
      <w:pPr>
        <w:pStyle w:val="ListParagraph"/>
        <w:numPr>
          <w:ilvl w:val="0"/>
          <w:numId w:val="0"/>
        </w:numPr>
        <w:tabs>
          <w:tab w:val="center" w:pos="360"/>
        </w:tabs>
        <w:ind w:left="360"/>
        <w:rPr>
          <w:b/>
          <w:i/>
        </w:rPr>
      </w:pPr>
    </w:p>
    <w:p w14:paraId="7D858530" w14:textId="7EFA47F8" w:rsidR="009D5067" w:rsidRPr="0088154E" w:rsidRDefault="009D5067" w:rsidP="005633F2">
      <w:pPr>
        <w:jc w:val="both"/>
        <w:rPr>
          <w:sz w:val="22"/>
          <w:szCs w:val="22"/>
        </w:rPr>
      </w:pPr>
      <w:r w:rsidRPr="0088154E">
        <w:rPr>
          <w:sz w:val="22"/>
          <w:szCs w:val="22"/>
        </w:rPr>
        <w:t>As DHCD does not own or operate any fed</w:t>
      </w:r>
      <w:r w:rsidR="00E32927" w:rsidRPr="0088154E">
        <w:rPr>
          <w:sz w:val="22"/>
          <w:szCs w:val="22"/>
        </w:rPr>
        <w:t>eral public housing units, only</w:t>
      </w:r>
      <w:r w:rsidRPr="0088154E">
        <w:rPr>
          <w:sz w:val="22"/>
          <w:szCs w:val="22"/>
        </w:rPr>
        <w:t xml:space="preserve"> Second Component RAD conversions are un</w:t>
      </w:r>
      <w:r w:rsidR="002F0EF5" w:rsidRPr="0088154E">
        <w:rPr>
          <w:sz w:val="22"/>
          <w:szCs w:val="22"/>
        </w:rPr>
        <w:t>dertaken.</w:t>
      </w:r>
      <w:r w:rsidRPr="0088154E">
        <w:rPr>
          <w:sz w:val="22"/>
          <w:szCs w:val="22"/>
        </w:rPr>
        <w:t xml:space="preserve"> </w:t>
      </w:r>
      <w:r w:rsidR="005633F2" w:rsidRPr="0088154E">
        <w:rPr>
          <w:sz w:val="22"/>
          <w:szCs w:val="22"/>
        </w:rPr>
        <w:t>DHCD understands the relevance and inherent housing preservation and expansion benefits related to the conversion of Rent Supplement, Rental Assi</w:t>
      </w:r>
      <w:r w:rsidR="00E5529C" w:rsidRPr="0088154E">
        <w:rPr>
          <w:sz w:val="22"/>
          <w:szCs w:val="22"/>
        </w:rPr>
        <w:t>stance Payments and Mod/Rehab Pr</w:t>
      </w:r>
      <w:r w:rsidR="005633F2" w:rsidRPr="0088154E">
        <w:rPr>
          <w:sz w:val="22"/>
          <w:szCs w:val="22"/>
        </w:rPr>
        <w:t>ogram units to project-based ass</w:t>
      </w:r>
      <w:r w:rsidR="00E5529C" w:rsidRPr="0088154E">
        <w:rPr>
          <w:sz w:val="22"/>
          <w:szCs w:val="22"/>
        </w:rPr>
        <w:t>istance under the RAD P</w:t>
      </w:r>
      <w:r w:rsidR="002F0EF5" w:rsidRPr="0088154E">
        <w:rPr>
          <w:sz w:val="22"/>
          <w:szCs w:val="22"/>
        </w:rPr>
        <w:t>rogram.</w:t>
      </w:r>
      <w:r w:rsidR="005633F2" w:rsidRPr="0088154E">
        <w:rPr>
          <w:sz w:val="22"/>
          <w:szCs w:val="22"/>
        </w:rPr>
        <w:t xml:space="preserve"> Table 13 below indicates that DHCD does not anticipate any RAD Component 2 conversions in </w:t>
      </w:r>
      <w:r w:rsidR="006D6331" w:rsidRPr="0088154E">
        <w:rPr>
          <w:sz w:val="22"/>
          <w:szCs w:val="22"/>
        </w:rPr>
        <w:t>FY 2021</w:t>
      </w:r>
      <w:r w:rsidR="005633F2" w:rsidRPr="0088154E">
        <w:rPr>
          <w:sz w:val="22"/>
          <w:szCs w:val="22"/>
        </w:rPr>
        <w:t xml:space="preserve">.   </w:t>
      </w:r>
    </w:p>
    <w:p w14:paraId="7CFE2D8B" w14:textId="77777777" w:rsidR="009D5067" w:rsidRPr="0088154E" w:rsidRDefault="009D5067" w:rsidP="005633F2">
      <w:pPr>
        <w:jc w:val="both"/>
        <w:rPr>
          <w:sz w:val="22"/>
          <w:szCs w:val="22"/>
        </w:rPr>
      </w:pPr>
    </w:p>
    <w:p w14:paraId="4BE29992" w14:textId="6DA2A297" w:rsidR="009D5067" w:rsidRPr="0088154E" w:rsidRDefault="005633F2" w:rsidP="00074854">
      <w:pPr>
        <w:jc w:val="both"/>
        <w:rPr>
          <w:sz w:val="22"/>
          <w:szCs w:val="22"/>
        </w:rPr>
      </w:pPr>
      <w:r w:rsidRPr="0088154E">
        <w:rPr>
          <w:sz w:val="22"/>
          <w:szCs w:val="22"/>
        </w:rPr>
        <w:t>Table 14 incl</w:t>
      </w:r>
      <w:r w:rsidR="009D5067" w:rsidRPr="0088154E">
        <w:rPr>
          <w:sz w:val="22"/>
          <w:szCs w:val="22"/>
        </w:rPr>
        <w:t>udes those developments that DHCD</w:t>
      </w:r>
      <w:r w:rsidRPr="0088154E">
        <w:rPr>
          <w:sz w:val="22"/>
          <w:szCs w:val="22"/>
        </w:rPr>
        <w:t xml:space="preserve"> has con</w:t>
      </w:r>
      <w:r w:rsidR="00E5529C" w:rsidRPr="0088154E">
        <w:rPr>
          <w:sz w:val="22"/>
          <w:szCs w:val="22"/>
        </w:rPr>
        <w:t>verted through the RAD P</w:t>
      </w:r>
      <w:r w:rsidR="002F0EF5" w:rsidRPr="0088154E">
        <w:rPr>
          <w:sz w:val="22"/>
          <w:szCs w:val="22"/>
        </w:rPr>
        <w:t>rogram.</w:t>
      </w:r>
      <w:r w:rsidR="009D5067" w:rsidRPr="0088154E">
        <w:rPr>
          <w:sz w:val="22"/>
          <w:szCs w:val="22"/>
        </w:rPr>
        <w:t xml:space="preserve"> DHCD entered into HAP contracts for RAD conversions beginning in FY 2</w:t>
      </w:r>
      <w:r w:rsidR="002F0EF5" w:rsidRPr="0088154E">
        <w:rPr>
          <w:sz w:val="22"/>
          <w:szCs w:val="22"/>
        </w:rPr>
        <w:t>013.</w:t>
      </w:r>
      <w:r w:rsidR="009D5067" w:rsidRPr="0088154E">
        <w:rPr>
          <w:sz w:val="22"/>
          <w:szCs w:val="22"/>
        </w:rPr>
        <w:t xml:space="preserve"> The last conversi</w:t>
      </w:r>
      <w:r w:rsidR="002F0EF5" w:rsidRPr="0088154E">
        <w:rPr>
          <w:sz w:val="22"/>
          <w:szCs w:val="22"/>
        </w:rPr>
        <w:t>on entered into was in FY 2015.</w:t>
      </w:r>
      <w:r w:rsidR="00990F72" w:rsidRPr="0088154E">
        <w:rPr>
          <w:sz w:val="22"/>
          <w:szCs w:val="22"/>
        </w:rPr>
        <w:t xml:space="preserve"> To date there were</w:t>
      </w:r>
      <w:r w:rsidR="009D5067" w:rsidRPr="0088154E">
        <w:rPr>
          <w:sz w:val="22"/>
          <w:szCs w:val="22"/>
        </w:rPr>
        <w:t xml:space="preserve"> 825 units converted under RAD Component 2 to Project Based Assistance.  </w:t>
      </w:r>
    </w:p>
    <w:p w14:paraId="3A0073DC" w14:textId="601BB69A" w:rsidR="00776248" w:rsidRPr="0088154E" w:rsidRDefault="00776248" w:rsidP="009D5067">
      <w:pPr>
        <w:rPr>
          <w:sz w:val="22"/>
          <w:szCs w:val="22"/>
        </w:rPr>
      </w:pPr>
    </w:p>
    <w:p w14:paraId="6DFBC676" w14:textId="061CAEE7" w:rsidR="00126A66" w:rsidRPr="0088154E" w:rsidRDefault="00126A66" w:rsidP="00126A66">
      <w:pPr>
        <w:pStyle w:val="Heading4"/>
        <w:numPr>
          <w:ilvl w:val="0"/>
          <w:numId w:val="0"/>
        </w:numPr>
        <w:ind w:left="1080" w:hanging="720"/>
        <w:jc w:val="center"/>
        <w:rPr>
          <w:sz w:val="20"/>
          <w:szCs w:val="20"/>
        </w:rPr>
      </w:pPr>
      <w:bookmarkStart w:id="87" w:name="_Toc531163940"/>
      <w:bookmarkStart w:id="88" w:name="_Toc33016964"/>
      <w:r w:rsidRPr="0088154E">
        <w:rPr>
          <w:sz w:val="20"/>
          <w:szCs w:val="20"/>
        </w:rPr>
        <w:t xml:space="preserve">Table 13: RAD Conversions Planned in </w:t>
      </w:r>
      <w:r w:rsidR="006D6331" w:rsidRPr="0088154E">
        <w:rPr>
          <w:sz w:val="20"/>
          <w:szCs w:val="20"/>
        </w:rPr>
        <w:t>FY 2021</w:t>
      </w:r>
      <w:bookmarkEnd w:id="87"/>
      <w:bookmarkEnd w:id="88"/>
    </w:p>
    <w:p w14:paraId="6EF99234" w14:textId="77777777" w:rsidR="00126A66" w:rsidRPr="0088154E" w:rsidRDefault="00126A66" w:rsidP="00126A66"/>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5E7E9C" w:rsidRPr="0088154E" w14:paraId="59D47424" w14:textId="77777777" w:rsidTr="002F0EF5">
        <w:tc>
          <w:tcPr>
            <w:tcW w:w="8995" w:type="dxa"/>
            <w:shd w:val="clear" w:color="auto" w:fill="D9D9D9" w:themeFill="background1" w:themeFillShade="D9"/>
            <w:vAlign w:val="center"/>
          </w:tcPr>
          <w:p w14:paraId="68A33FD3" w14:textId="7E2C90CC" w:rsidR="005E7E9C" w:rsidRPr="0088154E" w:rsidRDefault="005E7E9C" w:rsidP="007245EE">
            <w:pPr>
              <w:contextualSpacing/>
              <w:rPr>
                <w:b/>
                <w:sz w:val="20"/>
                <w:szCs w:val="20"/>
              </w:rPr>
            </w:pPr>
            <w:r w:rsidRPr="0088154E">
              <w:rPr>
                <w:b/>
                <w:sz w:val="20"/>
                <w:szCs w:val="20"/>
              </w:rPr>
              <w:t>Rental Assistance Demonstration (RAD) Participation</w:t>
            </w:r>
          </w:p>
        </w:tc>
      </w:tr>
      <w:tr w:rsidR="005E7E9C" w:rsidRPr="0088154E" w14:paraId="169C7ED6" w14:textId="77777777" w:rsidTr="002F0EF5">
        <w:tc>
          <w:tcPr>
            <w:tcW w:w="8995" w:type="dxa"/>
          </w:tcPr>
          <w:p w14:paraId="467877E6" w14:textId="2E51322A" w:rsidR="005E7E9C" w:rsidRPr="0088154E" w:rsidRDefault="00E33DE6" w:rsidP="007245EE">
            <w:pPr>
              <w:contextualSpacing/>
              <w:jc w:val="both"/>
              <w:rPr>
                <w:sz w:val="20"/>
                <w:szCs w:val="20"/>
              </w:rPr>
            </w:pPr>
            <w:r w:rsidRPr="0088154E">
              <w:rPr>
                <w:sz w:val="20"/>
                <w:szCs w:val="20"/>
              </w:rPr>
              <w:t xml:space="preserve">DHCD does not anticipate any RAD conversions will take place in </w:t>
            </w:r>
            <w:r w:rsidR="006D6331" w:rsidRPr="0088154E">
              <w:rPr>
                <w:sz w:val="20"/>
                <w:szCs w:val="20"/>
              </w:rPr>
              <w:t>FY 2021</w:t>
            </w:r>
          </w:p>
        </w:tc>
      </w:tr>
    </w:tbl>
    <w:p w14:paraId="3C4013AD" w14:textId="1E6BABF3" w:rsidR="007A0C52" w:rsidRPr="0088154E" w:rsidRDefault="007A0C52" w:rsidP="007A0C52">
      <w:pPr>
        <w:ind w:left="360"/>
      </w:pPr>
    </w:p>
    <w:p w14:paraId="00346BB2" w14:textId="66AE9DEF" w:rsidR="00126A66" w:rsidRPr="0088154E" w:rsidRDefault="00126A66" w:rsidP="00126A66">
      <w:pPr>
        <w:pStyle w:val="Heading4"/>
        <w:numPr>
          <w:ilvl w:val="0"/>
          <w:numId w:val="0"/>
        </w:numPr>
        <w:jc w:val="center"/>
        <w:rPr>
          <w:sz w:val="20"/>
          <w:szCs w:val="20"/>
        </w:rPr>
      </w:pPr>
      <w:bookmarkStart w:id="89" w:name="_Toc531163941"/>
      <w:bookmarkStart w:id="90" w:name="_Toc33016965"/>
      <w:r w:rsidRPr="0088154E">
        <w:rPr>
          <w:sz w:val="20"/>
          <w:szCs w:val="20"/>
        </w:rPr>
        <w:t xml:space="preserve">Table 14: RAD Conversions Completed or Projected to be Completed by the End of </w:t>
      </w:r>
      <w:r w:rsidR="006D6331" w:rsidRPr="0088154E">
        <w:rPr>
          <w:sz w:val="20"/>
          <w:szCs w:val="20"/>
        </w:rPr>
        <w:t>FY 2021</w:t>
      </w:r>
      <w:bookmarkEnd w:id="89"/>
      <w:bookmarkEnd w:id="90"/>
    </w:p>
    <w:p w14:paraId="761428CF" w14:textId="77777777" w:rsidR="00126A66" w:rsidRPr="0088154E" w:rsidRDefault="00126A66" w:rsidP="00126A66"/>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126A66" w:rsidRPr="0088154E" w14:paraId="703C7F1B" w14:textId="77777777" w:rsidTr="00751854">
        <w:tc>
          <w:tcPr>
            <w:tcW w:w="8995" w:type="dxa"/>
            <w:shd w:val="clear" w:color="auto" w:fill="D9D9D9" w:themeFill="background1" w:themeFillShade="D9"/>
            <w:vAlign w:val="center"/>
          </w:tcPr>
          <w:p w14:paraId="7E6E8049" w14:textId="77777777" w:rsidR="00126A66" w:rsidRPr="0088154E" w:rsidRDefault="00126A66" w:rsidP="00EA78E5">
            <w:pPr>
              <w:contextualSpacing/>
              <w:rPr>
                <w:b/>
                <w:sz w:val="20"/>
              </w:rPr>
            </w:pPr>
            <w:r w:rsidRPr="0088154E">
              <w:rPr>
                <w:b/>
                <w:sz w:val="20"/>
              </w:rPr>
              <w:t>Rental Assistance Demonstration (RAD) Participation</w:t>
            </w:r>
          </w:p>
        </w:tc>
      </w:tr>
      <w:tr w:rsidR="00126A66" w:rsidRPr="0088154E" w14:paraId="005AEE16" w14:textId="77777777" w:rsidTr="00751854">
        <w:tc>
          <w:tcPr>
            <w:tcW w:w="8995" w:type="dxa"/>
          </w:tcPr>
          <w:p w14:paraId="5BE5221F" w14:textId="6E330F7A" w:rsidR="00126A66" w:rsidRPr="0088154E" w:rsidRDefault="00E33DE6" w:rsidP="00EA78E5">
            <w:pPr>
              <w:contextualSpacing/>
              <w:jc w:val="both"/>
              <w:rPr>
                <w:sz w:val="20"/>
              </w:rPr>
            </w:pPr>
            <w:r w:rsidRPr="0088154E">
              <w:rPr>
                <w:sz w:val="20"/>
              </w:rPr>
              <w:t>To date, the following RAD conversions have taken place:</w:t>
            </w:r>
          </w:p>
        </w:tc>
      </w:tr>
    </w:tbl>
    <w:p w14:paraId="3B6C67E8" w14:textId="0FC29C50" w:rsidR="00126A66" w:rsidRPr="0088154E" w:rsidRDefault="00126A66" w:rsidP="00126A66">
      <w:pPr>
        <w:ind w:left="360"/>
      </w:pPr>
    </w:p>
    <w:tbl>
      <w:tblPr>
        <w:tblW w:w="0" w:type="auto"/>
        <w:tblInd w:w="360" w:type="dxa"/>
        <w:tblLook w:val="04A0" w:firstRow="1" w:lastRow="0" w:firstColumn="1" w:lastColumn="0" w:noHBand="0" w:noVBand="1"/>
      </w:tblPr>
      <w:tblGrid>
        <w:gridCol w:w="1791"/>
        <w:gridCol w:w="1798"/>
        <w:gridCol w:w="1806"/>
        <w:gridCol w:w="1790"/>
        <w:gridCol w:w="1805"/>
      </w:tblGrid>
      <w:tr w:rsidR="008176BC" w:rsidRPr="0088154E" w14:paraId="2CB75D17" w14:textId="77777777" w:rsidTr="002F0EF5">
        <w:trPr>
          <w:tblHeader/>
        </w:trPr>
        <w:tc>
          <w:tcPr>
            <w:tcW w:w="1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A5014" w14:textId="4C9B0FF8" w:rsidR="00E33DE6" w:rsidRPr="0088154E" w:rsidRDefault="00E33DE6" w:rsidP="00126A66">
            <w:pPr>
              <w:rPr>
                <w:b/>
                <w:sz w:val="18"/>
                <w:szCs w:val="18"/>
              </w:rPr>
            </w:pPr>
            <w:r w:rsidRPr="0088154E">
              <w:rPr>
                <w:b/>
                <w:sz w:val="18"/>
                <w:szCs w:val="18"/>
              </w:rPr>
              <w:t>Property Name</w:t>
            </w:r>
          </w:p>
        </w:tc>
        <w:tc>
          <w:tcPr>
            <w:tcW w:w="1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ED208" w14:textId="4948CF0F" w:rsidR="00E33DE6" w:rsidRPr="0088154E" w:rsidRDefault="00E33DE6" w:rsidP="002F0EF5">
            <w:pPr>
              <w:jc w:val="center"/>
              <w:rPr>
                <w:b/>
                <w:sz w:val="18"/>
                <w:szCs w:val="18"/>
              </w:rPr>
            </w:pPr>
            <w:r w:rsidRPr="0088154E">
              <w:rPr>
                <w:b/>
                <w:sz w:val="18"/>
                <w:szCs w:val="18"/>
              </w:rPr>
              <w:t>No. of Units Converted to PBV</w:t>
            </w:r>
          </w:p>
        </w:tc>
        <w:tc>
          <w:tcPr>
            <w:tcW w:w="1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C2A50" w14:textId="1B80238E" w:rsidR="00E33DE6" w:rsidRPr="0088154E" w:rsidRDefault="00E33DE6" w:rsidP="002F0EF5">
            <w:pPr>
              <w:jc w:val="center"/>
              <w:rPr>
                <w:b/>
                <w:sz w:val="18"/>
                <w:szCs w:val="18"/>
              </w:rPr>
            </w:pPr>
            <w:r w:rsidRPr="0088154E">
              <w:rPr>
                <w:b/>
                <w:sz w:val="18"/>
                <w:szCs w:val="18"/>
              </w:rPr>
              <w:t>RAD Conversion Type</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01BC0" w14:textId="1FC78A52" w:rsidR="00E33DE6" w:rsidRPr="0088154E" w:rsidRDefault="00E33DE6" w:rsidP="002F0EF5">
            <w:pPr>
              <w:jc w:val="center"/>
              <w:rPr>
                <w:b/>
                <w:sz w:val="18"/>
                <w:szCs w:val="18"/>
              </w:rPr>
            </w:pPr>
            <w:r w:rsidRPr="0088154E">
              <w:rPr>
                <w:b/>
                <w:sz w:val="18"/>
                <w:szCs w:val="18"/>
              </w:rPr>
              <w:t>FY Reported</w:t>
            </w:r>
          </w:p>
        </w:tc>
        <w:tc>
          <w:tcPr>
            <w:tcW w:w="1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562AC" w14:textId="6C87F6EB" w:rsidR="00E33DE6" w:rsidRPr="0088154E" w:rsidRDefault="008176BC" w:rsidP="002F0EF5">
            <w:pPr>
              <w:jc w:val="center"/>
              <w:rPr>
                <w:b/>
                <w:sz w:val="18"/>
                <w:szCs w:val="18"/>
              </w:rPr>
            </w:pPr>
            <w:r w:rsidRPr="0088154E">
              <w:rPr>
                <w:b/>
                <w:sz w:val="18"/>
                <w:szCs w:val="18"/>
              </w:rPr>
              <w:t>Description</w:t>
            </w:r>
          </w:p>
        </w:tc>
      </w:tr>
      <w:tr w:rsidR="008176BC" w:rsidRPr="0088154E" w14:paraId="383CB4ED" w14:textId="77777777" w:rsidTr="002F0EF5">
        <w:tc>
          <w:tcPr>
            <w:tcW w:w="1791" w:type="dxa"/>
            <w:tcBorders>
              <w:top w:val="single" w:sz="4" w:space="0" w:color="auto"/>
              <w:left w:val="single" w:sz="4" w:space="0" w:color="auto"/>
              <w:bottom w:val="single" w:sz="4" w:space="0" w:color="auto"/>
              <w:right w:val="single" w:sz="4" w:space="0" w:color="auto"/>
            </w:tcBorders>
          </w:tcPr>
          <w:p w14:paraId="117B17E5" w14:textId="1EC38F50" w:rsidR="00E33DE6" w:rsidRPr="0088154E" w:rsidRDefault="00E33DE6" w:rsidP="00126A66">
            <w:pPr>
              <w:rPr>
                <w:sz w:val="18"/>
                <w:szCs w:val="18"/>
              </w:rPr>
            </w:pPr>
            <w:r w:rsidRPr="0088154E">
              <w:rPr>
                <w:sz w:val="18"/>
                <w:szCs w:val="18"/>
              </w:rPr>
              <w:t>North Village</w:t>
            </w:r>
          </w:p>
        </w:tc>
        <w:tc>
          <w:tcPr>
            <w:tcW w:w="1798" w:type="dxa"/>
            <w:tcBorders>
              <w:top w:val="single" w:sz="4" w:space="0" w:color="auto"/>
              <w:left w:val="single" w:sz="4" w:space="0" w:color="auto"/>
              <w:bottom w:val="single" w:sz="4" w:space="0" w:color="auto"/>
              <w:right w:val="single" w:sz="4" w:space="0" w:color="auto"/>
            </w:tcBorders>
          </w:tcPr>
          <w:p w14:paraId="3A506C2E" w14:textId="1AF5BF3F" w:rsidR="00E33DE6" w:rsidRPr="0088154E" w:rsidRDefault="00E33DE6" w:rsidP="00126A66">
            <w:pPr>
              <w:rPr>
                <w:sz w:val="18"/>
                <w:szCs w:val="18"/>
              </w:rPr>
            </w:pPr>
            <w:r w:rsidRPr="0088154E">
              <w:rPr>
                <w:sz w:val="18"/>
                <w:szCs w:val="18"/>
              </w:rPr>
              <w:t>134</w:t>
            </w:r>
          </w:p>
        </w:tc>
        <w:tc>
          <w:tcPr>
            <w:tcW w:w="1806" w:type="dxa"/>
            <w:tcBorders>
              <w:top w:val="single" w:sz="4" w:space="0" w:color="auto"/>
              <w:left w:val="single" w:sz="4" w:space="0" w:color="auto"/>
              <w:bottom w:val="single" w:sz="4" w:space="0" w:color="auto"/>
              <w:right w:val="single" w:sz="4" w:space="0" w:color="auto"/>
            </w:tcBorders>
          </w:tcPr>
          <w:p w14:paraId="27E8DF62" w14:textId="0690286C" w:rsidR="008176BC" w:rsidRPr="0088154E" w:rsidRDefault="008176BC" w:rsidP="00126A66">
            <w:pPr>
              <w:rPr>
                <w:sz w:val="18"/>
                <w:szCs w:val="18"/>
              </w:rPr>
            </w:pPr>
            <w:r w:rsidRPr="0088154E">
              <w:rPr>
                <w:sz w:val="18"/>
                <w:szCs w:val="18"/>
              </w:rPr>
              <w:t>2</w:t>
            </w:r>
            <w:r w:rsidRPr="0088154E">
              <w:rPr>
                <w:sz w:val="18"/>
                <w:szCs w:val="18"/>
                <w:vertAlign w:val="superscript"/>
              </w:rPr>
              <w:t>nd</w:t>
            </w:r>
            <w:r w:rsidRPr="0088154E">
              <w:rPr>
                <w:sz w:val="18"/>
                <w:szCs w:val="18"/>
              </w:rPr>
              <w:t xml:space="preserve"> Component</w:t>
            </w:r>
          </w:p>
          <w:p w14:paraId="3A52FF32" w14:textId="4B8AD3B7" w:rsidR="00E33DE6" w:rsidRPr="0088154E" w:rsidRDefault="00E33DE6" w:rsidP="00126A66">
            <w:pPr>
              <w:rPr>
                <w:sz w:val="18"/>
                <w:szCs w:val="18"/>
              </w:rPr>
            </w:pPr>
            <w:r w:rsidRPr="0088154E">
              <w:rPr>
                <w:sz w:val="18"/>
                <w:szCs w:val="18"/>
              </w:rPr>
              <w:t>Rent Supplement</w:t>
            </w:r>
          </w:p>
        </w:tc>
        <w:tc>
          <w:tcPr>
            <w:tcW w:w="1790" w:type="dxa"/>
            <w:tcBorders>
              <w:top w:val="single" w:sz="4" w:space="0" w:color="auto"/>
              <w:left w:val="single" w:sz="4" w:space="0" w:color="auto"/>
              <w:bottom w:val="single" w:sz="4" w:space="0" w:color="auto"/>
              <w:right w:val="single" w:sz="4" w:space="0" w:color="auto"/>
            </w:tcBorders>
          </w:tcPr>
          <w:p w14:paraId="1D14FCE1" w14:textId="22C29E63" w:rsidR="00E33DE6" w:rsidRPr="0088154E" w:rsidRDefault="008176BC" w:rsidP="00126A66">
            <w:pPr>
              <w:rPr>
                <w:sz w:val="18"/>
                <w:szCs w:val="18"/>
              </w:rPr>
            </w:pPr>
            <w:r w:rsidRPr="0088154E">
              <w:rPr>
                <w:sz w:val="18"/>
                <w:szCs w:val="18"/>
              </w:rPr>
              <w:t>FY 2013</w:t>
            </w:r>
          </w:p>
        </w:tc>
        <w:tc>
          <w:tcPr>
            <w:tcW w:w="1805" w:type="dxa"/>
            <w:tcBorders>
              <w:top w:val="single" w:sz="4" w:space="0" w:color="auto"/>
              <w:left w:val="single" w:sz="4" w:space="0" w:color="auto"/>
              <w:bottom w:val="single" w:sz="4" w:space="0" w:color="auto"/>
              <w:right w:val="single" w:sz="4" w:space="0" w:color="auto"/>
            </w:tcBorders>
          </w:tcPr>
          <w:p w14:paraId="493603CD" w14:textId="1C211623" w:rsidR="00E33DE6" w:rsidRPr="0088154E" w:rsidRDefault="008176BC" w:rsidP="00126A66">
            <w:pPr>
              <w:rPr>
                <w:sz w:val="18"/>
                <w:szCs w:val="18"/>
              </w:rPr>
            </w:pPr>
            <w:r w:rsidRPr="0088154E">
              <w:rPr>
                <w:sz w:val="18"/>
                <w:szCs w:val="18"/>
              </w:rPr>
              <w:t>Existing family housing</w:t>
            </w:r>
          </w:p>
        </w:tc>
      </w:tr>
      <w:tr w:rsidR="008176BC" w:rsidRPr="0088154E" w14:paraId="1DB752E4" w14:textId="77777777" w:rsidTr="002F0EF5">
        <w:tc>
          <w:tcPr>
            <w:tcW w:w="1791" w:type="dxa"/>
            <w:tcBorders>
              <w:top w:val="single" w:sz="4" w:space="0" w:color="auto"/>
              <w:left w:val="single" w:sz="4" w:space="0" w:color="auto"/>
              <w:bottom w:val="single" w:sz="4" w:space="0" w:color="auto"/>
              <w:right w:val="single" w:sz="4" w:space="0" w:color="auto"/>
            </w:tcBorders>
          </w:tcPr>
          <w:p w14:paraId="0BF5BFB1" w14:textId="013321F6" w:rsidR="00E33DE6" w:rsidRPr="0088154E" w:rsidRDefault="00E33DE6" w:rsidP="00126A66">
            <w:pPr>
              <w:rPr>
                <w:sz w:val="18"/>
                <w:szCs w:val="18"/>
              </w:rPr>
            </w:pPr>
            <w:r w:rsidRPr="0088154E">
              <w:rPr>
                <w:sz w:val="18"/>
                <w:szCs w:val="18"/>
              </w:rPr>
              <w:t>Hope in Action</w:t>
            </w:r>
          </w:p>
        </w:tc>
        <w:tc>
          <w:tcPr>
            <w:tcW w:w="1798" w:type="dxa"/>
            <w:tcBorders>
              <w:top w:val="single" w:sz="4" w:space="0" w:color="auto"/>
              <w:left w:val="single" w:sz="4" w:space="0" w:color="auto"/>
              <w:bottom w:val="single" w:sz="4" w:space="0" w:color="auto"/>
              <w:right w:val="single" w:sz="4" w:space="0" w:color="auto"/>
            </w:tcBorders>
          </w:tcPr>
          <w:p w14:paraId="6DC7A9BD" w14:textId="2F87637B" w:rsidR="00E33DE6" w:rsidRPr="0088154E" w:rsidRDefault="00E33DE6" w:rsidP="00126A66">
            <w:pPr>
              <w:rPr>
                <w:sz w:val="18"/>
                <w:szCs w:val="18"/>
              </w:rPr>
            </w:pPr>
            <w:r w:rsidRPr="0088154E">
              <w:rPr>
                <w:sz w:val="18"/>
                <w:szCs w:val="18"/>
              </w:rPr>
              <w:t>49</w:t>
            </w:r>
          </w:p>
        </w:tc>
        <w:tc>
          <w:tcPr>
            <w:tcW w:w="1806" w:type="dxa"/>
            <w:tcBorders>
              <w:top w:val="single" w:sz="4" w:space="0" w:color="auto"/>
              <w:left w:val="single" w:sz="4" w:space="0" w:color="auto"/>
              <w:bottom w:val="single" w:sz="4" w:space="0" w:color="auto"/>
              <w:right w:val="single" w:sz="4" w:space="0" w:color="auto"/>
            </w:tcBorders>
          </w:tcPr>
          <w:p w14:paraId="2DB9965E" w14:textId="77777777" w:rsidR="008176BC" w:rsidRPr="0088154E" w:rsidRDefault="008176BC" w:rsidP="008176BC">
            <w:pPr>
              <w:rPr>
                <w:sz w:val="18"/>
                <w:szCs w:val="18"/>
              </w:rPr>
            </w:pPr>
            <w:r w:rsidRPr="0088154E">
              <w:rPr>
                <w:sz w:val="18"/>
                <w:szCs w:val="18"/>
              </w:rPr>
              <w:t>2</w:t>
            </w:r>
            <w:r w:rsidRPr="0088154E">
              <w:rPr>
                <w:sz w:val="18"/>
                <w:szCs w:val="18"/>
                <w:vertAlign w:val="superscript"/>
              </w:rPr>
              <w:t>nd</w:t>
            </w:r>
            <w:r w:rsidRPr="0088154E">
              <w:rPr>
                <w:sz w:val="18"/>
                <w:szCs w:val="18"/>
              </w:rPr>
              <w:t xml:space="preserve"> Component</w:t>
            </w:r>
          </w:p>
          <w:p w14:paraId="1FC79998" w14:textId="43CA6A8A" w:rsidR="00E33DE6" w:rsidRPr="0088154E" w:rsidRDefault="008176BC" w:rsidP="008176BC">
            <w:pPr>
              <w:rPr>
                <w:sz w:val="18"/>
                <w:szCs w:val="18"/>
              </w:rPr>
            </w:pPr>
            <w:r w:rsidRPr="0088154E">
              <w:rPr>
                <w:sz w:val="18"/>
                <w:szCs w:val="18"/>
              </w:rPr>
              <w:t>Rent Supplement</w:t>
            </w:r>
          </w:p>
        </w:tc>
        <w:tc>
          <w:tcPr>
            <w:tcW w:w="1790" w:type="dxa"/>
            <w:tcBorders>
              <w:top w:val="single" w:sz="4" w:space="0" w:color="auto"/>
              <w:left w:val="single" w:sz="4" w:space="0" w:color="auto"/>
              <w:bottom w:val="single" w:sz="4" w:space="0" w:color="auto"/>
              <w:right w:val="single" w:sz="4" w:space="0" w:color="auto"/>
            </w:tcBorders>
          </w:tcPr>
          <w:p w14:paraId="475C1F48" w14:textId="12B78B3E" w:rsidR="00E33DE6" w:rsidRPr="0088154E" w:rsidRDefault="008176BC" w:rsidP="00126A66">
            <w:pPr>
              <w:rPr>
                <w:sz w:val="18"/>
                <w:szCs w:val="18"/>
              </w:rPr>
            </w:pPr>
            <w:r w:rsidRPr="0088154E">
              <w:rPr>
                <w:sz w:val="18"/>
                <w:szCs w:val="18"/>
              </w:rPr>
              <w:t>FY 2014</w:t>
            </w:r>
          </w:p>
        </w:tc>
        <w:tc>
          <w:tcPr>
            <w:tcW w:w="1805" w:type="dxa"/>
            <w:tcBorders>
              <w:top w:val="single" w:sz="4" w:space="0" w:color="auto"/>
              <w:left w:val="single" w:sz="4" w:space="0" w:color="auto"/>
              <w:bottom w:val="single" w:sz="4" w:space="0" w:color="auto"/>
              <w:right w:val="single" w:sz="4" w:space="0" w:color="auto"/>
            </w:tcBorders>
          </w:tcPr>
          <w:p w14:paraId="3428D670" w14:textId="5E3B00C5" w:rsidR="00E33DE6" w:rsidRPr="0088154E" w:rsidRDefault="008176BC" w:rsidP="00126A66">
            <w:pPr>
              <w:rPr>
                <w:sz w:val="18"/>
                <w:szCs w:val="18"/>
              </w:rPr>
            </w:pPr>
            <w:r w:rsidRPr="0088154E">
              <w:rPr>
                <w:sz w:val="18"/>
                <w:szCs w:val="18"/>
              </w:rPr>
              <w:t>Existing family housing</w:t>
            </w:r>
          </w:p>
        </w:tc>
      </w:tr>
      <w:tr w:rsidR="008176BC" w:rsidRPr="0088154E" w14:paraId="4A8B8951" w14:textId="77777777" w:rsidTr="002F0EF5">
        <w:tc>
          <w:tcPr>
            <w:tcW w:w="1791" w:type="dxa"/>
            <w:tcBorders>
              <w:top w:val="single" w:sz="4" w:space="0" w:color="auto"/>
              <w:left w:val="single" w:sz="4" w:space="0" w:color="auto"/>
              <w:bottom w:val="single" w:sz="4" w:space="0" w:color="auto"/>
              <w:right w:val="single" w:sz="4" w:space="0" w:color="auto"/>
            </w:tcBorders>
          </w:tcPr>
          <w:p w14:paraId="1CF3C441" w14:textId="37FD6B62" w:rsidR="00E33DE6" w:rsidRPr="0088154E" w:rsidRDefault="00E33DE6" w:rsidP="00126A66">
            <w:pPr>
              <w:rPr>
                <w:sz w:val="18"/>
                <w:szCs w:val="18"/>
              </w:rPr>
            </w:pPr>
            <w:r w:rsidRPr="0088154E">
              <w:rPr>
                <w:sz w:val="18"/>
                <w:szCs w:val="18"/>
              </w:rPr>
              <w:t>Spring Hill</w:t>
            </w:r>
          </w:p>
        </w:tc>
        <w:tc>
          <w:tcPr>
            <w:tcW w:w="1798" w:type="dxa"/>
            <w:tcBorders>
              <w:top w:val="single" w:sz="4" w:space="0" w:color="auto"/>
              <w:left w:val="single" w:sz="4" w:space="0" w:color="auto"/>
              <w:bottom w:val="single" w:sz="4" w:space="0" w:color="auto"/>
              <w:right w:val="single" w:sz="4" w:space="0" w:color="auto"/>
            </w:tcBorders>
          </w:tcPr>
          <w:p w14:paraId="4EBCB9C5" w14:textId="297C0D83" w:rsidR="00E33DE6" w:rsidRPr="0088154E" w:rsidRDefault="00E33DE6" w:rsidP="00126A66">
            <w:pPr>
              <w:rPr>
                <w:sz w:val="18"/>
                <w:szCs w:val="18"/>
              </w:rPr>
            </w:pPr>
            <w:r w:rsidRPr="0088154E">
              <w:rPr>
                <w:sz w:val="18"/>
                <w:szCs w:val="18"/>
              </w:rPr>
              <w:t>37</w:t>
            </w:r>
          </w:p>
        </w:tc>
        <w:tc>
          <w:tcPr>
            <w:tcW w:w="1806" w:type="dxa"/>
            <w:tcBorders>
              <w:top w:val="single" w:sz="4" w:space="0" w:color="auto"/>
              <w:left w:val="single" w:sz="4" w:space="0" w:color="auto"/>
              <w:bottom w:val="single" w:sz="4" w:space="0" w:color="auto"/>
              <w:right w:val="single" w:sz="4" w:space="0" w:color="auto"/>
            </w:tcBorders>
          </w:tcPr>
          <w:p w14:paraId="202AEAC7" w14:textId="77777777" w:rsidR="008176BC" w:rsidRPr="0088154E" w:rsidRDefault="008176BC" w:rsidP="008176BC">
            <w:pPr>
              <w:rPr>
                <w:sz w:val="18"/>
                <w:szCs w:val="18"/>
              </w:rPr>
            </w:pPr>
            <w:r w:rsidRPr="0088154E">
              <w:rPr>
                <w:sz w:val="18"/>
                <w:szCs w:val="18"/>
              </w:rPr>
              <w:t>2</w:t>
            </w:r>
            <w:r w:rsidRPr="0088154E">
              <w:rPr>
                <w:sz w:val="18"/>
                <w:szCs w:val="18"/>
                <w:vertAlign w:val="superscript"/>
              </w:rPr>
              <w:t>nd</w:t>
            </w:r>
            <w:r w:rsidRPr="0088154E">
              <w:rPr>
                <w:sz w:val="18"/>
                <w:szCs w:val="18"/>
              </w:rPr>
              <w:t xml:space="preserve"> Component</w:t>
            </w:r>
          </w:p>
          <w:p w14:paraId="392F9156" w14:textId="297D9F4C" w:rsidR="00E33DE6" w:rsidRPr="0088154E" w:rsidRDefault="008176BC" w:rsidP="008176BC">
            <w:pPr>
              <w:rPr>
                <w:sz w:val="18"/>
                <w:szCs w:val="18"/>
              </w:rPr>
            </w:pPr>
            <w:r w:rsidRPr="0088154E">
              <w:rPr>
                <w:sz w:val="18"/>
                <w:szCs w:val="18"/>
              </w:rPr>
              <w:t>Rent Supplement</w:t>
            </w:r>
          </w:p>
        </w:tc>
        <w:tc>
          <w:tcPr>
            <w:tcW w:w="1790" w:type="dxa"/>
            <w:tcBorders>
              <w:top w:val="single" w:sz="4" w:space="0" w:color="auto"/>
              <w:left w:val="single" w:sz="4" w:space="0" w:color="auto"/>
              <w:bottom w:val="single" w:sz="4" w:space="0" w:color="auto"/>
              <w:right w:val="single" w:sz="4" w:space="0" w:color="auto"/>
            </w:tcBorders>
          </w:tcPr>
          <w:p w14:paraId="70E750C1" w14:textId="713E9F74" w:rsidR="00E33DE6" w:rsidRPr="0088154E" w:rsidRDefault="008176BC" w:rsidP="00126A66">
            <w:pPr>
              <w:rPr>
                <w:sz w:val="18"/>
                <w:szCs w:val="18"/>
              </w:rPr>
            </w:pPr>
            <w:r w:rsidRPr="0088154E">
              <w:rPr>
                <w:sz w:val="18"/>
                <w:szCs w:val="18"/>
              </w:rPr>
              <w:t>FY 2014</w:t>
            </w:r>
          </w:p>
        </w:tc>
        <w:tc>
          <w:tcPr>
            <w:tcW w:w="1805" w:type="dxa"/>
            <w:tcBorders>
              <w:top w:val="single" w:sz="4" w:space="0" w:color="auto"/>
              <w:left w:val="single" w:sz="4" w:space="0" w:color="auto"/>
              <w:bottom w:val="single" w:sz="4" w:space="0" w:color="auto"/>
              <w:right w:val="single" w:sz="4" w:space="0" w:color="auto"/>
            </w:tcBorders>
          </w:tcPr>
          <w:p w14:paraId="7511E503" w14:textId="367D25D1" w:rsidR="00E33DE6" w:rsidRPr="0088154E" w:rsidRDefault="008176BC" w:rsidP="00126A66">
            <w:pPr>
              <w:rPr>
                <w:sz w:val="18"/>
                <w:szCs w:val="18"/>
              </w:rPr>
            </w:pPr>
            <w:r w:rsidRPr="0088154E">
              <w:rPr>
                <w:sz w:val="18"/>
                <w:szCs w:val="18"/>
              </w:rPr>
              <w:t>Existing family housing</w:t>
            </w:r>
          </w:p>
        </w:tc>
      </w:tr>
      <w:tr w:rsidR="008176BC" w:rsidRPr="0088154E" w14:paraId="296878C4" w14:textId="77777777" w:rsidTr="002F0EF5">
        <w:tc>
          <w:tcPr>
            <w:tcW w:w="1791" w:type="dxa"/>
            <w:tcBorders>
              <w:top w:val="single" w:sz="4" w:space="0" w:color="auto"/>
              <w:left w:val="single" w:sz="4" w:space="0" w:color="auto"/>
              <w:bottom w:val="single" w:sz="4" w:space="0" w:color="auto"/>
              <w:right w:val="single" w:sz="4" w:space="0" w:color="auto"/>
            </w:tcBorders>
          </w:tcPr>
          <w:p w14:paraId="661FD18C" w14:textId="45CE51E8" w:rsidR="00E33DE6" w:rsidRPr="0088154E" w:rsidRDefault="00E33DE6" w:rsidP="00126A66">
            <w:pPr>
              <w:rPr>
                <w:sz w:val="18"/>
                <w:szCs w:val="18"/>
              </w:rPr>
            </w:pPr>
            <w:r w:rsidRPr="0088154E">
              <w:rPr>
                <w:sz w:val="18"/>
                <w:szCs w:val="18"/>
              </w:rPr>
              <w:t>Unquity House</w:t>
            </w:r>
          </w:p>
        </w:tc>
        <w:tc>
          <w:tcPr>
            <w:tcW w:w="1798" w:type="dxa"/>
            <w:tcBorders>
              <w:top w:val="single" w:sz="4" w:space="0" w:color="auto"/>
              <w:left w:val="single" w:sz="4" w:space="0" w:color="auto"/>
              <w:bottom w:val="single" w:sz="4" w:space="0" w:color="auto"/>
              <w:right w:val="single" w:sz="4" w:space="0" w:color="auto"/>
            </w:tcBorders>
          </w:tcPr>
          <w:p w14:paraId="6DB6E1FD" w14:textId="61B94AE5" w:rsidR="00E33DE6" w:rsidRPr="0088154E" w:rsidRDefault="00E33DE6" w:rsidP="00126A66">
            <w:pPr>
              <w:rPr>
                <w:sz w:val="18"/>
                <w:szCs w:val="18"/>
              </w:rPr>
            </w:pPr>
            <w:r w:rsidRPr="0088154E">
              <w:rPr>
                <w:sz w:val="18"/>
                <w:szCs w:val="18"/>
              </w:rPr>
              <w:t>139</w:t>
            </w:r>
          </w:p>
        </w:tc>
        <w:tc>
          <w:tcPr>
            <w:tcW w:w="1806" w:type="dxa"/>
            <w:tcBorders>
              <w:top w:val="single" w:sz="4" w:space="0" w:color="auto"/>
              <w:left w:val="single" w:sz="4" w:space="0" w:color="auto"/>
              <w:bottom w:val="single" w:sz="4" w:space="0" w:color="auto"/>
              <w:right w:val="single" w:sz="4" w:space="0" w:color="auto"/>
            </w:tcBorders>
          </w:tcPr>
          <w:p w14:paraId="7F0CEB08" w14:textId="77777777" w:rsidR="008176BC" w:rsidRPr="0088154E" w:rsidRDefault="008176BC" w:rsidP="008176BC">
            <w:pPr>
              <w:rPr>
                <w:sz w:val="18"/>
                <w:szCs w:val="18"/>
              </w:rPr>
            </w:pPr>
            <w:r w:rsidRPr="0088154E">
              <w:rPr>
                <w:sz w:val="18"/>
                <w:szCs w:val="18"/>
              </w:rPr>
              <w:t>2</w:t>
            </w:r>
            <w:r w:rsidRPr="0088154E">
              <w:rPr>
                <w:sz w:val="18"/>
                <w:szCs w:val="18"/>
                <w:vertAlign w:val="superscript"/>
              </w:rPr>
              <w:t>nd</w:t>
            </w:r>
            <w:r w:rsidRPr="0088154E">
              <w:rPr>
                <w:sz w:val="18"/>
                <w:szCs w:val="18"/>
              </w:rPr>
              <w:t xml:space="preserve"> Component</w:t>
            </w:r>
          </w:p>
          <w:p w14:paraId="1C08A9F6" w14:textId="2DA19EC6" w:rsidR="00E33DE6" w:rsidRPr="0088154E" w:rsidRDefault="008176BC" w:rsidP="008176BC">
            <w:pPr>
              <w:rPr>
                <w:sz w:val="18"/>
                <w:szCs w:val="18"/>
              </w:rPr>
            </w:pPr>
            <w:r w:rsidRPr="0088154E">
              <w:rPr>
                <w:sz w:val="18"/>
                <w:szCs w:val="18"/>
              </w:rPr>
              <w:t>Rent Supplement</w:t>
            </w:r>
          </w:p>
        </w:tc>
        <w:tc>
          <w:tcPr>
            <w:tcW w:w="1790" w:type="dxa"/>
            <w:tcBorders>
              <w:top w:val="single" w:sz="4" w:space="0" w:color="auto"/>
              <w:left w:val="single" w:sz="4" w:space="0" w:color="auto"/>
              <w:bottom w:val="single" w:sz="4" w:space="0" w:color="auto"/>
              <w:right w:val="single" w:sz="4" w:space="0" w:color="auto"/>
            </w:tcBorders>
          </w:tcPr>
          <w:p w14:paraId="136D105F" w14:textId="03E15626" w:rsidR="00E33DE6" w:rsidRPr="0088154E" w:rsidRDefault="008176BC" w:rsidP="00126A66">
            <w:pPr>
              <w:rPr>
                <w:sz w:val="18"/>
                <w:szCs w:val="18"/>
              </w:rPr>
            </w:pPr>
            <w:r w:rsidRPr="0088154E">
              <w:rPr>
                <w:sz w:val="18"/>
                <w:szCs w:val="18"/>
              </w:rPr>
              <w:t>FY 2014</w:t>
            </w:r>
          </w:p>
        </w:tc>
        <w:tc>
          <w:tcPr>
            <w:tcW w:w="1805" w:type="dxa"/>
            <w:tcBorders>
              <w:top w:val="single" w:sz="4" w:space="0" w:color="auto"/>
              <w:left w:val="single" w:sz="4" w:space="0" w:color="auto"/>
              <w:bottom w:val="single" w:sz="4" w:space="0" w:color="auto"/>
              <w:right w:val="single" w:sz="4" w:space="0" w:color="auto"/>
            </w:tcBorders>
          </w:tcPr>
          <w:p w14:paraId="5A19C35C" w14:textId="2B17D8A1" w:rsidR="00E33DE6" w:rsidRPr="0088154E" w:rsidRDefault="008176BC" w:rsidP="00126A66">
            <w:pPr>
              <w:rPr>
                <w:sz w:val="18"/>
                <w:szCs w:val="18"/>
              </w:rPr>
            </w:pPr>
            <w:r w:rsidRPr="0088154E">
              <w:rPr>
                <w:sz w:val="18"/>
                <w:szCs w:val="18"/>
              </w:rPr>
              <w:t>Existing elderly housing</w:t>
            </w:r>
          </w:p>
        </w:tc>
      </w:tr>
      <w:tr w:rsidR="008176BC" w:rsidRPr="0088154E" w14:paraId="65904591" w14:textId="77777777" w:rsidTr="002F0EF5">
        <w:tc>
          <w:tcPr>
            <w:tcW w:w="1791" w:type="dxa"/>
            <w:tcBorders>
              <w:top w:val="single" w:sz="4" w:space="0" w:color="auto"/>
              <w:left w:val="single" w:sz="4" w:space="0" w:color="auto"/>
              <w:bottom w:val="single" w:sz="4" w:space="0" w:color="auto"/>
              <w:right w:val="single" w:sz="4" w:space="0" w:color="auto"/>
            </w:tcBorders>
          </w:tcPr>
          <w:p w14:paraId="27EDB09A" w14:textId="0E01B9E4" w:rsidR="008176BC" w:rsidRPr="0088154E" w:rsidRDefault="008176BC" w:rsidP="008176BC">
            <w:pPr>
              <w:rPr>
                <w:sz w:val="18"/>
                <w:szCs w:val="18"/>
              </w:rPr>
            </w:pPr>
            <w:r w:rsidRPr="0088154E">
              <w:rPr>
                <w:sz w:val="18"/>
                <w:szCs w:val="18"/>
              </w:rPr>
              <w:t>Highland Village</w:t>
            </w:r>
          </w:p>
        </w:tc>
        <w:tc>
          <w:tcPr>
            <w:tcW w:w="1798" w:type="dxa"/>
            <w:tcBorders>
              <w:top w:val="single" w:sz="4" w:space="0" w:color="auto"/>
              <w:left w:val="single" w:sz="4" w:space="0" w:color="auto"/>
              <w:bottom w:val="single" w:sz="4" w:space="0" w:color="auto"/>
              <w:right w:val="single" w:sz="4" w:space="0" w:color="auto"/>
            </w:tcBorders>
          </w:tcPr>
          <w:p w14:paraId="649CBCAA" w14:textId="654FD1D9" w:rsidR="008176BC" w:rsidRPr="0088154E" w:rsidRDefault="008176BC" w:rsidP="008176BC">
            <w:pPr>
              <w:rPr>
                <w:sz w:val="18"/>
                <w:szCs w:val="18"/>
              </w:rPr>
            </w:pPr>
            <w:r w:rsidRPr="0088154E">
              <w:rPr>
                <w:sz w:val="18"/>
                <w:szCs w:val="18"/>
              </w:rPr>
              <w:t>110</w:t>
            </w:r>
          </w:p>
        </w:tc>
        <w:tc>
          <w:tcPr>
            <w:tcW w:w="1806" w:type="dxa"/>
            <w:tcBorders>
              <w:top w:val="single" w:sz="4" w:space="0" w:color="auto"/>
              <w:left w:val="single" w:sz="4" w:space="0" w:color="auto"/>
              <w:bottom w:val="single" w:sz="4" w:space="0" w:color="auto"/>
              <w:right w:val="single" w:sz="4" w:space="0" w:color="auto"/>
            </w:tcBorders>
          </w:tcPr>
          <w:p w14:paraId="69270552" w14:textId="77777777" w:rsidR="008176BC" w:rsidRPr="0088154E" w:rsidRDefault="008176BC" w:rsidP="008176BC">
            <w:pPr>
              <w:rPr>
                <w:sz w:val="18"/>
                <w:szCs w:val="18"/>
              </w:rPr>
            </w:pPr>
            <w:r w:rsidRPr="0088154E">
              <w:rPr>
                <w:sz w:val="18"/>
                <w:szCs w:val="18"/>
              </w:rPr>
              <w:t>2</w:t>
            </w:r>
            <w:r w:rsidRPr="0088154E">
              <w:rPr>
                <w:sz w:val="18"/>
                <w:szCs w:val="18"/>
                <w:vertAlign w:val="superscript"/>
              </w:rPr>
              <w:t>nd</w:t>
            </w:r>
            <w:r w:rsidRPr="0088154E">
              <w:rPr>
                <w:sz w:val="18"/>
                <w:szCs w:val="18"/>
              </w:rPr>
              <w:t xml:space="preserve"> Component</w:t>
            </w:r>
          </w:p>
          <w:p w14:paraId="6BFEB2DA" w14:textId="190408F0" w:rsidR="008176BC" w:rsidRPr="0088154E" w:rsidRDefault="008176BC" w:rsidP="008176BC">
            <w:pPr>
              <w:rPr>
                <w:sz w:val="18"/>
                <w:szCs w:val="18"/>
              </w:rPr>
            </w:pPr>
            <w:r w:rsidRPr="0088154E">
              <w:rPr>
                <w:sz w:val="18"/>
                <w:szCs w:val="18"/>
              </w:rPr>
              <w:t>Rent Supplement</w:t>
            </w:r>
          </w:p>
        </w:tc>
        <w:tc>
          <w:tcPr>
            <w:tcW w:w="1790" w:type="dxa"/>
            <w:tcBorders>
              <w:top w:val="single" w:sz="4" w:space="0" w:color="auto"/>
              <w:left w:val="single" w:sz="4" w:space="0" w:color="auto"/>
              <w:bottom w:val="single" w:sz="4" w:space="0" w:color="auto"/>
              <w:right w:val="single" w:sz="4" w:space="0" w:color="auto"/>
            </w:tcBorders>
          </w:tcPr>
          <w:p w14:paraId="25204105" w14:textId="5D343DFA" w:rsidR="008176BC" w:rsidRPr="0088154E" w:rsidRDefault="008176BC" w:rsidP="008176BC">
            <w:pPr>
              <w:rPr>
                <w:sz w:val="18"/>
                <w:szCs w:val="18"/>
              </w:rPr>
            </w:pPr>
            <w:r w:rsidRPr="0088154E">
              <w:rPr>
                <w:sz w:val="18"/>
                <w:szCs w:val="18"/>
              </w:rPr>
              <w:t>FY 2015</w:t>
            </w:r>
          </w:p>
        </w:tc>
        <w:tc>
          <w:tcPr>
            <w:tcW w:w="1805" w:type="dxa"/>
            <w:tcBorders>
              <w:top w:val="single" w:sz="4" w:space="0" w:color="auto"/>
              <w:left w:val="single" w:sz="4" w:space="0" w:color="auto"/>
              <w:bottom w:val="single" w:sz="4" w:space="0" w:color="auto"/>
              <w:right w:val="single" w:sz="4" w:space="0" w:color="auto"/>
            </w:tcBorders>
          </w:tcPr>
          <w:p w14:paraId="616B1EFA" w14:textId="750BB7CD" w:rsidR="008176BC" w:rsidRPr="0088154E" w:rsidRDefault="008176BC" w:rsidP="008176BC">
            <w:pPr>
              <w:rPr>
                <w:sz w:val="18"/>
                <w:szCs w:val="18"/>
              </w:rPr>
            </w:pPr>
            <w:r w:rsidRPr="0088154E">
              <w:rPr>
                <w:sz w:val="18"/>
                <w:szCs w:val="18"/>
              </w:rPr>
              <w:t>Existing family housing</w:t>
            </w:r>
          </w:p>
        </w:tc>
      </w:tr>
      <w:tr w:rsidR="008176BC" w:rsidRPr="0088154E" w14:paraId="02400D7E" w14:textId="77777777" w:rsidTr="002F0EF5">
        <w:tc>
          <w:tcPr>
            <w:tcW w:w="1791" w:type="dxa"/>
            <w:tcBorders>
              <w:top w:val="single" w:sz="4" w:space="0" w:color="auto"/>
              <w:left w:val="single" w:sz="4" w:space="0" w:color="auto"/>
              <w:bottom w:val="single" w:sz="4" w:space="0" w:color="auto"/>
              <w:right w:val="single" w:sz="4" w:space="0" w:color="auto"/>
            </w:tcBorders>
          </w:tcPr>
          <w:p w14:paraId="6AC9C954" w14:textId="05AF0F33" w:rsidR="008176BC" w:rsidRPr="0088154E" w:rsidRDefault="008176BC" w:rsidP="008176BC">
            <w:pPr>
              <w:rPr>
                <w:sz w:val="18"/>
                <w:szCs w:val="18"/>
              </w:rPr>
            </w:pPr>
            <w:r w:rsidRPr="0088154E">
              <w:rPr>
                <w:sz w:val="18"/>
                <w:szCs w:val="18"/>
              </w:rPr>
              <w:t>Outing Park I</w:t>
            </w:r>
          </w:p>
        </w:tc>
        <w:tc>
          <w:tcPr>
            <w:tcW w:w="1798" w:type="dxa"/>
            <w:tcBorders>
              <w:top w:val="single" w:sz="4" w:space="0" w:color="auto"/>
              <w:left w:val="single" w:sz="4" w:space="0" w:color="auto"/>
              <w:bottom w:val="single" w:sz="4" w:space="0" w:color="auto"/>
              <w:right w:val="single" w:sz="4" w:space="0" w:color="auto"/>
            </w:tcBorders>
          </w:tcPr>
          <w:p w14:paraId="5A3D8CCE" w14:textId="247AA157" w:rsidR="008176BC" w:rsidRPr="0088154E" w:rsidRDefault="008176BC" w:rsidP="008176BC">
            <w:pPr>
              <w:rPr>
                <w:sz w:val="18"/>
                <w:szCs w:val="18"/>
              </w:rPr>
            </w:pPr>
            <w:r w:rsidRPr="0088154E">
              <w:rPr>
                <w:sz w:val="18"/>
                <w:szCs w:val="18"/>
              </w:rPr>
              <w:t>94</w:t>
            </w:r>
          </w:p>
        </w:tc>
        <w:tc>
          <w:tcPr>
            <w:tcW w:w="1806" w:type="dxa"/>
            <w:tcBorders>
              <w:top w:val="single" w:sz="4" w:space="0" w:color="auto"/>
              <w:left w:val="single" w:sz="4" w:space="0" w:color="auto"/>
              <w:bottom w:val="single" w:sz="4" w:space="0" w:color="auto"/>
              <w:right w:val="single" w:sz="4" w:space="0" w:color="auto"/>
            </w:tcBorders>
          </w:tcPr>
          <w:p w14:paraId="2FCF9B5D" w14:textId="77777777" w:rsidR="008176BC" w:rsidRPr="0088154E" w:rsidRDefault="008176BC" w:rsidP="008176BC">
            <w:pPr>
              <w:rPr>
                <w:sz w:val="18"/>
                <w:szCs w:val="18"/>
              </w:rPr>
            </w:pPr>
            <w:r w:rsidRPr="0088154E">
              <w:rPr>
                <w:sz w:val="18"/>
                <w:szCs w:val="18"/>
              </w:rPr>
              <w:t>2</w:t>
            </w:r>
            <w:r w:rsidRPr="0088154E">
              <w:rPr>
                <w:sz w:val="18"/>
                <w:szCs w:val="18"/>
                <w:vertAlign w:val="superscript"/>
              </w:rPr>
              <w:t>nd</w:t>
            </w:r>
            <w:r w:rsidRPr="0088154E">
              <w:rPr>
                <w:sz w:val="18"/>
                <w:szCs w:val="18"/>
              </w:rPr>
              <w:t xml:space="preserve"> Component</w:t>
            </w:r>
          </w:p>
          <w:p w14:paraId="064FAD41" w14:textId="3315A4B1" w:rsidR="008176BC" w:rsidRPr="0088154E" w:rsidRDefault="008176BC" w:rsidP="008176BC">
            <w:pPr>
              <w:rPr>
                <w:sz w:val="18"/>
                <w:szCs w:val="18"/>
              </w:rPr>
            </w:pPr>
            <w:r w:rsidRPr="0088154E">
              <w:rPr>
                <w:sz w:val="18"/>
                <w:szCs w:val="18"/>
              </w:rPr>
              <w:t>Mod/Rehab</w:t>
            </w:r>
          </w:p>
        </w:tc>
        <w:tc>
          <w:tcPr>
            <w:tcW w:w="1790" w:type="dxa"/>
            <w:tcBorders>
              <w:top w:val="single" w:sz="4" w:space="0" w:color="auto"/>
              <w:left w:val="single" w:sz="4" w:space="0" w:color="auto"/>
              <w:bottom w:val="single" w:sz="4" w:space="0" w:color="auto"/>
              <w:right w:val="single" w:sz="4" w:space="0" w:color="auto"/>
            </w:tcBorders>
          </w:tcPr>
          <w:p w14:paraId="39B6581A" w14:textId="67EBB95F" w:rsidR="008176BC" w:rsidRPr="0088154E" w:rsidRDefault="008176BC" w:rsidP="008176BC">
            <w:pPr>
              <w:rPr>
                <w:sz w:val="18"/>
                <w:szCs w:val="18"/>
              </w:rPr>
            </w:pPr>
            <w:r w:rsidRPr="0088154E">
              <w:rPr>
                <w:sz w:val="18"/>
                <w:szCs w:val="18"/>
              </w:rPr>
              <w:t>FY 2015</w:t>
            </w:r>
          </w:p>
        </w:tc>
        <w:tc>
          <w:tcPr>
            <w:tcW w:w="1805" w:type="dxa"/>
            <w:tcBorders>
              <w:top w:val="single" w:sz="4" w:space="0" w:color="auto"/>
              <w:left w:val="single" w:sz="4" w:space="0" w:color="auto"/>
              <w:bottom w:val="single" w:sz="4" w:space="0" w:color="auto"/>
              <w:right w:val="single" w:sz="4" w:space="0" w:color="auto"/>
            </w:tcBorders>
          </w:tcPr>
          <w:p w14:paraId="235EADD8" w14:textId="5D97225D" w:rsidR="008176BC" w:rsidRPr="0088154E" w:rsidRDefault="008176BC" w:rsidP="008176BC">
            <w:pPr>
              <w:rPr>
                <w:sz w:val="18"/>
                <w:szCs w:val="18"/>
              </w:rPr>
            </w:pPr>
            <w:r w:rsidRPr="0088154E">
              <w:rPr>
                <w:sz w:val="18"/>
                <w:szCs w:val="18"/>
              </w:rPr>
              <w:t>Existing family housing</w:t>
            </w:r>
          </w:p>
        </w:tc>
      </w:tr>
      <w:tr w:rsidR="008176BC" w:rsidRPr="0088154E" w14:paraId="56DE1F89" w14:textId="77777777" w:rsidTr="002F0EF5">
        <w:tc>
          <w:tcPr>
            <w:tcW w:w="1791" w:type="dxa"/>
            <w:tcBorders>
              <w:top w:val="single" w:sz="4" w:space="0" w:color="auto"/>
              <w:left w:val="single" w:sz="4" w:space="0" w:color="auto"/>
              <w:bottom w:val="single" w:sz="4" w:space="0" w:color="auto"/>
              <w:right w:val="single" w:sz="4" w:space="0" w:color="auto"/>
            </w:tcBorders>
          </w:tcPr>
          <w:p w14:paraId="6E523BF7" w14:textId="21E7CA7E" w:rsidR="008176BC" w:rsidRPr="0088154E" w:rsidRDefault="008176BC" w:rsidP="008176BC">
            <w:pPr>
              <w:rPr>
                <w:sz w:val="18"/>
                <w:szCs w:val="18"/>
              </w:rPr>
            </w:pPr>
            <w:r w:rsidRPr="0088154E">
              <w:rPr>
                <w:sz w:val="18"/>
                <w:szCs w:val="18"/>
              </w:rPr>
              <w:t>Outing Park II</w:t>
            </w:r>
          </w:p>
        </w:tc>
        <w:tc>
          <w:tcPr>
            <w:tcW w:w="1798" w:type="dxa"/>
            <w:tcBorders>
              <w:top w:val="single" w:sz="4" w:space="0" w:color="auto"/>
              <w:left w:val="single" w:sz="4" w:space="0" w:color="auto"/>
              <w:bottom w:val="single" w:sz="4" w:space="0" w:color="auto"/>
              <w:right w:val="single" w:sz="4" w:space="0" w:color="auto"/>
            </w:tcBorders>
          </w:tcPr>
          <w:p w14:paraId="63D35E7A" w14:textId="70D336D1" w:rsidR="008176BC" w:rsidRPr="0088154E" w:rsidRDefault="008176BC" w:rsidP="008176BC">
            <w:pPr>
              <w:rPr>
                <w:sz w:val="18"/>
                <w:szCs w:val="18"/>
              </w:rPr>
            </w:pPr>
            <w:r w:rsidRPr="0088154E">
              <w:rPr>
                <w:sz w:val="18"/>
                <w:szCs w:val="18"/>
              </w:rPr>
              <w:t>81</w:t>
            </w:r>
          </w:p>
        </w:tc>
        <w:tc>
          <w:tcPr>
            <w:tcW w:w="1806" w:type="dxa"/>
            <w:tcBorders>
              <w:top w:val="single" w:sz="4" w:space="0" w:color="auto"/>
              <w:left w:val="single" w:sz="4" w:space="0" w:color="auto"/>
              <w:bottom w:val="single" w:sz="4" w:space="0" w:color="auto"/>
              <w:right w:val="single" w:sz="4" w:space="0" w:color="auto"/>
            </w:tcBorders>
          </w:tcPr>
          <w:p w14:paraId="1CA19606" w14:textId="77777777" w:rsidR="008176BC" w:rsidRPr="0088154E" w:rsidRDefault="008176BC" w:rsidP="008176BC">
            <w:pPr>
              <w:rPr>
                <w:sz w:val="18"/>
                <w:szCs w:val="18"/>
              </w:rPr>
            </w:pPr>
            <w:r w:rsidRPr="0088154E">
              <w:rPr>
                <w:sz w:val="18"/>
                <w:szCs w:val="18"/>
              </w:rPr>
              <w:t>2</w:t>
            </w:r>
            <w:r w:rsidRPr="0088154E">
              <w:rPr>
                <w:sz w:val="18"/>
                <w:szCs w:val="18"/>
                <w:vertAlign w:val="superscript"/>
              </w:rPr>
              <w:t>nd</w:t>
            </w:r>
            <w:r w:rsidRPr="0088154E">
              <w:rPr>
                <w:sz w:val="18"/>
                <w:szCs w:val="18"/>
              </w:rPr>
              <w:t xml:space="preserve"> Component</w:t>
            </w:r>
          </w:p>
          <w:p w14:paraId="3EDC66E1" w14:textId="388A59F4" w:rsidR="008176BC" w:rsidRPr="0088154E" w:rsidRDefault="008176BC" w:rsidP="008176BC">
            <w:pPr>
              <w:rPr>
                <w:sz w:val="18"/>
                <w:szCs w:val="18"/>
              </w:rPr>
            </w:pPr>
            <w:r w:rsidRPr="0088154E">
              <w:rPr>
                <w:sz w:val="18"/>
                <w:szCs w:val="18"/>
              </w:rPr>
              <w:t>Mod/Rehab</w:t>
            </w:r>
          </w:p>
        </w:tc>
        <w:tc>
          <w:tcPr>
            <w:tcW w:w="1790" w:type="dxa"/>
            <w:tcBorders>
              <w:top w:val="single" w:sz="4" w:space="0" w:color="auto"/>
              <w:left w:val="single" w:sz="4" w:space="0" w:color="auto"/>
              <w:bottom w:val="single" w:sz="4" w:space="0" w:color="auto"/>
              <w:right w:val="single" w:sz="4" w:space="0" w:color="auto"/>
            </w:tcBorders>
          </w:tcPr>
          <w:p w14:paraId="2863A98B" w14:textId="57ECBDB4" w:rsidR="008176BC" w:rsidRPr="0088154E" w:rsidRDefault="008176BC" w:rsidP="008176BC">
            <w:pPr>
              <w:rPr>
                <w:sz w:val="18"/>
                <w:szCs w:val="18"/>
              </w:rPr>
            </w:pPr>
            <w:r w:rsidRPr="0088154E">
              <w:rPr>
                <w:sz w:val="18"/>
                <w:szCs w:val="18"/>
              </w:rPr>
              <w:t>FY 2015</w:t>
            </w:r>
          </w:p>
        </w:tc>
        <w:tc>
          <w:tcPr>
            <w:tcW w:w="1805" w:type="dxa"/>
            <w:tcBorders>
              <w:top w:val="single" w:sz="4" w:space="0" w:color="auto"/>
              <w:left w:val="single" w:sz="4" w:space="0" w:color="auto"/>
              <w:bottom w:val="single" w:sz="4" w:space="0" w:color="auto"/>
              <w:right w:val="single" w:sz="4" w:space="0" w:color="auto"/>
            </w:tcBorders>
          </w:tcPr>
          <w:p w14:paraId="126C113D" w14:textId="0A0E4366" w:rsidR="008176BC" w:rsidRPr="0088154E" w:rsidRDefault="008176BC" w:rsidP="008176BC">
            <w:pPr>
              <w:rPr>
                <w:sz w:val="18"/>
                <w:szCs w:val="18"/>
              </w:rPr>
            </w:pPr>
            <w:r w:rsidRPr="0088154E">
              <w:rPr>
                <w:sz w:val="18"/>
                <w:szCs w:val="18"/>
              </w:rPr>
              <w:t>Existing family housing</w:t>
            </w:r>
          </w:p>
        </w:tc>
      </w:tr>
      <w:tr w:rsidR="008176BC" w:rsidRPr="0088154E" w14:paraId="720E639C" w14:textId="77777777" w:rsidTr="002F0EF5">
        <w:tc>
          <w:tcPr>
            <w:tcW w:w="1791" w:type="dxa"/>
            <w:tcBorders>
              <w:top w:val="single" w:sz="4" w:space="0" w:color="auto"/>
              <w:left w:val="single" w:sz="4" w:space="0" w:color="auto"/>
              <w:bottom w:val="single" w:sz="4" w:space="0" w:color="auto"/>
              <w:right w:val="single" w:sz="4" w:space="0" w:color="auto"/>
            </w:tcBorders>
          </w:tcPr>
          <w:p w14:paraId="226CA476" w14:textId="244F8CFA" w:rsidR="008176BC" w:rsidRPr="0088154E" w:rsidRDefault="008176BC" w:rsidP="008176BC">
            <w:pPr>
              <w:rPr>
                <w:sz w:val="18"/>
                <w:szCs w:val="18"/>
              </w:rPr>
            </w:pPr>
            <w:r w:rsidRPr="0088154E">
              <w:rPr>
                <w:sz w:val="18"/>
                <w:szCs w:val="18"/>
              </w:rPr>
              <w:t>Spring Gate</w:t>
            </w:r>
          </w:p>
        </w:tc>
        <w:tc>
          <w:tcPr>
            <w:tcW w:w="1798" w:type="dxa"/>
            <w:tcBorders>
              <w:top w:val="single" w:sz="4" w:space="0" w:color="auto"/>
              <w:left w:val="single" w:sz="4" w:space="0" w:color="auto"/>
              <w:bottom w:val="single" w:sz="4" w:space="0" w:color="auto"/>
              <w:right w:val="single" w:sz="4" w:space="0" w:color="auto"/>
            </w:tcBorders>
          </w:tcPr>
          <w:p w14:paraId="3CEE069A" w14:textId="64E59E2D" w:rsidR="008176BC" w:rsidRPr="0088154E" w:rsidRDefault="008176BC" w:rsidP="008176BC">
            <w:pPr>
              <w:rPr>
                <w:sz w:val="18"/>
                <w:szCs w:val="18"/>
              </w:rPr>
            </w:pPr>
            <w:r w:rsidRPr="0088154E">
              <w:rPr>
                <w:sz w:val="18"/>
                <w:szCs w:val="18"/>
              </w:rPr>
              <w:t>181</w:t>
            </w:r>
          </w:p>
        </w:tc>
        <w:tc>
          <w:tcPr>
            <w:tcW w:w="1806" w:type="dxa"/>
            <w:tcBorders>
              <w:top w:val="single" w:sz="4" w:space="0" w:color="auto"/>
              <w:left w:val="single" w:sz="4" w:space="0" w:color="auto"/>
              <w:bottom w:val="single" w:sz="4" w:space="0" w:color="auto"/>
              <w:right w:val="single" w:sz="4" w:space="0" w:color="auto"/>
            </w:tcBorders>
          </w:tcPr>
          <w:p w14:paraId="2FCA9595" w14:textId="77777777" w:rsidR="008176BC" w:rsidRPr="0088154E" w:rsidRDefault="008176BC" w:rsidP="008176BC">
            <w:pPr>
              <w:rPr>
                <w:sz w:val="18"/>
                <w:szCs w:val="18"/>
              </w:rPr>
            </w:pPr>
            <w:r w:rsidRPr="0088154E">
              <w:rPr>
                <w:sz w:val="18"/>
                <w:szCs w:val="18"/>
              </w:rPr>
              <w:t>2</w:t>
            </w:r>
            <w:r w:rsidRPr="0088154E">
              <w:rPr>
                <w:sz w:val="18"/>
                <w:szCs w:val="18"/>
                <w:vertAlign w:val="superscript"/>
              </w:rPr>
              <w:t>nd</w:t>
            </w:r>
            <w:r w:rsidRPr="0088154E">
              <w:rPr>
                <w:sz w:val="18"/>
                <w:szCs w:val="18"/>
              </w:rPr>
              <w:t xml:space="preserve"> Component</w:t>
            </w:r>
          </w:p>
          <w:p w14:paraId="12802394" w14:textId="09D9460E" w:rsidR="008176BC" w:rsidRPr="0088154E" w:rsidRDefault="008176BC" w:rsidP="008176BC">
            <w:pPr>
              <w:rPr>
                <w:sz w:val="18"/>
                <w:szCs w:val="18"/>
              </w:rPr>
            </w:pPr>
            <w:r w:rsidRPr="0088154E">
              <w:rPr>
                <w:sz w:val="18"/>
                <w:szCs w:val="18"/>
              </w:rPr>
              <w:t>Rent Supplement</w:t>
            </w:r>
          </w:p>
        </w:tc>
        <w:tc>
          <w:tcPr>
            <w:tcW w:w="1790" w:type="dxa"/>
            <w:tcBorders>
              <w:top w:val="single" w:sz="4" w:space="0" w:color="auto"/>
              <w:left w:val="single" w:sz="4" w:space="0" w:color="auto"/>
              <w:bottom w:val="single" w:sz="4" w:space="0" w:color="auto"/>
              <w:right w:val="single" w:sz="4" w:space="0" w:color="auto"/>
            </w:tcBorders>
          </w:tcPr>
          <w:p w14:paraId="58E1B23E" w14:textId="190A8F7A" w:rsidR="008176BC" w:rsidRPr="0088154E" w:rsidRDefault="008176BC" w:rsidP="008176BC">
            <w:pPr>
              <w:rPr>
                <w:sz w:val="18"/>
                <w:szCs w:val="18"/>
              </w:rPr>
            </w:pPr>
            <w:r w:rsidRPr="0088154E">
              <w:rPr>
                <w:sz w:val="18"/>
                <w:szCs w:val="18"/>
              </w:rPr>
              <w:t>FY 2015</w:t>
            </w:r>
          </w:p>
        </w:tc>
        <w:tc>
          <w:tcPr>
            <w:tcW w:w="1805" w:type="dxa"/>
            <w:tcBorders>
              <w:top w:val="single" w:sz="4" w:space="0" w:color="auto"/>
              <w:left w:val="single" w:sz="4" w:space="0" w:color="auto"/>
              <w:bottom w:val="single" w:sz="4" w:space="0" w:color="auto"/>
              <w:right w:val="single" w:sz="4" w:space="0" w:color="auto"/>
            </w:tcBorders>
          </w:tcPr>
          <w:p w14:paraId="657FC751" w14:textId="603C4BF6" w:rsidR="008176BC" w:rsidRPr="0088154E" w:rsidRDefault="008176BC" w:rsidP="008176BC">
            <w:pPr>
              <w:rPr>
                <w:sz w:val="18"/>
                <w:szCs w:val="18"/>
              </w:rPr>
            </w:pPr>
            <w:r w:rsidRPr="0088154E">
              <w:rPr>
                <w:sz w:val="18"/>
                <w:szCs w:val="18"/>
              </w:rPr>
              <w:t>Existing family housing</w:t>
            </w:r>
          </w:p>
        </w:tc>
      </w:tr>
      <w:tr w:rsidR="008176BC" w:rsidRPr="0088154E" w14:paraId="287A26A2" w14:textId="77777777" w:rsidTr="002F0EF5">
        <w:tc>
          <w:tcPr>
            <w:tcW w:w="1791" w:type="dxa"/>
            <w:tcBorders>
              <w:top w:val="single" w:sz="4" w:space="0" w:color="auto"/>
            </w:tcBorders>
          </w:tcPr>
          <w:p w14:paraId="2D105B2C" w14:textId="72C2EE2C" w:rsidR="00E33DE6" w:rsidRPr="0088154E" w:rsidRDefault="008176BC" w:rsidP="00126A66">
            <w:pPr>
              <w:rPr>
                <w:b/>
                <w:sz w:val="18"/>
                <w:szCs w:val="18"/>
              </w:rPr>
            </w:pPr>
            <w:r w:rsidRPr="0088154E">
              <w:rPr>
                <w:b/>
                <w:sz w:val="18"/>
                <w:szCs w:val="18"/>
              </w:rPr>
              <w:t>TOTAL</w:t>
            </w:r>
          </w:p>
        </w:tc>
        <w:tc>
          <w:tcPr>
            <w:tcW w:w="1798" w:type="dxa"/>
            <w:tcBorders>
              <w:top w:val="single" w:sz="4" w:space="0" w:color="auto"/>
            </w:tcBorders>
          </w:tcPr>
          <w:p w14:paraId="6786786E" w14:textId="337E7722" w:rsidR="00E33DE6" w:rsidRPr="0088154E" w:rsidRDefault="008176BC" w:rsidP="00126A66">
            <w:pPr>
              <w:rPr>
                <w:sz w:val="18"/>
                <w:szCs w:val="18"/>
              </w:rPr>
            </w:pPr>
            <w:r w:rsidRPr="0088154E">
              <w:rPr>
                <w:sz w:val="18"/>
                <w:szCs w:val="18"/>
              </w:rPr>
              <w:fldChar w:fldCharType="begin"/>
            </w:r>
            <w:r w:rsidRPr="0088154E">
              <w:rPr>
                <w:sz w:val="18"/>
                <w:szCs w:val="18"/>
              </w:rPr>
              <w:instrText xml:space="preserve"> =SUM(ABOVE) </w:instrText>
            </w:r>
            <w:r w:rsidRPr="0088154E">
              <w:rPr>
                <w:sz w:val="18"/>
                <w:szCs w:val="18"/>
              </w:rPr>
              <w:fldChar w:fldCharType="separate"/>
            </w:r>
            <w:r w:rsidRPr="0088154E">
              <w:rPr>
                <w:noProof/>
                <w:sz w:val="18"/>
                <w:szCs w:val="18"/>
              </w:rPr>
              <w:t>825</w:t>
            </w:r>
            <w:r w:rsidRPr="0088154E">
              <w:rPr>
                <w:sz w:val="18"/>
                <w:szCs w:val="18"/>
              </w:rPr>
              <w:fldChar w:fldCharType="end"/>
            </w:r>
          </w:p>
        </w:tc>
        <w:tc>
          <w:tcPr>
            <w:tcW w:w="1806" w:type="dxa"/>
            <w:tcBorders>
              <w:top w:val="single" w:sz="4" w:space="0" w:color="auto"/>
            </w:tcBorders>
            <w:shd w:val="clear" w:color="auto" w:fill="D9D9D9" w:themeFill="background1" w:themeFillShade="D9"/>
          </w:tcPr>
          <w:p w14:paraId="2CC6FECF" w14:textId="77777777" w:rsidR="00E33DE6" w:rsidRPr="0088154E" w:rsidRDefault="00E33DE6" w:rsidP="00126A66">
            <w:pPr>
              <w:rPr>
                <w:sz w:val="18"/>
                <w:szCs w:val="18"/>
              </w:rPr>
            </w:pPr>
          </w:p>
        </w:tc>
        <w:tc>
          <w:tcPr>
            <w:tcW w:w="1790" w:type="dxa"/>
            <w:tcBorders>
              <w:top w:val="single" w:sz="4" w:space="0" w:color="auto"/>
            </w:tcBorders>
            <w:shd w:val="clear" w:color="auto" w:fill="D9D9D9" w:themeFill="background1" w:themeFillShade="D9"/>
          </w:tcPr>
          <w:p w14:paraId="692A25C9" w14:textId="77777777" w:rsidR="00E33DE6" w:rsidRPr="0088154E" w:rsidRDefault="00E33DE6" w:rsidP="00126A66">
            <w:pPr>
              <w:rPr>
                <w:sz w:val="18"/>
                <w:szCs w:val="18"/>
              </w:rPr>
            </w:pPr>
          </w:p>
        </w:tc>
        <w:tc>
          <w:tcPr>
            <w:tcW w:w="1805" w:type="dxa"/>
            <w:tcBorders>
              <w:top w:val="single" w:sz="4" w:space="0" w:color="auto"/>
            </w:tcBorders>
            <w:shd w:val="clear" w:color="auto" w:fill="D9D9D9" w:themeFill="background1" w:themeFillShade="D9"/>
          </w:tcPr>
          <w:p w14:paraId="10F88104" w14:textId="77777777" w:rsidR="00E33DE6" w:rsidRPr="0088154E" w:rsidRDefault="00E33DE6" w:rsidP="00126A66">
            <w:pPr>
              <w:rPr>
                <w:sz w:val="18"/>
                <w:szCs w:val="18"/>
              </w:rPr>
            </w:pPr>
          </w:p>
        </w:tc>
      </w:tr>
    </w:tbl>
    <w:p w14:paraId="37F351D3" w14:textId="77777777" w:rsidR="00E33DE6" w:rsidRPr="0088154E" w:rsidRDefault="00E33DE6" w:rsidP="00126A66">
      <w:pPr>
        <w:ind w:left="360"/>
      </w:pPr>
    </w:p>
    <w:tbl>
      <w:tblPr>
        <w:tblW w:w="0" w:type="auto"/>
        <w:tblLook w:val="04A0" w:firstRow="1" w:lastRow="0" w:firstColumn="1" w:lastColumn="0" w:noHBand="0" w:noVBand="1"/>
      </w:tblPr>
      <w:tblGrid>
        <w:gridCol w:w="7825"/>
        <w:gridCol w:w="1525"/>
      </w:tblGrid>
      <w:tr w:rsidR="00126A66" w:rsidRPr="0088154E" w14:paraId="46CC4893" w14:textId="77777777" w:rsidTr="00126A66">
        <w:trPr>
          <w:trHeight w:val="315"/>
        </w:trPr>
        <w:tc>
          <w:tcPr>
            <w:tcW w:w="7825" w:type="dxa"/>
            <w:vMerge w:val="restart"/>
            <w:tcBorders>
              <w:top w:val="nil"/>
              <w:left w:val="nil"/>
              <w:right w:val="nil"/>
            </w:tcBorders>
            <w:vAlign w:val="bottom"/>
          </w:tcPr>
          <w:p w14:paraId="3DEB5734" w14:textId="77777777" w:rsidR="00126A66" w:rsidRPr="0088154E" w:rsidRDefault="00126A66" w:rsidP="00AA5A80">
            <w:pPr>
              <w:pStyle w:val="ListParagraph"/>
              <w:numPr>
                <w:ilvl w:val="8"/>
                <w:numId w:val="22"/>
              </w:numPr>
              <w:ind w:left="701"/>
              <w:rPr>
                <w:b/>
                <w:i/>
              </w:rPr>
            </w:pPr>
            <w:r w:rsidRPr="0088154E">
              <w:rPr>
                <w:b/>
                <w:i/>
              </w:rPr>
              <w:t>Has the MTW PHA submitted a RAD Significant Amendment in the appendix? A RAD Significant Amendment should only be included if it is a new or amended version that requires HUD approval.</w:t>
            </w:r>
          </w:p>
        </w:tc>
        <w:tc>
          <w:tcPr>
            <w:tcW w:w="1525" w:type="dxa"/>
            <w:tcBorders>
              <w:top w:val="nil"/>
              <w:left w:val="nil"/>
              <w:bottom w:val="nil"/>
              <w:right w:val="nil"/>
            </w:tcBorders>
            <w:vAlign w:val="bottom"/>
          </w:tcPr>
          <w:p w14:paraId="087D37A4" w14:textId="77777777" w:rsidR="00126A66" w:rsidRPr="0088154E" w:rsidRDefault="00126A66" w:rsidP="00EA78E5">
            <w:pPr>
              <w:rPr>
                <w:sz w:val="22"/>
                <w:szCs w:val="22"/>
              </w:rPr>
            </w:pPr>
          </w:p>
        </w:tc>
      </w:tr>
      <w:tr w:rsidR="00126A66" w:rsidRPr="0088154E" w14:paraId="043EB785" w14:textId="77777777" w:rsidTr="002F0EF5">
        <w:trPr>
          <w:trHeight w:val="180"/>
        </w:trPr>
        <w:tc>
          <w:tcPr>
            <w:tcW w:w="7825" w:type="dxa"/>
            <w:vMerge/>
            <w:tcBorders>
              <w:left w:val="nil"/>
              <w:right w:val="nil"/>
            </w:tcBorders>
            <w:vAlign w:val="bottom"/>
          </w:tcPr>
          <w:p w14:paraId="2608F982" w14:textId="77777777" w:rsidR="00126A66" w:rsidRPr="0088154E" w:rsidRDefault="00126A66" w:rsidP="00AA5A80">
            <w:pPr>
              <w:pStyle w:val="ListParagraph"/>
              <w:numPr>
                <w:ilvl w:val="8"/>
                <w:numId w:val="22"/>
              </w:numPr>
              <w:ind w:left="250"/>
              <w:rPr>
                <w:b/>
              </w:rPr>
            </w:pPr>
          </w:p>
        </w:tc>
        <w:tc>
          <w:tcPr>
            <w:tcW w:w="1525" w:type="dxa"/>
            <w:tcBorders>
              <w:top w:val="nil"/>
              <w:left w:val="nil"/>
              <w:bottom w:val="single" w:sz="4" w:space="0" w:color="auto"/>
              <w:right w:val="nil"/>
            </w:tcBorders>
            <w:vAlign w:val="bottom"/>
          </w:tcPr>
          <w:p w14:paraId="4158BC5B" w14:textId="77777777" w:rsidR="00126A66" w:rsidRPr="0088154E" w:rsidRDefault="00126A66" w:rsidP="00EA78E5">
            <w:pPr>
              <w:rPr>
                <w:sz w:val="22"/>
                <w:szCs w:val="22"/>
              </w:rPr>
            </w:pPr>
          </w:p>
        </w:tc>
      </w:tr>
      <w:tr w:rsidR="00126A66" w:rsidRPr="0088154E" w14:paraId="58C42920" w14:textId="77777777" w:rsidTr="002F0EF5">
        <w:trPr>
          <w:trHeight w:val="180"/>
        </w:trPr>
        <w:tc>
          <w:tcPr>
            <w:tcW w:w="7825" w:type="dxa"/>
            <w:vMerge/>
            <w:tcBorders>
              <w:left w:val="nil"/>
              <w:bottom w:val="nil"/>
              <w:right w:val="single" w:sz="4" w:space="0" w:color="auto"/>
            </w:tcBorders>
            <w:vAlign w:val="bottom"/>
          </w:tcPr>
          <w:p w14:paraId="75130F3A" w14:textId="77777777" w:rsidR="00126A66" w:rsidRPr="0088154E" w:rsidRDefault="00126A66" w:rsidP="00AA5A80">
            <w:pPr>
              <w:pStyle w:val="ListParagraph"/>
              <w:numPr>
                <w:ilvl w:val="8"/>
                <w:numId w:val="22"/>
              </w:numPr>
              <w:ind w:left="250"/>
              <w:rPr>
                <w:b/>
              </w:rPr>
            </w:pPr>
          </w:p>
        </w:tc>
        <w:tc>
          <w:tcPr>
            <w:tcW w:w="1525" w:type="dxa"/>
            <w:tcBorders>
              <w:top w:val="single" w:sz="4" w:space="0" w:color="auto"/>
              <w:left w:val="single" w:sz="4" w:space="0" w:color="auto"/>
              <w:bottom w:val="single" w:sz="4" w:space="0" w:color="auto"/>
              <w:right w:val="single" w:sz="4" w:space="0" w:color="auto"/>
            </w:tcBorders>
            <w:vAlign w:val="bottom"/>
          </w:tcPr>
          <w:p w14:paraId="773C20D3" w14:textId="593BA139" w:rsidR="00126A66" w:rsidRPr="0088154E" w:rsidRDefault="00E33DE6" w:rsidP="00EA78E5">
            <w:pPr>
              <w:rPr>
                <w:sz w:val="22"/>
                <w:szCs w:val="22"/>
              </w:rPr>
            </w:pPr>
            <w:r w:rsidRPr="0088154E">
              <w:rPr>
                <w:sz w:val="22"/>
                <w:szCs w:val="22"/>
              </w:rPr>
              <w:t>No</w:t>
            </w:r>
          </w:p>
        </w:tc>
      </w:tr>
    </w:tbl>
    <w:p w14:paraId="04AFD291" w14:textId="31F3E310" w:rsidR="00126A66" w:rsidRPr="0088154E" w:rsidRDefault="00126A66" w:rsidP="00126A66">
      <w:pPr>
        <w:ind w:left="360"/>
        <w:rPr>
          <w:sz w:val="22"/>
          <w:szCs w:val="22"/>
        </w:rPr>
      </w:pPr>
    </w:p>
    <w:p w14:paraId="01AD874E" w14:textId="16521E29" w:rsidR="007A0C52" w:rsidRPr="0088154E" w:rsidRDefault="007F46FC" w:rsidP="00AA5A80">
      <w:pPr>
        <w:pStyle w:val="ListParagraph"/>
        <w:numPr>
          <w:ilvl w:val="0"/>
          <w:numId w:val="23"/>
        </w:numPr>
        <w:ind w:left="720" w:hanging="360"/>
        <w:rPr>
          <w:b/>
          <w:i/>
        </w:rPr>
      </w:pPr>
      <w:r w:rsidRPr="0088154E">
        <w:rPr>
          <w:b/>
          <w:i/>
        </w:rPr>
        <w:t>If the MTW PHA has provided a RAD Sig</w:t>
      </w:r>
      <w:r w:rsidR="00E017DB" w:rsidRPr="0088154E">
        <w:rPr>
          <w:b/>
          <w:i/>
        </w:rPr>
        <w:t>nificant Amendment in the appendix, please state whether it is the first RAD Significant Amendment submitted or describe any proposed changes from the prior RAD Significant Amendment.</w:t>
      </w:r>
    </w:p>
    <w:p w14:paraId="675BCBDB" w14:textId="10E11EE6" w:rsidR="00E017DB" w:rsidRPr="0088154E" w:rsidRDefault="00E017DB" w:rsidP="00E017DB">
      <w:pPr>
        <w:pStyle w:val="ListParagraph"/>
        <w:numPr>
          <w:ilvl w:val="0"/>
          <w:numId w:val="0"/>
        </w:numPr>
        <w:ind w:left="720"/>
        <w:rPr>
          <w:b/>
          <w:i/>
        </w:rPr>
      </w:pPr>
    </w:p>
    <w:tbl>
      <w:tblPr>
        <w:tblW w:w="0" w:type="auto"/>
        <w:tblInd w:w="535" w:type="dxa"/>
        <w:tblLook w:val="04A0" w:firstRow="1" w:lastRow="0" w:firstColumn="1" w:lastColumn="0" w:noHBand="0" w:noVBand="1"/>
      </w:tblPr>
      <w:tblGrid>
        <w:gridCol w:w="8815"/>
      </w:tblGrid>
      <w:tr w:rsidR="00E017DB" w:rsidRPr="00F83DD8" w14:paraId="09D83345" w14:textId="77777777" w:rsidTr="002F0EF5">
        <w:tc>
          <w:tcPr>
            <w:tcW w:w="8815" w:type="dxa"/>
            <w:tcBorders>
              <w:top w:val="single" w:sz="4" w:space="0" w:color="auto"/>
              <w:left w:val="single" w:sz="4" w:space="0" w:color="auto"/>
              <w:bottom w:val="single" w:sz="4" w:space="0" w:color="auto"/>
              <w:right w:val="single" w:sz="4" w:space="0" w:color="auto"/>
            </w:tcBorders>
          </w:tcPr>
          <w:p w14:paraId="6994BB09" w14:textId="7DE269FB" w:rsidR="00E017DB" w:rsidRPr="00F83DD8" w:rsidRDefault="00E33DE6" w:rsidP="00E017DB">
            <w:pPr>
              <w:pStyle w:val="ListParagraph"/>
              <w:numPr>
                <w:ilvl w:val="0"/>
                <w:numId w:val="0"/>
              </w:numPr>
            </w:pPr>
            <w:r w:rsidRPr="0088154E">
              <w:t>Not applicable</w:t>
            </w:r>
          </w:p>
        </w:tc>
      </w:tr>
    </w:tbl>
    <w:p w14:paraId="276B1BBF" w14:textId="77777777" w:rsidR="00E017DB" w:rsidRPr="00E017DB" w:rsidRDefault="00E017DB" w:rsidP="00E017DB">
      <w:pPr>
        <w:pStyle w:val="ListParagraph"/>
        <w:numPr>
          <w:ilvl w:val="0"/>
          <w:numId w:val="0"/>
        </w:numPr>
        <w:ind w:left="720"/>
      </w:pPr>
    </w:p>
    <w:p w14:paraId="7D98B290" w14:textId="77777777" w:rsidR="00126A66" w:rsidRDefault="00126A66" w:rsidP="003F655B">
      <w:pPr>
        <w:pStyle w:val="Heading1"/>
        <w:rPr>
          <w:rFonts w:ascii="Times New Roman" w:hAnsi="Times New Roman"/>
        </w:rPr>
        <w:sectPr w:rsidR="00126A66" w:rsidSect="00F61294">
          <w:pgSz w:w="12240" w:h="15840"/>
          <w:pgMar w:top="1440" w:right="1440" w:bottom="1440" w:left="1440" w:header="720" w:footer="720" w:gutter="0"/>
          <w:cols w:space="720"/>
          <w:docGrid w:linePitch="360"/>
        </w:sectPr>
      </w:pPr>
      <w:bookmarkStart w:id="91" w:name="_Toc415115910"/>
    </w:p>
    <w:p w14:paraId="24F9BEDE" w14:textId="09056631" w:rsidR="00A91BB8" w:rsidRPr="00AC6328" w:rsidRDefault="00A91BB8" w:rsidP="00AC6328">
      <w:pPr>
        <w:pStyle w:val="Heading1"/>
        <w:pBdr>
          <w:bottom w:val="single" w:sz="4" w:space="1" w:color="auto"/>
        </w:pBdr>
        <w:ind w:left="360" w:hanging="360"/>
        <w:rPr>
          <w:rFonts w:ascii="Times New Roman" w:hAnsi="Times New Roman"/>
          <w:sz w:val="36"/>
          <w:szCs w:val="36"/>
        </w:rPr>
      </w:pPr>
      <w:bookmarkStart w:id="92" w:name="_Toc33016966"/>
      <w:r w:rsidRPr="00AC6328">
        <w:rPr>
          <w:rFonts w:ascii="Times New Roman" w:hAnsi="Times New Roman"/>
          <w:sz w:val="36"/>
          <w:szCs w:val="36"/>
        </w:rPr>
        <w:t xml:space="preserve">VI. </w:t>
      </w:r>
      <w:r w:rsidR="00085EF9" w:rsidRPr="00AC6328">
        <w:rPr>
          <w:rFonts w:ascii="Times New Roman" w:hAnsi="Times New Roman"/>
          <w:sz w:val="36"/>
          <w:szCs w:val="36"/>
        </w:rPr>
        <w:t>Administrative</w:t>
      </w:r>
      <w:bookmarkEnd w:id="91"/>
      <w:bookmarkEnd w:id="92"/>
      <w:r w:rsidR="00AD1733" w:rsidRPr="00AC6328">
        <w:rPr>
          <w:rFonts w:ascii="Times New Roman" w:hAnsi="Times New Roman"/>
          <w:sz w:val="36"/>
          <w:szCs w:val="36"/>
        </w:rPr>
        <w:t xml:space="preserve"> </w:t>
      </w:r>
    </w:p>
    <w:p w14:paraId="1C1C0E3C" w14:textId="77777777" w:rsidR="003F655B" w:rsidRPr="00E94B9C" w:rsidRDefault="003F655B" w:rsidP="003F655B"/>
    <w:p w14:paraId="127EC5E4" w14:textId="77777777" w:rsidR="00FB1126" w:rsidRPr="00FB1126" w:rsidRDefault="00FB1126" w:rsidP="00FB1126">
      <w:pPr>
        <w:rPr>
          <w:b/>
        </w:rPr>
      </w:pPr>
    </w:p>
    <w:p w14:paraId="76C93FEC" w14:textId="77777777" w:rsidR="00FB1126" w:rsidRPr="00904712" w:rsidRDefault="00070E90" w:rsidP="00AA5A80">
      <w:pPr>
        <w:pStyle w:val="Heading3"/>
        <w:numPr>
          <w:ilvl w:val="0"/>
          <w:numId w:val="34"/>
        </w:numPr>
      </w:pPr>
      <w:bookmarkStart w:id="93" w:name="_Toc33016967"/>
      <w:r w:rsidRPr="00904712">
        <w:t>Board Resolution and Certifications of Compliance</w:t>
      </w:r>
      <w:bookmarkEnd w:id="93"/>
    </w:p>
    <w:p w14:paraId="6640E44F" w14:textId="77777777" w:rsidR="00074854" w:rsidRPr="00904712" w:rsidRDefault="00074854" w:rsidP="00CE5522">
      <w:pPr>
        <w:jc w:val="both"/>
        <w:rPr>
          <w:sz w:val="22"/>
          <w:szCs w:val="22"/>
        </w:rPr>
      </w:pPr>
    </w:p>
    <w:p w14:paraId="728801BE" w14:textId="025BE3F2" w:rsidR="00CE5522" w:rsidRPr="00F83DD8" w:rsidRDefault="0033020A" w:rsidP="00CE5522">
      <w:pPr>
        <w:jc w:val="both"/>
        <w:rPr>
          <w:color w:val="000000"/>
          <w:sz w:val="22"/>
          <w:szCs w:val="22"/>
        </w:rPr>
      </w:pPr>
      <w:r w:rsidRPr="00904712">
        <w:rPr>
          <w:sz w:val="22"/>
          <w:szCs w:val="22"/>
        </w:rPr>
        <w:t>DHCD does not have a Board of Commissioners and, therefore, does not have a Boar</w:t>
      </w:r>
      <w:r w:rsidR="002F0EF5" w:rsidRPr="00904712">
        <w:rPr>
          <w:sz w:val="22"/>
          <w:szCs w:val="22"/>
        </w:rPr>
        <w:t>d resolution process in place. </w:t>
      </w:r>
      <w:r w:rsidRPr="00904712">
        <w:rPr>
          <w:sz w:val="22"/>
          <w:szCs w:val="22"/>
        </w:rPr>
        <w:t>DHCD’s Undersecretary</w:t>
      </w:r>
      <w:r w:rsidRPr="00546BD4">
        <w:rPr>
          <w:sz w:val="22"/>
          <w:szCs w:val="22"/>
        </w:rPr>
        <w:t xml:space="preserve"> is the official authorized to sign the attached Certifications of Compliance.</w:t>
      </w:r>
      <w:r w:rsidRPr="00546BD4">
        <w:rPr>
          <w:rFonts w:asciiTheme="minorHAnsi" w:hAnsiTheme="minorHAnsi"/>
          <w:sz w:val="22"/>
          <w:szCs w:val="22"/>
        </w:rPr>
        <w:t xml:space="preserve"> </w:t>
      </w:r>
      <w:r w:rsidR="00CE5522" w:rsidRPr="00546BD4">
        <w:rPr>
          <w:color w:val="000000"/>
          <w:sz w:val="22"/>
          <w:szCs w:val="22"/>
        </w:rPr>
        <w:t xml:space="preserve">The required signed MTW Annual Plan Certifications of Compliance with Regulations is attached in </w:t>
      </w:r>
      <w:r w:rsidR="00546BD4" w:rsidRPr="00546BD4">
        <w:rPr>
          <w:sz w:val="22"/>
          <w:szCs w:val="22"/>
        </w:rPr>
        <w:t>Appendix B</w:t>
      </w:r>
      <w:r w:rsidR="00CE5522" w:rsidRPr="00546BD4">
        <w:rPr>
          <w:sz w:val="22"/>
          <w:szCs w:val="22"/>
        </w:rPr>
        <w:t>.</w:t>
      </w:r>
    </w:p>
    <w:p w14:paraId="2B3217E2" w14:textId="11FADFA1" w:rsidR="00FB1126" w:rsidRDefault="00FB1126" w:rsidP="001F2A56">
      <w:pPr>
        <w:pStyle w:val="Heading3"/>
      </w:pPr>
    </w:p>
    <w:p w14:paraId="2CE661DE" w14:textId="38D70045" w:rsidR="00070E90" w:rsidRPr="00A4246A" w:rsidRDefault="00070E90" w:rsidP="00AA5A80">
      <w:pPr>
        <w:pStyle w:val="Heading3"/>
        <w:numPr>
          <w:ilvl w:val="0"/>
          <w:numId w:val="34"/>
        </w:numPr>
      </w:pPr>
      <w:bookmarkStart w:id="94" w:name="_Toc33016968"/>
      <w:r w:rsidRPr="00A4246A">
        <w:t>Documentation of Public Process</w:t>
      </w:r>
      <w:bookmarkEnd w:id="94"/>
    </w:p>
    <w:p w14:paraId="4D590EB8" w14:textId="77777777" w:rsidR="00070E90" w:rsidRPr="00A4246A" w:rsidRDefault="00070E90" w:rsidP="00070E90">
      <w:pPr>
        <w:pStyle w:val="ListParagraph"/>
        <w:numPr>
          <w:ilvl w:val="0"/>
          <w:numId w:val="0"/>
        </w:numPr>
        <w:ind w:left="450"/>
      </w:pPr>
    </w:p>
    <w:p w14:paraId="77C586FF" w14:textId="410A7975" w:rsidR="006B68F7" w:rsidRPr="0088154E" w:rsidRDefault="006B68F7" w:rsidP="006B68F7">
      <w:pPr>
        <w:jc w:val="both"/>
        <w:rPr>
          <w:color w:val="FF0000"/>
          <w:sz w:val="22"/>
          <w:szCs w:val="22"/>
        </w:rPr>
      </w:pPr>
      <w:r w:rsidRPr="0088154E">
        <w:rPr>
          <w:sz w:val="22"/>
          <w:szCs w:val="22"/>
        </w:rPr>
        <w:t xml:space="preserve">DHCD provided public notice of the draft Annual Plan.  The public comment period extended from </w:t>
      </w:r>
      <w:r w:rsidR="00174B45" w:rsidRPr="0088154E">
        <w:rPr>
          <w:sz w:val="22"/>
          <w:szCs w:val="22"/>
        </w:rPr>
        <w:t>February 28</w:t>
      </w:r>
      <w:r w:rsidR="000E7883" w:rsidRPr="0088154E">
        <w:rPr>
          <w:sz w:val="22"/>
          <w:szCs w:val="22"/>
        </w:rPr>
        <w:t>, 2020</w:t>
      </w:r>
      <w:r w:rsidR="009D5067" w:rsidRPr="0088154E">
        <w:rPr>
          <w:sz w:val="22"/>
          <w:szCs w:val="22"/>
        </w:rPr>
        <w:t xml:space="preserve"> thr</w:t>
      </w:r>
      <w:r w:rsidR="0033529B" w:rsidRPr="0088154E">
        <w:rPr>
          <w:sz w:val="22"/>
          <w:szCs w:val="22"/>
        </w:rPr>
        <w:t xml:space="preserve">ough </w:t>
      </w:r>
      <w:r w:rsidR="00174B45" w:rsidRPr="0088154E">
        <w:rPr>
          <w:sz w:val="22"/>
          <w:szCs w:val="22"/>
        </w:rPr>
        <w:t>March 30</w:t>
      </w:r>
      <w:r w:rsidR="000E7883" w:rsidRPr="0088154E">
        <w:rPr>
          <w:sz w:val="22"/>
          <w:szCs w:val="22"/>
        </w:rPr>
        <w:t>, 2020</w:t>
      </w:r>
      <w:r w:rsidRPr="0088154E">
        <w:rPr>
          <w:sz w:val="22"/>
          <w:szCs w:val="22"/>
        </w:rPr>
        <w:t>.  Open public hea</w:t>
      </w:r>
      <w:r w:rsidR="009D5067" w:rsidRPr="0088154E">
        <w:rPr>
          <w:sz w:val="22"/>
          <w:szCs w:val="22"/>
        </w:rPr>
        <w:t>r</w:t>
      </w:r>
      <w:r w:rsidR="001705B3" w:rsidRPr="0088154E">
        <w:rPr>
          <w:sz w:val="22"/>
          <w:szCs w:val="22"/>
        </w:rPr>
        <w:t>ings were conducted on March 25</w:t>
      </w:r>
      <w:r w:rsidR="005A1EED" w:rsidRPr="0088154E">
        <w:rPr>
          <w:sz w:val="22"/>
          <w:szCs w:val="22"/>
        </w:rPr>
        <w:t>,</w:t>
      </w:r>
      <w:r w:rsidR="001705B3" w:rsidRPr="0088154E">
        <w:rPr>
          <w:sz w:val="22"/>
          <w:szCs w:val="22"/>
        </w:rPr>
        <w:t xml:space="preserve"> 2020</w:t>
      </w:r>
      <w:r w:rsidR="009D5067" w:rsidRPr="0088154E">
        <w:rPr>
          <w:sz w:val="22"/>
          <w:szCs w:val="22"/>
        </w:rPr>
        <w:t xml:space="preserve"> in Springfield, </w:t>
      </w:r>
      <w:r w:rsidR="009D5067" w:rsidRPr="00DA2E5B">
        <w:rPr>
          <w:sz w:val="22"/>
          <w:szCs w:val="22"/>
        </w:rPr>
        <w:t>MA (</w:t>
      </w:r>
      <w:r w:rsidR="0088154E" w:rsidRPr="00DA2E5B">
        <w:rPr>
          <w:sz w:val="22"/>
          <w:szCs w:val="22"/>
        </w:rPr>
        <w:t>X in attendance</w:t>
      </w:r>
      <w:r w:rsidRPr="00DA2E5B">
        <w:rPr>
          <w:sz w:val="22"/>
          <w:szCs w:val="22"/>
        </w:rPr>
        <w:t>) and Marc</w:t>
      </w:r>
      <w:r w:rsidR="000E7883" w:rsidRPr="00DA2E5B">
        <w:rPr>
          <w:sz w:val="22"/>
          <w:szCs w:val="22"/>
        </w:rPr>
        <w:t>h 23, 2020</w:t>
      </w:r>
      <w:r w:rsidR="009D5067" w:rsidRPr="00DA2E5B">
        <w:rPr>
          <w:sz w:val="22"/>
          <w:szCs w:val="22"/>
        </w:rPr>
        <w:t xml:space="preserve"> in Boston, MA </w:t>
      </w:r>
      <w:r w:rsidR="0088154E" w:rsidRPr="00DA2E5B">
        <w:rPr>
          <w:sz w:val="22"/>
          <w:szCs w:val="22"/>
        </w:rPr>
        <w:t>(X</w:t>
      </w:r>
      <w:r w:rsidRPr="00DA2E5B">
        <w:rPr>
          <w:sz w:val="22"/>
          <w:szCs w:val="22"/>
        </w:rPr>
        <w:t xml:space="preserve"> in attendance).</w:t>
      </w:r>
      <w:bookmarkStart w:id="95" w:name="_GoBack"/>
      <w:bookmarkEnd w:id="95"/>
      <w:r w:rsidRPr="00C21315">
        <w:rPr>
          <w:sz w:val="22"/>
          <w:szCs w:val="22"/>
        </w:rPr>
        <w:t xml:space="preserve">  </w:t>
      </w:r>
      <w:r w:rsidRPr="0088154E">
        <w:rPr>
          <w:sz w:val="22"/>
          <w:szCs w:val="22"/>
        </w:rPr>
        <w:t xml:space="preserve">Copies of </w:t>
      </w:r>
      <w:r w:rsidR="00CB0162" w:rsidRPr="0088154E">
        <w:rPr>
          <w:sz w:val="22"/>
          <w:szCs w:val="22"/>
        </w:rPr>
        <w:t>public notices, a summary of comments and responses</w:t>
      </w:r>
      <w:r w:rsidRPr="0088154E">
        <w:rPr>
          <w:sz w:val="22"/>
          <w:szCs w:val="22"/>
        </w:rPr>
        <w:t>, and sign-in s</w:t>
      </w:r>
      <w:r w:rsidR="005A1EED" w:rsidRPr="0088154E">
        <w:rPr>
          <w:sz w:val="22"/>
          <w:szCs w:val="22"/>
        </w:rPr>
        <w:t xml:space="preserve">heets are attached in Appendix </w:t>
      </w:r>
      <w:r w:rsidR="00546BD4" w:rsidRPr="0088154E">
        <w:rPr>
          <w:sz w:val="22"/>
          <w:szCs w:val="22"/>
        </w:rPr>
        <w:t>C</w:t>
      </w:r>
      <w:r w:rsidRPr="0088154E">
        <w:rPr>
          <w:color w:val="FF0000"/>
          <w:sz w:val="22"/>
          <w:szCs w:val="22"/>
        </w:rPr>
        <w:t>.</w:t>
      </w:r>
    </w:p>
    <w:p w14:paraId="167E52B1" w14:textId="77777777" w:rsidR="00CE5522" w:rsidRPr="0088154E" w:rsidRDefault="00CE5522" w:rsidP="006B68F7">
      <w:pPr>
        <w:jc w:val="both"/>
        <w:rPr>
          <w:color w:val="FF0000"/>
          <w:sz w:val="22"/>
          <w:szCs w:val="22"/>
        </w:rPr>
      </w:pPr>
    </w:p>
    <w:p w14:paraId="28016810" w14:textId="251B971F" w:rsidR="00070E90" w:rsidRPr="0088154E" w:rsidRDefault="00070E90" w:rsidP="00AA5A80">
      <w:pPr>
        <w:pStyle w:val="Heading3"/>
        <w:numPr>
          <w:ilvl w:val="0"/>
          <w:numId w:val="35"/>
        </w:numPr>
      </w:pPr>
      <w:bookmarkStart w:id="96" w:name="_Toc33016969"/>
      <w:r w:rsidRPr="0088154E">
        <w:t xml:space="preserve">Planned and </w:t>
      </w:r>
      <w:r w:rsidR="00DC346A" w:rsidRPr="0088154E">
        <w:t>O</w:t>
      </w:r>
      <w:r w:rsidRPr="0088154E">
        <w:t>ngoing Evaluations</w:t>
      </w:r>
      <w:bookmarkEnd w:id="96"/>
    </w:p>
    <w:p w14:paraId="22C6FA05" w14:textId="59D015B7" w:rsidR="006B68F7" w:rsidRDefault="006B68F7" w:rsidP="006B68F7">
      <w:pPr>
        <w:ind w:left="90"/>
        <w:jc w:val="both"/>
        <w:rPr>
          <w:color w:val="000000"/>
        </w:rPr>
      </w:pPr>
    </w:p>
    <w:p w14:paraId="44A67960" w14:textId="77777777" w:rsidR="00067C44" w:rsidRPr="00067C44" w:rsidRDefault="006B68F7" w:rsidP="00614077">
      <w:pPr>
        <w:ind w:left="90"/>
        <w:jc w:val="both"/>
        <w:rPr>
          <w:sz w:val="22"/>
          <w:szCs w:val="22"/>
        </w:rPr>
      </w:pPr>
      <w:r w:rsidRPr="00067C44">
        <w:rPr>
          <w:sz w:val="22"/>
          <w:szCs w:val="22"/>
        </w:rPr>
        <w:t xml:space="preserve">DHCD, in collaboration with its network of Regional Administering Agencies, utilizes internal resources to track and monitor performance of proposed and ongoing MTW activities. </w:t>
      </w:r>
    </w:p>
    <w:p w14:paraId="0E230D7F" w14:textId="77777777" w:rsidR="00067C44" w:rsidRPr="00067C44" w:rsidRDefault="00067C44" w:rsidP="00614077">
      <w:pPr>
        <w:ind w:left="90"/>
        <w:jc w:val="both"/>
        <w:rPr>
          <w:sz w:val="22"/>
          <w:szCs w:val="22"/>
        </w:rPr>
      </w:pPr>
    </w:p>
    <w:p w14:paraId="16D19782" w14:textId="5993D164" w:rsidR="00067C44" w:rsidRDefault="00614077" w:rsidP="00067C44">
      <w:pPr>
        <w:ind w:left="90"/>
        <w:jc w:val="both"/>
        <w:rPr>
          <w:sz w:val="22"/>
          <w:szCs w:val="22"/>
        </w:rPr>
      </w:pPr>
      <w:r w:rsidRPr="00067C44">
        <w:rPr>
          <w:sz w:val="22"/>
          <w:szCs w:val="22"/>
        </w:rPr>
        <w:t>In</w:t>
      </w:r>
      <w:r w:rsidR="004446B0" w:rsidRPr="00067C44">
        <w:rPr>
          <w:sz w:val="22"/>
          <w:szCs w:val="22"/>
        </w:rPr>
        <w:t xml:space="preserve"> </w:t>
      </w:r>
      <w:r w:rsidR="001705B3">
        <w:rPr>
          <w:sz w:val="22"/>
          <w:szCs w:val="22"/>
        </w:rPr>
        <w:t xml:space="preserve">FY 2020, DHCD </w:t>
      </w:r>
      <w:r w:rsidR="004446B0" w:rsidRPr="00067C44">
        <w:rPr>
          <w:sz w:val="22"/>
          <w:szCs w:val="22"/>
        </w:rPr>
        <w:t>select</w:t>
      </w:r>
      <w:r w:rsidR="001705B3">
        <w:rPr>
          <w:sz w:val="22"/>
          <w:szCs w:val="22"/>
        </w:rPr>
        <w:t>ed</w:t>
      </w:r>
      <w:r w:rsidR="004446B0" w:rsidRPr="00067C44">
        <w:rPr>
          <w:sz w:val="22"/>
          <w:szCs w:val="22"/>
        </w:rPr>
        <w:t xml:space="preserve"> third party evaluators to begin program evaluations of two MTW programs, ABL</w:t>
      </w:r>
      <w:r w:rsidR="00067C44">
        <w:rPr>
          <w:sz w:val="22"/>
          <w:szCs w:val="22"/>
        </w:rPr>
        <w:t xml:space="preserve"> and Launch. Program evaluators</w:t>
      </w:r>
      <w:r w:rsidR="004446B0" w:rsidRPr="00067C44">
        <w:rPr>
          <w:sz w:val="22"/>
          <w:szCs w:val="22"/>
        </w:rPr>
        <w:t xml:space="preserve"> will collect data and information to assess the performance and success of the</w:t>
      </w:r>
      <w:r w:rsidR="00067C44">
        <w:rPr>
          <w:sz w:val="22"/>
          <w:szCs w:val="22"/>
        </w:rPr>
        <w:t>se</w:t>
      </w:r>
      <w:r w:rsidR="004446B0" w:rsidRPr="00067C44">
        <w:rPr>
          <w:sz w:val="22"/>
          <w:szCs w:val="22"/>
        </w:rPr>
        <w:t xml:space="preserve"> targeted MTW initiatives. </w:t>
      </w:r>
      <w:r w:rsidR="00067C44" w:rsidRPr="00067C44">
        <w:rPr>
          <w:sz w:val="22"/>
          <w:szCs w:val="22"/>
        </w:rPr>
        <w:t xml:space="preserve">The ABL evaluation will be ongoing through the life of the three year program. </w:t>
      </w:r>
    </w:p>
    <w:p w14:paraId="220DAAB0" w14:textId="77777777" w:rsidR="00067C44" w:rsidRDefault="00067C44" w:rsidP="00067C44">
      <w:pPr>
        <w:ind w:left="90"/>
        <w:jc w:val="both"/>
        <w:rPr>
          <w:sz w:val="22"/>
          <w:szCs w:val="22"/>
        </w:rPr>
      </w:pPr>
    </w:p>
    <w:p w14:paraId="10E3BBD0" w14:textId="7901DCDA" w:rsidR="00067C44" w:rsidRDefault="00067C44" w:rsidP="00067C44">
      <w:pPr>
        <w:ind w:left="90"/>
        <w:jc w:val="both"/>
        <w:rPr>
          <w:sz w:val="22"/>
          <w:szCs w:val="22"/>
        </w:rPr>
      </w:pPr>
      <w:r w:rsidRPr="00067C44">
        <w:rPr>
          <w:sz w:val="22"/>
          <w:szCs w:val="22"/>
        </w:rPr>
        <w:t xml:space="preserve">For the Launch program, program design for the evaluation has been completed. The evaluation is planned through April 30, 2021 and includes: </w:t>
      </w:r>
    </w:p>
    <w:p w14:paraId="5782A170" w14:textId="77777777" w:rsidR="00F72DF2" w:rsidRPr="00067C44" w:rsidRDefault="00F72DF2" w:rsidP="00067C44">
      <w:pPr>
        <w:ind w:left="90"/>
        <w:jc w:val="both"/>
        <w:rPr>
          <w:sz w:val="22"/>
          <w:szCs w:val="22"/>
        </w:rPr>
      </w:pPr>
    </w:p>
    <w:p w14:paraId="50ACB753" w14:textId="74299788" w:rsidR="00067C44" w:rsidRPr="00067C44" w:rsidRDefault="00067C44" w:rsidP="00067C44">
      <w:pPr>
        <w:pStyle w:val="ListParagraph"/>
        <w:numPr>
          <w:ilvl w:val="0"/>
          <w:numId w:val="66"/>
        </w:numPr>
      </w:pPr>
      <w:r w:rsidRPr="00067C44">
        <w:t>A Field Scan looking at comparable inte</w:t>
      </w:r>
      <w:r w:rsidR="00F72DF2">
        <w:t>rventions for opportunity youth;</w:t>
      </w:r>
      <w:r w:rsidRPr="00067C44">
        <w:t xml:space="preserve">  </w:t>
      </w:r>
    </w:p>
    <w:p w14:paraId="36272AAD" w14:textId="115F1AAC" w:rsidR="00067C44" w:rsidRPr="00067C44" w:rsidRDefault="00067C44" w:rsidP="00067C44">
      <w:pPr>
        <w:pStyle w:val="ListParagraph"/>
        <w:numPr>
          <w:ilvl w:val="0"/>
          <w:numId w:val="66"/>
        </w:numPr>
      </w:pPr>
      <w:r w:rsidRPr="00067C44">
        <w:t>A review of the characteristics of Launch participants and how those connect to outcomes</w:t>
      </w:r>
      <w:r w:rsidR="00F72DF2">
        <w:t>;</w:t>
      </w:r>
    </w:p>
    <w:p w14:paraId="44E49D58" w14:textId="7269247D" w:rsidR="00067C44" w:rsidRDefault="00067C44" w:rsidP="00067C44">
      <w:pPr>
        <w:pStyle w:val="ListParagraph"/>
        <w:numPr>
          <w:ilvl w:val="0"/>
          <w:numId w:val="66"/>
        </w:numPr>
      </w:pPr>
      <w:r w:rsidRPr="00067C44">
        <w:t>In</w:t>
      </w:r>
      <w:r w:rsidR="00F72DF2">
        <w:t>terviews of Launch participants; and,</w:t>
      </w:r>
      <w:r w:rsidRPr="00067C44">
        <w:t xml:space="preserve"> </w:t>
      </w:r>
    </w:p>
    <w:p w14:paraId="2189527F" w14:textId="0231DCD0" w:rsidR="00067C44" w:rsidRDefault="00067C44" w:rsidP="00067C44">
      <w:pPr>
        <w:pStyle w:val="ListParagraph"/>
        <w:numPr>
          <w:ilvl w:val="0"/>
          <w:numId w:val="66"/>
        </w:numPr>
      </w:pPr>
      <w:r w:rsidRPr="00067C44">
        <w:t>Implementation of a social/emotional survey tool to assess how participants</w:t>
      </w:r>
      <w:r w:rsidR="00990F72">
        <w:t>’</w:t>
      </w:r>
      <w:r w:rsidRPr="00067C44">
        <w:t xml:space="preserve"> sense </w:t>
      </w:r>
      <w:r w:rsidR="00F72DF2">
        <w:t>of agency has changed over time.</w:t>
      </w:r>
    </w:p>
    <w:p w14:paraId="6A3AD33A" w14:textId="77777777" w:rsidR="00067C44" w:rsidRPr="00067C44" w:rsidRDefault="00067C44" w:rsidP="00067C44">
      <w:pPr>
        <w:pStyle w:val="ListParagraph"/>
        <w:numPr>
          <w:ilvl w:val="0"/>
          <w:numId w:val="0"/>
        </w:numPr>
        <w:ind w:left="720"/>
      </w:pPr>
    </w:p>
    <w:p w14:paraId="5A954EC5" w14:textId="33D098AD" w:rsidR="00067C44" w:rsidRPr="00614077" w:rsidRDefault="00067C44" w:rsidP="00067C44">
      <w:pPr>
        <w:jc w:val="both"/>
        <w:rPr>
          <w:sz w:val="22"/>
          <w:szCs w:val="22"/>
        </w:rPr>
      </w:pPr>
      <w:r>
        <w:rPr>
          <w:sz w:val="22"/>
          <w:szCs w:val="22"/>
        </w:rPr>
        <w:t>DHCD will report on outcomes of all evaluations in the applicable MTW report.</w:t>
      </w:r>
    </w:p>
    <w:p w14:paraId="0A4B40D7" w14:textId="77777777" w:rsidR="00CE5522" w:rsidRPr="003310E2" w:rsidRDefault="00CE5522" w:rsidP="00070E90">
      <w:pPr>
        <w:pStyle w:val="ListParagraph"/>
        <w:numPr>
          <w:ilvl w:val="0"/>
          <w:numId w:val="0"/>
        </w:numPr>
        <w:ind w:left="450"/>
      </w:pPr>
    </w:p>
    <w:p w14:paraId="14B4213C" w14:textId="798FEF52" w:rsidR="00C9223A" w:rsidRPr="003310E2" w:rsidRDefault="00070E90" w:rsidP="00AA5A80">
      <w:pPr>
        <w:pStyle w:val="Heading3"/>
        <w:numPr>
          <w:ilvl w:val="0"/>
          <w:numId w:val="35"/>
        </w:numPr>
      </w:pPr>
      <w:bookmarkStart w:id="97" w:name="_Toc33016970"/>
      <w:r w:rsidRPr="003310E2">
        <w:t>Lobbying Disclosures</w:t>
      </w:r>
      <w:bookmarkEnd w:id="97"/>
    </w:p>
    <w:p w14:paraId="7779441F" w14:textId="127CDB6F" w:rsidR="00B22956" w:rsidRPr="00F83DD8" w:rsidRDefault="00DF616B" w:rsidP="00C416F2">
      <w:pPr>
        <w:ind w:left="90"/>
        <w:jc w:val="both"/>
        <w:rPr>
          <w:sz w:val="22"/>
          <w:szCs w:val="22"/>
        </w:rPr>
      </w:pPr>
      <w:r w:rsidRPr="003310E2">
        <w:rPr>
          <w:sz w:val="22"/>
          <w:szCs w:val="22"/>
        </w:rPr>
        <w:t>DHCD does not have</w:t>
      </w:r>
      <w:r w:rsidRPr="00F83DD8">
        <w:rPr>
          <w:sz w:val="22"/>
          <w:szCs w:val="22"/>
        </w:rPr>
        <w:t xml:space="preserve"> any lobbying activities to disclose. </w:t>
      </w:r>
      <w:r w:rsidR="00E117E6">
        <w:rPr>
          <w:sz w:val="22"/>
          <w:szCs w:val="22"/>
        </w:rPr>
        <w:t>DHCD has</w:t>
      </w:r>
      <w:r w:rsidR="00BC5640">
        <w:rPr>
          <w:sz w:val="22"/>
          <w:szCs w:val="22"/>
        </w:rPr>
        <w:t xml:space="preserve"> included the</w:t>
      </w:r>
      <w:r w:rsidR="00B22956" w:rsidRPr="00F83DD8">
        <w:rPr>
          <w:sz w:val="22"/>
          <w:szCs w:val="22"/>
        </w:rPr>
        <w:t xml:space="preserve"> Lobbying Activities</w:t>
      </w:r>
      <w:r w:rsidR="00AE6413" w:rsidRPr="00F83DD8">
        <w:rPr>
          <w:sz w:val="22"/>
          <w:szCs w:val="22"/>
        </w:rPr>
        <w:t xml:space="preserve"> (SF-LLL) </w:t>
      </w:r>
      <w:r w:rsidR="00C416F2">
        <w:rPr>
          <w:sz w:val="22"/>
          <w:szCs w:val="22"/>
        </w:rPr>
        <w:t xml:space="preserve">form in Appendix D </w:t>
      </w:r>
      <w:r w:rsidR="00AE6413" w:rsidRPr="00F83DD8">
        <w:rPr>
          <w:sz w:val="22"/>
          <w:szCs w:val="22"/>
        </w:rPr>
        <w:t>and Certification of P</w:t>
      </w:r>
      <w:r w:rsidR="00C416F2">
        <w:rPr>
          <w:sz w:val="22"/>
          <w:szCs w:val="22"/>
        </w:rPr>
        <w:t>ayments (HUD-50071) form in Appendix E</w:t>
      </w:r>
      <w:r w:rsidRPr="00F83DD8">
        <w:rPr>
          <w:sz w:val="22"/>
          <w:szCs w:val="22"/>
        </w:rPr>
        <w:t>.</w:t>
      </w:r>
    </w:p>
    <w:p w14:paraId="21DD0EC2" w14:textId="77777777" w:rsidR="00776248" w:rsidRPr="00776248" w:rsidRDefault="00776248" w:rsidP="00776248"/>
    <w:p w14:paraId="3327A264" w14:textId="77777777" w:rsidR="00085EF9" w:rsidRPr="00E94B9C" w:rsidRDefault="00085EF9" w:rsidP="00085EF9">
      <w:pPr>
        <w:rPr>
          <w:sz w:val="22"/>
          <w:szCs w:val="22"/>
        </w:rPr>
      </w:pPr>
    </w:p>
    <w:p w14:paraId="6897449B" w14:textId="77777777" w:rsidR="00CE5522" w:rsidRDefault="00CE5522" w:rsidP="00292E70">
      <w:pPr>
        <w:jc w:val="both"/>
        <w:sectPr w:rsidR="00CE5522" w:rsidSect="00F61294">
          <w:headerReference w:type="default" r:id="rId13"/>
          <w:pgSz w:w="12240" w:h="15840" w:code="1"/>
          <w:pgMar w:top="1440" w:right="1440" w:bottom="1440" w:left="1440" w:header="720" w:footer="720" w:gutter="0"/>
          <w:cols w:space="720"/>
          <w:docGrid w:linePitch="360"/>
        </w:sectPr>
      </w:pPr>
    </w:p>
    <w:p w14:paraId="60DA3139" w14:textId="67313051" w:rsidR="009C4B78" w:rsidRPr="003310E2" w:rsidRDefault="00196498" w:rsidP="00E466A0">
      <w:pPr>
        <w:pStyle w:val="Heading1"/>
        <w:jc w:val="center"/>
        <w:rPr>
          <w:rFonts w:ascii="Times New Roman" w:hAnsi="Times New Roman"/>
        </w:rPr>
      </w:pPr>
      <w:bookmarkStart w:id="98" w:name="_Toc415115916"/>
      <w:bookmarkStart w:id="99" w:name="_Toc33016971"/>
      <w:r w:rsidRPr="003310E2">
        <w:rPr>
          <w:rFonts w:ascii="Times New Roman" w:hAnsi="Times New Roman"/>
        </w:rPr>
        <w:t>Appendix A</w:t>
      </w:r>
      <w:r w:rsidR="009C4B78" w:rsidRPr="003310E2">
        <w:rPr>
          <w:rFonts w:ascii="Times New Roman" w:hAnsi="Times New Roman"/>
        </w:rPr>
        <w:t>: Listing of Regional Administering Agencies</w:t>
      </w:r>
      <w:bookmarkEnd w:id="98"/>
      <w:bookmarkEnd w:id="99"/>
    </w:p>
    <w:p w14:paraId="2D9F3BE3" w14:textId="77777777" w:rsidR="009C4B78" w:rsidRPr="003310E2" w:rsidRDefault="009C4B78" w:rsidP="009C4B78"/>
    <w:p w14:paraId="50C947AF" w14:textId="77777777" w:rsidR="009C4B78" w:rsidRPr="003310E2" w:rsidRDefault="009C4B78" w:rsidP="009C4B78">
      <w:pPr>
        <w:rPr>
          <w:i/>
          <w:sz w:val="22"/>
          <w:szCs w:val="22"/>
        </w:rPr>
      </w:pPr>
      <w:r w:rsidRPr="003310E2">
        <w:rPr>
          <w:i/>
          <w:sz w:val="22"/>
          <w:szCs w:val="22"/>
        </w:rPr>
        <w:t>Berkshire Housing Development Corp.</w:t>
      </w:r>
    </w:p>
    <w:p w14:paraId="54CFE4B5" w14:textId="77777777" w:rsidR="009C4B78" w:rsidRPr="00F83DD8" w:rsidRDefault="009C4B78" w:rsidP="009C4B78">
      <w:pPr>
        <w:rPr>
          <w:sz w:val="22"/>
          <w:szCs w:val="22"/>
        </w:rPr>
      </w:pPr>
      <w:r w:rsidRPr="003310E2">
        <w:rPr>
          <w:sz w:val="22"/>
          <w:szCs w:val="22"/>
        </w:rPr>
        <w:t>One Fenn Street</w:t>
      </w:r>
    </w:p>
    <w:p w14:paraId="4685CF51" w14:textId="77777777" w:rsidR="009C4B78" w:rsidRPr="00F83DD8" w:rsidRDefault="009C4B78" w:rsidP="009C4B78">
      <w:pPr>
        <w:rPr>
          <w:sz w:val="22"/>
          <w:szCs w:val="22"/>
        </w:rPr>
      </w:pPr>
      <w:r w:rsidRPr="00F83DD8">
        <w:rPr>
          <w:sz w:val="22"/>
          <w:szCs w:val="22"/>
        </w:rPr>
        <w:t>Pittsfield, MA  01201</w:t>
      </w:r>
    </w:p>
    <w:p w14:paraId="166F2EEB" w14:textId="77777777" w:rsidR="009C4B78" w:rsidRPr="00F83DD8" w:rsidRDefault="009C4B78" w:rsidP="009C4B78">
      <w:pPr>
        <w:rPr>
          <w:sz w:val="22"/>
          <w:szCs w:val="22"/>
        </w:rPr>
      </w:pPr>
      <w:r w:rsidRPr="00F83DD8">
        <w:rPr>
          <w:sz w:val="22"/>
          <w:szCs w:val="22"/>
        </w:rPr>
        <w:t>413.499.4887</w:t>
      </w:r>
    </w:p>
    <w:p w14:paraId="4267B4B4" w14:textId="77777777" w:rsidR="009C4B78" w:rsidRPr="00F83DD8" w:rsidRDefault="009C4B78" w:rsidP="009C4B78">
      <w:pPr>
        <w:rPr>
          <w:sz w:val="22"/>
          <w:szCs w:val="22"/>
        </w:rPr>
      </w:pPr>
    </w:p>
    <w:p w14:paraId="1F8C343C" w14:textId="77777777" w:rsidR="009C4B78" w:rsidRPr="00F83DD8" w:rsidRDefault="009C4B78" w:rsidP="009C4B78">
      <w:pPr>
        <w:rPr>
          <w:i/>
          <w:sz w:val="22"/>
          <w:szCs w:val="22"/>
        </w:rPr>
      </w:pPr>
      <w:r w:rsidRPr="00F83DD8">
        <w:rPr>
          <w:i/>
          <w:sz w:val="22"/>
          <w:szCs w:val="22"/>
        </w:rPr>
        <w:t xml:space="preserve">Community Teamwork, </w:t>
      </w:r>
      <w:r w:rsidR="008679DE" w:rsidRPr="00F83DD8">
        <w:rPr>
          <w:i/>
          <w:sz w:val="22"/>
          <w:szCs w:val="22"/>
        </w:rPr>
        <w:t>Inc.</w:t>
      </w:r>
    </w:p>
    <w:p w14:paraId="60BCA947" w14:textId="77777777" w:rsidR="009C4B78" w:rsidRPr="00F83DD8" w:rsidRDefault="009C4B78" w:rsidP="009C4B78">
      <w:pPr>
        <w:rPr>
          <w:sz w:val="22"/>
          <w:szCs w:val="22"/>
        </w:rPr>
      </w:pPr>
      <w:r w:rsidRPr="00F83DD8">
        <w:rPr>
          <w:sz w:val="22"/>
          <w:szCs w:val="22"/>
        </w:rPr>
        <w:t>155 Merrimack Street</w:t>
      </w:r>
    </w:p>
    <w:p w14:paraId="40B6ED92" w14:textId="77777777" w:rsidR="009C4B78" w:rsidRPr="00F83DD8" w:rsidRDefault="009C4B78" w:rsidP="009C4B78">
      <w:pPr>
        <w:rPr>
          <w:sz w:val="22"/>
          <w:szCs w:val="22"/>
        </w:rPr>
      </w:pPr>
      <w:r w:rsidRPr="00F83DD8">
        <w:rPr>
          <w:sz w:val="22"/>
          <w:szCs w:val="22"/>
        </w:rPr>
        <w:t>Lowell, MA  01852</w:t>
      </w:r>
    </w:p>
    <w:p w14:paraId="44C4DFA4" w14:textId="77777777" w:rsidR="009C4B78" w:rsidRPr="00F83DD8" w:rsidRDefault="009C4B78" w:rsidP="009C4B78">
      <w:pPr>
        <w:rPr>
          <w:sz w:val="22"/>
          <w:szCs w:val="22"/>
        </w:rPr>
      </w:pPr>
      <w:r w:rsidRPr="00F83DD8">
        <w:rPr>
          <w:sz w:val="22"/>
          <w:szCs w:val="22"/>
        </w:rPr>
        <w:t>978.459.0551</w:t>
      </w:r>
    </w:p>
    <w:p w14:paraId="4FC47C1B" w14:textId="77777777" w:rsidR="009C4B78" w:rsidRPr="00F83DD8" w:rsidRDefault="009C4B78" w:rsidP="009C4B78">
      <w:pPr>
        <w:rPr>
          <w:sz w:val="22"/>
          <w:szCs w:val="22"/>
        </w:rPr>
      </w:pPr>
    </w:p>
    <w:p w14:paraId="3FD9F65E" w14:textId="77777777" w:rsidR="009C4B78" w:rsidRPr="00F83DD8" w:rsidRDefault="009C4B78" w:rsidP="009C4B78">
      <w:pPr>
        <w:rPr>
          <w:i/>
          <w:sz w:val="22"/>
          <w:szCs w:val="22"/>
        </w:rPr>
      </w:pPr>
      <w:r w:rsidRPr="00F83DD8">
        <w:rPr>
          <w:i/>
          <w:sz w:val="22"/>
          <w:szCs w:val="22"/>
        </w:rPr>
        <w:t>Housing Assistance Corp</w:t>
      </w:r>
    </w:p>
    <w:p w14:paraId="27CD56D5" w14:textId="77777777" w:rsidR="009C4B78" w:rsidRPr="00F83DD8" w:rsidRDefault="009C4B78" w:rsidP="009C4B78">
      <w:pPr>
        <w:rPr>
          <w:sz w:val="22"/>
          <w:szCs w:val="22"/>
        </w:rPr>
      </w:pPr>
      <w:r w:rsidRPr="00F83DD8">
        <w:rPr>
          <w:sz w:val="22"/>
          <w:szCs w:val="22"/>
        </w:rPr>
        <w:t>460 West Main Street</w:t>
      </w:r>
    </w:p>
    <w:p w14:paraId="0B88E553" w14:textId="77777777" w:rsidR="009C4B78" w:rsidRPr="00F83DD8" w:rsidRDefault="009C4B78" w:rsidP="009C4B78">
      <w:pPr>
        <w:rPr>
          <w:sz w:val="22"/>
          <w:szCs w:val="22"/>
        </w:rPr>
      </w:pPr>
      <w:r w:rsidRPr="00F83DD8">
        <w:rPr>
          <w:sz w:val="22"/>
          <w:szCs w:val="22"/>
        </w:rPr>
        <w:t>Hyannis, MA 02601</w:t>
      </w:r>
    </w:p>
    <w:p w14:paraId="1DD2609E" w14:textId="77777777" w:rsidR="009C4B78" w:rsidRPr="00F83DD8" w:rsidRDefault="009C4B78" w:rsidP="009C4B78">
      <w:pPr>
        <w:rPr>
          <w:sz w:val="22"/>
          <w:szCs w:val="22"/>
        </w:rPr>
      </w:pPr>
      <w:r w:rsidRPr="00F83DD8">
        <w:rPr>
          <w:sz w:val="22"/>
          <w:szCs w:val="22"/>
        </w:rPr>
        <w:t>508.771.5400</w:t>
      </w:r>
    </w:p>
    <w:p w14:paraId="2AD16178" w14:textId="77777777" w:rsidR="009560D8" w:rsidRPr="00F83DD8" w:rsidRDefault="009560D8" w:rsidP="009C4B78">
      <w:pPr>
        <w:rPr>
          <w:i/>
          <w:sz w:val="22"/>
          <w:szCs w:val="22"/>
        </w:rPr>
      </w:pPr>
    </w:p>
    <w:p w14:paraId="3D950ACA" w14:textId="71275D48" w:rsidR="009560D8" w:rsidRPr="00F83DD8" w:rsidRDefault="009D63C0" w:rsidP="009560D8">
      <w:pPr>
        <w:rPr>
          <w:i/>
          <w:sz w:val="22"/>
          <w:szCs w:val="22"/>
        </w:rPr>
      </w:pPr>
      <w:r>
        <w:rPr>
          <w:i/>
          <w:sz w:val="22"/>
          <w:szCs w:val="22"/>
        </w:rPr>
        <w:t>NeighborWorks Housing Solutions</w:t>
      </w:r>
      <w:r w:rsidR="00200EE0" w:rsidRPr="00F83DD8">
        <w:rPr>
          <w:i/>
          <w:sz w:val="22"/>
          <w:szCs w:val="22"/>
        </w:rPr>
        <w:t>.</w:t>
      </w:r>
    </w:p>
    <w:p w14:paraId="19CBCB31" w14:textId="77777777" w:rsidR="009560D8" w:rsidRPr="00F83DD8" w:rsidRDefault="009560D8" w:rsidP="009560D8">
      <w:pPr>
        <w:rPr>
          <w:sz w:val="22"/>
          <w:szCs w:val="22"/>
        </w:rPr>
      </w:pPr>
      <w:r w:rsidRPr="00F83DD8">
        <w:rPr>
          <w:sz w:val="22"/>
          <w:szCs w:val="22"/>
        </w:rPr>
        <w:t>169 Summer Street</w:t>
      </w:r>
    </w:p>
    <w:p w14:paraId="3A3EC82E" w14:textId="77777777" w:rsidR="009560D8" w:rsidRPr="00F83DD8" w:rsidRDefault="009560D8" w:rsidP="009560D8">
      <w:pPr>
        <w:rPr>
          <w:sz w:val="22"/>
          <w:szCs w:val="22"/>
        </w:rPr>
      </w:pPr>
      <w:r w:rsidRPr="00F83DD8">
        <w:rPr>
          <w:sz w:val="22"/>
          <w:szCs w:val="22"/>
        </w:rPr>
        <w:t>Kingston, MA  02364</w:t>
      </w:r>
    </w:p>
    <w:p w14:paraId="15925B17" w14:textId="77777777" w:rsidR="009560D8" w:rsidRPr="00F83DD8" w:rsidRDefault="009560D8" w:rsidP="009560D8">
      <w:pPr>
        <w:rPr>
          <w:sz w:val="22"/>
          <w:szCs w:val="22"/>
        </w:rPr>
      </w:pPr>
      <w:r w:rsidRPr="00F83DD8">
        <w:rPr>
          <w:sz w:val="22"/>
          <w:szCs w:val="22"/>
        </w:rPr>
        <w:t>781.422.4200</w:t>
      </w:r>
    </w:p>
    <w:p w14:paraId="2ABD34AF" w14:textId="77777777" w:rsidR="009560D8" w:rsidRPr="00F83DD8" w:rsidRDefault="009560D8" w:rsidP="009C4B78">
      <w:pPr>
        <w:rPr>
          <w:i/>
          <w:sz w:val="22"/>
          <w:szCs w:val="22"/>
        </w:rPr>
      </w:pPr>
    </w:p>
    <w:p w14:paraId="379AE14F" w14:textId="77777777" w:rsidR="009C4B78" w:rsidRPr="00F83DD8" w:rsidRDefault="009C4B78" w:rsidP="009C4B78">
      <w:pPr>
        <w:rPr>
          <w:i/>
          <w:sz w:val="22"/>
          <w:szCs w:val="22"/>
        </w:rPr>
      </w:pPr>
      <w:r w:rsidRPr="00F83DD8">
        <w:rPr>
          <w:i/>
          <w:sz w:val="22"/>
          <w:szCs w:val="22"/>
        </w:rPr>
        <w:t>Lynn Housing Authority &amp; Neighborhood Development</w:t>
      </w:r>
    </w:p>
    <w:p w14:paraId="4BC27555" w14:textId="77777777" w:rsidR="009C4B78" w:rsidRPr="00F83DD8" w:rsidRDefault="009C4B78" w:rsidP="009C4B78">
      <w:pPr>
        <w:rPr>
          <w:sz w:val="22"/>
          <w:szCs w:val="22"/>
        </w:rPr>
      </w:pPr>
      <w:r w:rsidRPr="00F83DD8">
        <w:rPr>
          <w:sz w:val="22"/>
          <w:szCs w:val="22"/>
        </w:rPr>
        <w:t>10 Church Street</w:t>
      </w:r>
    </w:p>
    <w:p w14:paraId="7E1C0B5A" w14:textId="77777777" w:rsidR="009C4B78" w:rsidRPr="00F83DD8" w:rsidRDefault="009C4B78" w:rsidP="009C4B78">
      <w:pPr>
        <w:rPr>
          <w:sz w:val="22"/>
          <w:szCs w:val="22"/>
        </w:rPr>
      </w:pPr>
      <w:r w:rsidRPr="00F83DD8">
        <w:rPr>
          <w:sz w:val="22"/>
          <w:szCs w:val="22"/>
        </w:rPr>
        <w:t>Lynn, MA  01902</w:t>
      </w:r>
    </w:p>
    <w:p w14:paraId="14EC74DB" w14:textId="77777777" w:rsidR="009C4B78" w:rsidRPr="00F83DD8" w:rsidRDefault="009C4B78" w:rsidP="009C4B78">
      <w:pPr>
        <w:rPr>
          <w:sz w:val="22"/>
          <w:szCs w:val="22"/>
        </w:rPr>
      </w:pPr>
      <w:r w:rsidRPr="00F83DD8">
        <w:rPr>
          <w:sz w:val="22"/>
          <w:szCs w:val="22"/>
        </w:rPr>
        <w:t>781.592.1966</w:t>
      </w:r>
    </w:p>
    <w:p w14:paraId="4E4BC475" w14:textId="77777777" w:rsidR="009C4B78" w:rsidRPr="00F83DD8" w:rsidRDefault="009C4B78" w:rsidP="009C4B78">
      <w:pPr>
        <w:rPr>
          <w:sz w:val="22"/>
          <w:szCs w:val="22"/>
        </w:rPr>
      </w:pPr>
    </w:p>
    <w:p w14:paraId="4BBCA09C" w14:textId="77777777" w:rsidR="009C4B78" w:rsidRPr="00F83DD8" w:rsidRDefault="00583325" w:rsidP="009C4B78">
      <w:pPr>
        <w:rPr>
          <w:i/>
          <w:sz w:val="22"/>
          <w:szCs w:val="22"/>
        </w:rPr>
      </w:pPr>
      <w:r w:rsidRPr="00F83DD8">
        <w:rPr>
          <w:i/>
          <w:sz w:val="22"/>
          <w:szCs w:val="22"/>
        </w:rPr>
        <w:t>Metro Housing|Boston</w:t>
      </w:r>
    </w:p>
    <w:p w14:paraId="1E6A4DED" w14:textId="77777777" w:rsidR="009C4B78" w:rsidRPr="00F83DD8" w:rsidRDefault="00583325" w:rsidP="009C4B78">
      <w:pPr>
        <w:rPr>
          <w:sz w:val="22"/>
          <w:szCs w:val="22"/>
        </w:rPr>
      </w:pPr>
      <w:r w:rsidRPr="00F83DD8">
        <w:rPr>
          <w:sz w:val="22"/>
          <w:szCs w:val="22"/>
        </w:rPr>
        <w:t>1411 Tremont S</w:t>
      </w:r>
      <w:r w:rsidR="009C4B78" w:rsidRPr="00F83DD8">
        <w:rPr>
          <w:sz w:val="22"/>
          <w:szCs w:val="22"/>
        </w:rPr>
        <w:t>treet</w:t>
      </w:r>
    </w:p>
    <w:p w14:paraId="6F3C3AFC" w14:textId="77777777" w:rsidR="009C4B78" w:rsidRPr="00F83DD8" w:rsidRDefault="00583325" w:rsidP="009C4B78">
      <w:pPr>
        <w:rPr>
          <w:sz w:val="22"/>
          <w:szCs w:val="22"/>
        </w:rPr>
      </w:pPr>
      <w:r w:rsidRPr="00F83DD8">
        <w:rPr>
          <w:sz w:val="22"/>
          <w:szCs w:val="22"/>
        </w:rPr>
        <w:t>Boston, MA  02120</w:t>
      </w:r>
    </w:p>
    <w:p w14:paraId="74AFD718" w14:textId="77777777" w:rsidR="009C4B78" w:rsidRPr="00F83DD8" w:rsidRDefault="009C4B78" w:rsidP="009C4B78">
      <w:pPr>
        <w:rPr>
          <w:sz w:val="22"/>
          <w:szCs w:val="22"/>
        </w:rPr>
      </w:pPr>
      <w:r w:rsidRPr="00F83DD8">
        <w:rPr>
          <w:sz w:val="22"/>
          <w:szCs w:val="22"/>
        </w:rPr>
        <w:t>617.859.0400</w:t>
      </w:r>
    </w:p>
    <w:p w14:paraId="18DBB62C" w14:textId="77777777" w:rsidR="009C4B78" w:rsidRPr="00F83DD8" w:rsidRDefault="009C4B78" w:rsidP="009C4B78">
      <w:pPr>
        <w:rPr>
          <w:sz w:val="22"/>
          <w:szCs w:val="22"/>
        </w:rPr>
      </w:pPr>
    </w:p>
    <w:p w14:paraId="3FE8729A" w14:textId="77777777" w:rsidR="009C4B78" w:rsidRPr="00F83DD8" w:rsidRDefault="009C4B78" w:rsidP="009C4B78">
      <w:pPr>
        <w:rPr>
          <w:i/>
          <w:sz w:val="22"/>
          <w:szCs w:val="22"/>
        </w:rPr>
      </w:pPr>
      <w:r w:rsidRPr="00F83DD8">
        <w:rPr>
          <w:i/>
          <w:sz w:val="22"/>
          <w:szCs w:val="22"/>
        </w:rPr>
        <w:t>RCAP Solutions</w:t>
      </w:r>
    </w:p>
    <w:p w14:paraId="538155C3" w14:textId="7BFB93BD" w:rsidR="009C4B78" w:rsidRPr="00F83DD8" w:rsidRDefault="001B69BF" w:rsidP="009C4B78">
      <w:pPr>
        <w:rPr>
          <w:sz w:val="22"/>
          <w:szCs w:val="22"/>
        </w:rPr>
      </w:pPr>
      <w:r>
        <w:rPr>
          <w:sz w:val="22"/>
          <w:szCs w:val="22"/>
        </w:rPr>
        <w:t>191 May Street</w:t>
      </w:r>
    </w:p>
    <w:p w14:paraId="23C3EF2F" w14:textId="31245EF1" w:rsidR="009C4B78" w:rsidRPr="00F83DD8" w:rsidRDefault="001B69BF" w:rsidP="009C4B78">
      <w:pPr>
        <w:rPr>
          <w:sz w:val="22"/>
          <w:szCs w:val="22"/>
        </w:rPr>
      </w:pPr>
      <w:r>
        <w:rPr>
          <w:sz w:val="22"/>
          <w:szCs w:val="22"/>
        </w:rPr>
        <w:t>Worcester, MA 01602</w:t>
      </w:r>
    </w:p>
    <w:p w14:paraId="2EBBB3A5" w14:textId="21B4649B" w:rsidR="009C4B78" w:rsidRPr="00F83DD8" w:rsidRDefault="001B69BF" w:rsidP="009C4B78">
      <w:pPr>
        <w:rPr>
          <w:sz w:val="22"/>
          <w:szCs w:val="22"/>
        </w:rPr>
      </w:pPr>
      <w:r>
        <w:rPr>
          <w:sz w:val="22"/>
          <w:szCs w:val="22"/>
        </w:rPr>
        <w:t>800.488.1969</w:t>
      </w:r>
    </w:p>
    <w:p w14:paraId="71E7850C" w14:textId="77777777" w:rsidR="009C4B78" w:rsidRPr="00F83DD8" w:rsidRDefault="009C4B78" w:rsidP="009C4B78">
      <w:pPr>
        <w:rPr>
          <w:sz w:val="22"/>
          <w:szCs w:val="22"/>
        </w:rPr>
      </w:pPr>
    </w:p>
    <w:p w14:paraId="59E821D5" w14:textId="77777777" w:rsidR="009C4B78" w:rsidRPr="00F83DD8" w:rsidRDefault="009C4B78" w:rsidP="009C4B78">
      <w:pPr>
        <w:rPr>
          <w:i/>
          <w:sz w:val="22"/>
          <w:szCs w:val="22"/>
        </w:rPr>
      </w:pPr>
      <w:r w:rsidRPr="00F83DD8">
        <w:rPr>
          <w:i/>
          <w:sz w:val="22"/>
          <w:szCs w:val="22"/>
        </w:rPr>
        <w:t>South Middlesex Opportunity Council</w:t>
      </w:r>
    </w:p>
    <w:p w14:paraId="3966C79D" w14:textId="77777777" w:rsidR="009C4B78" w:rsidRPr="00F83DD8" w:rsidRDefault="009C4B78" w:rsidP="009C4B78">
      <w:pPr>
        <w:rPr>
          <w:sz w:val="22"/>
          <w:szCs w:val="22"/>
        </w:rPr>
      </w:pPr>
      <w:r w:rsidRPr="00F83DD8">
        <w:rPr>
          <w:sz w:val="22"/>
          <w:szCs w:val="22"/>
        </w:rPr>
        <w:t>7 Bishop Street</w:t>
      </w:r>
    </w:p>
    <w:p w14:paraId="3704A6B4" w14:textId="77777777" w:rsidR="009C4B78" w:rsidRPr="00F83DD8" w:rsidRDefault="009C4B78" w:rsidP="009C4B78">
      <w:pPr>
        <w:rPr>
          <w:sz w:val="22"/>
          <w:szCs w:val="22"/>
        </w:rPr>
      </w:pPr>
      <w:r w:rsidRPr="00F83DD8">
        <w:rPr>
          <w:sz w:val="22"/>
          <w:szCs w:val="22"/>
        </w:rPr>
        <w:t>Framingham, MA  01702</w:t>
      </w:r>
    </w:p>
    <w:p w14:paraId="487C2AF8" w14:textId="77777777" w:rsidR="009C4B78" w:rsidRPr="00F83DD8" w:rsidRDefault="009C4B78" w:rsidP="009C4B78">
      <w:pPr>
        <w:rPr>
          <w:sz w:val="22"/>
          <w:szCs w:val="22"/>
        </w:rPr>
      </w:pPr>
      <w:r w:rsidRPr="00F83DD8">
        <w:rPr>
          <w:sz w:val="22"/>
          <w:szCs w:val="22"/>
        </w:rPr>
        <w:t>508.620.2336</w:t>
      </w:r>
    </w:p>
    <w:p w14:paraId="5E89554B" w14:textId="77777777" w:rsidR="009560D8" w:rsidRPr="00F83DD8" w:rsidRDefault="009560D8" w:rsidP="00944FD9">
      <w:pPr>
        <w:rPr>
          <w:sz w:val="22"/>
          <w:szCs w:val="22"/>
        </w:rPr>
      </w:pPr>
    </w:p>
    <w:p w14:paraId="5599F8FC" w14:textId="77777777" w:rsidR="009560D8" w:rsidRPr="00F83DD8" w:rsidRDefault="009560D8" w:rsidP="009560D8">
      <w:pPr>
        <w:rPr>
          <w:i/>
          <w:sz w:val="22"/>
          <w:szCs w:val="22"/>
        </w:rPr>
      </w:pPr>
      <w:r w:rsidRPr="00F83DD8">
        <w:rPr>
          <w:i/>
          <w:sz w:val="22"/>
          <w:szCs w:val="22"/>
        </w:rPr>
        <w:t>Way Finders</w:t>
      </w:r>
    </w:p>
    <w:p w14:paraId="0EF1B41E" w14:textId="77777777" w:rsidR="009560D8" w:rsidRPr="00F83DD8" w:rsidRDefault="009560D8" w:rsidP="009560D8">
      <w:pPr>
        <w:rPr>
          <w:sz w:val="22"/>
          <w:szCs w:val="22"/>
        </w:rPr>
      </w:pPr>
      <w:r w:rsidRPr="00F83DD8">
        <w:rPr>
          <w:sz w:val="22"/>
          <w:szCs w:val="22"/>
        </w:rPr>
        <w:t>322 Main Street</w:t>
      </w:r>
    </w:p>
    <w:p w14:paraId="69978AD5" w14:textId="77777777" w:rsidR="009560D8" w:rsidRPr="00F83DD8" w:rsidRDefault="009560D8" w:rsidP="009560D8">
      <w:pPr>
        <w:rPr>
          <w:sz w:val="22"/>
          <w:szCs w:val="22"/>
        </w:rPr>
      </w:pPr>
      <w:r w:rsidRPr="00F83DD8">
        <w:rPr>
          <w:sz w:val="22"/>
          <w:szCs w:val="22"/>
        </w:rPr>
        <w:t>Springfield, MA  01105</w:t>
      </w:r>
    </w:p>
    <w:p w14:paraId="504A6E10" w14:textId="77777777" w:rsidR="00B17845" w:rsidRDefault="00DC346A" w:rsidP="00C07082">
      <w:pPr>
        <w:sectPr w:rsidR="00B17845" w:rsidSect="00F61294">
          <w:pgSz w:w="12240" w:h="15840" w:code="1"/>
          <w:pgMar w:top="1440" w:right="1440" w:bottom="1440" w:left="1440" w:header="720" w:footer="720" w:gutter="0"/>
          <w:cols w:space="720"/>
          <w:docGrid w:linePitch="360"/>
        </w:sectPr>
      </w:pPr>
      <w:bookmarkStart w:id="100" w:name="_Toc415115915"/>
      <w:r w:rsidRPr="00F83DD8">
        <w:rPr>
          <w:sz w:val="22"/>
          <w:szCs w:val="22"/>
        </w:rPr>
        <w:t>413.233.150</w:t>
      </w:r>
      <w:bookmarkEnd w:id="100"/>
      <w:r w:rsidR="00B17845" w:rsidRPr="00F83DD8">
        <w:rPr>
          <w:sz w:val="22"/>
          <w:szCs w:val="22"/>
        </w:rPr>
        <w:t>0</w:t>
      </w:r>
    </w:p>
    <w:p w14:paraId="08AB7F05" w14:textId="6CCDF3B9" w:rsidR="00F91E88" w:rsidRDefault="00071C7C" w:rsidP="00AE6413">
      <w:pPr>
        <w:pStyle w:val="Heading1"/>
        <w:jc w:val="center"/>
        <w:rPr>
          <w:rFonts w:ascii="Times New Roman" w:hAnsi="Times New Roman"/>
        </w:rPr>
      </w:pPr>
      <w:bookmarkStart w:id="101" w:name="_Toc33016972"/>
      <w:r w:rsidRPr="00DA2E5B">
        <w:rPr>
          <w:rFonts w:ascii="Times New Roman" w:hAnsi="Times New Roman"/>
        </w:rPr>
        <w:t>Appendix B</w:t>
      </w:r>
      <w:r w:rsidR="00AE6413" w:rsidRPr="00DA2E5B">
        <w:rPr>
          <w:rFonts w:ascii="Times New Roman" w:hAnsi="Times New Roman"/>
        </w:rPr>
        <w:t>: Certification of Compliance with Regulations</w:t>
      </w:r>
      <w:bookmarkEnd w:id="101"/>
    </w:p>
    <w:p w14:paraId="340BE73C" w14:textId="5BED5B3F" w:rsidR="005355F3" w:rsidRDefault="005355F3" w:rsidP="005355F3">
      <w:pPr>
        <w:jc w:val="center"/>
      </w:pPr>
    </w:p>
    <w:p w14:paraId="358644AD" w14:textId="78DC28B2" w:rsidR="00AE6413" w:rsidRDefault="00AE6413" w:rsidP="005355F3">
      <w:pPr>
        <w:jc w:val="center"/>
      </w:pPr>
    </w:p>
    <w:p w14:paraId="62FAA36C" w14:textId="77777777" w:rsidR="00AE6413" w:rsidRDefault="00AE6413" w:rsidP="00AE6413">
      <w:pPr>
        <w:sectPr w:rsidR="00AE6413" w:rsidSect="00F61294">
          <w:pgSz w:w="12240" w:h="15840" w:code="1"/>
          <w:pgMar w:top="1440" w:right="1440" w:bottom="1440" w:left="1440" w:header="720" w:footer="720" w:gutter="0"/>
          <w:cols w:space="720"/>
          <w:docGrid w:linePitch="360"/>
        </w:sectPr>
      </w:pPr>
    </w:p>
    <w:p w14:paraId="2CCD6294" w14:textId="67E2DCC0" w:rsidR="00AE6413" w:rsidRDefault="00071C7C" w:rsidP="00AE6413">
      <w:pPr>
        <w:pStyle w:val="Heading1"/>
        <w:jc w:val="center"/>
        <w:rPr>
          <w:rFonts w:ascii="Times New Roman" w:hAnsi="Times New Roman"/>
        </w:rPr>
      </w:pPr>
      <w:bookmarkStart w:id="102" w:name="_Toc33016973"/>
      <w:r w:rsidRPr="00DA2E5B">
        <w:rPr>
          <w:rFonts w:ascii="Times New Roman" w:hAnsi="Times New Roman"/>
        </w:rPr>
        <w:t>Appendix C</w:t>
      </w:r>
      <w:r w:rsidR="00AE6413" w:rsidRPr="00DA2E5B">
        <w:rPr>
          <w:rFonts w:ascii="Times New Roman" w:hAnsi="Times New Roman"/>
        </w:rPr>
        <w:t>: Documentation of Public Process</w:t>
      </w:r>
      <w:bookmarkEnd w:id="102"/>
    </w:p>
    <w:p w14:paraId="35A19489" w14:textId="7C7734D7" w:rsidR="00AE6413" w:rsidRDefault="00AE6413" w:rsidP="00AE6413">
      <w:pPr>
        <w:jc w:val="center"/>
      </w:pPr>
      <w:r>
        <w:t>(Includes Public Notice, Sign-in Sheets</w:t>
      </w:r>
      <w:r w:rsidR="00CB0162">
        <w:t xml:space="preserve"> and Summary of Comments and Related Responses</w:t>
      </w:r>
      <w:r>
        <w:t>)</w:t>
      </w:r>
    </w:p>
    <w:p w14:paraId="6EF5971E" w14:textId="77777777" w:rsidR="00306B1C" w:rsidRDefault="00306B1C" w:rsidP="00AE6413">
      <w:pPr>
        <w:jc w:val="center"/>
        <w:sectPr w:rsidR="00306B1C" w:rsidSect="00F61294">
          <w:pgSz w:w="12240" w:h="15840" w:code="1"/>
          <w:pgMar w:top="1440" w:right="1440" w:bottom="1440" w:left="1440" w:header="720" w:footer="720" w:gutter="0"/>
          <w:cols w:space="720"/>
          <w:docGrid w:linePitch="360"/>
        </w:sectPr>
      </w:pPr>
    </w:p>
    <w:p w14:paraId="11EB81CD" w14:textId="5724EBB5" w:rsidR="00306B1C" w:rsidRDefault="00306B1C" w:rsidP="00AE6413">
      <w:pPr>
        <w:jc w:val="center"/>
        <w:rPr>
          <w:b/>
        </w:rPr>
      </w:pPr>
      <w:r w:rsidRPr="00DA2E5B">
        <w:rPr>
          <w:b/>
        </w:rPr>
        <w:t>Public Notice</w:t>
      </w:r>
    </w:p>
    <w:p w14:paraId="3E737045" w14:textId="77777777" w:rsidR="00306B1C" w:rsidRPr="00306B1C" w:rsidRDefault="00306B1C" w:rsidP="00AE6413">
      <w:pPr>
        <w:jc w:val="center"/>
        <w:rPr>
          <w:b/>
        </w:rPr>
      </w:pPr>
    </w:p>
    <w:p w14:paraId="13E9DCCB" w14:textId="0D648752" w:rsidR="00306B1C" w:rsidRDefault="00306B1C" w:rsidP="00306B1C">
      <w:pPr>
        <w:jc w:val="center"/>
        <w:sectPr w:rsidR="00306B1C" w:rsidSect="00F61294">
          <w:pgSz w:w="12240" w:h="15840" w:code="1"/>
          <w:pgMar w:top="1440" w:right="1440" w:bottom="1440" w:left="1440" w:header="720" w:footer="720" w:gutter="0"/>
          <w:cols w:space="720"/>
          <w:docGrid w:linePitch="360"/>
        </w:sectPr>
      </w:pPr>
    </w:p>
    <w:p w14:paraId="66972A58" w14:textId="2688F0B9" w:rsidR="00440136" w:rsidRPr="00306B1C" w:rsidRDefault="00440136" w:rsidP="00E72120">
      <w:pPr>
        <w:jc w:val="center"/>
        <w:rPr>
          <w:b/>
        </w:rPr>
      </w:pPr>
    </w:p>
    <w:p w14:paraId="3BDF9681" w14:textId="50C3A5C3" w:rsidR="00306B1C" w:rsidRPr="00306B1C" w:rsidRDefault="00306B1C" w:rsidP="00306B1C">
      <w:pPr>
        <w:jc w:val="center"/>
      </w:pPr>
    </w:p>
    <w:p w14:paraId="3BBABE45" w14:textId="77777777" w:rsidR="00306B1C" w:rsidRPr="00306B1C" w:rsidRDefault="00306B1C" w:rsidP="00306B1C"/>
    <w:p w14:paraId="2090B633" w14:textId="7F70253C" w:rsidR="00CB0162" w:rsidRDefault="00CB0162" w:rsidP="00CB0162">
      <w:pPr>
        <w:jc w:val="center"/>
        <w:rPr>
          <w:b/>
        </w:rPr>
      </w:pPr>
      <w:r w:rsidRPr="00DA2E5B">
        <w:rPr>
          <w:b/>
        </w:rPr>
        <w:t>Summary of Public Comments &amp; DHCD Responses</w:t>
      </w:r>
    </w:p>
    <w:p w14:paraId="30DEE0D8" w14:textId="63F4E2D7" w:rsidR="00CB0162" w:rsidRDefault="00CB0162" w:rsidP="00CB0162">
      <w:pPr>
        <w:jc w:val="center"/>
        <w:rPr>
          <w:b/>
        </w:rPr>
      </w:pPr>
    </w:p>
    <w:p w14:paraId="1C679A59" w14:textId="77777777" w:rsidR="00306B1C" w:rsidRPr="00306B1C" w:rsidRDefault="00306B1C" w:rsidP="00306B1C"/>
    <w:p w14:paraId="278C712E" w14:textId="11D7DC8C" w:rsidR="00306B1C" w:rsidRPr="00306B1C" w:rsidRDefault="00306B1C" w:rsidP="00306B1C">
      <w:pPr>
        <w:tabs>
          <w:tab w:val="left" w:pos="6164"/>
        </w:tabs>
        <w:sectPr w:rsidR="00306B1C" w:rsidRPr="00306B1C" w:rsidSect="00F61294">
          <w:pgSz w:w="12240" w:h="15840" w:code="1"/>
          <w:pgMar w:top="1440" w:right="1440" w:bottom="1440" w:left="1440" w:header="720" w:footer="720" w:gutter="0"/>
          <w:cols w:space="720"/>
          <w:docGrid w:linePitch="360"/>
        </w:sectPr>
      </w:pPr>
      <w:r>
        <w:tab/>
      </w:r>
    </w:p>
    <w:p w14:paraId="20262CAB" w14:textId="404AEEEE" w:rsidR="00AE6413" w:rsidRDefault="00071C7C" w:rsidP="00AE6413">
      <w:pPr>
        <w:pStyle w:val="Heading1"/>
        <w:jc w:val="center"/>
        <w:rPr>
          <w:rFonts w:ascii="Times New Roman" w:hAnsi="Times New Roman"/>
        </w:rPr>
      </w:pPr>
      <w:bookmarkStart w:id="103" w:name="_Toc33016974"/>
      <w:r w:rsidRPr="00AB32AA">
        <w:rPr>
          <w:rFonts w:ascii="Times New Roman" w:hAnsi="Times New Roman"/>
        </w:rPr>
        <w:t>Appendix D</w:t>
      </w:r>
      <w:r w:rsidR="00AE6413" w:rsidRPr="00AB32AA">
        <w:rPr>
          <w:rFonts w:ascii="Times New Roman" w:hAnsi="Times New Roman"/>
        </w:rPr>
        <w:t>: Disclosure of Lobbying Activities (SF-LLL)</w:t>
      </w:r>
      <w:bookmarkEnd w:id="103"/>
    </w:p>
    <w:p w14:paraId="15BCFC53" w14:textId="6CBC991E" w:rsidR="00446479" w:rsidRDefault="00446479" w:rsidP="00446479"/>
    <w:p w14:paraId="2A58A7C6" w14:textId="1B043056" w:rsidR="00446479" w:rsidRPr="00446479" w:rsidRDefault="00446479" w:rsidP="00446479">
      <w:r w:rsidRPr="00446479">
        <w:rPr>
          <w:noProof/>
        </w:rPr>
        <w:drawing>
          <wp:inline distT="0" distB="0" distL="0" distR="0" wp14:anchorId="15E7C73A" wp14:editId="1F6E254E">
            <wp:extent cx="6245352" cy="5650992"/>
            <wp:effectExtent l="19050" t="19050" r="22225"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29825"/>
                    <a:stretch/>
                  </pic:blipFill>
                  <pic:spPr bwMode="auto">
                    <a:xfrm>
                      <a:off x="0" y="0"/>
                      <a:ext cx="6245352" cy="5650992"/>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E7B6B31" w14:textId="14027503" w:rsidR="00AE6413" w:rsidRDefault="00AE6413" w:rsidP="00AE6413"/>
    <w:p w14:paraId="2916F286" w14:textId="77777777" w:rsidR="00AE6413" w:rsidRDefault="00AE6413" w:rsidP="00AE6413">
      <w:pPr>
        <w:sectPr w:rsidR="00AE6413" w:rsidSect="00F61294">
          <w:pgSz w:w="12240" w:h="15840" w:code="1"/>
          <w:pgMar w:top="1440" w:right="1440" w:bottom="1440" w:left="1440" w:header="720" w:footer="720" w:gutter="0"/>
          <w:cols w:space="720"/>
          <w:docGrid w:linePitch="360"/>
        </w:sectPr>
      </w:pPr>
    </w:p>
    <w:p w14:paraId="3D4FB068" w14:textId="11AAA0D0" w:rsidR="00AE6413" w:rsidRDefault="00DA2E5B" w:rsidP="00DA2E5B">
      <w:pPr>
        <w:pStyle w:val="Heading1"/>
        <w:tabs>
          <w:tab w:val="left" w:pos="750"/>
          <w:tab w:val="center" w:pos="4680"/>
        </w:tabs>
        <w:rPr>
          <w:rFonts w:ascii="Times New Roman" w:hAnsi="Times New Roman"/>
        </w:rPr>
      </w:pPr>
      <w:bookmarkStart w:id="104" w:name="_Toc33016975"/>
      <w:r w:rsidRPr="00DA2E5B">
        <w:rPr>
          <w:rFonts w:ascii="Times New Roman" w:hAnsi="Times New Roman"/>
        </w:rPr>
        <w:tab/>
      </w:r>
      <w:r w:rsidRPr="00DA2E5B">
        <w:rPr>
          <w:rFonts w:ascii="Times New Roman" w:hAnsi="Times New Roman"/>
        </w:rPr>
        <w:tab/>
      </w:r>
      <w:r w:rsidR="00071C7C" w:rsidRPr="00DA2E5B">
        <w:rPr>
          <w:rFonts w:ascii="Times New Roman" w:hAnsi="Times New Roman"/>
        </w:rPr>
        <w:t>Appendix E</w:t>
      </w:r>
      <w:r w:rsidR="00AE6413" w:rsidRPr="00DA2E5B">
        <w:rPr>
          <w:rFonts w:ascii="Times New Roman" w:hAnsi="Times New Roman"/>
        </w:rPr>
        <w:t>: Certification of Payments (HUD-50071)</w:t>
      </w:r>
      <w:bookmarkEnd w:id="104"/>
    </w:p>
    <w:p w14:paraId="51BF7E65" w14:textId="0FE7287E" w:rsidR="005355F3" w:rsidRPr="00AC5C67" w:rsidRDefault="005355F3" w:rsidP="005355F3">
      <w:pPr>
        <w:jc w:val="center"/>
      </w:pPr>
    </w:p>
    <w:sectPr w:rsidR="005355F3" w:rsidRPr="00AC5C67" w:rsidSect="00F612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6C37F" w14:textId="77777777" w:rsidR="0004176C" w:rsidRDefault="0004176C">
      <w:r>
        <w:separator/>
      </w:r>
    </w:p>
  </w:endnote>
  <w:endnote w:type="continuationSeparator" w:id="0">
    <w:p w14:paraId="7F2B1E5D" w14:textId="77777777" w:rsidR="0004176C" w:rsidRDefault="0004176C">
      <w:r>
        <w:continuationSeparator/>
      </w:r>
    </w:p>
  </w:endnote>
  <w:endnote w:type="continuationNotice" w:id="1">
    <w:p w14:paraId="0253C9CC" w14:textId="77777777" w:rsidR="0004176C" w:rsidRDefault="00041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13617" w14:textId="2E96100F" w:rsidR="0004176C" w:rsidRDefault="0004176C" w:rsidP="003E53BB">
    <w:pPr>
      <w:pStyle w:val="Footer"/>
      <w:pBdr>
        <w:top w:val="single" w:sz="4" w:space="1" w:color="auto"/>
      </w:pBdr>
      <w:rPr>
        <w:sz w:val="20"/>
      </w:rPr>
    </w:pPr>
    <w:r>
      <w:rPr>
        <w:sz w:val="20"/>
      </w:rPr>
      <w:t>Mass. DHCD MTW Annual Plan FY 2021</w:t>
    </w:r>
  </w:p>
  <w:p w14:paraId="0D6F40D9" w14:textId="47CDE258" w:rsidR="0004176C" w:rsidRPr="003E53BB" w:rsidRDefault="0004176C" w:rsidP="003E5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19DB7" w14:textId="77777777" w:rsidR="0004176C" w:rsidRDefault="0004176C" w:rsidP="00BB4877">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FAFA0" w14:textId="7A23569B" w:rsidR="0004176C" w:rsidRDefault="0004176C" w:rsidP="003E53BB">
    <w:pPr>
      <w:pStyle w:val="Footer"/>
      <w:pBdr>
        <w:top w:val="single" w:sz="4" w:space="1" w:color="auto"/>
      </w:pBdr>
      <w:rPr>
        <w:sz w:val="20"/>
      </w:rPr>
    </w:pPr>
    <w:r>
      <w:rPr>
        <w:sz w:val="20"/>
      </w:rPr>
      <w:t>Mass. DHCD MTW Annual Plan FY 2021</w:t>
    </w:r>
  </w:p>
  <w:p w14:paraId="7A5732E7" w14:textId="77777777" w:rsidR="0004176C" w:rsidRDefault="0004176C" w:rsidP="00BB4877">
    <w:pP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3560" w14:textId="0C357E70" w:rsidR="0004176C" w:rsidRDefault="0004176C" w:rsidP="005355F3">
    <w:pPr>
      <w:pStyle w:val="Footer"/>
      <w:pBdr>
        <w:top w:val="single" w:sz="4" w:space="1" w:color="auto"/>
      </w:pBdr>
      <w:rPr>
        <w:sz w:val="20"/>
      </w:rPr>
    </w:pPr>
    <w:r>
      <w:rPr>
        <w:sz w:val="20"/>
      </w:rPr>
      <w:t>Mass. DHCD MTW Annual Plan FY 2021</w:t>
    </w:r>
  </w:p>
  <w:sdt>
    <w:sdtPr>
      <w:id w:val="-1559631185"/>
      <w:docPartObj>
        <w:docPartGallery w:val="Page Numbers (Bottom of Page)"/>
        <w:docPartUnique/>
      </w:docPartObj>
    </w:sdtPr>
    <w:sdtEndPr>
      <w:rPr>
        <w:noProof/>
        <w:sz w:val="20"/>
      </w:rPr>
    </w:sdtEndPr>
    <w:sdtContent>
      <w:p w14:paraId="6D614358" w14:textId="17CBB702" w:rsidR="0004176C" w:rsidRPr="000F485C" w:rsidRDefault="0004176C">
        <w:pPr>
          <w:pStyle w:val="Footer"/>
          <w:rPr>
            <w:sz w:val="20"/>
          </w:rPr>
        </w:pPr>
        <w:r w:rsidRPr="000F485C">
          <w:rPr>
            <w:sz w:val="20"/>
          </w:rPr>
          <w:fldChar w:fldCharType="begin"/>
        </w:r>
        <w:r w:rsidRPr="000F485C">
          <w:rPr>
            <w:sz w:val="20"/>
          </w:rPr>
          <w:instrText xml:space="preserve"> PAGE   \* MERGEFORMAT </w:instrText>
        </w:r>
        <w:r w:rsidRPr="000F485C">
          <w:rPr>
            <w:sz w:val="20"/>
          </w:rPr>
          <w:fldChar w:fldCharType="separate"/>
        </w:r>
        <w:r w:rsidR="00DA2E5B">
          <w:rPr>
            <w:noProof/>
            <w:sz w:val="20"/>
          </w:rPr>
          <w:t>80</w:t>
        </w:r>
        <w:r w:rsidRPr="000F485C">
          <w:rPr>
            <w:noProof/>
            <w:sz w:val="20"/>
          </w:rPr>
          <w:fldChar w:fldCharType="end"/>
        </w:r>
      </w:p>
    </w:sdtContent>
  </w:sdt>
  <w:p w14:paraId="281E9BBC" w14:textId="17F6AD41" w:rsidR="0004176C" w:rsidRPr="00E327E5" w:rsidRDefault="0004176C" w:rsidP="00C07082">
    <w:pPr>
      <w:pStyle w:val="Footer"/>
      <w:tabs>
        <w:tab w:val="clear" w:pos="4320"/>
        <w:tab w:val="clear" w:pos="8640"/>
        <w:tab w:val="center" w:pos="468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27090" w14:textId="77777777" w:rsidR="0004176C" w:rsidRDefault="0004176C">
      <w:r>
        <w:separator/>
      </w:r>
    </w:p>
  </w:footnote>
  <w:footnote w:type="continuationSeparator" w:id="0">
    <w:p w14:paraId="6D0FA9D1" w14:textId="77777777" w:rsidR="0004176C" w:rsidRDefault="0004176C">
      <w:r>
        <w:continuationSeparator/>
      </w:r>
    </w:p>
  </w:footnote>
  <w:footnote w:type="continuationNotice" w:id="1">
    <w:p w14:paraId="52FE660D" w14:textId="77777777" w:rsidR="0004176C" w:rsidRDefault="000417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03F4" w14:textId="77777777" w:rsidR="0004176C" w:rsidRDefault="00041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5F4"/>
    <w:multiLevelType w:val="hybridMultilevel"/>
    <w:tmpl w:val="4D029D90"/>
    <w:lvl w:ilvl="0" w:tplc="31109B6A">
      <w:start w:val="1"/>
      <w:numFmt w:val="upperRoman"/>
      <w:lvlText w:val="%1."/>
      <w:lvlJc w:val="left"/>
      <w:pPr>
        <w:ind w:left="720" w:hanging="360"/>
      </w:pPr>
      <w:rPr>
        <w:rFonts w:cs="Times New Roman"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1528A"/>
    <w:multiLevelType w:val="hybridMultilevel"/>
    <w:tmpl w:val="1E809F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9D1877"/>
    <w:multiLevelType w:val="hybridMultilevel"/>
    <w:tmpl w:val="2000FD1E"/>
    <w:lvl w:ilvl="0" w:tplc="1EDAEA1A">
      <w:start w:val="1"/>
      <w:numFmt w:val="upperLetter"/>
      <w:pStyle w:val="Heading2"/>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272791"/>
    <w:multiLevelType w:val="hybridMultilevel"/>
    <w:tmpl w:val="78ACDB0E"/>
    <w:lvl w:ilvl="0" w:tplc="BB926B6A">
      <w:start w:val="1"/>
      <w:numFmt w:val="lowerRoman"/>
      <w:pStyle w:val="Heading4"/>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4036E"/>
    <w:multiLevelType w:val="hybridMultilevel"/>
    <w:tmpl w:val="60E4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A0E5D"/>
    <w:multiLevelType w:val="hybridMultilevel"/>
    <w:tmpl w:val="9594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115FE"/>
    <w:multiLevelType w:val="hybridMultilevel"/>
    <w:tmpl w:val="4E127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23BCE"/>
    <w:multiLevelType w:val="hybridMultilevel"/>
    <w:tmpl w:val="8E2C9170"/>
    <w:lvl w:ilvl="0" w:tplc="EB92E18E">
      <w:start w:val="1"/>
      <w:numFmt w:val="upperLetter"/>
      <w:lvlText w:val="%1."/>
      <w:lvlJc w:val="left"/>
      <w:pPr>
        <w:ind w:left="360" w:hanging="360"/>
      </w:pPr>
      <w:rPr>
        <w:rFonts w:hint="default"/>
        <w:b/>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B5D7C"/>
    <w:multiLevelType w:val="hybridMultilevel"/>
    <w:tmpl w:val="F3C8C4CC"/>
    <w:lvl w:ilvl="0" w:tplc="5D260086">
      <w:start w:val="1"/>
      <w:numFmt w:val="lowerRoman"/>
      <w:lvlText w:val="%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13142"/>
    <w:multiLevelType w:val="hybridMultilevel"/>
    <w:tmpl w:val="D990F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765C7F"/>
    <w:multiLevelType w:val="hybridMultilevel"/>
    <w:tmpl w:val="0FF23146"/>
    <w:lvl w:ilvl="0" w:tplc="B6B8504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D6C40"/>
    <w:multiLevelType w:val="hybridMultilevel"/>
    <w:tmpl w:val="D2D26724"/>
    <w:lvl w:ilvl="0" w:tplc="3F6C6DF6">
      <w:start w:val="1"/>
      <w:numFmt w:val="bullet"/>
      <w:lvlText w:val="o"/>
      <w:lvlJc w:val="left"/>
      <w:pPr>
        <w:ind w:left="720" w:hanging="360"/>
      </w:pPr>
      <w:rPr>
        <w:rFonts w:ascii="Courier New" w:hAnsi="Courier New" w:cs="Courier New"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979A2"/>
    <w:multiLevelType w:val="hybridMultilevel"/>
    <w:tmpl w:val="39BE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C3410"/>
    <w:multiLevelType w:val="hybridMultilevel"/>
    <w:tmpl w:val="A926B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7CE43D6"/>
    <w:multiLevelType w:val="hybridMultilevel"/>
    <w:tmpl w:val="7822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5328F"/>
    <w:multiLevelType w:val="hybridMultilevel"/>
    <w:tmpl w:val="93300FC4"/>
    <w:lvl w:ilvl="0" w:tplc="322A0222">
      <w:start w:val="1"/>
      <w:numFmt w:val="low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4534F"/>
    <w:multiLevelType w:val="hybridMultilevel"/>
    <w:tmpl w:val="6AFA955C"/>
    <w:lvl w:ilvl="0" w:tplc="26620606">
      <w:start w:val="2"/>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8F203E"/>
    <w:multiLevelType w:val="hybridMultilevel"/>
    <w:tmpl w:val="C96E08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054E1B"/>
    <w:multiLevelType w:val="hybridMultilevel"/>
    <w:tmpl w:val="2D660360"/>
    <w:lvl w:ilvl="0" w:tplc="8960995A">
      <w:start w:val="1"/>
      <w:numFmt w:val="bullet"/>
      <w:lvlText w:val=""/>
      <w:lvlJc w:val="left"/>
      <w:pPr>
        <w:ind w:left="360" w:hanging="360"/>
      </w:pPr>
      <w:rPr>
        <w:rFonts w:ascii="Symbol" w:hAnsi="Symbol" w:hint="default"/>
        <w:sz w:val="18"/>
      </w:rPr>
    </w:lvl>
    <w:lvl w:ilvl="1" w:tplc="D638E240">
      <w:start w:val="1"/>
      <w:numFmt w:val="bullet"/>
      <w:lvlText w:val="o"/>
      <w:lvlJc w:val="left"/>
      <w:pPr>
        <w:ind w:left="1080" w:hanging="360"/>
      </w:pPr>
      <w:rPr>
        <w:rFonts w:ascii="Courier New" w:hAnsi="Courier New" w:cs="Courier New"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3C0BB3"/>
    <w:multiLevelType w:val="hybridMultilevel"/>
    <w:tmpl w:val="B5DC27C8"/>
    <w:lvl w:ilvl="0" w:tplc="73B0CA3E">
      <w:start w:val="1"/>
      <w:numFmt w:val="bullet"/>
      <w:lvlText w:val="o"/>
      <w:lvlJc w:val="left"/>
      <w:pPr>
        <w:ind w:left="720" w:hanging="360"/>
      </w:pPr>
      <w:rPr>
        <w:rFonts w:ascii="Courier New" w:hAnsi="Courier New" w:cs="Courier New"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665F5F"/>
    <w:multiLevelType w:val="hybridMultilevel"/>
    <w:tmpl w:val="2318A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1A731D"/>
    <w:multiLevelType w:val="hybridMultilevel"/>
    <w:tmpl w:val="8822FEE0"/>
    <w:lvl w:ilvl="0" w:tplc="42F2C7B2">
      <w:start w:val="2"/>
      <w:numFmt w:val="upperLetter"/>
      <w:pStyle w:val="Style2"/>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3269E3"/>
    <w:multiLevelType w:val="hybridMultilevel"/>
    <w:tmpl w:val="14566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480A95"/>
    <w:multiLevelType w:val="multilevel"/>
    <w:tmpl w:val="2CB48488"/>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i/>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513E9"/>
    <w:multiLevelType w:val="hybridMultilevel"/>
    <w:tmpl w:val="B30A33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A251A3"/>
    <w:multiLevelType w:val="hybridMultilevel"/>
    <w:tmpl w:val="3B48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7D075B"/>
    <w:multiLevelType w:val="hybridMultilevel"/>
    <w:tmpl w:val="C6CA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75013"/>
    <w:multiLevelType w:val="hybridMultilevel"/>
    <w:tmpl w:val="40CAFEB2"/>
    <w:lvl w:ilvl="0" w:tplc="52BC913E">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373D92"/>
    <w:multiLevelType w:val="hybridMultilevel"/>
    <w:tmpl w:val="3BA6D03A"/>
    <w:lvl w:ilvl="0" w:tplc="79C89360">
      <w:start w:val="4"/>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D676A5"/>
    <w:multiLevelType w:val="hybridMultilevel"/>
    <w:tmpl w:val="E6A29AD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52D243D"/>
    <w:multiLevelType w:val="multilevel"/>
    <w:tmpl w:val="671042BC"/>
    <w:lvl w:ilvl="0">
      <w:start w:val="1"/>
      <w:numFmt w:val="decimal"/>
      <w:lvlText w:val="%1)"/>
      <w:lvlJc w:val="left"/>
      <w:pPr>
        <w:ind w:left="360" w:hanging="360"/>
      </w:pPr>
      <w:rPr>
        <w:rFonts w:hint="default"/>
      </w:rPr>
    </w:lvl>
    <w:lvl w:ilvl="1">
      <w:start w:val="3"/>
      <w:numFmt w:val="lowerRoman"/>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2"/>
      <w:numFmt w:val="lowerRoman"/>
      <w:lvlText w:val="%9."/>
      <w:lvlJc w:val="left"/>
      <w:pPr>
        <w:ind w:left="3240" w:hanging="360"/>
      </w:pPr>
      <w:rPr>
        <w:rFonts w:hint="default"/>
      </w:rPr>
    </w:lvl>
  </w:abstractNum>
  <w:abstractNum w:abstractNumId="31" w15:restartNumberingAfterBreak="0">
    <w:nsid w:val="46171476"/>
    <w:multiLevelType w:val="hybridMultilevel"/>
    <w:tmpl w:val="2A324CA4"/>
    <w:lvl w:ilvl="0" w:tplc="04090001">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A945125"/>
    <w:multiLevelType w:val="hybridMultilevel"/>
    <w:tmpl w:val="72B4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C55306"/>
    <w:multiLevelType w:val="hybridMultilevel"/>
    <w:tmpl w:val="D3DA03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320491"/>
    <w:multiLevelType w:val="hybridMultilevel"/>
    <w:tmpl w:val="4AEA5400"/>
    <w:lvl w:ilvl="0" w:tplc="1D8E263E">
      <w:start w:val="1"/>
      <w:numFmt w:val="lowerRoman"/>
      <w:lvlText w:val="%1."/>
      <w:lvlJc w:val="righ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B03499"/>
    <w:multiLevelType w:val="hybridMultilevel"/>
    <w:tmpl w:val="E9144400"/>
    <w:lvl w:ilvl="0" w:tplc="1D4EB830">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58751D0"/>
    <w:multiLevelType w:val="hybridMultilevel"/>
    <w:tmpl w:val="DD742550"/>
    <w:lvl w:ilvl="0" w:tplc="99E0BF2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7187F42"/>
    <w:multiLevelType w:val="hybridMultilevel"/>
    <w:tmpl w:val="B73E7624"/>
    <w:lvl w:ilvl="0" w:tplc="E07EF302">
      <w:start w:val="1"/>
      <w:numFmt w:val="lowerRoman"/>
      <w:lvlText w:val="%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E64011"/>
    <w:multiLevelType w:val="hybridMultilevel"/>
    <w:tmpl w:val="96943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8B02CA"/>
    <w:multiLevelType w:val="hybridMultilevel"/>
    <w:tmpl w:val="56DA7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094BC6"/>
    <w:multiLevelType w:val="hybridMultilevel"/>
    <w:tmpl w:val="3AC4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1B01C1"/>
    <w:multiLevelType w:val="hybridMultilevel"/>
    <w:tmpl w:val="CAFCA710"/>
    <w:lvl w:ilvl="0" w:tplc="4676971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697E85"/>
    <w:multiLevelType w:val="hybridMultilevel"/>
    <w:tmpl w:val="B78E4A12"/>
    <w:lvl w:ilvl="0" w:tplc="0346CC1C">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B82F00"/>
    <w:multiLevelType w:val="hybridMultilevel"/>
    <w:tmpl w:val="A640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880C0E"/>
    <w:multiLevelType w:val="hybridMultilevel"/>
    <w:tmpl w:val="24ECE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0E468BC"/>
    <w:multiLevelType w:val="hybridMultilevel"/>
    <w:tmpl w:val="B29234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23D17C7"/>
    <w:multiLevelType w:val="hybridMultilevel"/>
    <w:tmpl w:val="7C009F9C"/>
    <w:lvl w:ilvl="0" w:tplc="EE7E1C54">
      <w:start w:val="3"/>
      <w:numFmt w:val="upperLetter"/>
      <w:lvlText w:val="%1."/>
      <w:lvlJc w:val="left"/>
      <w:pPr>
        <w:ind w:left="450" w:hanging="360"/>
      </w:pPr>
      <w:rPr>
        <w:rFonts w:hint="default"/>
        <w:b/>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 w15:restartNumberingAfterBreak="0">
    <w:nsid w:val="63C71055"/>
    <w:multiLevelType w:val="hybridMultilevel"/>
    <w:tmpl w:val="17C65E0E"/>
    <w:lvl w:ilvl="0" w:tplc="C798B006">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4A73140"/>
    <w:multiLevelType w:val="hybridMultilevel"/>
    <w:tmpl w:val="47C257C2"/>
    <w:lvl w:ilvl="0" w:tplc="2E2A57E0">
      <w:start w:val="1"/>
      <w:numFmt w:val="bullet"/>
      <w:lvlText w:val=""/>
      <w:lvlJc w:val="left"/>
      <w:pPr>
        <w:tabs>
          <w:tab w:val="num" w:pos="360"/>
        </w:tabs>
        <w:ind w:left="360" w:hanging="360"/>
      </w:pPr>
      <w:rPr>
        <w:rFonts w:ascii="Symbol" w:hAnsi="Symbol" w:hint="default"/>
        <w:sz w:val="16"/>
        <w:szCs w:val="16"/>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9" w15:restartNumberingAfterBreak="0">
    <w:nsid w:val="69FA5BB6"/>
    <w:multiLevelType w:val="hybridMultilevel"/>
    <w:tmpl w:val="5BF4F9CE"/>
    <w:lvl w:ilvl="0" w:tplc="D70A589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016B19"/>
    <w:multiLevelType w:val="hybridMultilevel"/>
    <w:tmpl w:val="AF420D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AD95D49"/>
    <w:multiLevelType w:val="hybridMultilevel"/>
    <w:tmpl w:val="00E8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9844F9"/>
    <w:multiLevelType w:val="hybridMultilevel"/>
    <w:tmpl w:val="2C9E1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FBD7259"/>
    <w:multiLevelType w:val="hybridMultilevel"/>
    <w:tmpl w:val="28269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FC1046A"/>
    <w:multiLevelType w:val="hybridMultilevel"/>
    <w:tmpl w:val="C3BC89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00239FC"/>
    <w:multiLevelType w:val="hybridMultilevel"/>
    <w:tmpl w:val="7E32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A54CF7"/>
    <w:multiLevelType w:val="hybridMultilevel"/>
    <w:tmpl w:val="DE7A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BC3482"/>
    <w:multiLevelType w:val="hybridMultilevel"/>
    <w:tmpl w:val="428A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49C59DF"/>
    <w:multiLevelType w:val="hybridMultilevel"/>
    <w:tmpl w:val="6DB88CB4"/>
    <w:lvl w:ilvl="0" w:tplc="04090001">
      <w:start w:val="1"/>
      <w:numFmt w:val="bullet"/>
      <w:lvlText w:val=""/>
      <w:lvlJc w:val="left"/>
      <w:pPr>
        <w:ind w:left="360" w:hanging="360"/>
      </w:pPr>
      <w:rPr>
        <w:rFonts w:ascii="Symbol" w:hAnsi="Symbol" w:hint="default"/>
      </w:rPr>
    </w:lvl>
    <w:lvl w:ilvl="1" w:tplc="F4E69CF0">
      <w:start w:val="1"/>
      <w:numFmt w:val="decimal"/>
      <w:lvlText w:val="%2."/>
      <w:lvlJc w:val="left"/>
      <w:pPr>
        <w:ind w:left="1080" w:hanging="360"/>
      </w:pPr>
      <w:rPr>
        <w:rFonts w:ascii="Times New Roman" w:eastAsia="Calibri" w:hAnsi="Times New Roman" w:cs="Times New Roman"/>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5934CA4"/>
    <w:multiLevelType w:val="hybridMultilevel"/>
    <w:tmpl w:val="1D2A1F2E"/>
    <w:lvl w:ilvl="0" w:tplc="91FC1C88">
      <w:start w:val="1"/>
      <w:numFmt w:val="bullet"/>
      <w:lvlText w:val=""/>
      <w:lvlJc w:val="left"/>
      <w:pPr>
        <w:ind w:left="2160" w:hanging="360"/>
      </w:pPr>
      <w:rPr>
        <w:rFonts w:ascii="Symbol" w:hAnsi="Symbol" w:hint="default"/>
        <w:sz w:val="16"/>
        <w:szCs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5FC05C7"/>
    <w:multiLevelType w:val="hybridMultilevel"/>
    <w:tmpl w:val="CC30C266"/>
    <w:lvl w:ilvl="0" w:tplc="59EC31EC">
      <w:start w:val="1"/>
      <w:numFmt w:val="upperLetter"/>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67D6607"/>
    <w:multiLevelType w:val="hybridMultilevel"/>
    <w:tmpl w:val="215A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89D6143"/>
    <w:multiLevelType w:val="hybridMultilevel"/>
    <w:tmpl w:val="1A6CF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AE4606B"/>
    <w:multiLevelType w:val="hybridMultilevel"/>
    <w:tmpl w:val="9CFCE4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63"/>
  </w:num>
  <w:num w:numId="3">
    <w:abstractNumId w:val="31"/>
  </w:num>
  <w:num w:numId="4">
    <w:abstractNumId w:val="35"/>
  </w:num>
  <w:num w:numId="5">
    <w:abstractNumId w:val="59"/>
  </w:num>
  <w:num w:numId="6">
    <w:abstractNumId w:val="6"/>
  </w:num>
  <w:num w:numId="7">
    <w:abstractNumId w:val="60"/>
  </w:num>
  <w:num w:numId="8">
    <w:abstractNumId w:val="62"/>
  </w:num>
  <w:num w:numId="9">
    <w:abstractNumId w:val="7"/>
    <w:lvlOverride w:ilvl="0">
      <w:startOverride w:val="3"/>
    </w:lvlOverride>
  </w:num>
  <w:num w:numId="10">
    <w:abstractNumId w:val="47"/>
  </w:num>
  <w:num w:numId="11">
    <w:abstractNumId w:val="11"/>
  </w:num>
  <w:num w:numId="12">
    <w:abstractNumId w:val="19"/>
  </w:num>
  <w:num w:numId="13">
    <w:abstractNumId w:val="48"/>
  </w:num>
  <w:num w:numId="14">
    <w:abstractNumId w:val="2"/>
  </w:num>
  <w:num w:numId="15">
    <w:abstractNumId w:val="49"/>
  </w:num>
  <w:num w:numId="16">
    <w:abstractNumId w:val="38"/>
  </w:num>
  <w:num w:numId="17">
    <w:abstractNumId w:val="10"/>
  </w:num>
  <w:num w:numId="18">
    <w:abstractNumId w:val="23"/>
  </w:num>
  <w:num w:numId="19">
    <w:abstractNumId w:val="3"/>
  </w:num>
  <w:num w:numId="20">
    <w:abstractNumId w:val="24"/>
  </w:num>
  <w:num w:numId="21">
    <w:abstractNumId w:val="15"/>
  </w:num>
  <w:num w:numId="22">
    <w:abstractNumId w:val="30"/>
  </w:num>
  <w:num w:numId="23">
    <w:abstractNumId w:val="27"/>
  </w:num>
  <w:num w:numId="24">
    <w:abstractNumId w:val="26"/>
  </w:num>
  <w:num w:numId="25">
    <w:abstractNumId w:val="21"/>
  </w:num>
  <w:num w:numId="26">
    <w:abstractNumId w:val="41"/>
  </w:num>
  <w:num w:numId="27">
    <w:abstractNumId w:val="16"/>
  </w:num>
  <w:num w:numId="28">
    <w:abstractNumId w:val="0"/>
  </w:num>
  <w:num w:numId="29">
    <w:abstractNumId w:val="34"/>
  </w:num>
  <w:num w:numId="30">
    <w:abstractNumId w:val="8"/>
  </w:num>
  <w:num w:numId="31">
    <w:abstractNumId w:val="37"/>
  </w:num>
  <w:num w:numId="32">
    <w:abstractNumId w:val="13"/>
  </w:num>
  <w:num w:numId="33">
    <w:abstractNumId w:val="28"/>
  </w:num>
  <w:num w:numId="34">
    <w:abstractNumId w:val="29"/>
  </w:num>
  <w:num w:numId="35">
    <w:abstractNumId w:val="46"/>
  </w:num>
  <w:num w:numId="36">
    <w:abstractNumId w:val="18"/>
  </w:num>
  <w:num w:numId="37">
    <w:abstractNumId w:val="56"/>
  </w:num>
  <w:num w:numId="38">
    <w:abstractNumId w:val="5"/>
  </w:num>
  <w:num w:numId="39">
    <w:abstractNumId w:val="4"/>
  </w:num>
  <w:num w:numId="40">
    <w:abstractNumId w:val="32"/>
  </w:num>
  <w:num w:numId="41">
    <w:abstractNumId w:val="12"/>
  </w:num>
  <w:num w:numId="42">
    <w:abstractNumId w:val="42"/>
  </w:num>
  <w:num w:numId="43">
    <w:abstractNumId w:val="57"/>
  </w:num>
  <w:num w:numId="44">
    <w:abstractNumId w:val="39"/>
  </w:num>
  <w:num w:numId="45">
    <w:abstractNumId w:val="36"/>
  </w:num>
  <w:num w:numId="46">
    <w:abstractNumId w:val="58"/>
  </w:num>
  <w:num w:numId="47">
    <w:abstractNumId w:val="50"/>
  </w:num>
  <w:num w:numId="48">
    <w:abstractNumId w:val="52"/>
  </w:num>
  <w:num w:numId="49">
    <w:abstractNumId w:val="40"/>
  </w:num>
  <w:num w:numId="50">
    <w:abstractNumId w:val="51"/>
  </w:num>
  <w:num w:numId="51">
    <w:abstractNumId w:val="45"/>
  </w:num>
  <w:num w:numId="52">
    <w:abstractNumId w:val="22"/>
  </w:num>
  <w:num w:numId="53">
    <w:abstractNumId w:val="54"/>
  </w:num>
  <w:num w:numId="54">
    <w:abstractNumId w:val="9"/>
  </w:num>
  <w:num w:numId="55">
    <w:abstractNumId w:val="1"/>
  </w:num>
  <w:num w:numId="56">
    <w:abstractNumId w:val="17"/>
  </w:num>
  <w:num w:numId="57">
    <w:abstractNumId w:val="61"/>
  </w:num>
  <w:num w:numId="58">
    <w:abstractNumId w:val="43"/>
  </w:num>
  <w:num w:numId="59">
    <w:abstractNumId w:val="44"/>
  </w:num>
  <w:num w:numId="60">
    <w:abstractNumId w:val="20"/>
  </w:num>
  <w:num w:numId="61">
    <w:abstractNumId w:val="55"/>
  </w:num>
  <w:num w:numId="62">
    <w:abstractNumId w:val="53"/>
  </w:num>
  <w:num w:numId="63">
    <w:abstractNumId w:val="14"/>
  </w:num>
  <w:num w:numId="64">
    <w:abstractNumId w:val="10"/>
  </w:num>
  <w:num w:numId="65">
    <w:abstractNumId w:val="13"/>
  </w:num>
  <w:num w:numId="66">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498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582"/>
    <w:rsid w:val="000005F1"/>
    <w:rsid w:val="00000C10"/>
    <w:rsid w:val="0000130C"/>
    <w:rsid w:val="0000182A"/>
    <w:rsid w:val="000020A5"/>
    <w:rsid w:val="000023E3"/>
    <w:rsid w:val="000026E2"/>
    <w:rsid w:val="00002DE2"/>
    <w:rsid w:val="00003C3E"/>
    <w:rsid w:val="000047C6"/>
    <w:rsid w:val="0000480F"/>
    <w:rsid w:val="0000534B"/>
    <w:rsid w:val="00006120"/>
    <w:rsid w:val="0000737A"/>
    <w:rsid w:val="00010111"/>
    <w:rsid w:val="00010D42"/>
    <w:rsid w:val="00010F86"/>
    <w:rsid w:val="000115D3"/>
    <w:rsid w:val="0001163E"/>
    <w:rsid w:val="0001196B"/>
    <w:rsid w:val="0001234B"/>
    <w:rsid w:val="0001256D"/>
    <w:rsid w:val="00012EC2"/>
    <w:rsid w:val="0001329C"/>
    <w:rsid w:val="000133AB"/>
    <w:rsid w:val="00013B80"/>
    <w:rsid w:val="000146B8"/>
    <w:rsid w:val="000149E1"/>
    <w:rsid w:val="00015822"/>
    <w:rsid w:val="00015BA2"/>
    <w:rsid w:val="00016674"/>
    <w:rsid w:val="000168AE"/>
    <w:rsid w:val="00017343"/>
    <w:rsid w:val="00017969"/>
    <w:rsid w:val="00017A57"/>
    <w:rsid w:val="000215D6"/>
    <w:rsid w:val="00021728"/>
    <w:rsid w:val="000219DA"/>
    <w:rsid w:val="00021B78"/>
    <w:rsid w:val="00021ED7"/>
    <w:rsid w:val="0002208E"/>
    <w:rsid w:val="000220DD"/>
    <w:rsid w:val="00022338"/>
    <w:rsid w:val="00022672"/>
    <w:rsid w:val="00022FC4"/>
    <w:rsid w:val="0002351B"/>
    <w:rsid w:val="00023A1D"/>
    <w:rsid w:val="00023B6E"/>
    <w:rsid w:val="0002423B"/>
    <w:rsid w:val="000244D7"/>
    <w:rsid w:val="00024E32"/>
    <w:rsid w:val="00025418"/>
    <w:rsid w:val="00025E27"/>
    <w:rsid w:val="000260D8"/>
    <w:rsid w:val="000261A2"/>
    <w:rsid w:val="000262B7"/>
    <w:rsid w:val="000263FE"/>
    <w:rsid w:val="0002743E"/>
    <w:rsid w:val="00027D2A"/>
    <w:rsid w:val="00027F73"/>
    <w:rsid w:val="00030748"/>
    <w:rsid w:val="00031208"/>
    <w:rsid w:val="00032A72"/>
    <w:rsid w:val="00032AE4"/>
    <w:rsid w:val="0003356F"/>
    <w:rsid w:val="0003394E"/>
    <w:rsid w:val="000344FB"/>
    <w:rsid w:val="0003468D"/>
    <w:rsid w:val="00034D05"/>
    <w:rsid w:val="000355E2"/>
    <w:rsid w:val="000378C2"/>
    <w:rsid w:val="0004031B"/>
    <w:rsid w:val="0004176C"/>
    <w:rsid w:val="00041D1A"/>
    <w:rsid w:val="0004254E"/>
    <w:rsid w:val="00042C13"/>
    <w:rsid w:val="00043352"/>
    <w:rsid w:val="000433A8"/>
    <w:rsid w:val="000436A7"/>
    <w:rsid w:val="000439C1"/>
    <w:rsid w:val="00043EB6"/>
    <w:rsid w:val="000442A1"/>
    <w:rsid w:val="0004483F"/>
    <w:rsid w:val="000456B7"/>
    <w:rsid w:val="00045AFC"/>
    <w:rsid w:val="00046041"/>
    <w:rsid w:val="000460D7"/>
    <w:rsid w:val="0004666E"/>
    <w:rsid w:val="000469DA"/>
    <w:rsid w:val="000503C7"/>
    <w:rsid w:val="00050B5F"/>
    <w:rsid w:val="000514BB"/>
    <w:rsid w:val="0005190F"/>
    <w:rsid w:val="000522E3"/>
    <w:rsid w:val="0005230E"/>
    <w:rsid w:val="000538E1"/>
    <w:rsid w:val="00054057"/>
    <w:rsid w:val="0005436F"/>
    <w:rsid w:val="00054BE7"/>
    <w:rsid w:val="00055203"/>
    <w:rsid w:val="000561CF"/>
    <w:rsid w:val="000566CA"/>
    <w:rsid w:val="000602E0"/>
    <w:rsid w:val="000605B8"/>
    <w:rsid w:val="00060A91"/>
    <w:rsid w:val="00060BF1"/>
    <w:rsid w:val="000612C6"/>
    <w:rsid w:val="000612FD"/>
    <w:rsid w:val="00061CE7"/>
    <w:rsid w:val="00061FAD"/>
    <w:rsid w:val="0006262D"/>
    <w:rsid w:val="000629B0"/>
    <w:rsid w:val="00062A3A"/>
    <w:rsid w:val="00062A69"/>
    <w:rsid w:val="00062AA2"/>
    <w:rsid w:val="00062AF2"/>
    <w:rsid w:val="00065177"/>
    <w:rsid w:val="00065837"/>
    <w:rsid w:val="00065B5C"/>
    <w:rsid w:val="00066274"/>
    <w:rsid w:val="00066B21"/>
    <w:rsid w:val="00066C56"/>
    <w:rsid w:val="00067C44"/>
    <w:rsid w:val="00067C9D"/>
    <w:rsid w:val="00070972"/>
    <w:rsid w:val="00070BEC"/>
    <w:rsid w:val="00070E18"/>
    <w:rsid w:val="00070E90"/>
    <w:rsid w:val="000715F0"/>
    <w:rsid w:val="00071C7C"/>
    <w:rsid w:val="00072027"/>
    <w:rsid w:val="000722C9"/>
    <w:rsid w:val="00072716"/>
    <w:rsid w:val="00072950"/>
    <w:rsid w:val="00072A1D"/>
    <w:rsid w:val="00072D8F"/>
    <w:rsid w:val="0007426D"/>
    <w:rsid w:val="00074854"/>
    <w:rsid w:val="0007503C"/>
    <w:rsid w:val="00075347"/>
    <w:rsid w:val="000753FE"/>
    <w:rsid w:val="00075750"/>
    <w:rsid w:val="00076906"/>
    <w:rsid w:val="000774FF"/>
    <w:rsid w:val="00080275"/>
    <w:rsid w:val="00080830"/>
    <w:rsid w:val="00081F7F"/>
    <w:rsid w:val="0008214D"/>
    <w:rsid w:val="00082158"/>
    <w:rsid w:val="0008265C"/>
    <w:rsid w:val="00084EFA"/>
    <w:rsid w:val="00085629"/>
    <w:rsid w:val="00085B1D"/>
    <w:rsid w:val="00085EF9"/>
    <w:rsid w:val="0008664B"/>
    <w:rsid w:val="00086684"/>
    <w:rsid w:val="00086C61"/>
    <w:rsid w:val="00087408"/>
    <w:rsid w:val="000875A8"/>
    <w:rsid w:val="000879C6"/>
    <w:rsid w:val="00087F06"/>
    <w:rsid w:val="00090219"/>
    <w:rsid w:val="00091521"/>
    <w:rsid w:val="0009152F"/>
    <w:rsid w:val="0009170F"/>
    <w:rsid w:val="00092652"/>
    <w:rsid w:val="00093259"/>
    <w:rsid w:val="00093444"/>
    <w:rsid w:val="000936BE"/>
    <w:rsid w:val="000947C9"/>
    <w:rsid w:val="0009553D"/>
    <w:rsid w:val="00096A0D"/>
    <w:rsid w:val="00096BF6"/>
    <w:rsid w:val="000972DD"/>
    <w:rsid w:val="000A0BE4"/>
    <w:rsid w:val="000A0C23"/>
    <w:rsid w:val="000A1AB8"/>
    <w:rsid w:val="000A20BB"/>
    <w:rsid w:val="000A22DE"/>
    <w:rsid w:val="000A2803"/>
    <w:rsid w:val="000A3002"/>
    <w:rsid w:val="000A4149"/>
    <w:rsid w:val="000A44F3"/>
    <w:rsid w:val="000A47BE"/>
    <w:rsid w:val="000A66F9"/>
    <w:rsid w:val="000A6DC5"/>
    <w:rsid w:val="000A7DBF"/>
    <w:rsid w:val="000B087B"/>
    <w:rsid w:val="000B1494"/>
    <w:rsid w:val="000B16E0"/>
    <w:rsid w:val="000B1F4E"/>
    <w:rsid w:val="000B24B2"/>
    <w:rsid w:val="000B265F"/>
    <w:rsid w:val="000B2FE4"/>
    <w:rsid w:val="000B337C"/>
    <w:rsid w:val="000B58A3"/>
    <w:rsid w:val="000B5B77"/>
    <w:rsid w:val="000B5BB2"/>
    <w:rsid w:val="000B6396"/>
    <w:rsid w:val="000B63DB"/>
    <w:rsid w:val="000B6E14"/>
    <w:rsid w:val="000B72F7"/>
    <w:rsid w:val="000C0C59"/>
    <w:rsid w:val="000C0E22"/>
    <w:rsid w:val="000C12D9"/>
    <w:rsid w:val="000C19AE"/>
    <w:rsid w:val="000C1BCE"/>
    <w:rsid w:val="000C20F3"/>
    <w:rsid w:val="000C341C"/>
    <w:rsid w:val="000C3532"/>
    <w:rsid w:val="000C3845"/>
    <w:rsid w:val="000C3FFA"/>
    <w:rsid w:val="000C4FAA"/>
    <w:rsid w:val="000C5149"/>
    <w:rsid w:val="000C596C"/>
    <w:rsid w:val="000C6662"/>
    <w:rsid w:val="000C6B6D"/>
    <w:rsid w:val="000C7070"/>
    <w:rsid w:val="000C7D11"/>
    <w:rsid w:val="000C7FE5"/>
    <w:rsid w:val="000D161A"/>
    <w:rsid w:val="000D1BFE"/>
    <w:rsid w:val="000D21A8"/>
    <w:rsid w:val="000D31D5"/>
    <w:rsid w:val="000D3A14"/>
    <w:rsid w:val="000D3B04"/>
    <w:rsid w:val="000D3C21"/>
    <w:rsid w:val="000D48C8"/>
    <w:rsid w:val="000D4A25"/>
    <w:rsid w:val="000D6139"/>
    <w:rsid w:val="000E0AB4"/>
    <w:rsid w:val="000E0F44"/>
    <w:rsid w:val="000E1363"/>
    <w:rsid w:val="000E19B5"/>
    <w:rsid w:val="000E234E"/>
    <w:rsid w:val="000E30BF"/>
    <w:rsid w:val="000E31DE"/>
    <w:rsid w:val="000E3299"/>
    <w:rsid w:val="000E3C8B"/>
    <w:rsid w:val="000E3F7B"/>
    <w:rsid w:val="000E594E"/>
    <w:rsid w:val="000E6825"/>
    <w:rsid w:val="000E6D54"/>
    <w:rsid w:val="000E7045"/>
    <w:rsid w:val="000E7883"/>
    <w:rsid w:val="000F0A13"/>
    <w:rsid w:val="000F1911"/>
    <w:rsid w:val="000F1BF5"/>
    <w:rsid w:val="000F2769"/>
    <w:rsid w:val="000F350E"/>
    <w:rsid w:val="000F3BEF"/>
    <w:rsid w:val="000F3EBF"/>
    <w:rsid w:val="000F47DC"/>
    <w:rsid w:val="000F485C"/>
    <w:rsid w:val="000F4C5C"/>
    <w:rsid w:val="000F7994"/>
    <w:rsid w:val="001005E9"/>
    <w:rsid w:val="00101393"/>
    <w:rsid w:val="0010183E"/>
    <w:rsid w:val="00103619"/>
    <w:rsid w:val="00103962"/>
    <w:rsid w:val="001045A5"/>
    <w:rsid w:val="00104837"/>
    <w:rsid w:val="001049F1"/>
    <w:rsid w:val="00105798"/>
    <w:rsid w:val="00105AD4"/>
    <w:rsid w:val="0010672E"/>
    <w:rsid w:val="001067ED"/>
    <w:rsid w:val="001068EE"/>
    <w:rsid w:val="00106DD9"/>
    <w:rsid w:val="00106E26"/>
    <w:rsid w:val="00110181"/>
    <w:rsid w:val="0011040F"/>
    <w:rsid w:val="00110B3D"/>
    <w:rsid w:val="00111206"/>
    <w:rsid w:val="00111F4B"/>
    <w:rsid w:val="001124DA"/>
    <w:rsid w:val="00112503"/>
    <w:rsid w:val="001127A8"/>
    <w:rsid w:val="00112D36"/>
    <w:rsid w:val="001133D7"/>
    <w:rsid w:val="001135C3"/>
    <w:rsid w:val="00113BC7"/>
    <w:rsid w:val="00113C14"/>
    <w:rsid w:val="00113DFA"/>
    <w:rsid w:val="00114708"/>
    <w:rsid w:val="001153E3"/>
    <w:rsid w:val="001155FA"/>
    <w:rsid w:val="00115ADB"/>
    <w:rsid w:val="00115BBF"/>
    <w:rsid w:val="00115D3F"/>
    <w:rsid w:val="00115FD3"/>
    <w:rsid w:val="00116020"/>
    <w:rsid w:val="001164C3"/>
    <w:rsid w:val="00117F51"/>
    <w:rsid w:val="001204DA"/>
    <w:rsid w:val="001205AC"/>
    <w:rsid w:val="001208AD"/>
    <w:rsid w:val="00120F31"/>
    <w:rsid w:val="00122410"/>
    <w:rsid w:val="00122480"/>
    <w:rsid w:val="00122EDB"/>
    <w:rsid w:val="0012310E"/>
    <w:rsid w:val="00123547"/>
    <w:rsid w:val="001238AC"/>
    <w:rsid w:val="00123E1B"/>
    <w:rsid w:val="00124B8E"/>
    <w:rsid w:val="00125653"/>
    <w:rsid w:val="001257E4"/>
    <w:rsid w:val="00125D5D"/>
    <w:rsid w:val="00126A66"/>
    <w:rsid w:val="00126DBB"/>
    <w:rsid w:val="00127DEE"/>
    <w:rsid w:val="00130B35"/>
    <w:rsid w:val="001313CA"/>
    <w:rsid w:val="001314E2"/>
    <w:rsid w:val="001316AE"/>
    <w:rsid w:val="0013193E"/>
    <w:rsid w:val="00131EC8"/>
    <w:rsid w:val="00132024"/>
    <w:rsid w:val="0013279B"/>
    <w:rsid w:val="00133223"/>
    <w:rsid w:val="00133624"/>
    <w:rsid w:val="00134405"/>
    <w:rsid w:val="00134E24"/>
    <w:rsid w:val="001354CB"/>
    <w:rsid w:val="0013595A"/>
    <w:rsid w:val="00135A30"/>
    <w:rsid w:val="00135A48"/>
    <w:rsid w:val="00136739"/>
    <w:rsid w:val="00137A89"/>
    <w:rsid w:val="00137B2A"/>
    <w:rsid w:val="00140526"/>
    <w:rsid w:val="001406F8"/>
    <w:rsid w:val="001407DC"/>
    <w:rsid w:val="001414E0"/>
    <w:rsid w:val="001429AC"/>
    <w:rsid w:val="00142B36"/>
    <w:rsid w:val="00142B83"/>
    <w:rsid w:val="00143595"/>
    <w:rsid w:val="00143871"/>
    <w:rsid w:val="00145333"/>
    <w:rsid w:val="00145589"/>
    <w:rsid w:val="0014604B"/>
    <w:rsid w:val="0014614C"/>
    <w:rsid w:val="0014664C"/>
    <w:rsid w:val="00146D35"/>
    <w:rsid w:val="001476C9"/>
    <w:rsid w:val="00150109"/>
    <w:rsid w:val="0015013E"/>
    <w:rsid w:val="001504F7"/>
    <w:rsid w:val="001521A1"/>
    <w:rsid w:val="001530EF"/>
    <w:rsid w:val="00153390"/>
    <w:rsid w:val="00153B23"/>
    <w:rsid w:val="00154060"/>
    <w:rsid w:val="001541D2"/>
    <w:rsid w:val="001545E5"/>
    <w:rsid w:val="00154BE2"/>
    <w:rsid w:val="00154DEB"/>
    <w:rsid w:val="001558C0"/>
    <w:rsid w:val="00155C40"/>
    <w:rsid w:val="00155EAE"/>
    <w:rsid w:val="00155EF3"/>
    <w:rsid w:val="0015640A"/>
    <w:rsid w:val="0015686E"/>
    <w:rsid w:val="0015696C"/>
    <w:rsid w:val="00157B6E"/>
    <w:rsid w:val="0016029C"/>
    <w:rsid w:val="00160A74"/>
    <w:rsid w:val="001613E3"/>
    <w:rsid w:val="0016151B"/>
    <w:rsid w:val="00162543"/>
    <w:rsid w:val="00162A18"/>
    <w:rsid w:val="00163A06"/>
    <w:rsid w:val="001649A7"/>
    <w:rsid w:val="00164F01"/>
    <w:rsid w:val="00165436"/>
    <w:rsid w:val="001654DF"/>
    <w:rsid w:val="00165559"/>
    <w:rsid w:val="00166CB7"/>
    <w:rsid w:val="00166CCB"/>
    <w:rsid w:val="00166E6D"/>
    <w:rsid w:val="00167FCC"/>
    <w:rsid w:val="00170039"/>
    <w:rsid w:val="001705B3"/>
    <w:rsid w:val="00171ACE"/>
    <w:rsid w:val="00174163"/>
    <w:rsid w:val="00174B45"/>
    <w:rsid w:val="00175142"/>
    <w:rsid w:val="001751F1"/>
    <w:rsid w:val="00175D74"/>
    <w:rsid w:val="00176111"/>
    <w:rsid w:val="001769D9"/>
    <w:rsid w:val="00177194"/>
    <w:rsid w:val="0017719C"/>
    <w:rsid w:val="0017724D"/>
    <w:rsid w:val="0017731F"/>
    <w:rsid w:val="00177B6F"/>
    <w:rsid w:val="00180053"/>
    <w:rsid w:val="00180B60"/>
    <w:rsid w:val="00180C11"/>
    <w:rsid w:val="00180E71"/>
    <w:rsid w:val="0018130B"/>
    <w:rsid w:val="00181466"/>
    <w:rsid w:val="00181746"/>
    <w:rsid w:val="00181914"/>
    <w:rsid w:val="001819EB"/>
    <w:rsid w:val="00181D58"/>
    <w:rsid w:val="001828E4"/>
    <w:rsid w:val="001828FE"/>
    <w:rsid w:val="001829F2"/>
    <w:rsid w:val="00183743"/>
    <w:rsid w:val="001838B7"/>
    <w:rsid w:val="001838D0"/>
    <w:rsid w:val="00183C93"/>
    <w:rsid w:val="0018461A"/>
    <w:rsid w:val="00184E22"/>
    <w:rsid w:val="00184FFF"/>
    <w:rsid w:val="00185807"/>
    <w:rsid w:val="00185B41"/>
    <w:rsid w:val="001867E8"/>
    <w:rsid w:val="00186C2F"/>
    <w:rsid w:val="00187573"/>
    <w:rsid w:val="0019030E"/>
    <w:rsid w:val="001912DF"/>
    <w:rsid w:val="001916BB"/>
    <w:rsid w:val="0019173E"/>
    <w:rsid w:val="00191F7B"/>
    <w:rsid w:val="0019241C"/>
    <w:rsid w:val="00192656"/>
    <w:rsid w:val="00192E9E"/>
    <w:rsid w:val="00193329"/>
    <w:rsid w:val="00193BF0"/>
    <w:rsid w:val="00193D1D"/>
    <w:rsid w:val="00194C64"/>
    <w:rsid w:val="0019501A"/>
    <w:rsid w:val="001952D4"/>
    <w:rsid w:val="00196110"/>
    <w:rsid w:val="001961E5"/>
    <w:rsid w:val="00196402"/>
    <w:rsid w:val="00196498"/>
    <w:rsid w:val="00197086"/>
    <w:rsid w:val="001A02E9"/>
    <w:rsid w:val="001A0329"/>
    <w:rsid w:val="001A090E"/>
    <w:rsid w:val="001A0977"/>
    <w:rsid w:val="001A0983"/>
    <w:rsid w:val="001A109A"/>
    <w:rsid w:val="001A19FA"/>
    <w:rsid w:val="001A3248"/>
    <w:rsid w:val="001A3B52"/>
    <w:rsid w:val="001A4AAC"/>
    <w:rsid w:val="001A4D5D"/>
    <w:rsid w:val="001A5522"/>
    <w:rsid w:val="001A5709"/>
    <w:rsid w:val="001A57EC"/>
    <w:rsid w:val="001A65F3"/>
    <w:rsid w:val="001A660C"/>
    <w:rsid w:val="001A66C6"/>
    <w:rsid w:val="001A727F"/>
    <w:rsid w:val="001A76CD"/>
    <w:rsid w:val="001B1367"/>
    <w:rsid w:val="001B1637"/>
    <w:rsid w:val="001B16CA"/>
    <w:rsid w:val="001B1AF0"/>
    <w:rsid w:val="001B2FC8"/>
    <w:rsid w:val="001B3A88"/>
    <w:rsid w:val="001B4029"/>
    <w:rsid w:val="001B4583"/>
    <w:rsid w:val="001B4B60"/>
    <w:rsid w:val="001B4BC9"/>
    <w:rsid w:val="001B5AE8"/>
    <w:rsid w:val="001B5C36"/>
    <w:rsid w:val="001B5F81"/>
    <w:rsid w:val="001B6924"/>
    <w:rsid w:val="001B69BF"/>
    <w:rsid w:val="001B6E14"/>
    <w:rsid w:val="001B7698"/>
    <w:rsid w:val="001B7D88"/>
    <w:rsid w:val="001C041F"/>
    <w:rsid w:val="001C0B36"/>
    <w:rsid w:val="001C0C80"/>
    <w:rsid w:val="001C17E0"/>
    <w:rsid w:val="001C1858"/>
    <w:rsid w:val="001C18E8"/>
    <w:rsid w:val="001C19CD"/>
    <w:rsid w:val="001C27BD"/>
    <w:rsid w:val="001C3059"/>
    <w:rsid w:val="001C495E"/>
    <w:rsid w:val="001C56E8"/>
    <w:rsid w:val="001C58DE"/>
    <w:rsid w:val="001C5AD2"/>
    <w:rsid w:val="001C6067"/>
    <w:rsid w:val="001C60AE"/>
    <w:rsid w:val="001C63CB"/>
    <w:rsid w:val="001C696C"/>
    <w:rsid w:val="001C6977"/>
    <w:rsid w:val="001C6FC0"/>
    <w:rsid w:val="001C73AF"/>
    <w:rsid w:val="001D0505"/>
    <w:rsid w:val="001D0BB4"/>
    <w:rsid w:val="001D13CD"/>
    <w:rsid w:val="001D1469"/>
    <w:rsid w:val="001D2B08"/>
    <w:rsid w:val="001D2B28"/>
    <w:rsid w:val="001D2D42"/>
    <w:rsid w:val="001D353E"/>
    <w:rsid w:val="001D4A66"/>
    <w:rsid w:val="001D5E93"/>
    <w:rsid w:val="001D6096"/>
    <w:rsid w:val="001D7042"/>
    <w:rsid w:val="001D7A23"/>
    <w:rsid w:val="001E0216"/>
    <w:rsid w:val="001E0738"/>
    <w:rsid w:val="001E2055"/>
    <w:rsid w:val="001E2BDC"/>
    <w:rsid w:val="001E30F8"/>
    <w:rsid w:val="001E36AD"/>
    <w:rsid w:val="001E44BE"/>
    <w:rsid w:val="001E44E0"/>
    <w:rsid w:val="001E53BF"/>
    <w:rsid w:val="001E5D5C"/>
    <w:rsid w:val="001E682C"/>
    <w:rsid w:val="001E6DF8"/>
    <w:rsid w:val="001E71AE"/>
    <w:rsid w:val="001E7A7F"/>
    <w:rsid w:val="001F00A6"/>
    <w:rsid w:val="001F08D4"/>
    <w:rsid w:val="001F108A"/>
    <w:rsid w:val="001F139E"/>
    <w:rsid w:val="001F18C8"/>
    <w:rsid w:val="001F1ED9"/>
    <w:rsid w:val="001F2056"/>
    <w:rsid w:val="001F2A56"/>
    <w:rsid w:val="001F3444"/>
    <w:rsid w:val="001F3517"/>
    <w:rsid w:val="001F36E2"/>
    <w:rsid w:val="001F3728"/>
    <w:rsid w:val="001F3B4B"/>
    <w:rsid w:val="001F4591"/>
    <w:rsid w:val="001F4A5D"/>
    <w:rsid w:val="001F4A71"/>
    <w:rsid w:val="001F6145"/>
    <w:rsid w:val="001F6372"/>
    <w:rsid w:val="001F6AA0"/>
    <w:rsid w:val="001F7C49"/>
    <w:rsid w:val="002006CD"/>
    <w:rsid w:val="00200EE0"/>
    <w:rsid w:val="00201119"/>
    <w:rsid w:val="002011D1"/>
    <w:rsid w:val="00201A2E"/>
    <w:rsid w:val="00202C4E"/>
    <w:rsid w:val="00203C7E"/>
    <w:rsid w:val="00204354"/>
    <w:rsid w:val="00204D46"/>
    <w:rsid w:val="00204E04"/>
    <w:rsid w:val="00205D5B"/>
    <w:rsid w:val="0020683F"/>
    <w:rsid w:val="00206EFE"/>
    <w:rsid w:val="00207BDC"/>
    <w:rsid w:val="00207BFE"/>
    <w:rsid w:val="00207CC7"/>
    <w:rsid w:val="0021021D"/>
    <w:rsid w:val="00210961"/>
    <w:rsid w:val="00211001"/>
    <w:rsid w:val="00211162"/>
    <w:rsid w:val="002118AC"/>
    <w:rsid w:val="00211DC3"/>
    <w:rsid w:val="00211F09"/>
    <w:rsid w:val="00212162"/>
    <w:rsid w:val="0021277F"/>
    <w:rsid w:val="002128FD"/>
    <w:rsid w:val="0021295B"/>
    <w:rsid w:val="00213201"/>
    <w:rsid w:val="00213498"/>
    <w:rsid w:val="00213C7B"/>
    <w:rsid w:val="0021457B"/>
    <w:rsid w:val="002148DC"/>
    <w:rsid w:val="00215172"/>
    <w:rsid w:val="00215250"/>
    <w:rsid w:val="002165D4"/>
    <w:rsid w:val="0021660E"/>
    <w:rsid w:val="00216931"/>
    <w:rsid w:val="00216BA8"/>
    <w:rsid w:val="00216C66"/>
    <w:rsid w:val="00216D54"/>
    <w:rsid w:val="002177A4"/>
    <w:rsid w:val="00220326"/>
    <w:rsid w:val="00220517"/>
    <w:rsid w:val="00220B38"/>
    <w:rsid w:val="00220F02"/>
    <w:rsid w:val="00220FB2"/>
    <w:rsid w:val="002211BC"/>
    <w:rsid w:val="0022195E"/>
    <w:rsid w:val="00221A1D"/>
    <w:rsid w:val="00222AF0"/>
    <w:rsid w:val="00222E5D"/>
    <w:rsid w:val="0022504D"/>
    <w:rsid w:val="002255F3"/>
    <w:rsid w:val="002263D3"/>
    <w:rsid w:val="00226A34"/>
    <w:rsid w:val="00227654"/>
    <w:rsid w:val="00227DD2"/>
    <w:rsid w:val="00227FA8"/>
    <w:rsid w:val="00231186"/>
    <w:rsid w:val="00231783"/>
    <w:rsid w:val="00231793"/>
    <w:rsid w:val="00231C83"/>
    <w:rsid w:val="00231E52"/>
    <w:rsid w:val="002321AD"/>
    <w:rsid w:val="00232CA8"/>
    <w:rsid w:val="002333F3"/>
    <w:rsid w:val="002337F2"/>
    <w:rsid w:val="00233C8E"/>
    <w:rsid w:val="0023443B"/>
    <w:rsid w:val="00234500"/>
    <w:rsid w:val="00234555"/>
    <w:rsid w:val="00234F31"/>
    <w:rsid w:val="00235185"/>
    <w:rsid w:val="002357BE"/>
    <w:rsid w:val="002357FB"/>
    <w:rsid w:val="002361AC"/>
    <w:rsid w:val="00236238"/>
    <w:rsid w:val="00237368"/>
    <w:rsid w:val="00237FE5"/>
    <w:rsid w:val="002406B2"/>
    <w:rsid w:val="00241A97"/>
    <w:rsid w:val="00242093"/>
    <w:rsid w:val="0024211E"/>
    <w:rsid w:val="00242CBC"/>
    <w:rsid w:val="002430E5"/>
    <w:rsid w:val="0024326F"/>
    <w:rsid w:val="00243D6D"/>
    <w:rsid w:val="00244690"/>
    <w:rsid w:val="002450BB"/>
    <w:rsid w:val="00245812"/>
    <w:rsid w:val="002467F4"/>
    <w:rsid w:val="00246D99"/>
    <w:rsid w:val="002500FC"/>
    <w:rsid w:val="002523EB"/>
    <w:rsid w:val="002531CF"/>
    <w:rsid w:val="00253463"/>
    <w:rsid w:val="00254A2A"/>
    <w:rsid w:val="00254C16"/>
    <w:rsid w:val="00255724"/>
    <w:rsid w:val="0025591D"/>
    <w:rsid w:val="00255A44"/>
    <w:rsid w:val="00255F98"/>
    <w:rsid w:val="0025615B"/>
    <w:rsid w:val="00256268"/>
    <w:rsid w:val="00256314"/>
    <w:rsid w:val="00256824"/>
    <w:rsid w:val="002602BB"/>
    <w:rsid w:val="0026064D"/>
    <w:rsid w:val="002607C9"/>
    <w:rsid w:val="00260FF8"/>
    <w:rsid w:val="002611E1"/>
    <w:rsid w:val="0026121E"/>
    <w:rsid w:val="00261787"/>
    <w:rsid w:val="0026197A"/>
    <w:rsid w:val="00261E2C"/>
    <w:rsid w:val="00264A29"/>
    <w:rsid w:val="00264B08"/>
    <w:rsid w:val="00264C87"/>
    <w:rsid w:val="00266E57"/>
    <w:rsid w:val="00266EF2"/>
    <w:rsid w:val="00267642"/>
    <w:rsid w:val="00267D24"/>
    <w:rsid w:val="002711DA"/>
    <w:rsid w:val="002716FA"/>
    <w:rsid w:val="00271B16"/>
    <w:rsid w:val="00271F2C"/>
    <w:rsid w:val="00272A8B"/>
    <w:rsid w:val="00272C40"/>
    <w:rsid w:val="0027326F"/>
    <w:rsid w:val="0027397A"/>
    <w:rsid w:val="00273A2E"/>
    <w:rsid w:val="0027440A"/>
    <w:rsid w:val="00274D84"/>
    <w:rsid w:val="00275247"/>
    <w:rsid w:val="002768FC"/>
    <w:rsid w:val="002800CE"/>
    <w:rsid w:val="00280188"/>
    <w:rsid w:val="0028029A"/>
    <w:rsid w:val="00280F92"/>
    <w:rsid w:val="00281BCE"/>
    <w:rsid w:val="00281D94"/>
    <w:rsid w:val="00285022"/>
    <w:rsid w:val="002851FF"/>
    <w:rsid w:val="00285953"/>
    <w:rsid w:val="0028596A"/>
    <w:rsid w:val="00285F5B"/>
    <w:rsid w:val="002860CC"/>
    <w:rsid w:val="002865DF"/>
    <w:rsid w:val="00286EE9"/>
    <w:rsid w:val="00287340"/>
    <w:rsid w:val="00287B62"/>
    <w:rsid w:val="00287D9B"/>
    <w:rsid w:val="00287E6B"/>
    <w:rsid w:val="002906FB"/>
    <w:rsid w:val="00291216"/>
    <w:rsid w:val="0029121F"/>
    <w:rsid w:val="0029150F"/>
    <w:rsid w:val="002917D2"/>
    <w:rsid w:val="00291C5A"/>
    <w:rsid w:val="00291D7F"/>
    <w:rsid w:val="002922FE"/>
    <w:rsid w:val="00292E70"/>
    <w:rsid w:val="002935E9"/>
    <w:rsid w:val="00293692"/>
    <w:rsid w:val="00293744"/>
    <w:rsid w:val="0029383D"/>
    <w:rsid w:val="00293854"/>
    <w:rsid w:val="002939E0"/>
    <w:rsid w:val="00294D7B"/>
    <w:rsid w:val="00294F09"/>
    <w:rsid w:val="00295290"/>
    <w:rsid w:val="002964D8"/>
    <w:rsid w:val="00296686"/>
    <w:rsid w:val="002979D4"/>
    <w:rsid w:val="002A0AD7"/>
    <w:rsid w:val="002A0AEB"/>
    <w:rsid w:val="002A2580"/>
    <w:rsid w:val="002A2C95"/>
    <w:rsid w:val="002A3AE4"/>
    <w:rsid w:val="002A3D95"/>
    <w:rsid w:val="002A466B"/>
    <w:rsid w:val="002A70F1"/>
    <w:rsid w:val="002A777A"/>
    <w:rsid w:val="002A7BE5"/>
    <w:rsid w:val="002A7DEE"/>
    <w:rsid w:val="002B0E72"/>
    <w:rsid w:val="002B108E"/>
    <w:rsid w:val="002B2A1A"/>
    <w:rsid w:val="002B6C32"/>
    <w:rsid w:val="002B73D3"/>
    <w:rsid w:val="002B7D1C"/>
    <w:rsid w:val="002C18B1"/>
    <w:rsid w:val="002C1BFE"/>
    <w:rsid w:val="002C207E"/>
    <w:rsid w:val="002C290A"/>
    <w:rsid w:val="002C2983"/>
    <w:rsid w:val="002C2BFD"/>
    <w:rsid w:val="002C2F6E"/>
    <w:rsid w:val="002C3D7A"/>
    <w:rsid w:val="002C4D31"/>
    <w:rsid w:val="002C4E12"/>
    <w:rsid w:val="002C51B4"/>
    <w:rsid w:val="002C6412"/>
    <w:rsid w:val="002C738D"/>
    <w:rsid w:val="002C7440"/>
    <w:rsid w:val="002C7F41"/>
    <w:rsid w:val="002D05FA"/>
    <w:rsid w:val="002D07CF"/>
    <w:rsid w:val="002D1B0C"/>
    <w:rsid w:val="002D2175"/>
    <w:rsid w:val="002D2CED"/>
    <w:rsid w:val="002D30F9"/>
    <w:rsid w:val="002D37C8"/>
    <w:rsid w:val="002D55CD"/>
    <w:rsid w:val="002D591E"/>
    <w:rsid w:val="002D629D"/>
    <w:rsid w:val="002D6823"/>
    <w:rsid w:val="002D6842"/>
    <w:rsid w:val="002D6AD0"/>
    <w:rsid w:val="002D6E16"/>
    <w:rsid w:val="002D71E7"/>
    <w:rsid w:val="002D7282"/>
    <w:rsid w:val="002E1092"/>
    <w:rsid w:val="002E1BDF"/>
    <w:rsid w:val="002E1C7C"/>
    <w:rsid w:val="002E20FD"/>
    <w:rsid w:val="002E23C7"/>
    <w:rsid w:val="002E25BD"/>
    <w:rsid w:val="002E29C6"/>
    <w:rsid w:val="002E29E8"/>
    <w:rsid w:val="002E2B97"/>
    <w:rsid w:val="002E318C"/>
    <w:rsid w:val="002E36A9"/>
    <w:rsid w:val="002E3B00"/>
    <w:rsid w:val="002E4334"/>
    <w:rsid w:val="002E4B38"/>
    <w:rsid w:val="002E4FF0"/>
    <w:rsid w:val="002E6383"/>
    <w:rsid w:val="002E68F1"/>
    <w:rsid w:val="002E6DE5"/>
    <w:rsid w:val="002E6E35"/>
    <w:rsid w:val="002E6F05"/>
    <w:rsid w:val="002E7FBB"/>
    <w:rsid w:val="002F0EF5"/>
    <w:rsid w:val="002F18E9"/>
    <w:rsid w:val="002F1BE2"/>
    <w:rsid w:val="002F1CAD"/>
    <w:rsid w:val="002F1F67"/>
    <w:rsid w:val="002F26F7"/>
    <w:rsid w:val="002F2C81"/>
    <w:rsid w:val="002F2F27"/>
    <w:rsid w:val="002F352D"/>
    <w:rsid w:val="002F3C7A"/>
    <w:rsid w:val="002F42BC"/>
    <w:rsid w:val="002F6038"/>
    <w:rsid w:val="002F7A72"/>
    <w:rsid w:val="002F7F8B"/>
    <w:rsid w:val="00300A06"/>
    <w:rsid w:val="00300DFA"/>
    <w:rsid w:val="00300F7D"/>
    <w:rsid w:val="00301502"/>
    <w:rsid w:val="0030191F"/>
    <w:rsid w:val="00303FB9"/>
    <w:rsid w:val="00304895"/>
    <w:rsid w:val="00304A6C"/>
    <w:rsid w:val="00305012"/>
    <w:rsid w:val="00305C29"/>
    <w:rsid w:val="00305F70"/>
    <w:rsid w:val="003063B1"/>
    <w:rsid w:val="0030644B"/>
    <w:rsid w:val="0030686F"/>
    <w:rsid w:val="00306A83"/>
    <w:rsid w:val="00306B1C"/>
    <w:rsid w:val="00306F6A"/>
    <w:rsid w:val="0031045C"/>
    <w:rsid w:val="00310AFC"/>
    <w:rsid w:val="00311049"/>
    <w:rsid w:val="003110AC"/>
    <w:rsid w:val="00311234"/>
    <w:rsid w:val="00312570"/>
    <w:rsid w:val="00312908"/>
    <w:rsid w:val="0031457C"/>
    <w:rsid w:val="003151C3"/>
    <w:rsid w:val="003155FA"/>
    <w:rsid w:val="00315C9D"/>
    <w:rsid w:val="003169BF"/>
    <w:rsid w:val="00316D42"/>
    <w:rsid w:val="00316E06"/>
    <w:rsid w:val="00316F41"/>
    <w:rsid w:val="00317373"/>
    <w:rsid w:val="00320A6C"/>
    <w:rsid w:val="00320AFD"/>
    <w:rsid w:val="00321C60"/>
    <w:rsid w:val="00321F58"/>
    <w:rsid w:val="003222FE"/>
    <w:rsid w:val="0032256F"/>
    <w:rsid w:val="00322D2C"/>
    <w:rsid w:val="003230BF"/>
    <w:rsid w:val="003234D3"/>
    <w:rsid w:val="00323872"/>
    <w:rsid w:val="00323B97"/>
    <w:rsid w:val="00323BEF"/>
    <w:rsid w:val="00324600"/>
    <w:rsid w:val="00324D44"/>
    <w:rsid w:val="003257C5"/>
    <w:rsid w:val="00325DB9"/>
    <w:rsid w:val="003261E9"/>
    <w:rsid w:val="003272E6"/>
    <w:rsid w:val="003276D2"/>
    <w:rsid w:val="00327902"/>
    <w:rsid w:val="0033011A"/>
    <w:rsid w:val="0033020A"/>
    <w:rsid w:val="00330EC9"/>
    <w:rsid w:val="003310E2"/>
    <w:rsid w:val="00332006"/>
    <w:rsid w:val="00332033"/>
    <w:rsid w:val="00332725"/>
    <w:rsid w:val="003342B7"/>
    <w:rsid w:val="00334C67"/>
    <w:rsid w:val="00334E54"/>
    <w:rsid w:val="003350AC"/>
    <w:rsid w:val="0033529B"/>
    <w:rsid w:val="0033597C"/>
    <w:rsid w:val="00335ABB"/>
    <w:rsid w:val="00335C54"/>
    <w:rsid w:val="00335DB5"/>
    <w:rsid w:val="0033601D"/>
    <w:rsid w:val="0033649C"/>
    <w:rsid w:val="003369DC"/>
    <w:rsid w:val="00336A8A"/>
    <w:rsid w:val="0033788C"/>
    <w:rsid w:val="003407C1"/>
    <w:rsid w:val="0034086D"/>
    <w:rsid w:val="00340DEA"/>
    <w:rsid w:val="00341B53"/>
    <w:rsid w:val="00341D86"/>
    <w:rsid w:val="00341E60"/>
    <w:rsid w:val="003425C0"/>
    <w:rsid w:val="00342A6E"/>
    <w:rsid w:val="00342B6D"/>
    <w:rsid w:val="00342F20"/>
    <w:rsid w:val="00343C4E"/>
    <w:rsid w:val="0034427D"/>
    <w:rsid w:val="003445FE"/>
    <w:rsid w:val="00344B8B"/>
    <w:rsid w:val="00344CE1"/>
    <w:rsid w:val="00346A96"/>
    <w:rsid w:val="00346E07"/>
    <w:rsid w:val="003473A2"/>
    <w:rsid w:val="0035010F"/>
    <w:rsid w:val="00351D8C"/>
    <w:rsid w:val="00352887"/>
    <w:rsid w:val="003536EE"/>
    <w:rsid w:val="00355137"/>
    <w:rsid w:val="003551A1"/>
    <w:rsid w:val="00355672"/>
    <w:rsid w:val="0035669C"/>
    <w:rsid w:val="00357A61"/>
    <w:rsid w:val="00357B21"/>
    <w:rsid w:val="00357EAA"/>
    <w:rsid w:val="0036036D"/>
    <w:rsid w:val="003606D5"/>
    <w:rsid w:val="00361157"/>
    <w:rsid w:val="00361C0C"/>
    <w:rsid w:val="00361C5F"/>
    <w:rsid w:val="00361C96"/>
    <w:rsid w:val="00363736"/>
    <w:rsid w:val="003637BD"/>
    <w:rsid w:val="0036525C"/>
    <w:rsid w:val="003658D2"/>
    <w:rsid w:val="00365AFB"/>
    <w:rsid w:val="00365B5B"/>
    <w:rsid w:val="00366774"/>
    <w:rsid w:val="00367CEC"/>
    <w:rsid w:val="003714EF"/>
    <w:rsid w:val="00371A14"/>
    <w:rsid w:val="00371E92"/>
    <w:rsid w:val="00372154"/>
    <w:rsid w:val="003726C6"/>
    <w:rsid w:val="00372D6A"/>
    <w:rsid w:val="00372F0C"/>
    <w:rsid w:val="00373DB5"/>
    <w:rsid w:val="00373F9A"/>
    <w:rsid w:val="00374410"/>
    <w:rsid w:val="003747DE"/>
    <w:rsid w:val="00374AEA"/>
    <w:rsid w:val="00375EE4"/>
    <w:rsid w:val="00376247"/>
    <w:rsid w:val="003779CF"/>
    <w:rsid w:val="00377CD3"/>
    <w:rsid w:val="0038047B"/>
    <w:rsid w:val="00380C6C"/>
    <w:rsid w:val="00382A26"/>
    <w:rsid w:val="00383F54"/>
    <w:rsid w:val="00384196"/>
    <w:rsid w:val="00384ACE"/>
    <w:rsid w:val="0038697B"/>
    <w:rsid w:val="00386B7B"/>
    <w:rsid w:val="00386C69"/>
    <w:rsid w:val="00386D08"/>
    <w:rsid w:val="00387EFF"/>
    <w:rsid w:val="00390223"/>
    <w:rsid w:val="003904F5"/>
    <w:rsid w:val="0039055A"/>
    <w:rsid w:val="0039305F"/>
    <w:rsid w:val="003949DD"/>
    <w:rsid w:val="00394A22"/>
    <w:rsid w:val="00394C02"/>
    <w:rsid w:val="00394C4C"/>
    <w:rsid w:val="003951EB"/>
    <w:rsid w:val="00395BE8"/>
    <w:rsid w:val="00396696"/>
    <w:rsid w:val="00396F8F"/>
    <w:rsid w:val="00397C05"/>
    <w:rsid w:val="003A0393"/>
    <w:rsid w:val="003A04C8"/>
    <w:rsid w:val="003A0993"/>
    <w:rsid w:val="003A0C3A"/>
    <w:rsid w:val="003A1230"/>
    <w:rsid w:val="003A14FC"/>
    <w:rsid w:val="003A2169"/>
    <w:rsid w:val="003A22D0"/>
    <w:rsid w:val="003A3B51"/>
    <w:rsid w:val="003A5480"/>
    <w:rsid w:val="003A54B7"/>
    <w:rsid w:val="003A557A"/>
    <w:rsid w:val="003A5878"/>
    <w:rsid w:val="003A5D09"/>
    <w:rsid w:val="003A5D69"/>
    <w:rsid w:val="003A60E7"/>
    <w:rsid w:val="003A6325"/>
    <w:rsid w:val="003A75C6"/>
    <w:rsid w:val="003A7D15"/>
    <w:rsid w:val="003B0347"/>
    <w:rsid w:val="003B0FF9"/>
    <w:rsid w:val="003B114B"/>
    <w:rsid w:val="003B17B9"/>
    <w:rsid w:val="003B1961"/>
    <w:rsid w:val="003B2AB0"/>
    <w:rsid w:val="003B2ADD"/>
    <w:rsid w:val="003B2BC0"/>
    <w:rsid w:val="003B3077"/>
    <w:rsid w:val="003B3C8F"/>
    <w:rsid w:val="003B4163"/>
    <w:rsid w:val="003B4924"/>
    <w:rsid w:val="003B4E96"/>
    <w:rsid w:val="003B5160"/>
    <w:rsid w:val="003B541D"/>
    <w:rsid w:val="003B6655"/>
    <w:rsid w:val="003B6A09"/>
    <w:rsid w:val="003B740A"/>
    <w:rsid w:val="003B7418"/>
    <w:rsid w:val="003B74D1"/>
    <w:rsid w:val="003B79C9"/>
    <w:rsid w:val="003B7BA5"/>
    <w:rsid w:val="003B7DCA"/>
    <w:rsid w:val="003C0172"/>
    <w:rsid w:val="003C023D"/>
    <w:rsid w:val="003C023F"/>
    <w:rsid w:val="003C04D8"/>
    <w:rsid w:val="003C06A9"/>
    <w:rsid w:val="003C0959"/>
    <w:rsid w:val="003C0B6B"/>
    <w:rsid w:val="003C0EFE"/>
    <w:rsid w:val="003C0FC4"/>
    <w:rsid w:val="003C1D51"/>
    <w:rsid w:val="003C2522"/>
    <w:rsid w:val="003C3D04"/>
    <w:rsid w:val="003C4159"/>
    <w:rsid w:val="003C417B"/>
    <w:rsid w:val="003C41C7"/>
    <w:rsid w:val="003C553A"/>
    <w:rsid w:val="003C5B50"/>
    <w:rsid w:val="003C6647"/>
    <w:rsid w:val="003C73D3"/>
    <w:rsid w:val="003C7403"/>
    <w:rsid w:val="003D08EF"/>
    <w:rsid w:val="003D0CD9"/>
    <w:rsid w:val="003D0E45"/>
    <w:rsid w:val="003D11C4"/>
    <w:rsid w:val="003D1EF0"/>
    <w:rsid w:val="003D20AC"/>
    <w:rsid w:val="003D2ED9"/>
    <w:rsid w:val="003D3179"/>
    <w:rsid w:val="003D3CE5"/>
    <w:rsid w:val="003D4019"/>
    <w:rsid w:val="003D46EC"/>
    <w:rsid w:val="003D4865"/>
    <w:rsid w:val="003D496C"/>
    <w:rsid w:val="003D4B57"/>
    <w:rsid w:val="003D576B"/>
    <w:rsid w:val="003D68A6"/>
    <w:rsid w:val="003D6AB7"/>
    <w:rsid w:val="003D70C6"/>
    <w:rsid w:val="003E0D0B"/>
    <w:rsid w:val="003E1229"/>
    <w:rsid w:val="003E1386"/>
    <w:rsid w:val="003E174E"/>
    <w:rsid w:val="003E1C21"/>
    <w:rsid w:val="003E2A5C"/>
    <w:rsid w:val="003E2D0D"/>
    <w:rsid w:val="003E361A"/>
    <w:rsid w:val="003E53BB"/>
    <w:rsid w:val="003E5940"/>
    <w:rsid w:val="003E5AAE"/>
    <w:rsid w:val="003E5BDD"/>
    <w:rsid w:val="003E5FEB"/>
    <w:rsid w:val="003E656F"/>
    <w:rsid w:val="003E6902"/>
    <w:rsid w:val="003E6C95"/>
    <w:rsid w:val="003E7ED8"/>
    <w:rsid w:val="003F002D"/>
    <w:rsid w:val="003F015D"/>
    <w:rsid w:val="003F1479"/>
    <w:rsid w:val="003F158E"/>
    <w:rsid w:val="003F17AE"/>
    <w:rsid w:val="003F1EAB"/>
    <w:rsid w:val="003F20BC"/>
    <w:rsid w:val="003F26A0"/>
    <w:rsid w:val="003F2BE8"/>
    <w:rsid w:val="003F3820"/>
    <w:rsid w:val="003F3BD2"/>
    <w:rsid w:val="003F4327"/>
    <w:rsid w:val="003F4587"/>
    <w:rsid w:val="003F5314"/>
    <w:rsid w:val="003F548F"/>
    <w:rsid w:val="003F605C"/>
    <w:rsid w:val="003F655B"/>
    <w:rsid w:val="003F660F"/>
    <w:rsid w:val="003F66F0"/>
    <w:rsid w:val="003F736E"/>
    <w:rsid w:val="00400705"/>
    <w:rsid w:val="0040106C"/>
    <w:rsid w:val="00401CEA"/>
    <w:rsid w:val="00403ED2"/>
    <w:rsid w:val="004045A2"/>
    <w:rsid w:val="004049C8"/>
    <w:rsid w:val="004053E2"/>
    <w:rsid w:val="00405739"/>
    <w:rsid w:val="00405CC4"/>
    <w:rsid w:val="00405EDE"/>
    <w:rsid w:val="004062F3"/>
    <w:rsid w:val="00406805"/>
    <w:rsid w:val="004076A7"/>
    <w:rsid w:val="004076F4"/>
    <w:rsid w:val="00407D25"/>
    <w:rsid w:val="00407F93"/>
    <w:rsid w:val="00410856"/>
    <w:rsid w:val="004112B4"/>
    <w:rsid w:val="00411AA4"/>
    <w:rsid w:val="004123EC"/>
    <w:rsid w:val="00412608"/>
    <w:rsid w:val="0041361E"/>
    <w:rsid w:val="00414991"/>
    <w:rsid w:val="00414BFC"/>
    <w:rsid w:val="00415554"/>
    <w:rsid w:val="0041612D"/>
    <w:rsid w:val="00416861"/>
    <w:rsid w:val="004169F0"/>
    <w:rsid w:val="004172B2"/>
    <w:rsid w:val="00417B0A"/>
    <w:rsid w:val="00417C58"/>
    <w:rsid w:val="00420CC5"/>
    <w:rsid w:val="004211F6"/>
    <w:rsid w:val="004221A5"/>
    <w:rsid w:val="0042239A"/>
    <w:rsid w:val="00423650"/>
    <w:rsid w:val="00423E06"/>
    <w:rsid w:val="00423FF2"/>
    <w:rsid w:val="00424525"/>
    <w:rsid w:val="00424F3E"/>
    <w:rsid w:val="0042576F"/>
    <w:rsid w:val="00425BC2"/>
    <w:rsid w:val="0042611E"/>
    <w:rsid w:val="004262C6"/>
    <w:rsid w:val="00426375"/>
    <w:rsid w:val="00426573"/>
    <w:rsid w:val="00426A7C"/>
    <w:rsid w:val="00426DCC"/>
    <w:rsid w:val="0042718C"/>
    <w:rsid w:val="00427465"/>
    <w:rsid w:val="00427CFD"/>
    <w:rsid w:val="00427E5F"/>
    <w:rsid w:val="00430265"/>
    <w:rsid w:val="00430C5B"/>
    <w:rsid w:val="00431B6A"/>
    <w:rsid w:val="00432C23"/>
    <w:rsid w:val="00434797"/>
    <w:rsid w:val="00434CE4"/>
    <w:rsid w:val="00436060"/>
    <w:rsid w:val="004362D3"/>
    <w:rsid w:val="00436FA3"/>
    <w:rsid w:val="00437069"/>
    <w:rsid w:val="00437843"/>
    <w:rsid w:val="00437B74"/>
    <w:rsid w:val="00437E58"/>
    <w:rsid w:val="00440136"/>
    <w:rsid w:val="004407B8"/>
    <w:rsid w:val="00440894"/>
    <w:rsid w:val="00440CF3"/>
    <w:rsid w:val="004412C5"/>
    <w:rsid w:val="00441A37"/>
    <w:rsid w:val="004421C7"/>
    <w:rsid w:val="00442F19"/>
    <w:rsid w:val="00443CF8"/>
    <w:rsid w:val="00443DD1"/>
    <w:rsid w:val="004442BA"/>
    <w:rsid w:val="004446B0"/>
    <w:rsid w:val="004447A5"/>
    <w:rsid w:val="00444E3E"/>
    <w:rsid w:val="00444F19"/>
    <w:rsid w:val="004453A6"/>
    <w:rsid w:val="004457E7"/>
    <w:rsid w:val="00446127"/>
    <w:rsid w:val="00446479"/>
    <w:rsid w:val="00447DAC"/>
    <w:rsid w:val="00447F2D"/>
    <w:rsid w:val="00450312"/>
    <w:rsid w:val="00451214"/>
    <w:rsid w:val="0045173E"/>
    <w:rsid w:val="00452010"/>
    <w:rsid w:val="0045242A"/>
    <w:rsid w:val="00452435"/>
    <w:rsid w:val="00453481"/>
    <w:rsid w:val="004534E0"/>
    <w:rsid w:val="004535B5"/>
    <w:rsid w:val="00453855"/>
    <w:rsid w:val="0045476D"/>
    <w:rsid w:val="00454785"/>
    <w:rsid w:val="00455ACE"/>
    <w:rsid w:val="00456938"/>
    <w:rsid w:val="00456D1C"/>
    <w:rsid w:val="00456D71"/>
    <w:rsid w:val="00457402"/>
    <w:rsid w:val="00457E9F"/>
    <w:rsid w:val="0046035E"/>
    <w:rsid w:val="004604A6"/>
    <w:rsid w:val="00460FEE"/>
    <w:rsid w:val="00462450"/>
    <w:rsid w:val="00462847"/>
    <w:rsid w:val="00462FE2"/>
    <w:rsid w:val="00463D53"/>
    <w:rsid w:val="00464333"/>
    <w:rsid w:val="004643EE"/>
    <w:rsid w:val="0046450D"/>
    <w:rsid w:val="004646E5"/>
    <w:rsid w:val="00464AAE"/>
    <w:rsid w:val="0046508F"/>
    <w:rsid w:val="00465138"/>
    <w:rsid w:val="0046525E"/>
    <w:rsid w:val="004653FA"/>
    <w:rsid w:val="0046581B"/>
    <w:rsid w:val="004663C9"/>
    <w:rsid w:val="004667D1"/>
    <w:rsid w:val="00466D4B"/>
    <w:rsid w:val="004702DE"/>
    <w:rsid w:val="004706C9"/>
    <w:rsid w:val="00470B8C"/>
    <w:rsid w:val="00470BE5"/>
    <w:rsid w:val="00471122"/>
    <w:rsid w:val="00471289"/>
    <w:rsid w:val="0047133E"/>
    <w:rsid w:val="00471CA4"/>
    <w:rsid w:val="00473246"/>
    <w:rsid w:val="00473418"/>
    <w:rsid w:val="00473BC7"/>
    <w:rsid w:val="004747D5"/>
    <w:rsid w:val="00474DBD"/>
    <w:rsid w:val="00474E0E"/>
    <w:rsid w:val="00475180"/>
    <w:rsid w:val="00476F47"/>
    <w:rsid w:val="004773EA"/>
    <w:rsid w:val="00477C78"/>
    <w:rsid w:val="00480927"/>
    <w:rsid w:val="00480D63"/>
    <w:rsid w:val="00481BA3"/>
    <w:rsid w:val="00481EE7"/>
    <w:rsid w:val="0048393E"/>
    <w:rsid w:val="00484571"/>
    <w:rsid w:val="00484B0A"/>
    <w:rsid w:val="00484B0D"/>
    <w:rsid w:val="00484F29"/>
    <w:rsid w:val="00485549"/>
    <w:rsid w:val="00485902"/>
    <w:rsid w:val="00486049"/>
    <w:rsid w:val="00486170"/>
    <w:rsid w:val="00486242"/>
    <w:rsid w:val="00486973"/>
    <w:rsid w:val="00486AD2"/>
    <w:rsid w:val="0048721F"/>
    <w:rsid w:val="0049061E"/>
    <w:rsid w:val="00490691"/>
    <w:rsid w:val="0049107A"/>
    <w:rsid w:val="00491461"/>
    <w:rsid w:val="004926F9"/>
    <w:rsid w:val="00492DB6"/>
    <w:rsid w:val="004936E6"/>
    <w:rsid w:val="00494BDB"/>
    <w:rsid w:val="00495042"/>
    <w:rsid w:val="00495137"/>
    <w:rsid w:val="00496A48"/>
    <w:rsid w:val="00496F42"/>
    <w:rsid w:val="00496FF3"/>
    <w:rsid w:val="0049713D"/>
    <w:rsid w:val="004A153D"/>
    <w:rsid w:val="004A1B8B"/>
    <w:rsid w:val="004A2223"/>
    <w:rsid w:val="004A2A98"/>
    <w:rsid w:val="004A2CEA"/>
    <w:rsid w:val="004A3087"/>
    <w:rsid w:val="004A31F8"/>
    <w:rsid w:val="004A32D7"/>
    <w:rsid w:val="004A3C05"/>
    <w:rsid w:val="004A47C3"/>
    <w:rsid w:val="004A4A54"/>
    <w:rsid w:val="004A54CB"/>
    <w:rsid w:val="004A5A62"/>
    <w:rsid w:val="004A5A78"/>
    <w:rsid w:val="004A5ECB"/>
    <w:rsid w:val="004A626D"/>
    <w:rsid w:val="004A627F"/>
    <w:rsid w:val="004A7F5D"/>
    <w:rsid w:val="004B025A"/>
    <w:rsid w:val="004B0CDF"/>
    <w:rsid w:val="004B166A"/>
    <w:rsid w:val="004B1EB5"/>
    <w:rsid w:val="004B1FAA"/>
    <w:rsid w:val="004B21BB"/>
    <w:rsid w:val="004B24FB"/>
    <w:rsid w:val="004B25BA"/>
    <w:rsid w:val="004B2703"/>
    <w:rsid w:val="004B2C90"/>
    <w:rsid w:val="004B36CA"/>
    <w:rsid w:val="004B472A"/>
    <w:rsid w:val="004B50A8"/>
    <w:rsid w:val="004B5133"/>
    <w:rsid w:val="004B67A4"/>
    <w:rsid w:val="004B71AA"/>
    <w:rsid w:val="004B79A1"/>
    <w:rsid w:val="004C021E"/>
    <w:rsid w:val="004C0393"/>
    <w:rsid w:val="004C04BD"/>
    <w:rsid w:val="004C05F3"/>
    <w:rsid w:val="004C0940"/>
    <w:rsid w:val="004C0C0E"/>
    <w:rsid w:val="004C1681"/>
    <w:rsid w:val="004C1F48"/>
    <w:rsid w:val="004C2131"/>
    <w:rsid w:val="004C2E35"/>
    <w:rsid w:val="004C46FF"/>
    <w:rsid w:val="004C4B44"/>
    <w:rsid w:val="004C50A8"/>
    <w:rsid w:val="004C5189"/>
    <w:rsid w:val="004C5924"/>
    <w:rsid w:val="004C70CE"/>
    <w:rsid w:val="004C70E2"/>
    <w:rsid w:val="004C79DF"/>
    <w:rsid w:val="004D00A1"/>
    <w:rsid w:val="004D07FD"/>
    <w:rsid w:val="004D2E11"/>
    <w:rsid w:val="004D3FB7"/>
    <w:rsid w:val="004D435C"/>
    <w:rsid w:val="004D4C05"/>
    <w:rsid w:val="004D523C"/>
    <w:rsid w:val="004D530D"/>
    <w:rsid w:val="004D5933"/>
    <w:rsid w:val="004D5DFE"/>
    <w:rsid w:val="004D6E4C"/>
    <w:rsid w:val="004D7008"/>
    <w:rsid w:val="004D73D2"/>
    <w:rsid w:val="004E0655"/>
    <w:rsid w:val="004E079C"/>
    <w:rsid w:val="004E0AB9"/>
    <w:rsid w:val="004E0E41"/>
    <w:rsid w:val="004E15C6"/>
    <w:rsid w:val="004E195D"/>
    <w:rsid w:val="004E2238"/>
    <w:rsid w:val="004E440B"/>
    <w:rsid w:val="004E4417"/>
    <w:rsid w:val="004E44E1"/>
    <w:rsid w:val="004E45E0"/>
    <w:rsid w:val="004E49FD"/>
    <w:rsid w:val="004E50DD"/>
    <w:rsid w:val="004E5483"/>
    <w:rsid w:val="004E5521"/>
    <w:rsid w:val="004E5FA0"/>
    <w:rsid w:val="004E5FA7"/>
    <w:rsid w:val="004E7D2E"/>
    <w:rsid w:val="004F02CD"/>
    <w:rsid w:val="004F0343"/>
    <w:rsid w:val="004F0769"/>
    <w:rsid w:val="004F0A1F"/>
    <w:rsid w:val="004F113E"/>
    <w:rsid w:val="004F1768"/>
    <w:rsid w:val="004F1DAF"/>
    <w:rsid w:val="004F3163"/>
    <w:rsid w:val="004F34FC"/>
    <w:rsid w:val="004F3CFA"/>
    <w:rsid w:val="004F40CD"/>
    <w:rsid w:val="004F65C3"/>
    <w:rsid w:val="004F73AB"/>
    <w:rsid w:val="004F73CA"/>
    <w:rsid w:val="005005D0"/>
    <w:rsid w:val="00500C12"/>
    <w:rsid w:val="005017AC"/>
    <w:rsid w:val="00501B81"/>
    <w:rsid w:val="00501DB2"/>
    <w:rsid w:val="00502486"/>
    <w:rsid w:val="00502529"/>
    <w:rsid w:val="005031FF"/>
    <w:rsid w:val="0050473E"/>
    <w:rsid w:val="00504F31"/>
    <w:rsid w:val="005055CB"/>
    <w:rsid w:val="00507B14"/>
    <w:rsid w:val="00510108"/>
    <w:rsid w:val="00511231"/>
    <w:rsid w:val="005115B1"/>
    <w:rsid w:val="00511D62"/>
    <w:rsid w:val="00512102"/>
    <w:rsid w:val="005123A0"/>
    <w:rsid w:val="00512AC1"/>
    <w:rsid w:val="00513244"/>
    <w:rsid w:val="00513393"/>
    <w:rsid w:val="0051341A"/>
    <w:rsid w:val="0051484A"/>
    <w:rsid w:val="00515B35"/>
    <w:rsid w:val="00516443"/>
    <w:rsid w:val="00516715"/>
    <w:rsid w:val="00516BA6"/>
    <w:rsid w:val="00517319"/>
    <w:rsid w:val="005204D0"/>
    <w:rsid w:val="00520689"/>
    <w:rsid w:val="00520DBE"/>
    <w:rsid w:val="00520F27"/>
    <w:rsid w:val="00521705"/>
    <w:rsid w:val="005218F1"/>
    <w:rsid w:val="0052238B"/>
    <w:rsid w:val="00522B03"/>
    <w:rsid w:val="00522F42"/>
    <w:rsid w:val="0052304B"/>
    <w:rsid w:val="00523057"/>
    <w:rsid w:val="005232A6"/>
    <w:rsid w:val="0052377C"/>
    <w:rsid w:val="00523993"/>
    <w:rsid w:val="00524652"/>
    <w:rsid w:val="00524834"/>
    <w:rsid w:val="00524D0C"/>
    <w:rsid w:val="005252C1"/>
    <w:rsid w:val="0052537A"/>
    <w:rsid w:val="00525695"/>
    <w:rsid w:val="00525A52"/>
    <w:rsid w:val="00526E77"/>
    <w:rsid w:val="005274A9"/>
    <w:rsid w:val="00527BE7"/>
    <w:rsid w:val="00527C52"/>
    <w:rsid w:val="00530127"/>
    <w:rsid w:val="00530226"/>
    <w:rsid w:val="00530341"/>
    <w:rsid w:val="005305F3"/>
    <w:rsid w:val="005312B2"/>
    <w:rsid w:val="005325A3"/>
    <w:rsid w:val="00532C5F"/>
    <w:rsid w:val="00533160"/>
    <w:rsid w:val="00533B5A"/>
    <w:rsid w:val="00533CC9"/>
    <w:rsid w:val="00533D8A"/>
    <w:rsid w:val="00534BD0"/>
    <w:rsid w:val="00534E7A"/>
    <w:rsid w:val="0053528B"/>
    <w:rsid w:val="005355F3"/>
    <w:rsid w:val="00535F75"/>
    <w:rsid w:val="005361EC"/>
    <w:rsid w:val="005365E3"/>
    <w:rsid w:val="00536B62"/>
    <w:rsid w:val="00536EDB"/>
    <w:rsid w:val="00537872"/>
    <w:rsid w:val="005401AA"/>
    <w:rsid w:val="00540E50"/>
    <w:rsid w:val="00540E6E"/>
    <w:rsid w:val="00541377"/>
    <w:rsid w:val="005423BA"/>
    <w:rsid w:val="00542E33"/>
    <w:rsid w:val="00542EDD"/>
    <w:rsid w:val="00542F9B"/>
    <w:rsid w:val="005442B1"/>
    <w:rsid w:val="00544781"/>
    <w:rsid w:val="005463E2"/>
    <w:rsid w:val="005464C2"/>
    <w:rsid w:val="00546904"/>
    <w:rsid w:val="00546BD4"/>
    <w:rsid w:val="00547115"/>
    <w:rsid w:val="00547410"/>
    <w:rsid w:val="005501C2"/>
    <w:rsid w:val="00550532"/>
    <w:rsid w:val="005505AB"/>
    <w:rsid w:val="00550DB5"/>
    <w:rsid w:val="005512F8"/>
    <w:rsid w:val="0055135C"/>
    <w:rsid w:val="005518B0"/>
    <w:rsid w:val="0055269F"/>
    <w:rsid w:val="00552A72"/>
    <w:rsid w:val="00552D01"/>
    <w:rsid w:val="00553251"/>
    <w:rsid w:val="005536C4"/>
    <w:rsid w:val="005539EE"/>
    <w:rsid w:val="0055407E"/>
    <w:rsid w:val="0055446D"/>
    <w:rsid w:val="00554505"/>
    <w:rsid w:val="00554AE0"/>
    <w:rsid w:val="00555A71"/>
    <w:rsid w:val="00555A8C"/>
    <w:rsid w:val="00556255"/>
    <w:rsid w:val="00556299"/>
    <w:rsid w:val="00556403"/>
    <w:rsid w:val="00557331"/>
    <w:rsid w:val="005602C3"/>
    <w:rsid w:val="005615CF"/>
    <w:rsid w:val="00561BFB"/>
    <w:rsid w:val="00562DF2"/>
    <w:rsid w:val="005630F6"/>
    <w:rsid w:val="005633F2"/>
    <w:rsid w:val="005638C1"/>
    <w:rsid w:val="00564035"/>
    <w:rsid w:val="005641C1"/>
    <w:rsid w:val="00565889"/>
    <w:rsid w:val="005661DD"/>
    <w:rsid w:val="0056668D"/>
    <w:rsid w:val="00566C2D"/>
    <w:rsid w:val="00567227"/>
    <w:rsid w:val="00567391"/>
    <w:rsid w:val="005714DB"/>
    <w:rsid w:val="00571711"/>
    <w:rsid w:val="005722B6"/>
    <w:rsid w:val="00574586"/>
    <w:rsid w:val="00574D3C"/>
    <w:rsid w:val="005750D2"/>
    <w:rsid w:val="005763F0"/>
    <w:rsid w:val="00576A65"/>
    <w:rsid w:val="00576E28"/>
    <w:rsid w:val="00577437"/>
    <w:rsid w:val="00580AD1"/>
    <w:rsid w:val="00580C1A"/>
    <w:rsid w:val="00580DFB"/>
    <w:rsid w:val="00581319"/>
    <w:rsid w:val="005813E3"/>
    <w:rsid w:val="00581910"/>
    <w:rsid w:val="005819A4"/>
    <w:rsid w:val="00581A1B"/>
    <w:rsid w:val="005820D3"/>
    <w:rsid w:val="005823FC"/>
    <w:rsid w:val="005827CB"/>
    <w:rsid w:val="00582FE3"/>
    <w:rsid w:val="00583325"/>
    <w:rsid w:val="0058375D"/>
    <w:rsid w:val="00583B96"/>
    <w:rsid w:val="005843A0"/>
    <w:rsid w:val="005854B9"/>
    <w:rsid w:val="005864B2"/>
    <w:rsid w:val="005866D8"/>
    <w:rsid w:val="00587A1D"/>
    <w:rsid w:val="00587B8B"/>
    <w:rsid w:val="00587BA6"/>
    <w:rsid w:val="005905F8"/>
    <w:rsid w:val="00591A50"/>
    <w:rsid w:val="00593948"/>
    <w:rsid w:val="00593AE6"/>
    <w:rsid w:val="0059416E"/>
    <w:rsid w:val="00594244"/>
    <w:rsid w:val="0059473A"/>
    <w:rsid w:val="005947FB"/>
    <w:rsid w:val="00594C4D"/>
    <w:rsid w:val="0059538D"/>
    <w:rsid w:val="00596456"/>
    <w:rsid w:val="00596650"/>
    <w:rsid w:val="005966C5"/>
    <w:rsid w:val="00596768"/>
    <w:rsid w:val="005970DF"/>
    <w:rsid w:val="005973BF"/>
    <w:rsid w:val="005973D2"/>
    <w:rsid w:val="005A007D"/>
    <w:rsid w:val="005A025E"/>
    <w:rsid w:val="005A0D7C"/>
    <w:rsid w:val="005A1E22"/>
    <w:rsid w:val="005A1EED"/>
    <w:rsid w:val="005A362E"/>
    <w:rsid w:val="005A3F9E"/>
    <w:rsid w:val="005A4716"/>
    <w:rsid w:val="005A5E0B"/>
    <w:rsid w:val="005A6626"/>
    <w:rsid w:val="005A731D"/>
    <w:rsid w:val="005B02BC"/>
    <w:rsid w:val="005B03D4"/>
    <w:rsid w:val="005B1088"/>
    <w:rsid w:val="005B127B"/>
    <w:rsid w:val="005B41D7"/>
    <w:rsid w:val="005B670B"/>
    <w:rsid w:val="005B71CC"/>
    <w:rsid w:val="005B744B"/>
    <w:rsid w:val="005B778F"/>
    <w:rsid w:val="005B7B20"/>
    <w:rsid w:val="005B7E63"/>
    <w:rsid w:val="005C0749"/>
    <w:rsid w:val="005C0AB5"/>
    <w:rsid w:val="005C0DFB"/>
    <w:rsid w:val="005C0FCA"/>
    <w:rsid w:val="005C16DE"/>
    <w:rsid w:val="005C2843"/>
    <w:rsid w:val="005C2A4E"/>
    <w:rsid w:val="005C2E54"/>
    <w:rsid w:val="005C365E"/>
    <w:rsid w:val="005C5B0A"/>
    <w:rsid w:val="005C5CBA"/>
    <w:rsid w:val="005C7CA5"/>
    <w:rsid w:val="005C7CD5"/>
    <w:rsid w:val="005C7E85"/>
    <w:rsid w:val="005D09B0"/>
    <w:rsid w:val="005D0F5C"/>
    <w:rsid w:val="005D1120"/>
    <w:rsid w:val="005D14DA"/>
    <w:rsid w:val="005D17B2"/>
    <w:rsid w:val="005D1D3C"/>
    <w:rsid w:val="005D23A2"/>
    <w:rsid w:val="005D2CD1"/>
    <w:rsid w:val="005D2FCC"/>
    <w:rsid w:val="005D4743"/>
    <w:rsid w:val="005D6226"/>
    <w:rsid w:val="005D6CE9"/>
    <w:rsid w:val="005D6D4E"/>
    <w:rsid w:val="005D791A"/>
    <w:rsid w:val="005E0EE4"/>
    <w:rsid w:val="005E1225"/>
    <w:rsid w:val="005E25DA"/>
    <w:rsid w:val="005E3062"/>
    <w:rsid w:val="005E34BF"/>
    <w:rsid w:val="005E3B5F"/>
    <w:rsid w:val="005E52DD"/>
    <w:rsid w:val="005E5B18"/>
    <w:rsid w:val="005E5BF2"/>
    <w:rsid w:val="005E645C"/>
    <w:rsid w:val="005E6809"/>
    <w:rsid w:val="005E7248"/>
    <w:rsid w:val="005E78E1"/>
    <w:rsid w:val="005E7E9C"/>
    <w:rsid w:val="005F03EC"/>
    <w:rsid w:val="005F2079"/>
    <w:rsid w:val="005F2149"/>
    <w:rsid w:val="005F27D5"/>
    <w:rsid w:val="005F31D5"/>
    <w:rsid w:val="005F3459"/>
    <w:rsid w:val="005F3774"/>
    <w:rsid w:val="005F4373"/>
    <w:rsid w:val="005F5656"/>
    <w:rsid w:val="005F6174"/>
    <w:rsid w:val="005F6480"/>
    <w:rsid w:val="005F7159"/>
    <w:rsid w:val="006008DD"/>
    <w:rsid w:val="00600C49"/>
    <w:rsid w:val="00601B27"/>
    <w:rsid w:val="00601D71"/>
    <w:rsid w:val="00603823"/>
    <w:rsid w:val="00603972"/>
    <w:rsid w:val="00605246"/>
    <w:rsid w:val="006061CA"/>
    <w:rsid w:val="0060633A"/>
    <w:rsid w:val="006069DC"/>
    <w:rsid w:val="006072F0"/>
    <w:rsid w:val="0060771D"/>
    <w:rsid w:val="0060793A"/>
    <w:rsid w:val="00607B34"/>
    <w:rsid w:val="006101AC"/>
    <w:rsid w:val="00611277"/>
    <w:rsid w:val="00611810"/>
    <w:rsid w:val="00611A9E"/>
    <w:rsid w:val="006121B6"/>
    <w:rsid w:val="0061251E"/>
    <w:rsid w:val="00612C33"/>
    <w:rsid w:val="00613212"/>
    <w:rsid w:val="00613739"/>
    <w:rsid w:val="00613C56"/>
    <w:rsid w:val="00613D4D"/>
    <w:rsid w:val="00614077"/>
    <w:rsid w:val="00614336"/>
    <w:rsid w:val="0061451A"/>
    <w:rsid w:val="006149F4"/>
    <w:rsid w:val="00614C1A"/>
    <w:rsid w:val="0061549B"/>
    <w:rsid w:val="00615BED"/>
    <w:rsid w:val="00615CD8"/>
    <w:rsid w:val="00617123"/>
    <w:rsid w:val="006171C5"/>
    <w:rsid w:val="00617A45"/>
    <w:rsid w:val="00620A0B"/>
    <w:rsid w:val="0062140F"/>
    <w:rsid w:val="00621D5A"/>
    <w:rsid w:val="006226CD"/>
    <w:rsid w:val="006231D1"/>
    <w:rsid w:val="0062381F"/>
    <w:rsid w:val="00624133"/>
    <w:rsid w:val="0062448F"/>
    <w:rsid w:val="00624DC0"/>
    <w:rsid w:val="00624E56"/>
    <w:rsid w:val="00625685"/>
    <w:rsid w:val="00626E12"/>
    <w:rsid w:val="0062710B"/>
    <w:rsid w:val="00630396"/>
    <w:rsid w:val="00630434"/>
    <w:rsid w:val="006306CF"/>
    <w:rsid w:val="00631030"/>
    <w:rsid w:val="006311F9"/>
    <w:rsid w:val="00631238"/>
    <w:rsid w:val="0063188D"/>
    <w:rsid w:val="00631D70"/>
    <w:rsid w:val="006325BC"/>
    <w:rsid w:val="006327BF"/>
    <w:rsid w:val="00632865"/>
    <w:rsid w:val="00632EE8"/>
    <w:rsid w:val="00633018"/>
    <w:rsid w:val="0063333E"/>
    <w:rsid w:val="006338E4"/>
    <w:rsid w:val="0063390E"/>
    <w:rsid w:val="00633E03"/>
    <w:rsid w:val="0063484E"/>
    <w:rsid w:val="00634CF5"/>
    <w:rsid w:val="00635506"/>
    <w:rsid w:val="0063592F"/>
    <w:rsid w:val="00635B7A"/>
    <w:rsid w:val="00636342"/>
    <w:rsid w:val="00636877"/>
    <w:rsid w:val="00636D0C"/>
    <w:rsid w:val="00636FC9"/>
    <w:rsid w:val="00637237"/>
    <w:rsid w:val="0063739C"/>
    <w:rsid w:val="00637A1D"/>
    <w:rsid w:val="00637AEB"/>
    <w:rsid w:val="00642B24"/>
    <w:rsid w:val="00642F2D"/>
    <w:rsid w:val="0064307D"/>
    <w:rsid w:val="006431E8"/>
    <w:rsid w:val="006432FE"/>
    <w:rsid w:val="006438FD"/>
    <w:rsid w:val="00643CE1"/>
    <w:rsid w:val="00644C82"/>
    <w:rsid w:val="006454AD"/>
    <w:rsid w:val="006458D2"/>
    <w:rsid w:val="00645FFD"/>
    <w:rsid w:val="0064666B"/>
    <w:rsid w:val="00646CE5"/>
    <w:rsid w:val="00647259"/>
    <w:rsid w:val="00647710"/>
    <w:rsid w:val="00651075"/>
    <w:rsid w:val="006519AD"/>
    <w:rsid w:val="00651C69"/>
    <w:rsid w:val="006522E9"/>
    <w:rsid w:val="006525A9"/>
    <w:rsid w:val="00653B27"/>
    <w:rsid w:val="006549B6"/>
    <w:rsid w:val="00655474"/>
    <w:rsid w:val="006556CA"/>
    <w:rsid w:val="00655CA0"/>
    <w:rsid w:val="00656B78"/>
    <w:rsid w:val="00657908"/>
    <w:rsid w:val="00657EE7"/>
    <w:rsid w:val="006609A3"/>
    <w:rsid w:val="00660D3B"/>
    <w:rsid w:val="006621C7"/>
    <w:rsid w:val="00662F20"/>
    <w:rsid w:val="0066322D"/>
    <w:rsid w:val="00663741"/>
    <w:rsid w:val="00663DFF"/>
    <w:rsid w:val="0066400B"/>
    <w:rsid w:val="00664926"/>
    <w:rsid w:val="00665510"/>
    <w:rsid w:val="00665586"/>
    <w:rsid w:val="0066571A"/>
    <w:rsid w:val="00666672"/>
    <w:rsid w:val="006673CE"/>
    <w:rsid w:val="00670346"/>
    <w:rsid w:val="00670EBC"/>
    <w:rsid w:val="00671AC1"/>
    <w:rsid w:val="0067258E"/>
    <w:rsid w:val="00672817"/>
    <w:rsid w:val="0067361D"/>
    <w:rsid w:val="00673AEF"/>
    <w:rsid w:val="00673EC5"/>
    <w:rsid w:val="006742A0"/>
    <w:rsid w:val="00674460"/>
    <w:rsid w:val="006746B8"/>
    <w:rsid w:val="00674C9E"/>
    <w:rsid w:val="0067564B"/>
    <w:rsid w:val="0067587C"/>
    <w:rsid w:val="006765FC"/>
    <w:rsid w:val="00677150"/>
    <w:rsid w:val="00677677"/>
    <w:rsid w:val="00680C07"/>
    <w:rsid w:val="00680EA7"/>
    <w:rsid w:val="00681533"/>
    <w:rsid w:val="006815E7"/>
    <w:rsid w:val="0068250C"/>
    <w:rsid w:val="006827F7"/>
    <w:rsid w:val="0068343F"/>
    <w:rsid w:val="00683B3E"/>
    <w:rsid w:val="00683FEB"/>
    <w:rsid w:val="00684237"/>
    <w:rsid w:val="0068474A"/>
    <w:rsid w:val="006849C0"/>
    <w:rsid w:val="006867D8"/>
    <w:rsid w:val="006877F3"/>
    <w:rsid w:val="006879F7"/>
    <w:rsid w:val="0069227E"/>
    <w:rsid w:val="0069237F"/>
    <w:rsid w:val="0069254F"/>
    <w:rsid w:val="00692A0A"/>
    <w:rsid w:val="00692AB8"/>
    <w:rsid w:val="00693CCD"/>
    <w:rsid w:val="00694309"/>
    <w:rsid w:val="006946A2"/>
    <w:rsid w:val="006955C2"/>
    <w:rsid w:val="006959E8"/>
    <w:rsid w:val="00695C57"/>
    <w:rsid w:val="00696003"/>
    <w:rsid w:val="006960CE"/>
    <w:rsid w:val="006967C0"/>
    <w:rsid w:val="0069794D"/>
    <w:rsid w:val="00697F7E"/>
    <w:rsid w:val="006A2020"/>
    <w:rsid w:val="006A2360"/>
    <w:rsid w:val="006A26F5"/>
    <w:rsid w:val="006A2706"/>
    <w:rsid w:val="006A2765"/>
    <w:rsid w:val="006A4103"/>
    <w:rsid w:val="006A4CB0"/>
    <w:rsid w:val="006A53B3"/>
    <w:rsid w:val="006A5667"/>
    <w:rsid w:val="006A597B"/>
    <w:rsid w:val="006A59A5"/>
    <w:rsid w:val="006A66BF"/>
    <w:rsid w:val="006A7374"/>
    <w:rsid w:val="006B0818"/>
    <w:rsid w:val="006B0C60"/>
    <w:rsid w:val="006B2517"/>
    <w:rsid w:val="006B2AEE"/>
    <w:rsid w:val="006B2C53"/>
    <w:rsid w:val="006B3207"/>
    <w:rsid w:val="006B4262"/>
    <w:rsid w:val="006B4D12"/>
    <w:rsid w:val="006B54E4"/>
    <w:rsid w:val="006B58F8"/>
    <w:rsid w:val="006B68F7"/>
    <w:rsid w:val="006B7253"/>
    <w:rsid w:val="006B7A53"/>
    <w:rsid w:val="006B7F6E"/>
    <w:rsid w:val="006C0A5C"/>
    <w:rsid w:val="006C114B"/>
    <w:rsid w:val="006C139B"/>
    <w:rsid w:val="006C2017"/>
    <w:rsid w:val="006C3055"/>
    <w:rsid w:val="006C3DD3"/>
    <w:rsid w:val="006C3F7F"/>
    <w:rsid w:val="006C436C"/>
    <w:rsid w:val="006C4F97"/>
    <w:rsid w:val="006C5120"/>
    <w:rsid w:val="006C688D"/>
    <w:rsid w:val="006C7A21"/>
    <w:rsid w:val="006D0A52"/>
    <w:rsid w:val="006D0E7E"/>
    <w:rsid w:val="006D186C"/>
    <w:rsid w:val="006D1870"/>
    <w:rsid w:val="006D2A14"/>
    <w:rsid w:val="006D2BC0"/>
    <w:rsid w:val="006D313E"/>
    <w:rsid w:val="006D3554"/>
    <w:rsid w:val="006D411F"/>
    <w:rsid w:val="006D4C36"/>
    <w:rsid w:val="006D4C49"/>
    <w:rsid w:val="006D4DF1"/>
    <w:rsid w:val="006D4E8E"/>
    <w:rsid w:val="006D523D"/>
    <w:rsid w:val="006D5598"/>
    <w:rsid w:val="006D5E96"/>
    <w:rsid w:val="006D6331"/>
    <w:rsid w:val="006D6519"/>
    <w:rsid w:val="006D6981"/>
    <w:rsid w:val="006D7E7A"/>
    <w:rsid w:val="006E14DC"/>
    <w:rsid w:val="006E2BFC"/>
    <w:rsid w:val="006E3795"/>
    <w:rsid w:val="006E3899"/>
    <w:rsid w:val="006E3B70"/>
    <w:rsid w:val="006E42F8"/>
    <w:rsid w:val="006E4C64"/>
    <w:rsid w:val="006E7240"/>
    <w:rsid w:val="006E7875"/>
    <w:rsid w:val="006E7C0A"/>
    <w:rsid w:val="006F0913"/>
    <w:rsid w:val="006F09AA"/>
    <w:rsid w:val="006F0C52"/>
    <w:rsid w:val="006F13D9"/>
    <w:rsid w:val="006F187D"/>
    <w:rsid w:val="006F1907"/>
    <w:rsid w:val="006F2350"/>
    <w:rsid w:val="006F27D5"/>
    <w:rsid w:val="006F3C4A"/>
    <w:rsid w:val="006F41FB"/>
    <w:rsid w:val="006F4709"/>
    <w:rsid w:val="006F4831"/>
    <w:rsid w:val="006F498A"/>
    <w:rsid w:val="006F4E97"/>
    <w:rsid w:val="006F4FBB"/>
    <w:rsid w:val="006F4FDB"/>
    <w:rsid w:val="006F5244"/>
    <w:rsid w:val="006F6B18"/>
    <w:rsid w:val="006F773A"/>
    <w:rsid w:val="007006D6"/>
    <w:rsid w:val="00700ABD"/>
    <w:rsid w:val="00700FD8"/>
    <w:rsid w:val="00701DF7"/>
    <w:rsid w:val="00701FE3"/>
    <w:rsid w:val="00702542"/>
    <w:rsid w:val="007033A8"/>
    <w:rsid w:val="00703E25"/>
    <w:rsid w:val="007044AB"/>
    <w:rsid w:val="007051FF"/>
    <w:rsid w:val="007061E5"/>
    <w:rsid w:val="00707C10"/>
    <w:rsid w:val="00707FBF"/>
    <w:rsid w:val="0071039B"/>
    <w:rsid w:val="0071041E"/>
    <w:rsid w:val="00710425"/>
    <w:rsid w:val="00710786"/>
    <w:rsid w:val="00711718"/>
    <w:rsid w:val="00711CE4"/>
    <w:rsid w:val="00711DD8"/>
    <w:rsid w:val="007131A6"/>
    <w:rsid w:val="00713E95"/>
    <w:rsid w:val="0071432B"/>
    <w:rsid w:val="00714758"/>
    <w:rsid w:val="00714A49"/>
    <w:rsid w:val="007155B2"/>
    <w:rsid w:val="00717038"/>
    <w:rsid w:val="00717615"/>
    <w:rsid w:val="00717F70"/>
    <w:rsid w:val="00720606"/>
    <w:rsid w:val="00720A82"/>
    <w:rsid w:val="00721864"/>
    <w:rsid w:val="0072239D"/>
    <w:rsid w:val="007225B0"/>
    <w:rsid w:val="00723389"/>
    <w:rsid w:val="00723B49"/>
    <w:rsid w:val="007245ED"/>
    <w:rsid w:val="007245EE"/>
    <w:rsid w:val="00725057"/>
    <w:rsid w:val="00725218"/>
    <w:rsid w:val="00725523"/>
    <w:rsid w:val="0072583E"/>
    <w:rsid w:val="00725EA5"/>
    <w:rsid w:val="0072659C"/>
    <w:rsid w:val="00727AC8"/>
    <w:rsid w:val="00730399"/>
    <w:rsid w:val="00730A10"/>
    <w:rsid w:val="0073170A"/>
    <w:rsid w:val="00731805"/>
    <w:rsid w:val="00731E2B"/>
    <w:rsid w:val="00733415"/>
    <w:rsid w:val="00733938"/>
    <w:rsid w:val="00733BB4"/>
    <w:rsid w:val="00733F0D"/>
    <w:rsid w:val="007341F7"/>
    <w:rsid w:val="007355BD"/>
    <w:rsid w:val="00735915"/>
    <w:rsid w:val="00735A64"/>
    <w:rsid w:val="00735DFC"/>
    <w:rsid w:val="00735E35"/>
    <w:rsid w:val="00735F68"/>
    <w:rsid w:val="0073673C"/>
    <w:rsid w:val="00736A46"/>
    <w:rsid w:val="00737AE3"/>
    <w:rsid w:val="00740211"/>
    <w:rsid w:val="00740CAA"/>
    <w:rsid w:val="00741BF3"/>
    <w:rsid w:val="00742870"/>
    <w:rsid w:val="00742D6F"/>
    <w:rsid w:val="00743B75"/>
    <w:rsid w:val="007461BD"/>
    <w:rsid w:val="00746234"/>
    <w:rsid w:val="00746A0D"/>
    <w:rsid w:val="0074730B"/>
    <w:rsid w:val="007477D6"/>
    <w:rsid w:val="00747838"/>
    <w:rsid w:val="00747C18"/>
    <w:rsid w:val="00750E6B"/>
    <w:rsid w:val="00751854"/>
    <w:rsid w:val="007519F2"/>
    <w:rsid w:val="00751C32"/>
    <w:rsid w:val="00751DF2"/>
    <w:rsid w:val="00752F1C"/>
    <w:rsid w:val="0075322B"/>
    <w:rsid w:val="00753DE6"/>
    <w:rsid w:val="00753E0A"/>
    <w:rsid w:val="00754584"/>
    <w:rsid w:val="007545D3"/>
    <w:rsid w:val="007546D3"/>
    <w:rsid w:val="00754DAE"/>
    <w:rsid w:val="00754FC2"/>
    <w:rsid w:val="007556BD"/>
    <w:rsid w:val="00757098"/>
    <w:rsid w:val="00757BB5"/>
    <w:rsid w:val="00757DB7"/>
    <w:rsid w:val="0076027C"/>
    <w:rsid w:val="007613DA"/>
    <w:rsid w:val="00761409"/>
    <w:rsid w:val="00761B72"/>
    <w:rsid w:val="00761E01"/>
    <w:rsid w:val="00761FCD"/>
    <w:rsid w:val="0076228E"/>
    <w:rsid w:val="0076345D"/>
    <w:rsid w:val="00763AEB"/>
    <w:rsid w:val="007640F6"/>
    <w:rsid w:val="00764C79"/>
    <w:rsid w:val="00765271"/>
    <w:rsid w:val="00765C20"/>
    <w:rsid w:val="00766015"/>
    <w:rsid w:val="007678C6"/>
    <w:rsid w:val="00767BE1"/>
    <w:rsid w:val="0077015A"/>
    <w:rsid w:val="00770317"/>
    <w:rsid w:val="00770C4C"/>
    <w:rsid w:val="00770DD9"/>
    <w:rsid w:val="00770ED6"/>
    <w:rsid w:val="0077133C"/>
    <w:rsid w:val="007713F2"/>
    <w:rsid w:val="0077144D"/>
    <w:rsid w:val="00771793"/>
    <w:rsid w:val="00771ECF"/>
    <w:rsid w:val="00774436"/>
    <w:rsid w:val="00774A29"/>
    <w:rsid w:val="00774D2C"/>
    <w:rsid w:val="0077503E"/>
    <w:rsid w:val="00776248"/>
    <w:rsid w:val="00776D99"/>
    <w:rsid w:val="00776E65"/>
    <w:rsid w:val="00777BA0"/>
    <w:rsid w:val="00777E18"/>
    <w:rsid w:val="00780132"/>
    <w:rsid w:val="00780707"/>
    <w:rsid w:val="00780BE4"/>
    <w:rsid w:val="00780CA7"/>
    <w:rsid w:val="00781440"/>
    <w:rsid w:val="00781515"/>
    <w:rsid w:val="00783927"/>
    <w:rsid w:val="007855E3"/>
    <w:rsid w:val="00787247"/>
    <w:rsid w:val="007875B3"/>
    <w:rsid w:val="0079056A"/>
    <w:rsid w:val="0079089F"/>
    <w:rsid w:val="0079137A"/>
    <w:rsid w:val="007914A8"/>
    <w:rsid w:val="007919D8"/>
    <w:rsid w:val="007919E6"/>
    <w:rsid w:val="0079216A"/>
    <w:rsid w:val="00793045"/>
    <w:rsid w:val="007933D4"/>
    <w:rsid w:val="0079343A"/>
    <w:rsid w:val="00793635"/>
    <w:rsid w:val="0079388D"/>
    <w:rsid w:val="00793D73"/>
    <w:rsid w:val="0079432E"/>
    <w:rsid w:val="0079576D"/>
    <w:rsid w:val="007960B6"/>
    <w:rsid w:val="00797328"/>
    <w:rsid w:val="007A0193"/>
    <w:rsid w:val="007A02F1"/>
    <w:rsid w:val="007A0C52"/>
    <w:rsid w:val="007A1007"/>
    <w:rsid w:val="007A23B3"/>
    <w:rsid w:val="007A2751"/>
    <w:rsid w:val="007A4FF1"/>
    <w:rsid w:val="007A5D05"/>
    <w:rsid w:val="007A609A"/>
    <w:rsid w:val="007A6182"/>
    <w:rsid w:val="007A65C5"/>
    <w:rsid w:val="007B0DB2"/>
    <w:rsid w:val="007B0F00"/>
    <w:rsid w:val="007B12CF"/>
    <w:rsid w:val="007B1A82"/>
    <w:rsid w:val="007B1D77"/>
    <w:rsid w:val="007B23C6"/>
    <w:rsid w:val="007B2806"/>
    <w:rsid w:val="007B2A62"/>
    <w:rsid w:val="007B3263"/>
    <w:rsid w:val="007B354B"/>
    <w:rsid w:val="007B3D3D"/>
    <w:rsid w:val="007B4230"/>
    <w:rsid w:val="007B48E3"/>
    <w:rsid w:val="007B4A25"/>
    <w:rsid w:val="007B5A39"/>
    <w:rsid w:val="007B5D33"/>
    <w:rsid w:val="007B675E"/>
    <w:rsid w:val="007B70BA"/>
    <w:rsid w:val="007B7424"/>
    <w:rsid w:val="007B76EF"/>
    <w:rsid w:val="007B7E46"/>
    <w:rsid w:val="007C02DD"/>
    <w:rsid w:val="007C076C"/>
    <w:rsid w:val="007C0A27"/>
    <w:rsid w:val="007C0D97"/>
    <w:rsid w:val="007C2122"/>
    <w:rsid w:val="007C3CFC"/>
    <w:rsid w:val="007C3D43"/>
    <w:rsid w:val="007C3E10"/>
    <w:rsid w:val="007C3F17"/>
    <w:rsid w:val="007C45C4"/>
    <w:rsid w:val="007C4F7C"/>
    <w:rsid w:val="007C55E6"/>
    <w:rsid w:val="007C566F"/>
    <w:rsid w:val="007C677D"/>
    <w:rsid w:val="007C6C2E"/>
    <w:rsid w:val="007C6D63"/>
    <w:rsid w:val="007C7471"/>
    <w:rsid w:val="007C74E0"/>
    <w:rsid w:val="007C74E5"/>
    <w:rsid w:val="007C78BB"/>
    <w:rsid w:val="007C7AF0"/>
    <w:rsid w:val="007D05D6"/>
    <w:rsid w:val="007D098F"/>
    <w:rsid w:val="007D0BFC"/>
    <w:rsid w:val="007D0E9E"/>
    <w:rsid w:val="007D1848"/>
    <w:rsid w:val="007D2258"/>
    <w:rsid w:val="007D2517"/>
    <w:rsid w:val="007D2842"/>
    <w:rsid w:val="007D28C9"/>
    <w:rsid w:val="007D35D6"/>
    <w:rsid w:val="007D3B49"/>
    <w:rsid w:val="007D4170"/>
    <w:rsid w:val="007D496A"/>
    <w:rsid w:val="007D49FB"/>
    <w:rsid w:val="007D4D69"/>
    <w:rsid w:val="007D4FB7"/>
    <w:rsid w:val="007D5069"/>
    <w:rsid w:val="007D5E6F"/>
    <w:rsid w:val="007D694A"/>
    <w:rsid w:val="007D6A02"/>
    <w:rsid w:val="007D6BB8"/>
    <w:rsid w:val="007D723A"/>
    <w:rsid w:val="007D7316"/>
    <w:rsid w:val="007D7979"/>
    <w:rsid w:val="007E0084"/>
    <w:rsid w:val="007E1800"/>
    <w:rsid w:val="007E26AC"/>
    <w:rsid w:val="007E2843"/>
    <w:rsid w:val="007E2F00"/>
    <w:rsid w:val="007E3455"/>
    <w:rsid w:val="007E37C0"/>
    <w:rsid w:val="007E3B81"/>
    <w:rsid w:val="007E3F2F"/>
    <w:rsid w:val="007E4C3F"/>
    <w:rsid w:val="007E4EAF"/>
    <w:rsid w:val="007E50CD"/>
    <w:rsid w:val="007E55C1"/>
    <w:rsid w:val="007E61E1"/>
    <w:rsid w:val="007E68D3"/>
    <w:rsid w:val="007E7276"/>
    <w:rsid w:val="007E72EF"/>
    <w:rsid w:val="007E72F5"/>
    <w:rsid w:val="007E7C0E"/>
    <w:rsid w:val="007F0AF0"/>
    <w:rsid w:val="007F0B38"/>
    <w:rsid w:val="007F0DDA"/>
    <w:rsid w:val="007F108A"/>
    <w:rsid w:val="007F164C"/>
    <w:rsid w:val="007F16BC"/>
    <w:rsid w:val="007F1A37"/>
    <w:rsid w:val="007F1AEC"/>
    <w:rsid w:val="007F1B80"/>
    <w:rsid w:val="007F1CF9"/>
    <w:rsid w:val="007F1D51"/>
    <w:rsid w:val="007F2608"/>
    <w:rsid w:val="007F2D80"/>
    <w:rsid w:val="007F2E51"/>
    <w:rsid w:val="007F38C7"/>
    <w:rsid w:val="007F46FC"/>
    <w:rsid w:val="007F49D7"/>
    <w:rsid w:val="007F4BD7"/>
    <w:rsid w:val="007F4E9F"/>
    <w:rsid w:val="007F552A"/>
    <w:rsid w:val="007F687A"/>
    <w:rsid w:val="007F69AC"/>
    <w:rsid w:val="007F78CE"/>
    <w:rsid w:val="00800352"/>
    <w:rsid w:val="0080069F"/>
    <w:rsid w:val="008006C6"/>
    <w:rsid w:val="008006CD"/>
    <w:rsid w:val="008009C2"/>
    <w:rsid w:val="00801019"/>
    <w:rsid w:val="008014FB"/>
    <w:rsid w:val="0080163C"/>
    <w:rsid w:val="00801CFA"/>
    <w:rsid w:val="00801EAC"/>
    <w:rsid w:val="00802483"/>
    <w:rsid w:val="00802A4C"/>
    <w:rsid w:val="00803214"/>
    <w:rsid w:val="008035FA"/>
    <w:rsid w:val="00803B19"/>
    <w:rsid w:val="00804034"/>
    <w:rsid w:val="008043D4"/>
    <w:rsid w:val="0080525D"/>
    <w:rsid w:val="008052E0"/>
    <w:rsid w:val="008060A3"/>
    <w:rsid w:val="00806F13"/>
    <w:rsid w:val="00806F35"/>
    <w:rsid w:val="008078CA"/>
    <w:rsid w:val="008101FC"/>
    <w:rsid w:val="00810918"/>
    <w:rsid w:val="008116DE"/>
    <w:rsid w:val="00812ADA"/>
    <w:rsid w:val="008132AD"/>
    <w:rsid w:val="00813BE9"/>
    <w:rsid w:val="008148D6"/>
    <w:rsid w:val="00815047"/>
    <w:rsid w:val="00816599"/>
    <w:rsid w:val="00816DDB"/>
    <w:rsid w:val="008174B9"/>
    <w:rsid w:val="008176BC"/>
    <w:rsid w:val="00817BF9"/>
    <w:rsid w:val="00820B6D"/>
    <w:rsid w:val="00820F49"/>
    <w:rsid w:val="00823AE4"/>
    <w:rsid w:val="0082491B"/>
    <w:rsid w:val="00825253"/>
    <w:rsid w:val="00825875"/>
    <w:rsid w:val="008259BD"/>
    <w:rsid w:val="00825C34"/>
    <w:rsid w:val="00826747"/>
    <w:rsid w:val="00826948"/>
    <w:rsid w:val="00826C80"/>
    <w:rsid w:val="00826DAE"/>
    <w:rsid w:val="008270DC"/>
    <w:rsid w:val="0082730D"/>
    <w:rsid w:val="00827663"/>
    <w:rsid w:val="00827CD2"/>
    <w:rsid w:val="008315D0"/>
    <w:rsid w:val="0083265F"/>
    <w:rsid w:val="00832A2F"/>
    <w:rsid w:val="00832C9D"/>
    <w:rsid w:val="00832E8A"/>
    <w:rsid w:val="008331D2"/>
    <w:rsid w:val="00833C6F"/>
    <w:rsid w:val="00833CEF"/>
    <w:rsid w:val="00833F4F"/>
    <w:rsid w:val="00834047"/>
    <w:rsid w:val="00834140"/>
    <w:rsid w:val="00834757"/>
    <w:rsid w:val="0083477A"/>
    <w:rsid w:val="00834BAE"/>
    <w:rsid w:val="008361DD"/>
    <w:rsid w:val="008371FD"/>
    <w:rsid w:val="00837F9B"/>
    <w:rsid w:val="00837FFD"/>
    <w:rsid w:val="008406D9"/>
    <w:rsid w:val="00841825"/>
    <w:rsid w:val="00842423"/>
    <w:rsid w:val="00842D59"/>
    <w:rsid w:val="00842D83"/>
    <w:rsid w:val="0084385B"/>
    <w:rsid w:val="00843FB6"/>
    <w:rsid w:val="008449F7"/>
    <w:rsid w:val="0084509F"/>
    <w:rsid w:val="00845A48"/>
    <w:rsid w:val="00846766"/>
    <w:rsid w:val="00846B00"/>
    <w:rsid w:val="00846B89"/>
    <w:rsid w:val="00846CD7"/>
    <w:rsid w:val="008475A1"/>
    <w:rsid w:val="00847E91"/>
    <w:rsid w:val="00847EC1"/>
    <w:rsid w:val="008503E3"/>
    <w:rsid w:val="00850679"/>
    <w:rsid w:val="00850FC1"/>
    <w:rsid w:val="00851A6B"/>
    <w:rsid w:val="00851EDB"/>
    <w:rsid w:val="00852109"/>
    <w:rsid w:val="008533E9"/>
    <w:rsid w:val="008537CE"/>
    <w:rsid w:val="00854A90"/>
    <w:rsid w:val="00854BFD"/>
    <w:rsid w:val="00855C5F"/>
    <w:rsid w:val="008564EC"/>
    <w:rsid w:val="00856818"/>
    <w:rsid w:val="008568D4"/>
    <w:rsid w:val="00856A92"/>
    <w:rsid w:val="00856EA0"/>
    <w:rsid w:val="008573AB"/>
    <w:rsid w:val="008574CF"/>
    <w:rsid w:val="008576CF"/>
    <w:rsid w:val="0086102E"/>
    <w:rsid w:val="00862079"/>
    <w:rsid w:val="00863B15"/>
    <w:rsid w:val="0086533B"/>
    <w:rsid w:val="00865554"/>
    <w:rsid w:val="00865C5C"/>
    <w:rsid w:val="0086622D"/>
    <w:rsid w:val="008664C9"/>
    <w:rsid w:val="00866679"/>
    <w:rsid w:val="00866723"/>
    <w:rsid w:val="008669FD"/>
    <w:rsid w:val="00867248"/>
    <w:rsid w:val="008676E2"/>
    <w:rsid w:val="00867716"/>
    <w:rsid w:val="0086782D"/>
    <w:rsid w:val="008679DE"/>
    <w:rsid w:val="00867ACD"/>
    <w:rsid w:val="00870AA7"/>
    <w:rsid w:val="0087189E"/>
    <w:rsid w:val="0087211D"/>
    <w:rsid w:val="00872A62"/>
    <w:rsid w:val="00872E2D"/>
    <w:rsid w:val="00872FCC"/>
    <w:rsid w:val="008753AB"/>
    <w:rsid w:val="008753DC"/>
    <w:rsid w:val="00875560"/>
    <w:rsid w:val="00876A32"/>
    <w:rsid w:val="00877179"/>
    <w:rsid w:val="00877766"/>
    <w:rsid w:val="00877AB7"/>
    <w:rsid w:val="00880074"/>
    <w:rsid w:val="0088154E"/>
    <w:rsid w:val="008815B5"/>
    <w:rsid w:val="00881850"/>
    <w:rsid w:val="00881DD5"/>
    <w:rsid w:val="00883A77"/>
    <w:rsid w:val="00884D1B"/>
    <w:rsid w:val="00884FEC"/>
    <w:rsid w:val="00885E60"/>
    <w:rsid w:val="0088707E"/>
    <w:rsid w:val="0088769D"/>
    <w:rsid w:val="008908EA"/>
    <w:rsid w:val="008913EC"/>
    <w:rsid w:val="00892AAD"/>
    <w:rsid w:val="00892E88"/>
    <w:rsid w:val="00893392"/>
    <w:rsid w:val="008937FA"/>
    <w:rsid w:val="00893E16"/>
    <w:rsid w:val="00894C0D"/>
    <w:rsid w:val="00895A34"/>
    <w:rsid w:val="00895AD0"/>
    <w:rsid w:val="00896ECA"/>
    <w:rsid w:val="008972F5"/>
    <w:rsid w:val="0089746B"/>
    <w:rsid w:val="008974C7"/>
    <w:rsid w:val="008A0625"/>
    <w:rsid w:val="008A1448"/>
    <w:rsid w:val="008A183B"/>
    <w:rsid w:val="008A1988"/>
    <w:rsid w:val="008A1BF9"/>
    <w:rsid w:val="008A2671"/>
    <w:rsid w:val="008A377C"/>
    <w:rsid w:val="008A40ED"/>
    <w:rsid w:val="008A4B29"/>
    <w:rsid w:val="008A5053"/>
    <w:rsid w:val="008A556C"/>
    <w:rsid w:val="008A5656"/>
    <w:rsid w:val="008A670B"/>
    <w:rsid w:val="008A751B"/>
    <w:rsid w:val="008A760A"/>
    <w:rsid w:val="008B1352"/>
    <w:rsid w:val="008B2849"/>
    <w:rsid w:val="008B28F6"/>
    <w:rsid w:val="008B3182"/>
    <w:rsid w:val="008B3AE2"/>
    <w:rsid w:val="008B4128"/>
    <w:rsid w:val="008B4280"/>
    <w:rsid w:val="008B4D35"/>
    <w:rsid w:val="008B5634"/>
    <w:rsid w:val="008B5A6B"/>
    <w:rsid w:val="008B65C8"/>
    <w:rsid w:val="008B7F1C"/>
    <w:rsid w:val="008C0380"/>
    <w:rsid w:val="008C03E2"/>
    <w:rsid w:val="008C0807"/>
    <w:rsid w:val="008C1169"/>
    <w:rsid w:val="008C13A0"/>
    <w:rsid w:val="008C1A1E"/>
    <w:rsid w:val="008C3B5A"/>
    <w:rsid w:val="008C3D20"/>
    <w:rsid w:val="008C3F98"/>
    <w:rsid w:val="008C4860"/>
    <w:rsid w:val="008C48E5"/>
    <w:rsid w:val="008C4E5B"/>
    <w:rsid w:val="008C7061"/>
    <w:rsid w:val="008C776E"/>
    <w:rsid w:val="008C7DA8"/>
    <w:rsid w:val="008D012D"/>
    <w:rsid w:val="008D04DC"/>
    <w:rsid w:val="008D06A0"/>
    <w:rsid w:val="008D0770"/>
    <w:rsid w:val="008D1BFB"/>
    <w:rsid w:val="008D37BA"/>
    <w:rsid w:val="008D3C36"/>
    <w:rsid w:val="008D4033"/>
    <w:rsid w:val="008D423A"/>
    <w:rsid w:val="008D4C62"/>
    <w:rsid w:val="008D4DFD"/>
    <w:rsid w:val="008D6045"/>
    <w:rsid w:val="008D629C"/>
    <w:rsid w:val="008D716F"/>
    <w:rsid w:val="008D7440"/>
    <w:rsid w:val="008D7DC4"/>
    <w:rsid w:val="008E1038"/>
    <w:rsid w:val="008E1530"/>
    <w:rsid w:val="008E16C0"/>
    <w:rsid w:val="008E223F"/>
    <w:rsid w:val="008E22C9"/>
    <w:rsid w:val="008E2F4D"/>
    <w:rsid w:val="008E3F77"/>
    <w:rsid w:val="008E4553"/>
    <w:rsid w:val="008E49F1"/>
    <w:rsid w:val="008E5629"/>
    <w:rsid w:val="008E62B4"/>
    <w:rsid w:val="008E65F6"/>
    <w:rsid w:val="008E681A"/>
    <w:rsid w:val="008F03AA"/>
    <w:rsid w:val="008F15A7"/>
    <w:rsid w:val="008F21F8"/>
    <w:rsid w:val="008F296F"/>
    <w:rsid w:val="008F36F6"/>
    <w:rsid w:val="008F392D"/>
    <w:rsid w:val="008F3B25"/>
    <w:rsid w:val="008F3DF9"/>
    <w:rsid w:val="008F492A"/>
    <w:rsid w:val="008F4C37"/>
    <w:rsid w:val="008F5888"/>
    <w:rsid w:val="008F61C0"/>
    <w:rsid w:val="008F638F"/>
    <w:rsid w:val="008F6997"/>
    <w:rsid w:val="008F6F1F"/>
    <w:rsid w:val="008F7AB2"/>
    <w:rsid w:val="00900956"/>
    <w:rsid w:val="00900A46"/>
    <w:rsid w:val="00901DD1"/>
    <w:rsid w:val="00902685"/>
    <w:rsid w:val="009027A8"/>
    <w:rsid w:val="009028F5"/>
    <w:rsid w:val="00902AC4"/>
    <w:rsid w:val="00902D8F"/>
    <w:rsid w:val="00903E12"/>
    <w:rsid w:val="00904712"/>
    <w:rsid w:val="00904C11"/>
    <w:rsid w:val="00904EB0"/>
    <w:rsid w:val="00905608"/>
    <w:rsid w:val="00906429"/>
    <w:rsid w:val="00906CF6"/>
    <w:rsid w:val="00906DDC"/>
    <w:rsid w:val="0090724C"/>
    <w:rsid w:val="0090760C"/>
    <w:rsid w:val="00907701"/>
    <w:rsid w:val="009079E2"/>
    <w:rsid w:val="00907BAC"/>
    <w:rsid w:val="00910D81"/>
    <w:rsid w:val="009118B3"/>
    <w:rsid w:val="00912404"/>
    <w:rsid w:val="00913076"/>
    <w:rsid w:val="009139E5"/>
    <w:rsid w:val="009140E6"/>
    <w:rsid w:val="00914213"/>
    <w:rsid w:val="00914520"/>
    <w:rsid w:val="00914A4D"/>
    <w:rsid w:val="00914D56"/>
    <w:rsid w:val="00916350"/>
    <w:rsid w:val="00916954"/>
    <w:rsid w:val="00917444"/>
    <w:rsid w:val="00917CA1"/>
    <w:rsid w:val="009207AE"/>
    <w:rsid w:val="0092151A"/>
    <w:rsid w:val="00921A14"/>
    <w:rsid w:val="00921CAD"/>
    <w:rsid w:val="00921CB3"/>
    <w:rsid w:val="00922234"/>
    <w:rsid w:val="009231C6"/>
    <w:rsid w:val="009236FF"/>
    <w:rsid w:val="0092373D"/>
    <w:rsid w:val="00923AB1"/>
    <w:rsid w:val="00923B8F"/>
    <w:rsid w:val="00923C87"/>
    <w:rsid w:val="00924145"/>
    <w:rsid w:val="009242C9"/>
    <w:rsid w:val="009243CE"/>
    <w:rsid w:val="00924828"/>
    <w:rsid w:val="00924FAF"/>
    <w:rsid w:val="00925298"/>
    <w:rsid w:val="0092578F"/>
    <w:rsid w:val="0092601F"/>
    <w:rsid w:val="009265B0"/>
    <w:rsid w:val="00926815"/>
    <w:rsid w:val="009301D0"/>
    <w:rsid w:val="00930F31"/>
    <w:rsid w:val="0093152E"/>
    <w:rsid w:val="0093186F"/>
    <w:rsid w:val="00933122"/>
    <w:rsid w:val="009342C8"/>
    <w:rsid w:val="00934775"/>
    <w:rsid w:val="0093552D"/>
    <w:rsid w:val="00935649"/>
    <w:rsid w:val="0093598B"/>
    <w:rsid w:val="00935B99"/>
    <w:rsid w:val="00936368"/>
    <w:rsid w:val="00937181"/>
    <w:rsid w:val="00940788"/>
    <w:rsid w:val="00940802"/>
    <w:rsid w:val="00940F32"/>
    <w:rsid w:val="00941386"/>
    <w:rsid w:val="00941575"/>
    <w:rsid w:val="009423B1"/>
    <w:rsid w:val="009428C4"/>
    <w:rsid w:val="00942B46"/>
    <w:rsid w:val="009436ED"/>
    <w:rsid w:val="0094471D"/>
    <w:rsid w:val="00944FD9"/>
    <w:rsid w:val="009461D9"/>
    <w:rsid w:val="00946D7A"/>
    <w:rsid w:val="009472B1"/>
    <w:rsid w:val="009502A4"/>
    <w:rsid w:val="009503DF"/>
    <w:rsid w:val="0095046F"/>
    <w:rsid w:val="00951793"/>
    <w:rsid w:val="00951826"/>
    <w:rsid w:val="00952593"/>
    <w:rsid w:val="00953675"/>
    <w:rsid w:val="00953AAF"/>
    <w:rsid w:val="00953BEE"/>
    <w:rsid w:val="00954283"/>
    <w:rsid w:val="00954953"/>
    <w:rsid w:val="00955AAC"/>
    <w:rsid w:val="009560D8"/>
    <w:rsid w:val="00956AD1"/>
    <w:rsid w:val="00956DAA"/>
    <w:rsid w:val="00957569"/>
    <w:rsid w:val="00957A48"/>
    <w:rsid w:val="00957B91"/>
    <w:rsid w:val="0096009F"/>
    <w:rsid w:val="009604FE"/>
    <w:rsid w:val="009605D6"/>
    <w:rsid w:val="0096084D"/>
    <w:rsid w:val="0096122A"/>
    <w:rsid w:val="009614C0"/>
    <w:rsid w:val="00961873"/>
    <w:rsid w:val="0096324D"/>
    <w:rsid w:val="009638C4"/>
    <w:rsid w:val="00963C28"/>
    <w:rsid w:val="00963CD7"/>
    <w:rsid w:val="00963F90"/>
    <w:rsid w:val="009645A8"/>
    <w:rsid w:val="009645E3"/>
    <w:rsid w:val="00964DA8"/>
    <w:rsid w:val="009658C1"/>
    <w:rsid w:val="00965C43"/>
    <w:rsid w:val="009671FD"/>
    <w:rsid w:val="00967474"/>
    <w:rsid w:val="00970B8C"/>
    <w:rsid w:val="0097146D"/>
    <w:rsid w:val="0097175C"/>
    <w:rsid w:val="00971B1D"/>
    <w:rsid w:val="00971DF2"/>
    <w:rsid w:val="0097231B"/>
    <w:rsid w:val="00972C93"/>
    <w:rsid w:val="00972DDA"/>
    <w:rsid w:val="009730D1"/>
    <w:rsid w:val="0097396E"/>
    <w:rsid w:val="00973A2C"/>
    <w:rsid w:val="00974AB4"/>
    <w:rsid w:val="009751CD"/>
    <w:rsid w:val="00975A92"/>
    <w:rsid w:val="00975E7A"/>
    <w:rsid w:val="00976208"/>
    <w:rsid w:val="0098008F"/>
    <w:rsid w:val="00980267"/>
    <w:rsid w:val="00980DF0"/>
    <w:rsid w:val="0098166C"/>
    <w:rsid w:val="00981ABF"/>
    <w:rsid w:val="00982697"/>
    <w:rsid w:val="00983837"/>
    <w:rsid w:val="009840B8"/>
    <w:rsid w:val="0098559B"/>
    <w:rsid w:val="0098594D"/>
    <w:rsid w:val="00985A59"/>
    <w:rsid w:val="00985D3E"/>
    <w:rsid w:val="00985E5B"/>
    <w:rsid w:val="00985F8D"/>
    <w:rsid w:val="00987ABA"/>
    <w:rsid w:val="00987C72"/>
    <w:rsid w:val="00990F72"/>
    <w:rsid w:val="0099142F"/>
    <w:rsid w:val="009917D3"/>
    <w:rsid w:val="00991896"/>
    <w:rsid w:val="00992343"/>
    <w:rsid w:val="009930D9"/>
    <w:rsid w:val="00994450"/>
    <w:rsid w:val="00994E7A"/>
    <w:rsid w:val="00995526"/>
    <w:rsid w:val="00995B8D"/>
    <w:rsid w:val="00997A6A"/>
    <w:rsid w:val="009A16E0"/>
    <w:rsid w:val="009A2357"/>
    <w:rsid w:val="009A23AC"/>
    <w:rsid w:val="009A2ED1"/>
    <w:rsid w:val="009A3195"/>
    <w:rsid w:val="009A33E5"/>
    <w:rsid w:val="009A4051"/>
    <w:rsid w:val="009A4CF9"/>
    <w:rsid w:val="009A4E45"/>
    <w:rsid w:val="009A4FF8"/>
    <w:rsid w:val="009A61AF"/>
    <w:rsid w:val="009B004D"/>
    <w:rsid w:val="009B0235"/>
    <w:rsid w:val="009B0570"/>
    <w:rsid w:val="009B1E44"/>
    <w:rsid w:val="009B3D32"/>
    <w:rsid w:val="009B4520"/>
    <w:rsid w:val="009B4FFA"/>
    <w:rsid w:val="009B5EAE"/>
    <w:rsid w:val="009B634E"/>
    <w:rsid w:val="009B6B80"/>
    <w:rsid w:val="009B7B43"/>
    <w:rsid w:val="009B7F98"/>
    <w:rsid w:val="009C07B9"/>
    <w:rsid w:val="009C0867"/>
    <w:rsid w:val="009C10E9"/>
    <w:rsid w:val="009C1ADD"/>
    <w:rsid w:val="009C1C90"/>
    <w:rsid w:val="009C24DC"/>
    <w:rsid w:val="009C2796"/>
    <w:rsid w:val="009C2828"/>
    <w:rsid w:val="009C29F6"/>
    <w:rsid w:val="009C2BFA"/>
    <w:rsid w:val="009C2D49"/>
    <w:rsid w:val="009C2E6D"/>
    <w:rsid w:val="009C326A"/>
    <w:rsid w:val="009C32FE"/>
    <w:rsid w:val="009C36CF"/>
    <w:rsid w:val="009C3E29"/>
    <w:rsid w:val="009C470A"/>
    <w:rsid w:val="009C4B48"/>
    <w:rsid w:val="009C4B78"/>
    <w:rsid w:val="009C589B"/>
    <w:rsid w:val="009C64CF"/>
    <w:rsid w:val="009C6BF3"/>
    <w:rsid w:val="009C77AB"/>
    <w:rsid w:val="009C7803"/>
    <w:rsid w:val="009C7F55"/>
    <w:rsid w:val="009C7F8B"/>
    <w:rsid w:val="009C7F9B"/>
    <w:rsid w:val="009D09B5"/>
    <w:rsid w:val="009D0BC7"/>
    <w:rsid w:val="009D17CE"/>
    <w:rsid w:val="009D20E1"/>
    <w:rsid w:val="009D27DC"/>
    <w:rsid w:val="009D29DE"/>
    <w:rsid w:val="009D327D"/>
    <w:rsid w:val="009D422F"/>
    <w:rsid w:val="009D42EE"/>
    <w:rsid w:val="009D5067"/>
    <w:rsid w:val="009D527C"/>
    <w:rsid w:val="009D56CC"/>
    <w:rsid w:val="009D5792"/>
    <w:rsid w:val="009D5987"/>
    <w:rsid w:val="009D63C0"/>
    <w:rsid w:val="009D6A22"/>
    <w:rsid w:val="009D6E84"/>
    <w:rsid w:val="009D7C33"/>
    <w:rsid w:val="009E048F"/>
    <w:rsid w:val="009E175E"/>
    <w:rsid w:val="009E1B96"/>
    <w:rsid w:val="009E1D50"/>
    <w:rsid w:val="009E2147"/>
    <w:rsid w:val="009E2249"/>
    <w:rsid w:val="009E2A66"/>
    <w:rsid w:val="009E3498"/>
    <w:rsid w:val="009E38DF"/>
    <w:rsid w:val="009E3A77"/>
    <w:rsid w:val="009E4B20"/>
    <w:rsid w:val="009E4BCD"/>
    <w:rsid w:val="009E4F4D"/>
    <w:rsid w:val="009E4F64"/>
    <w:rsid w:val="009E5B20"/>
    <w:rsid w:val="009E6224"/>
    <w:rsid w:val="009E62CB"/>
    <w:rsid w:val="009E7642"/>
    <w:rsid w:val="009E7699"/>
    <w:rsid w:val="009E7C53"/>
    <w:rsid w:val="009E7E4F"/>
    <w:rsid w:val="009F021E"/>
    <w:rsid w:val="009F0D21"/>
    <w:rsid w:val="009F1765"/>
    <w:rsid w:val="009F1C09"/>
    <w:rsid w:val="009F291E"/>
    <w:rsid w:val="009F2BD4"/>
    <w:rsid w:val="009F3729"/>
    <w:rsid w:val="009F438A"/>
    <w:rsid w:val="009F451B"/>
    <w:rsid w:val="009F56FB"/>
    <w:rsid w:val="009F6054"/>
    <w:rsid w:val="009F735A"/>
    <w:rsid w:val="009F7BEE"/>
    <w:rsid w:val="009F7DC8"/>
    <w:rsid w:val="00A00088"/>
    <w:rsid w:val="00A002BB"/>
    <w:rsid w:val="00A00EE6"/>
    <w:rsid w:val="00A01925"/>
    <w:rsid w:val="00A01E49"/>
    <w:rsid w:val="00A0244F"/>
    <w:rsid w:val="00A02F1C"/>
    <w:rsid w:val="00A03286"/>
    <w:rsid w:val="00A035E6"/>
    <w:rsid w:val="00A035FD"/>
    <w:rsid w:val="00A039AC"/>
    <w:rsid w:val="00A03F3B"/>
    <w:rsid w:val="00A04268"/>
    <w:rsid w:val="00A04B08"/>
    <w:rsid w:val="00A055F1"/>
    <w:rsid w:val="00A05F06"/>
    <w:rsid w:val="00A10012"/>
    <w:rsid w:val="00A11AC3"/>
    <w:rsid w:val="00A142B3"/>
    <w:rsid w:val="00A1430A"/>
    <w:rsid w:val="00A15448"/>
    <w:rsid w:val="00A15A99"/>
    <w:rsid w:val="00A164EF"/>
    <w:rsid w:val="00A16590"/>
    <w:rsid w:val="00A166FB"/>
    <w:rsid w:val="00A16D69"/>
    <w:rsid w:val="00A20112"/>
    <w:rsid w:val="00A2166F"/>
    <w:rsid w:val="00A217E3"/>
    <w:rsid w:val="00A228DD"/>
    <w:rsid w:val="00A22D96"/>
    <w:rsid w:val="00A22ED8"/>
    <w:rsid w:val="00A23575"/>
    <w:rsid w:val="00A23747"/>
    <w:rsid w:val="00A24773"/>
    <w:rsid w:val="00A24CA6"/>
    <w:rsid w:val="00A2544D"/>
    <w:rsid w:val="00A25A66"/>
    <w:rsid w:val="00A267B5"/>
    <w:rsid w:val="00A26BE1"/>
    <w:rsid w:val="00A26BF9"/>
    <w:rsid w:val="00A2759A"/>
    <w:rsid w:val="00A2771F"/>
    <w:rsid w:val="00A315B4"/>
    <w:rsid w:val="00A317EE"/>
    <w:rsid w:val="00A324D0"/>
    <w:rsid w:val="00A3444E"/>
    <w:rsid w:val="00A34737"/>
    <w:rsid w:val="00A35334"/>
    <w:rsid w:val="00A35358"/>
    <w:rsid w:val="00A3564B"/>
    <w:rsid w:val="00A3583A"/>
    <w:rsid w:val="00A35A4F"/>
    <w:rsid w:val="00A36468"/>
    <w:rsid w:val="00A37175"/>
    <w:rsid w:val="00A37911"/>
    <w:rsid w:val="00A37D00"/>
    <w:rsid w:val="00A410CA"/>
    <w:rsid w:val="00A411A6"/>
    <w:rsid w:val="00A41515"/>
    <w:rsid w:val="00A416D1"/>
    <w:rsid w:val="00A4246A"/>
    <w:rsid w:val="00A42D8C"/>
    <w:rsid w:val="00A430CC"/>
    <w:rsid w:val="00A43985"/>
    <w:rsid w:val="00A43AC5"/>
    <w:rsid w:val="00A43EAA"/>
    <w:rsid w:val="00A440BD"/>
    <w:rsid w:val="00A44B12"/>
    <w:rsid w:val="00A45E9B"/>
    <w:rsid w:val="00A464FB"/>
    <w:rsid w:val="00A469EC"/>
    <w:rsid w:val="00A478E4"/>
    <w:rsid w:val="00A50831"/>
    <w:rsid w:val="00A512EB"/>
    <w:rsid w:val="00A51502"/>
    <w:rsid w:val="00A5168E"/>
    <w:rsid w:val="00A5183A"/>
    <w:rsid w:val="00A51AEF"/>
    <w:rsid w:val="00A52577"/>
    <w:rsid w:val="00A52DAC"/>
    <w:rsid w:val="00A52E89"/>
    <w:rsid w:val="00A52FA5"/>
    <w:rsid w:val="00A530CE"/>
    <w:rsid w:val="00A5314D"/>
    <w:rsid w:val="00A534AD"/>
    <w:rsid w:val="00A5361C"/>
    <w:rsid w:val="00A54071"/>
    <w:rsid w:val="00A54587"/>
    <w:rsid w:val="00A548F5"/>
    <w:rsid w:val="00A549E7"/>
    <w:rsid w:val="00A54EFE"/>
    <w:rsid w:val="00A554F5"/>
    <w:rsid w:val="00A555FF"/>
    <w:rsid w:val="00A5575E"/>
    <w:rsid w:val="00A55AC7"/>
    <w:rsid w:val="00A560F0"/>
    <w:rsid w:val="00A56183"/>
    <w:rsid w:val="00A56782"/>
    <w:rsid w:val="00A5763F"/>
    <w:rsid w:val="00A579DA"/>
    <w:rsid w:val="00A57D49"/>
    <w:rsid w:val="00A60082"/>
    <w:rsid w:val="00A60E09"/>
    <w:rsid w:val="00A62729"/>
    <w:rsid w:val="00A62B18"/>
    <w:rsid w:val="00A62DBF"/>
    <w:rsid w:val="00A6312B"/>
    <w:rsid w:val="00A64337"/>
    <w:rsid w:val="00A64438"/>
    <w:rsid w:val="00A648BD"/>
    <w:rsid w:val="00A65251"/>
    <w:rsid w:val="00A65A38"/>
    <w:rsid w:val="00A65A43"/>
    <w:rsid w:val="00A65E8D"/>
    <w:rsid w:val="00A664EA"/>
    <w:rsid w:val="00A6714F"/>
    <w:rsid w:val="00A67963"/>
    <w:rsid w:val="00A67B6B"/>
    <w:rsid w:val="00A71D73"/>
    <w:rsid w:val="00A7234E"/>
    <w:rsid w:val="00A729BD"/>
    <w:rsid w:val="00A731E1"/>
    <w:rsid w:val="00A73EDB"/>
    <w:rsid w:val="00A74395"/>
    <w:rsid w:val="00A7468A"/>
    <w:rsid w:val="00A7478A"/>
    <w:rsid w:val="00A75F29"/>
    <w:rsid w:val="00A76A14"/>
    <w:rsid w:val="00A7706A"/>
    <w:rsid w:val="00A77A60"/>
    <w:rsid w:val="00A80114"/>
    <w:rsid w:val="00A8012C"/>
    <w:rsid w:val="00A801B4"/>
    <w:rsid w:val="00A8144A"/>
    <w:rsid w:val="00A816BE"/>
    <w:rsid w:val="00A81FB0"/>
    <w:rsid w:val="00A821D2"/>
    <w:rsid w:val="00A82333"/>
    <w:rsid w:val="00A828F6"/>
    <w:rsid w:val="00A82DEE"/>
    <w:rsid w:val="00A83014"/>
    <w:rsid w:val="00A830A2"/>
    <w:rsid w:val="00A83B93"/>
    <w:rsid w:val="00A8416B"/>
    <w:rsid w:val="00A846B4"/>
    <w:rsid w:val="00A857DE"/>
    <w:rsid w:val="00A86805"/>
    <w:rsid w:val="00A87749"/>
    <w:rsid w:val="00A9053E"/>
    <w:rsid w:val="00A915CB"/>
    <w:rsid w:val="00A91BB8"/>
    <w:rsid w:val="00A9248A"/>
    <w:rsid w:val="00A92596"/>
    <w:rsid w:val="00A927D4"/>
    <w:rsid w:val="00A92A51"/>
    <w:rsid w:val="00A92A8F"/>
    <w:rsid w:val="00A9405B"/>
    <w:rsid w:val="00A946D2"/>
    <w:rsid w:val="00A9486B"/>
    <w:rsid w:val="00A958CB"/>
    <w:rsid w:val="00A95C98"/>
    <w:rsid w:val="00A96CEA"/>
    <w:rsid w:val="00A96DA6"/>
    <w:rsid w:val="00A974C9"/>
    <w:rsid w:val="00A976E4"/>
    <w:rsid w:val="00AA04CB"/>
    <w:rsid w:val="00AA12B0"/>
    <w:rsid w:val="00AA22DB"/>
    <w:rsid w:val="00AA2AF4"/>
    <w:rsid w:val="00AA42A6"/>
    <w:rsid w:val="00AA465D"/>
    <w:rsid w:val="00AA47FD"/>
    <w:rsid w:val="00AA4D3B"/>
    <w:rsid w:val="00AA51C4"/>
    <w:rsid w:val="00AA522F"/>
    <w:rsid w:val="00AA5470"/>
    <w:rsid w:val="00AA59C0"/>
    <w:rsid w:val="00AA5A80"/>
    <w:rsid w:val="00AA5CA3"/>
    <w:rsid w:val="00AA5FB7"/>
    <w:rsid w:val="00AA6369"/>
    <w:rsid w:val="00AA658C"/>
    <w:rsid w:val="00AA6904"/>
    <w:rsid w:val="00AA6EEE"/>
    <w:rsid w:val="00AA7D52"/>
    <w:rsid w:val="00AB06A1"/>
    <w:rsid w:val="00AB1FE4"/>
    <w:rsid w:val="00AB2C32"/>
    <w:rsid w:val="00AB32AA"/>
    <w:rsid w:val="00AB38BA"/>
    <w:rsid w:val="00AB4262"/>
    <w:rsid w:val="00AB47B6"/>
    <w:rsid w:val="00AB5B8A"/>
    <w:rsid w:val="00AB5BEE"/>
    <w:rsid w:val="00AB6013"/>
    <w:rsid w:val="00AB6254"/>
    <w:rsid w:val="00AB7159"/>
    <w:rsid w:val="00AB7172"/>
    <w:rsid w:val="00AB747F"/>
    <w:rsid w:val="00AB7E83"/>
    <w:rsid w:val="00AC0495"/>
    <w:rsid w:val="00AC0905"/>
    <w:rsid w:val="00AC1528"/>
    <w:rsid w:val="00AC231A"/>
    <w:rsid w:val="00AC248D"/>
    <w:rsid w:val="00AC2658"/>
    <w:rsid w:val="00AC2EC5"/>
    <w:rsid w:val="00AC3FD1"/>
    <w:rsid w:val="00AC4E84"/>
    <w:rsid w:val="00AC5357"/>
    <w:rsid w:val="00AC5C67"/>
    <w:rsid w:val="00AC6328"/>
    <w:rsid w:val="00AD0B02"/>
    <w:rsid w:val="00AD0C03"/>
    <w:rsid w:val="00AD1311"/>
    <w:rsid w:val="00AD171E"/>
    <w:rsid w:val="00AD1733"/>
    <w:rsid w:val="00AD2AAA"/>
    <w:rsid w:val="00AD3004"/>
    <w:rsid w:val="00AD3267"/>
    <w:rsid w:val="00AD3B30"/>
    <w:rsid w:val="00AD5F8B"/>
    <w:rsid w:val="00AD6251"/>
    <w:rsid w:val="00AE0B25"/>
    <w:rsid w:val="00AE0DA7"/>
    <w:rsid w:val="00AE0E14"/>
    <w:rsid w:val="00AE17F2"/>
    <w:rsid w:val="00AE239E"/>
    <w:rsid w:val="00AE274B"/>
    <w:rsid w:val="00AE2779"/>
    <w:rsid w:val="00AE2E91"/>
    <w:rsid w:val="00AE2F6C"/>
    <w:rsid w:val="00AE490B"/>
    <w:rsid w:val="00AE4DE7"/>
    <w:rsid w:val="00AE53A1"/>
    <w:rsid w:val="00AE5FCE"/>
    <w:rsid w:val="00AE624D"/>
    <w:rsid w:val="00AE6413"/>
    <w:rsid w:val="00AE6A6B"/>
    <w:rsid w:val="00AE7052"/>
    <w:rsid w:val="00AE7087"/>
    <w:rsid w:val="00AE71E1"/>
    <w:rsid w:val="00AF0244"/>
    <w:rsid w:val="00AF0972"/>
    <w:rsid w:val="00AF0ACC"/>
    <w:rsid w:val="00AF1380"/>
    <w:rsid w:val="00AF1794"/>
    <w:rsid w:val="00AF188D"/>
    <w:rsid w:val="00AF1D96"/>
    <w:rsid w:val="00AF1EAF"/>
    <w:rsid w:val="00AF2475"/>
    <w:rsid w:val="00AF26B2"/>
    <w:rsid w:val="00AF2B72"/>
    <w:rsid w:val="00AF328E"/>
    <w:rsid w:val="00AF356D"/>
    <w:rsid w:val="00AF42AE"/>
    <w:rsid w:val="00AF49A5"/>
    <w:rsid w:val="00AF4C50"/>
    <w:rsid w:val="00AF712A"/>
    <w:rsid w:val="00B00F3A"/>
    <w:rsid w:val="00B017F1"/>
    <w:rsid w:val="00B018FD"/>
    <w:rsid w:val="00B0345F"/>
    <w:rsid w:val="00B03535"/>
    <w:rsid w:val="00B037C4"/>
    <w:rsid w:val="00B038AF"/>
    <w:rsid w:val="00B040B6"/>
    <w:rsid w:val="00B04589"/>
    <w:rsid w:val="00B04B07"/>
    <w:rsid w:val="00B05843"/>
    <w:rsid w:val="00B05A0D"/>
    <w:rsid w:val="00B05B28"/>
    <w:rsid w:val="00B0692C"/>
    <w:rsid w:val="00B07291"/>
    <w:rsid w:val="00B075C4"/>
    <w:rsid w:val="00B07927"/>
    <w:rsid w:val="00B10328"/>
    <w:rsid w:val="00B1124D"/>
    <w:rsid w:val="00B113FB"/>
    <w:rsid w:val="00B12237"/>
    <w:rsid w:val="00B133C9"/>
    <w:rsid w:val="00B13531"/>
    <w:rsid w:val="00B13BCD"/>
    <w:rsid w:val="00B157B2"/>
    <w:rsid w:val="00B15FD6"/>
    <w:rsid w:val="00B166AC"/>
    <w:rsid w:val="00B168EB"/>
    <w:rsid w:val="00B16C79"/>
    <w:rsid w:val="00B16D4F"/>
    <w:rsid w:val="00B16EF0"/>
    <w:rsid w:val="00B173EE"/>
    <w:rsid w:val="00B176E4"/>
    <w:rsid w:val="00B17704"/>
    <w:rsid w:val="00B17845"/>
    <w:rsid w:val="00B179B9"/>
    <w:rsid w:val="00B17A0C"/>
    <w:rsid w:val="00B21087"/>
    <w:rsid w:val="00B2108A"/>
    <w:rsid w:val="00B21517"/>
    <w:rsid w:val="00B22956"/>
    <w:rsid w:val="00B229D4"/>
    <w:rsid w:val="00B22BB7"/>
    <w:rsid w:val="00B242AD"/>
    <w:rsid w:val="00B24680"/>
    <w:rsid w:val="00B2501A"/>
    <w:rsid w:val="00B2552A"/>
    <w:rsid w:val="00B26199"/>
    <w:rsid w:val="00B262DF"/>
    <w:rsid w:val="00B26685"/>
    <w:rsid w:val="00B2686F"/>
    <w:rsid w:val="00B26A8B"/>
    <w:rsid w:val="00B2713A"/>
    <w:rsid w:val="00B27196"/>
    <w:rsid w:val="00B32184"/>
    <w:rsid w:val="00B3231D"/>
    <w:rsid w:val="00B32D2A"/>
    <w:rsid w:val="00B33C32"/>
    <w:rsid w:val="00B33EF8"/>
    <w:rsid w:val="00B35043"/>
    <w:rsid w:val="00B35538"/>
    <w:rsid w:val="00B35B24"/>
    <w:rsid w:val="00B35D41"/>
    <w:rsid w:val="00B364F8"/>
    <w:rsid w:val="00B36FB8"/>
    <w:rsid w:val="00B37241"/>
    <w:rsid w:val="00B37A95"/>
    <w:rsid w:val="00B40123"/>
    <w:rsid w:val="00B41110"/>
    <w:rsid w:val="00B41842"/>
    <w:rsid w:val="00B423E1"/>
    <w:rsid w:val="00B427A2"/>
    <w:rsid w:val="00B432ED"/>
    <w:rsid w:val="00B437B6"/>
    <w:rsid w:val="00B4516C"/>
    <w:rsid w:val="00B456CD"/>
    <w:rsid w:val="00B47066"/>
    <w:rsid w:val="00B4721C"/>
    <w:rsid w:val="00B50BFD"/>
    <w:rsid w:val="00B50C3E"/>
    <w:rsid w:val="00B5120E"/>
    <w:rsid w:val="00B51B59"/>
    <w:rsid w:val="00B52838"/>
    <w:rsid w:val="00B52C0C"/>
    <w:rsid w:val="00B530C2"/>
    <w:rsid w:val="00B537FB"/>
    <w:rsid w:val="00B54158"/>
    <w:rsid w:val="00B545CE"/>
    <w:rsid w:val="00B54650"/>
    <w:rsid w:val="00B56C56"/>
    <w:rsid w:val="00B572CC"/>
    <w:rsid w:val="00B57C99"/>
    <w:rsid w:val="00B60039"/>
    <w:rsid w:val="00B60783"/>
    <w:rsid w:val="00B60E06"/>
    <w:rsid w:val="00B61032"/>
    <w:rsid w:val="00B62007"/>
    <w:rsid w:val="00B62267"/>
    <w:rsid w:val="00B62394"/>
    <w:rsid w:val="00B63175"/>
    <w:rsid w:val="00B631ED"/>
    <w:rsid w:val="00B63CBF"/>
    <w:rsid w:val="00B650FA"/>
    <w:rsid w:val="00B65630"/>
    <w:rsid w:val="00B66476"/>
    <w:rsid w:val="00B66E6E"/>
    <w:rsid w:val="00B7008D"/>
    <w:rsid w:val="00B71278"/>
    <w:rsid w:val="00B71DB2"/>
    <w:rsid w:val="00B71F60"/>
    <w:rsid w:val="00B72030"/>
    <w:rsid w:val="00B720B8"/>
    <w:rsid w:val="00B72C30"/>
    <w:rsid w:val="00B73623"/>
    <w:rsid w:val="00B7366D"/>
    <w:rsid w:val="00B73F74"/>
    <w:rsid w:val="00B74105"/>
    <w:rsid w:val="00B74B27"/>
    <w:rsid w:val="00B75626"/>
    <w:rsid w:val="00B75EF6"/>
    <w:rsid w:val="00B760D9"/>
    <w:rsid w:val="00B77226"/>
    <w:rsid w:val="00B77235"/>
    <w:rsid w:val="00B778DA"/>
    <w:rsid w:val="00B77DCC"/>
    <w:rsid w:val="00B80272"/>
    <w:rsid w:val="00B8088A"/>
    <w:rsid w:val="00B80DBB"/>
    <w:rsid w:val="00B80F27"/>
    <w:rsid w:val="00B816FC"/>
    <w:rsid w:val="00B82342"/>
    <w:rsid w:val="00B823B9"/>
    <w:rsid w:val="00B83FA2"/>
    <w:rsid w:val="00B844B7"/>
    <w:rsid w:val="00B84808"/>
    <w:rsid w:val="00B84FDC"/>
    <w:rsid w:val="00B85403"/>
    <w:rsid w:val="00B85FD5"/>
    <w:rsid w:val="00B86126"/>
    <w:rsid w:val="00B86A85"/>
    <w:rsid w:val="00B870D4"/>
    <w:rsid w:val="00B90D96"/>
    <w:rsid w:val="00B90F98"/>
    <w:rsid w:val="00B91173"/>
    <w:rsid w:val="00B91BCA"/>
    <w:rsid w:val="00B92C8A"/>
    <w:rsid w:val="00B92D93"/>
    <w:rsid w:val="00B93303"/>
    <w:rsid w:val="00B9377A"/>
    <w:rsid w:val="00B944C3"/>
    <w:rsid w:val="00B948D0"/>
    <w:rsid w:val="00B95A27"/>
    <w:rsid w:val="00B95BD7"/>
    <w:rsid w:val="00B96994"/>
    <w:rsid w:val="00B96AD5"/>
    <w:rsid w:val="00B96E48"/>
    <w:rsid w:val="00B972ED"/>
    <w:rsid w:val="00BA0074"/>
    <w:rsid w:val="00BA1074"/>
    <w:rsid w:val="00BA23F3"/>
    <w:rsid w:val="00BA2691"/>
    <w:rsid w:val="00BA2FAE"/>
    <w:rsid w:val="00BA308A"/>
    <w:rsid w:val="00BA3848"/>
    <w:rsid w:val="00BA440E"/>
    <w:rsid w:val="00BA4454"/>
    <w:rsid w:val="00BA4470"/>
    <w:rsid w:val="00BA4490"/>
    <w:rsid w:val="00BA44C2"/>
    <w:rsid w:val="00BA45DB"/>
    <w:rsid w:val="00BA46A2"/>
    <w:rsid w:val="00BA54E3"/>
    <w:rsid w:val="00BA6498"/>
    <w:rsid w:val="00BA69E9"/>
    <w:rsid w:val="00BA6EEE"/>
    <w:rsid w:val="00BA7C16"/>
    <w:rsid w:val="00BB00A7"/>
    <w:rsid w:val="00BB0E68"/>
    <w:rsid w:val="00BB1100"/>
    <w:rsid w:val="00BB142B"/>
    <w:rsid w:val="00BB18B2"/>
    <w:rsid w:val="00BB1C34"/>
    <w:rsid w:val="00BB20AD"/>
    <w:rsid w:val="00BB256E"/>
    <w:rsid w:val="00BB26F1"/>
    <w:rsid w:val="00BB2F9A"/>
    <w:rsid w:val="00BB3487"/>
    <w:rsid w:val="00BB3E12"/>
    <w:rsid w:val="00BB4877"/>
    <w:rsid w:val="00BB5C97"/>
    <w:rsid w:val="00BB690A"/>
    <w:rsid w:val="00BB7389"/>
    <w:rsid w:val="00BB7CE5"/>
    <w:rsid w:val="00BB7DE5"/>
    <w:rsid w:val="00BC244A"/>
    <w:rsid w:val="00BC3F0D"/>
    <w:rsid w:val="00BC46D9"/>
    <w:rsid w:val="00BC4787"/>
    <w:rsid w:val="00BC47E4"/>
    <w:rsid w:val="00BC5640"/>
    <w:rsid w:val="00BC5F47"/>
    <w:rsid w:val="00BC6169"/>
    <w:rsid w:val="00BC6A61"/>
    <w:rsid w:val="00BC6F16"/>
    <w:rsid w:val="00BC7296"/>
    <w:rsid w:val="00BC7EF9"/>
    <w:rsid w:val="00BD04C0"/>
    <w:rsid w:val="00BD0D9F"/>
    <w:rsid w:val="00BD0FEA"/>
    <w:rsid w:val="00BD1A9A"/>
    <w:rsid w:val="00BD3027"/>
    <w:rsid w:val="00BD3264"/>
    <w:rsid w:val="00BD36D8"/>
    <w:rsid w:val="00BD5162"/>
    <w:rsid w:val="00BD531C"/>
    <w:rsid w:val="00BD545F"/>
    <w:rsid w:val="00BD6894"/>
    <w:rsid w:val="00BD7E12"/>
    <w:rsid w:val="00BE060B"/>
    <w:rsid w:val="00BE0E28"/>
    <w:rsid w:val="00BE1125"/>
    <w:rsid w:val="00BE134C"/>
    <w:rsid w:val="00BE16D4"/>
    <w:rsid w:val="00BE1A3D"/>
    <w:rsid w:val="00BE1E1B"/>
    <w:rsid w:val="00BE23A5"/>
    <w:rsid w:val="00BE329F"/>
    <w:rsid w:val="00BE40FE"/>
    <w:rsid w:val="00BE46C2"/>
    <w:rsid w:val="00BE47A1"/>
    <w:rsid w:val="00BE4CBE"/>
    <w:rsid w:val="00BE4D8E"/>
    <w:rsid w:val="00BE53A5"/>
    <w:rsid w:val="00BE572F"/>
    <w:rsid w:val="00BE5732"/>
    <w:rsid w:val="00BE6B9D"/>
    <w:rsid w:val="00BE782A"/>
    <w:rsid w:val="00BF0949"/>
    <w:rsid w:val="00BF1487"/>
    <w:rsid w:val="00BF1C8D"/>
    <w:rsid w:val="00BF2607"/>
    <w:rsid w:val="00BF2678"/>
    <w:rsid w:val="00BF2C28"/>
    <w:rsid w:val="00BF342B"/>
    <w:rsid w:val="00BF3B39"/>
    <w:rsid w:val="00BF3BEC"/>
    <w:rsid w:val="00BF3D03"/>
    <w:rsid w:val="00BF3ECD"/>
    <w:rsid w:val="00BF40A5"/>
    <w:rsid w:val="00BF4B42"/>
    <w:rsid w:val="00BF5A8D"/>
    <w:rsid w:val="00BF6681"/>
    <w:rsid w:val="00BF78A7"/>
    <w:rsid w:val="00BF7FFC"/>
    <w:rsid w:val="00C0038D"/>
    <w:rsid w:val="00C0041D"/>
    <w:rsid w:val="00C0150B"/>
    <w:rsid w:val="00C01552"/>
    <w:rsid w:val="00C01A75"/>
    <w:rsid w:val="00C01D31"/>
    <w:rsid w:val="00C01FCA"/>
    <w:rsid w:val="00C02178"/>
    <w:rsid w:val="00C02941"/>
    <w:rsid w:val="00C029B7"/>
    <w:rsid w:val="00C032E5"/>
    <w:rsid w:val="00C03C7E"/>
    <w:rsid w:val="00C04519"/>
    <w:rsid w:val="00C047FB"/>
    <w:rsid w:val="00C04B5C"/>
    <w:rsid w:val="00C04CA8"/>
    <w:rsid w:val="00C05731"/>
    <w:rsid w:val="00C05978"/>
    <w:rsid w:val="00C05AF7"/>
    <w:rsid w:val="00C05B7A"/>
    <w:rsid w:val="00C07082"/>
    <w:rsid w:val="00C0753A"/>
    <w:rsid w:val="00C1017C"/>
    <w:rsid w:val="00C10DEF"/>
    <w:rsid w:val="00C11DD6"/>
    <w:rsid w:val="00C11FBC"/>
    <w:rsid w:val="00C1338A"/>
    <w:rsid w:val="00C13F44"/>
    <w:rsid w:val="00C14C83"/>
    <w:rsid w:val="00C15138"/>
    <w:rsid w:val="00C158D3"/>
    <w:rsid w:val="00C15A49"/>
    <w:rsid w:val="00C15C3E"/>
    <w:rsid w:val="00C15E65"/>
    <w:rsid w:val="00C15F38"/>
    <w:rsid w:val="00C16709"/>
    <w:rsid w:val="00C16718"/>
    <w:rsid w:val="00C168E6"/>
    <w:rsid w:val="00C1788D"/>
    <w:rsid w:val="00C17A64"/>
    <w:rsid w:val="00C17BCA"/>
    <w:rsid w:val="00C17DF1"/>
    <w:rsid w:val="00C17E25"/>
    <w:rsid w:val="00C20208"/>
    <w:rsid w:val="00C208DA"/>
    <w:rsid w:val="00C21315"/>
    <w:rsid w:val="00C21532"/>
    <w:rsid w:val="00C21DA6"/>
    <w:rsid w:val="00C222AA"/>
    <w:rsid w:val="00C22751"/>
    <w:rsid w:val="00C22854"/>
    <w:rsid w:val="00C23569"/>
    <w:rsid w:val="00C238D1"/>
    <w:rsid w:val="00C23FD2"/>
    <w:rsid w:val="00C2431B"/>
    <w:rsid w:val="00C24AB1"/>
    <w:rsid w:val="00C24E45"/>
    <w:rsid w:val="00C25873"/>
    <w:rsid w:val="00C25A89"/>
    <w:rsid w:val="00C25BE5"/>
    <w:rsid w:val="00C25FCC"/>
    <w:rsid w:val="00C26707"/>
    <w:rsid w:val="00C26905"/>
    <w:rsid w:val="00C26985"/>
    <w:rsid w:val="00C26F36"/>
    <w:rsid w:val="00C27126"/>
    <w:rsid w:val="00C273C4"/>
    <w:rsid w:val="00C301E9"/>
    <w:rsid w:val="00C31132"/>
    <w:rsid w:val="00C31155"/>
    <w:rsid w:val="00C31492"/>
    <w:rsid w:val="00C318F0"/>
    <w:rsid w:val="00C31D99"/>
    <w:rsid w:val="00C31FCA"/>
    <w:rsid w:val="00C32253"/>
    <w:rsid w:val="00C32620"/>
    <w:rsid w:val="00C32AF0"/>
    <w:rsid w:val="00C336C8"/>
    <w:rsid w:val="00C33EAE"/>
    <w:rsid w:val="00C34170"/>
    <w:rsid w:val="00C347D2"/>
    <w:rsid w:val="00C34C38"/>
    <w:rsid w:val="00C35252"/>
    <w:rsid w:val="00C35B49"/>
    <w:rsid w:val="00C35C2D"/>
    <w:rsid w:val="00C36045"/>
    <w:rsid w:val="00C3612F"/>
    <w:rsid w:val="00C36AD8"/>
    <w:rsid w:val="00C37E3A"/>
    <w:rsid w:val="00C4119D"/>
    <w:rsid w:val="00C416F2"/>
    <w:rsid w:val="00C42D40"/>
    <w:rsid w:val="00C43987"/>
    <w:rsid w:val="00C43B78"/>
    <w:rsid w:val="00C44559"/>
    <w:rsid w:val="00C4458A"/>
    <w:rsid w:val="00C4521C"/>
    <w:rsid w:val="00C457EE"/>
    <w:rsid w:val="00C45CAF"/>
    <w:rsid w:val="00C46145"/>
    <w:rsid w:val="00C479F0"/>
    <w:rsid w:val="00C50086"/>
    <w:rsid w:val="00C50096"/>
    <w:rsid w:val="00C51094"/>
    <w:rsid w:val="00C52187"/>
    <w:rsid w:val="00C5258C"/>
    <w:rsid w:val="00C526B5"/>
    <w:rsid w:val="00C52A69"/>
    <w:rsid w:val="00C52AE1"/>
    <w:rsid w:val="00C52E86"/>
    <w:rsid w:val="00C537CB"/>
    <w:rsid w:val="00C539CE"/>
    <w:rsid w:val="00C548F4"/>
    <w:rsid w:val="00C551DF"/>
    <w:rsid w:val="00C55EB4"/>
    <w:rsid w:val="00C56DA6"/>
    <w:rsid w:val="00C5712C"/>
    <w:rsid w:val="00C57464"/>
    <w:rsid w:val="00C60AA4"/>
    <w:rsid w:val="00C623C7"/>
    <w:rsid w:val="00C636A6"/>
    <w:rsid w:val="00C639E7"/>
    <w:rsid w:val="00C63C4A"/>
    <w:rsid w:val="00C642CB"/>
    <w:rsid w:val="00C64655"/>
    <w:rsid w:val="00C6494C"/>
    <w:rsid w:val="00C65788"/>
    <w:rsid w:val="00C65963"/>
    <w:rsid w:val="00C66C5E"/>
    <w:rsid w:val="00C67169"/>
    <w:rsid w:val="00C67A63"/>
    <w:rsid w:val="00C67B6F"/>
    <w:rsid w:val="00C67EC2"/>
    <w:rsid w:val="00C7013A"/>
    <w:rsid w:val="00C70A5C"/>
    <w:rsid w:val="00C711F8"/>
    <w:rsid w:val="00C72983"/>
    <w:rsid w:val="00C73778"/>
    <w:rsid w:val="00C73902"/>
    <w:rsid w:val="00C73AD1"/>
    <w:rsid w:val="00C73B52"/>
    <w:rsid w:val="00C744B0"/>
    <w:rsid w:val="00C74F75"/>
    <w:rsid w:val="00C753FF"/>
    <w:rsid w:val="00C759E7"/>
    <w:rsid w:val="00C75B7A"/>
    <w:rsid w:val="00C7607A"/>
    <w:rsid w:val="00C766C8"/>
    <w:rsid w:val="00C76BDE"/>
    <w:rsid w:val="00C776C3"/>
    <w:rsid w:val="00C779B0"/>
    <w:rsid w:val="00C77A2B"/>
    <w:rsid w:val="00C77D75"/>
    <w:rsid w:val="00C80655"/>
    <w:rsid w:val="00C810BA"/>
    <w:rsid w:val="00C8158A"/>
    <w:rsid w:val="00C815BA"/>
    <w:rsid w:val="00C815F4"/>
    <w:rsid w:val="00C81AED"/>
    <w:rsid w:val="00C823F3"/>
    <w:rsid w:val="00C82483"/>
    <w:rsid w:val="00C82904"/>
    <w:rsid w:val="00C837A1"/>
    <w:rsid w:val="00C83974"/>
    <w:rsid w:val="00C83C77"/>
    <w:rsid w:val="00C841D3"/>
    <w:rsid w:val="00C85155"/>
    <w:rsid w:val="00C851C9"/>
    <w:rsid w:val="00C852CB"/>
    <w:rsid w:val="00C85344"/>
    <w:rsid w:val="00C85A6B"/>
    <w:rsid w:val="00C85E15"/>
    <w:rsid w:val="00C85EA7"/>
    <w:rsid w:val="00C877C7"/>
    <w:rsid w:val="00C87F75"/>
    <w:rsid w:val="00C9014B"/>
    <w:rsid w:val="00C91594"/>
    <w:rsid w:val="00C9223A"/>
    <w:rsid w:val="00C922BA"/>
    <w:rsid w:val="00C92582"/>
    <w:rsid w:val="00C93356"/>
    <w:rsid w:val="00C93A2F"/>
    <w:rsid w:val="00C93AB0"/>
    <w:rsid w:val="00C93D25"/>
    <w:rsid w:val="00C940F6"/>
    <w:rsid w:val="00C952F1"/>
    <w:rsid w:val="00C95BDF"/>
    <w:rsid w:val="00C970A4"/>
    <w:rsid w:val="00C9713B"/>
    <w:rsid w:val="00C97479"/>
    <w:rsid w:val="00C97549"/>
    <w:rsid w:val="00C976FE"/>
    <w:rsid w:val="00C97BEF"/>
    <w:rsid w:val="00C97C24"/>
    <w:rsid w:val="00CA1A58"/>
    <w:rsid w:val="00CA1FF8"/>
    <w:rsid w:val="00CA2CB8"/>
    <w:rsid w:val="00CA2CD2"/>
    <w:rsid w:val="00CA30B9"/>
    <w:rsid w:val="00CA3A45"/>
    <w:rsid w:val="00CA3B58"/>
    <w:rsid w:val="00CA453C"/>
    <w:rsid w:val="00CA4AEE"/>
    <w:rsid w:val="00CA4C0B"/>
    <w:rsid w:val="00CA4D0E"/>
    <w:rsid w:val="00CA5B5E"/>
    <w:rsid w:val="00CA5C50"/>
    <w:rsid w:val="00CA5D26"/>
    <w:rsid w:val="00CA6B7C"/>
    <w:rsid w:val="00CA7DCD"/>
    <w:rsid w:val="00CB0162"/>
    <w:rsid w:val="00CB023C"/>
    <w:rsid w:val="00CB091F"/>
    <w:rsid w:val="00CB0A2B"/>
    <w:rsid w:val="00CB2373"/>
    <w:rsid w:val="00CB49C6"/>
    <w:rsid w:val="00CB508A"/>
    <w:rsid w:val="00CB6493"/>
    <w:rsid w:val="00CB794D"/>
    <w:rsid w:val="00CB7C4E"/>
    <w:rsid w:val="00CC1218"/>
    <w:rsid w:val="00CC1293"/>
    <w:rsid w:val="00CC13E4"/>
    <w:rsid w:val="00CC1798"/>
    <w:rsid w:val="00CC1C1E"/>
    <w:rsid w:val="00CC28F1"/>
    <w:rsid w:val="00CC2B0B"/>
    <w:rsid w:val="00CC4064"/>
    <w:rsid w:val="00CC50A5"/>
    <w:rsid w:val="00CC60F8"/>
    <w:rsid w:val="00CC728E"/>
    <w:rsid w:val="00CC75AE"/>
    <w:rsid w:val="00CC7C77"/>
    <w:rsid w:val="00CD03AD"/>
    <w:rsid w:val="00CD10A7"/>
    <w:rsid w:val="00CD182F"/>
    <w:rsid w:val="00CD2BA2"/>
    <w:rsid w:val="00CD34D4"/>
    <w:rsid w:val="00CD36B9"/>
    <w:rsid w:val="00CD408D"/>
    <w:rsid w:val="00CD4204"/>
    <w:rsid w:val="00CD42FA"/>
    <w:rsid w:val="00CD47BD"/>
    <w:rsid w:val="00CD5120"/>
    <w:rsid w:val="00CD5149"/>
    <w:rsid w:val="00CD529F"/>
    <w:rsid w:val="00CD6351"/>
    <w:rsid w:val="00CD6AEB"/>
    <w:rsid w:val="00CD701C"/>
    <w:rsid w:val="00CE0559"/>
    <w:rsid w:val="00CE05A9"/>
    <w:rsid w:val="00CE05D4"/>
    <w:rsid w:val="00CE0B33"/>
    <w:rsid w:val="00CE0E97"/>
    <w:rsid w:val="00CE0EBC"/>
    <w:rsid w:val="00CE1A56"/>
    <w:rsid w:val="00CE1B54"/>
    <w:rsid w:val="00CE2FF4"/>
    <w:rsid w:val="00CE3C7D"/>
    <w:rsid w:val="00CE3CAA"/>
    <w:rsid w:val="00CE5522"/>
    <w:rsid w:val="00CE5669"/>
    <w:rsid w:val="00CE6040"/>
    <w:rsid w:val="00CE6253"/>
    <w:rsid w:val="00CE6462"/>
    <w:rsid w:val="00CE70FD"/>
    <w:rsid w:val="00CE7CC6"/>
    <w:rsid w:val="00CF057C"/>
    <w:rsid w:val="00CF1366"/>
    <w:rsid w:val="00CF146C"/>
    <w:rsid w:val="00CF195C"/>
    <w:rsid w:val="00CF1D8F"/>
    <w:rsid w:val="00CF5240"/>
    <w:rsid w:val="00CF5B8D"/>
    <w:rsid w:val="00CF5BA5"/>
    <w:rsid w:val="00CF5FBD"/>
    <w:rsid w:val="00CF7132"/>
    <w:rsid w:val="00CF798E"/>
    <w:rsid w:val="00D001C0"/>
    <w:rsid w:val="00D006AB"/>
    <w:rsid w:val="00D00E2B"/>
    <w:rsid w:val="00D01E37"/>
    <w:rsid w:val="00D02977"/>
    <w:rsid w:val="00D0358B"/>
    <w:rsid w:val="00D045A7"/>
    <w:rsid w:val="00D04F2C"/>
    <w:rsid w:val="00D06012"/>
    <w:rsid w:val="00D06031"/>
    <w:rsid w:val="00D06098"/>
    <w:rsid w:val="00D073B1"/>
    <w:rsid w:val="00D073CA"/>
    <w:rsid w:val="00D073CC"/>
    <w:rsid w:val="00D0771C"/>
    <w:rsid w:val="00D07C75"/>
    <w:rsid w:val="00D07D89"/>
    <w:rsid w:val="00D104B5"/>
    <w:rsid w:val="00D12831"/>
    <w:rsid w:val="00D13D4A"/>
    <w:rsid w:val="00D14533"/>
    <w:rsid w:val="00D16851"/>
    <w:rsid w:val="00D16E21"/>
    <w:rsid w:val="00D172A0"/>
    <w:rsid w:val="00D20672"/>
    <w:rsid w:val="00D20D3F"/>
    <w:rsid w:val="00D21462"/>
    <w:rsid w:val="00D21CCE"/>
    <w:rsid w:val="00D220CE"/>
    <w:rsid w:val="00D225BE"/>
    <w:rsid w:val="00D22FC4"/>
    <w:rsid w:val="00D239B7"/>
    <w:rsid w:val="00D24288"/>
    <w:rsid w:val="00D24C40"/>
    <w:rsid w:val="00D2512D"/>
    <w:rsid w:val="00D257A7"/>
    <w:rsid w:val="00D258FE"/>
    <w:rsid w:val="00D25AA0"/>
    <w:rsid w:val="00D25F64"/>
    <w:rsid w:val="00D26A9B"/>
    <w:rsid w:val="00D27003"/>
    <w:rsid w:val="00D2702D"/>
    <w:rsid w:val="00D30A27"/>
    <w:rsid w:val="00D30E08"/>
    <w:rsid w:val="00D30E90"/>
    <w:rsid w:val="00D313D5"/>
    <w:rsid w:val="00D31642"/>
    <w:rsid w:val="00D32057"/>
    <w:rsid w:val="00D33570"/>
    <w:rsid w:val="00D33B25"/>
    <w:rsid w:val="00D34080"/>
    <w:rsid w:val="00D344DC"/>
    <w:rsid w:val="00D34664"/>
    <w:rsid w:val="00D350FC"/>
    <w:rsid w:val="00D3527A"/>
    <w:rsid w:val="00D36157"/>
    <w:rsid w:val="00D369F0"/>
    <w:rsid w:val="00D36D41"/>
    <w:rsid w:val="00D37ECF"/>
    <w:rsid w:val="00D4065E"/>
    <w:rsid w:val="00D41577"/>
    <w:rsid w:val="00D41621"/>
    <w:rsid w:val="00D41D13"/>
    <w:rsid w:val="00D423FA"/>
    <w:rsid w:val="00D424E0"/>
    <w:rsid w:val="00D4263C"/>
    <w:rsid w:val="00D427E9"/>
    <w:rsid w:val="00D428C4"/>
    <w:rsid w:val="00D435A8"/>
    <w:rsid w:val="00D439E5"/>
    <w:rsid w:val="00D45047"/>
    <w:rsid w:val="00D46C82"/>
    <w:rsid w:val="00D46E26"/>
    <w:rsid w:val="00D47BB0"/>
    <w:rsid w:val="00D50304"/>
    <w:rsid w:val="00D5177A"/>
    <w:rsid w:val="00D518CB"/>
    <w:rsid w:val="00D51CD6"/>
    <w:rsid w:val="00D52A26"/>
    <w:rsid w:val="00D53E29"/>
    <w:rsid w:val="00D54C1B"/>
    <w:rsid w:val="00D5579F"/>
    <w:rsid w:val="00D55AA1"/>
    <w:rsid w:val="00D56B14"/>
    <w:rsid w:val="00D6074B"/>
    <w:rsid w:val="00D61AD2"/>
    <w:rsid w:val="00D61BD9"/>
    <w:rsid w:val="00D61D58"/>
    <w:rsid w:val="00D623B9"/>
    <w:rsid w:val="00D64016"/>
    <w:rsid w:val="00D646C5"/>
    <w:rsid w:val="00D64996"/>
    <w:rsid w:val="00D649C7"/>
    <w:rsid w:val="00D652C5"/>
    <w:rsid w:val="00D65E41"/>
    <w:rsid w:val="00D66006"/>
    <w:rsid w:val="00D66659"/>
    <w:rsid w:val="00D66703"/>
    <w:rsid w:val="00D6671D"/>
    <w:rsid w:val="00D66C58"/>
    <w:rsid w:val="00D67767"/>
    <w:rsid w:val="00D71902"/>
    <w:rsid w:val="00D71A3E"/>
    <w:rsid w:val="00D71DEB"/>
    <w:rsid w:val="00D720C4"/>
    <w:rsid w:val="00D72278"/>
    <w:rsid w:val="00D72B06"/>
    <w:rsid w:val="00D7318E"/>
    <w:rsid w:val="00D732DB"/>
    <w:rsid w:val="00D73406"/>
    <w:rsid w:val="00D734E7"/>
    <w:rsid w:val="00D73A04"/>
    <w:rsid w:val="00D73CFC"/>
    <w:rsid w:val="00D74823"/>
    <w:rsid w:val="00D748F5"/>
    <w:rsid w:val="00D750DF"/>
    <w:rsid w:val="00D761A1"/>
    <w:rsid w:val="00D76420"/>
    <w:rsid w:val="00D76955"/>
    <w:rsid w:val="00D76CE0"/>
    <w:rsid w:val="00D770B6"/>
    <w:rsid w:val="00D776E2"/>
    <w:rsid w:val="00D778BC"/>
    <w:rsid w:val="00D7793B"/>
    <w:rsid w:val="00D80B62"/>
    <w:rsid w:val="00D81A7C"/>
    <w:rsid w:val="00D824B0"/>
    <w:rsid w:val="00D8278E"/>
    <w:rsid w:val="00D83311"/>
    <w:rsid w:val="00D835A0"/>
    <w:rsid w:val="00D83E3F"/>
    <w:rsid w:val="00D8451E"/>
    <w:rsid w:val="00D870E1"/>
    <w:rsid w:val="00D87413"/>
    <w:rsid w:val="00D875D7"/>
    <w:rsid w:val="00D87BE0"/>
    <w:rsid w:val="00D90160"/>
    <w:rsid w:val="00D90E5C"/>
    <w:rsid w:val="00D9106C"/>
    <w:rsid w:val="00D91122"/>
    <w:rsid w:val="00D91A87"/>
    <w:rsid w:val="00D9294F"/>
    <w:rsid w:val="00D92B4D"/>
    <w:rsid w:val="00D937E0"/>
    <w:rsid w:val="00D93AF7"/>
    <w:rsid w:val="00D93BB2"/>
    <w:rsid w:val="00D94A16"/>
    <w:rsid w:val="00D94B20"/>
    <w:rsid w:val="00D94F40"/>
    <w:rsid w:val="00D94FC0"/>
    <w:rsid w:val="00D95301"/>
    <w:rsid w:val="00D96829"/>
    <w:rsid w:val="00D96960"/>
    <w:rsid w:val="00D96D5D"/>
    <w:rsid w:val="00D97F5B"/>
    <w:rsid w:val="00DA0B5F"/>
    <w:rsid w:val="00DA0B8E"/>
    <w:rsid w:val="00DA13DC"/>
    <w:rsid w:val="00DA16D0"/>
    <w:rsid w:val="00DA17EA"/>
    <w:rsid w:val="00DA1889"/>
    <w:rsid w:val="00DA1905"/>
    <w:rsid w:val="00DA1920"/>
    <w:rsid w:val="00DA1C37"/>
    <w:rsid w:val="00DA2AC4"/>
    <w:rsid w:val="00DA2B42"/>
    <w:rsid w:val="00DA2E5B"/>
    <w:rsid w:val="00DA2F0C"/>
    <w:rsid w:val="00DA3439"/>
    <w:rsid w:val="00DA54CB"/>
    <w:rsid w:val="00DA5861"/>
    <w:rsid w:val="00DA58F6"/>
    <w:rsid w:val="00DA5922"/>
    <w:rsid w:val="00DA67C8"/>
    <w:rsid w:val="00DA6C94"/>
    <w:rsid w:val="00DA7D52"/>
    <w:rsid w:val="00DB0516"/>
    <w:rsid w:val="00DB2664"/>
    <w:rsid w:val="00DB29D5"/>
    <w:rsid w:val="00DB2F4E"/>
    <w:rsid w:val="00DB361F"/>
    <w:rsid w:val="00DB3CF7"/>
    <w:rsid w:val="00DB40C0"/>
    <w:rsid w:val="00DB44DD"/>
    <w:rsid w:val="00DB44E2"/>
    <w:rsid w:val="00DB5579"/>
    <w:rsid w:val="00DB5A83"/>
    <w:rsid w:val="00DB60C3"/>
    <w:rsid w:val="00DB60DD"/>
    <w:rsid w:val="00DB62C4"/>
    <w:rsid w:val="00DB6A81"/>
    <w:rsid w:val="00DB6C9C"/>
    <w:rsid w:val="00DB7463"/>
    <w:rsid w:val="00DB772F"/>
    <w:rsid w:val="00DB7BCF"/>
    <w:rsid w:val="00DC037D"/>
    <w:rsid w:val="00DC0659"/>
    <w:rsid w:val="00DC0D1D"/>
    <w:rsid w:val="00DC1848"/>
    <w:rsid w:val="00DC1EB5"/>
    <w:rsid w:val="00DC1F0D"/>
    <w:rsid w:val="00DC2009"/>
    <w:rsid w:val="00DC200D"/>
    <w:rsid w:val="00DC2259"/>
    <w:rsid w:val="00DC24B5"/>
    <w:rsid w:val="00DC346A"/>
    <w:rsid w:val="00DC3B47"/>
    <w:rsid w:val="00DC422D"/>
    <w:rsid w:val="00DC4545"/>
    <w:rsid w:val="00DC5644"/>
    <w:rsid w:val="00DC5C6B"/>
    <w:rsid w:val="00DC65B8"/>
    <w:rsid w:val="00DC67B9"/>
    <w:rsid w:val="00DC6D10"/>
    <w:rsid w:val="00DC6FE9"/>
    <w:rsid w:val="00DC73C5"/>
    <w:rsid w:val="00DC742C"/>
    <w:rsid w:val="00DC7744"/>
    <w:rsid w:val="00DC776A"/>
    <w:rsid w:val="00DC78E4"/>
    <w:rsid w:val="00DD0019"/>
    <w:rsid w:val="00DD0A7A"/>
    <w:rsid w:val="00DD0DA8"/>
    <w:rsid w:val="00DD1815"/>
    <w:rsid w:val="00DD2109"/>
    <w:rsid w:val="00DD234D"/>
    <w:rsid w:val="00DD2DFA"/>
    <w:rsid w:val="00DD310E"/>
    <w:rsid w:val="00DD4C69"/>
    <w:rsid w:val="00DD50A5"/>
    <w:rsid w:val="00DD53A6"/>
    <w:rsid w:val="00DD5C54"/>
    <w:rsid w:val="00DD5EE0"/>
    <w:rsid w:val="00DD60AA"/>
    <w:rsid w:val="00DD65C5"/>
    <w:rsid w:val="00DD708C"/>
    <w:rsid w:val="00DD7701"/>
    <w:rsid w:val="00DD7868"/>
    <w:rsid w:val="00DD7C75"/>
    <w:rsid w:val="00DE01D8"/>
    <w:rsid w:val="00DE052F"/>
    <w:rsid w:val="00DE0C1F"/>
    <w:rsid w:val="00DE183E"/>
    <w:rsid w:val="00DE25A2"/>
    <w:rsid w:val="00DE3860"/>
    <w:rsid w:val="00DE3EC8"/>
    <w:rsid w:val="00DE583F"/>
    <w:rsid w:val="00DE5B29"/>
    <w:rsid w:val="00DE5DA3"/>
    <w:rsid w:val="00DE5E2C"/>
    <w:rsid w:val="00DE7442"/>
    <w:rsid w:val="00DE75A4"/>
    <w:rsid w:val="00DE76B3"/>
    <w:rsid w:val="00DF032B"/>
    <w:rsid w:val="00DF04F7"/>
    <w:rsid w:val="00DF0760"/>
    <w:rsid w:val="00DF12E6"/>
    <w:rsid w:val="00DF26E1"/>
    <w:rsid w:val="00DF39BA"/>
    <w:rsid w:val="00DF4887"/>
    <w:rsid w:val="00DF5DFD"/>
    <w:rsid w:val="00DF616B"/>
    <w:rsid w:val="00DF6578"/>
    <w:rsid w:val="00DF6AF7"/>
    <w:rsid w:val="00DF72CD"/>
    <w:rsid w:val="00E001F8"/>
    <w:rsid w:val="00E003BD"/>
    <w:rsid w:val="00E00695"/>
    <w:rsid w:val="00E0091C"/>
    <w:rsid w:val="00E017DB"/>
    <w:rsid w:val="00E01A6B"/>
    <w:rsid w:val="00E02502"/>
    <w:rsid w:val="00E02599"/>
    <w:rsid w:val="00E02EDA"/>
    <w:rsid w:val="00E033C9"/>
    <w:rsid w:val="00E03465"/>
    <w:rsid w:val="00E03C82"/>
    <w:rsid w:val="00E040AA"/>
    <w:rsid w:val="00E04192"/>
    <w:rsid w:val="00E04840"/>
    <w:rsid w:val="00E04E29"/>
    <w:rsid w:val="00E051DA"/>
    <w:rsid w:val="00E058E8"/>
    <w:rsid w:val="00E05D0D"/>
    <w:rsid w:val="00E066B5"/>
    <w:rsid w:val="00E06F2C"/>
    <w:rsid w:val="00E0703B"/>
    <w:rsid w:val="00E11226"/>
    <w:rsid w:val="00E117E6"/>
    <w:rsid w:val="00E12FF5"/>
    <w:rsid w:val="00E13748"/>
    <w:rsid w:val="00E13C1A"/>
    <w:rsid w:val="00E1434F"/>
    <w:rsid w:val="00E14376"/>
    <w:rsid w:val="00E14898"/>
    <w:rsid w:val="00E14F8E"/>
    <w:rsid w:val="00E1509D"/>
    <w:rsid w:val="00E161C2"/>
    <w:rsid w:val="00E16245"/>
    <w:rsid w:val="00E168D1"/>
    <w:rsid w:val="00E173CE"/>
    <w:rsid w:val="00E20293"/>
    <w:rsid w:val="00E20AFA"/>
    <w:rsid w:val="00E20B49"/>
    <w:rsid w:val="00E20FEC"/>
    <w:rsid w:val="00E21177"/>
    <w:rsid w:val="00E21EEB"/>
    <w:rsid w:val="00E222D5"/>
    <w:rsid w:val="00E22960"/>
    <w:rsid w:val="00E2350F"/>
    <w:rsid w:val="00E241AE"/>
    <w:rsid w:val="00E24C9B"/>
    <w:rsid w:val="00E25146"/>
    <w:rsid w:val="00E255AA"/>
    <w:rsid w:val="00E257C4"/>
    <w:rsid w:val="00E25A20"/>
    <w:rsid w:val="00E262BE"/>
    <w:rsid w:val="00E264E7"/>
    <w:rsid w:val="00E2658D"/>
    <w:rsid w:val="00E26729"/>
    <w:rsid w:val="00E26DBC"/>
    <w:rsid w:val="00E273B1"/>
    <w:rsid w:val="00E27732"/>
    <w:rsid w:val="00E30700"/>
    <w:rsid w:val="00E30A80"/>
    <w:rsid w:val="00E3117D"/>
    <w:rsid w:val="00E315F7"/>
    <w:rsid w:val="00E31752"/>
    <w:rsid w:val="00E318DE"/>
    <w:rsid w:val="00E3195D"/>
    <w:rsid w:val="00E31E48"/>
    <w:rsid w:val="00E31E9B"/>
    <w:rsid w:val="00E3243E"/>
    <w:rsid w:val="00E327E5"/>
    <w:rsid w:val="00E32927"/>
    <w:rsid w:val="00E32AD8"/>
    <w:rsid w:val="00E33859"/>
    <w:rsid w:val="00E33DE6"/>
    <w:rsid w:val="00E343D1"/>
    <w:rsid w:val="00E34487"/>
    <w:rsid w:val="00E3467B"/>
    <w:rsid w:val="00E346FF"/>
    <w:rsid w:val="00E35444"/>
    <w:rsid w:val="00E35A9C"/>
    <w:rsid w:val="00E3635B"/>
    <w:rsid w:val="00E36B9A"/>
    <w:rsid w:val="00E3736A"/>
    <w:rsid w:val="00E37422"/>
    <w:rsid w:val="00E37429"/>
    <w:rsid w:val="00E37508"/>
    <w:rsid w:val="00E37CA6"/>
    <w:rsid w:val="00E37D90"/>
    <w:rsid w:val="00E40203"/>
    <w:rsid w:val="00E40BE9"/>
    <w:rsid w:val="00E410B3"/>
    <w:rsid w:val="00E4156C"/>
    <w:rsid w:val="00E42420"/>
    <w:rsid w:val="00E42C01"/>
    <w:rsid w:val="00E446E8"/>
    <w:rsid w:val="00E4492D"/>
    <w:rsid w:val="00E45A6C"/>
    <w:rsid w:val="00E466A0"/>
    <w:rsid w:val="00E466AD"/>
    <w:rsid w:val="00E46799"/>
    <w:rsid w:val="00E46DAF"/>
    <w:rsid w:val="00E473F6"/>
    <w:rsid w:val="00E47993"/>
    <w:rsid w:val="00E47BC5"/>
    <w:rsid w:val="00E509AB"/>
    <w:rsid w:val="00E50D14"/>
    <w:rsid w:val="00E51523"/>
    <w:rsid w:val="00E51B5F"/>
    <w:rsid w:val="00E51E98"/>
    <w:rsid w:val="00E5271B"/>
    <w:rsid w:val="00E52B1B"/>
    <w:rsid w:val="00E533B2"/>
    <w:rsid w:val="00E536F1"/>
    <w:rsid w:val="00E53F27"/>
    <w:rsid w:val="00E5410F"/>
    <w:rsid w:val="00E5472C"/>
    <w:rsid w:val="00E54A38"/>
    <w:rsid w:val="00E54C73"/>
    <w:rsid w:val="00E5500D"/>
    <w:rsid w:val="00E5529C"/>
    <w:rsid w:val="00E60D27"/>
    <w:rsid w:val="00E614F5"/>
    <w:rsid w:val="00E61B84"/>
    <w:rsid w:val="00E622B2"/>
    <w:rsid w:val="00E62894"/>
    <w:rsid w:val="00E62B03"/>
    <w:rsid w:val="00E62EFD"/>
    <w:rsid w:val="00E633AE"/>
    <w:rsid w:val="00E64073"/>
    <w:rsid w:val="00E6515D"/>
    <w:rsid w:val="00E6558E"/>
    <w:rsid w:val="00E65820"/>
    <w:rsid w:val="00E67171"/>
    <w:rsid w:val="00E675EE"/>
    <w:rsid w:val="00E67676"/>
    <w:rsid w:val="00E67C96"/>
    <w:rsid w:val="00E67CFC"/>
    <w:rsid w:val="00E67EAB"/>
    <w:rsid w:val="00E67EF1"/>
    <w:rsid w:val="00E70D8C"/>
    <w:rsid w:val="00E70E03"/>
    <w:rsid w:val="00E71161"/>
    <w:rsid w:val="00E7161D"/>
    <w:rsid w:val="00E719E9"/>
    <w:rsid w:val="00E71AD7"/>
    <w:rsid w:val="00E71AEA"/>
    <w:rsid w:val="00E71ECC"/>
    <w:rsid w:val="00E72120"/>
    <w:rsid w:val="00E72C90"/>
    <w:rsid w:val="00E72E93"/>
    <w:rsid w:val="00E731CC"/>
    <w:rsid w:val="00E733D1"/>
    <w:rsid w:val="00E73A1C"/>
    <w:rsid w:val="00E73F21"/>
    <w:rsid w:val="00E73FFB"/>
    <w:rsid w:val="00E757CB"/>
    <w:rsid w:val="00E77CE6"/>
    <w:rsid w:val="00E8010E"/>
    <w:rsid w:val="00E803E5"/>
    <w:rsid w:val="00E811A1"/>
    <w:rsid w:val="00E8188A"/>
    <w:rsid w:val="00E81C23"/>
    <w:rsid w:val="00E81C68"/>
    <w:rsid w:val="00E82C00"/>
    <w:rsid w:val="00E82C14"/>
    <w:rsid w:val="00E83921"/>
    <w:rsid w:val="00E84067"/>
    <w:rsid w:val="00E84BFA"/>
    <w:rsid w:val="00E84C93"/>
    <w:rsid w:val="00E85DB2"/>
    <w:rsid w:val="00E86A7B"/>
    <w:rsid w:val="00E875C4"/>
    <w:rsid w:val="00E87AC3"/>
    <w:rsid w:val="00E902E5"/>
    <w:rsid w:val="00E910CB"/>
    <w:rsid w:val="00E9185E"/>
    <w:rsid w:val="00E91FA5"/>
    <w:rsid w:val="00E923AD"/>
    <w:rsid w:val="00E92818"/>
    <w:rsid w:val="00E933E0"/>
    <w:rsid w:val="00E94375"/>
    <w:rsid w:val="00E944B0"/>
    <w:rsid w:val="00E94691"/>
    <w:rsid w:val="00E94B9C"/>
    <w:rsid w:val="00E9541F"/>
    <w:rsid w:val="00E96DF2"/>
    <w:rsid w:val="00EA058E"/>
    <w:rsid w:val="00EA12DA"/>
    <w:rsid w:val="00EA1A6E"/>
    <w:rsid w:val="00EA1ACF"/>
    <w:rsid w:val="00EA1EC0"/>
    <w:rsid w:val="00EA1EF2"/>
    <w:rsid w:val="00EA2016"/>
    <w:rsid w:val="00EA227C"/>
    <w:rsid w:val="00EA2E48"/>
    <w:rsid w:val="00EA43AF"/>
    <w:rsid w:val="00EA4F9C"/>
    <w:rsid w:val="00EA562E"/>
    <w:rsid w:val="00EA58E2"/>
    <w:rsid w:val="00EA675B"/>
    <w:rsid w:val="00EA6C68"/>
    <w:rsid w:val="00EA781C"/>
    <w:rsid w:val="00EA78E5"/>
    <w:rsid w:val="00EA7C8A"/>
    <w:rsid w:val="00EB02C0"/>
    <w:rsid w:val="00EB1459"/>
    <w:rsid w:val="00EB15AE"/>
    <w:rsid w:val="00EB1E3B"/>
    <w:rsid w:val="00EB2973"/>
    <w:rsid w:val="00EB2AD4"/>
    <w:rsid w:val="00EB2F96"/>
    <w:rsid w:val="00EB3178"/>
    <w:rsid w:val="00EB36A8"/>
    <w:rsid w:val="00EB3FB2"/>
    <w:rsid w:val="00EB4D5E"/>
    <w:rsid w:val="00EB567B"/>
    <w:rsid w:val="00EB60C4"/>
    <w:rsid w:val="00EB68A0"/>
    <w:rsid w:val="00EB6CED"/>
    <w:rsid w:val="00EB6EC2"/>
    <w:rsid w:val="00EC038A"/>
    <w:rsid w:val="00EC0868"/>
    <w:rsid w:val="00EC1516"/>
    <w:rsid w:val="00EC1821"/>
    <w:rsid w:val="00EC1F08"/>
    <w:rsid w:val="00EC218C"/>
    <w:rsid w:val="00EC2E06"/>
    <w:rsid w:val="00EC31F4"/>
    <w:rsid w:val="00EC3A37"/>
    <w:rsid w:val="00EC40F4"/>
    <w:rsid w:val="00EC4828"/>
    <w:rsid w:val="00EC546A"/>
    <w:rsid w:val="00EC5E06"/>
    <w:rsid w:val="00EC60E5"/>
    <w:rsid w:val="00EC6237"/>
    <w:rsid w:val="00EC65FA"/>
    <w:rsid w:val="00ED0966"/>
    <w:rsid w:val="00ED0FA8"/>
    <w:rsid w:val="00ED1916"/>
    <w:rsid w:val="00ED1922"/>
    <w:rsid w:val="00ED1956"/>
    <w:rsid w:val="00ED227A"/>
    <w:rsid w:val="00ED2696"/>
    <w:rsid w:val="00ED2739"/>
    <w:rsid w:val="00ED2CAF"/>
    <w:rsid w:val="00ED394E"/>
    <w:rsid w:val="00ED44A7"/>
    <w:rsid w:val="00ED4D33"/>
    <w:rsid w:val="00ED51E8"/>
    <w:rsid w:val="00ED5BB7"/>
    <w:rsid w:val="00ED5E19"/>
    <w:rsid w:val="00ED6301"/>
    <w:rsid w:val="00ED7EFB"/>
    <w:rsid w:val="00EE02A1"/>
    <w:rsid w:val="00EE07A9"/>
    <w:rsid w:val="00EE08E7"/>
    <w:rsid w:val="00EE1179"/>
    <w:rsid w:val="00EE172B"/>
    <w:rsid w:val="00EE240F"/>
    <w:rsid w:val="00EE250C"/>
    <w:rsid w:val="00EE323A"/>
    <w:rsid w:val="00EE32DE"/>
    <w:rsid w:val="00EE4098"/>
    <w:rsid w:val="00EE4561"/>
    <w:rsid w:val="00EE4C98"/>
    <w:rsid w:val="00EE4FEB"/>
    <w:rsid w:val="00EE5356"/>
    <w:rsid w:val="00EE5B7B"/>
    <w:rsid w:val="00EE5DCF"/>
    <w:rsid w:val="00EE60B2"/>
    <w:rsid w:val="00EE610E"/>
    <w:rsid w:val="00EE7531"/>
    <w:rsid w:val="00EE7F83"/>
    <w:rsid w:val="00EF0334"/>
    <w:rsid w:val="00EF03E9"/>
    <w:rsid w:val="00EF092F"/>
    <w:rsid w:val="00EF0A84"/>
    <w:rsid w:val="00EF0C54"/>
    <w:rsid w:val="00EF0E45"/>
    <w:rsid w:val="00EF13A7"/>
    <w:rsid w:val="00EF1BEA"/>
    <w:rsid w:val="00EF3990"/>
    <w:rsid w:val="00EF3D20"/>
    <w:rsid w:val="00EF3FD0"/>
    <w:rsid w:val="00EF442B"/>
    <w:rsid w:val="00EF447A"/>
    <w:rsid w:val="00EF4673"/>
    <w:rsid w:val="00EF468C"/>
    <w:rsid w:val="00EF47AB"/>
    <w:rsid w:val="00EF630C"/>
    <w:rsid w:val="00EF6AB7"/>
    <w:rsid w:val="00EF7687"/>
    <w:rsid w:val="00F00EB0"/>
    <w:rsid w:val="00F01DDE"/>
    <w:rsid w:val="00F02859"/>
    <w:rsid w:val="00F03398"/>
    <w:rsid w:val="00F03C58"/>
    <w:rsid w:val="00F0512F"/>
    <w:rsid w:val="00F05C56"/>
    <w:rsid w:val="00F05DD9"/>
    <w:rsid w:val="00F06558"/>
    <w:rsid w:val="00F06BB5"/>
    <w:rsid w:val="00F07210"/>
    <w:rsid w:val="00F074C7"/>
    <w:rsid w:val="00F075AF"/>
    <w:rsid w:val="00F101D5"/>
    <w:rsid w:val="00F126F8"/>
    <w:rsid w:val="00F12990"/>
    <w:rsid w:val="00F12D5D"/>
    <w:rsid w:val="00F12E18"/>
    <w:rsid w:val="00F13751"/>
    <w:rsid w:val="00F13B32"/>
    <w:rsid w:val="00F13DB8"/>
    <w:rsid w:val="00F14D37"/>
    <w:rsid w:val="00F14F46"/>
    <w:rsid w:val="00F1573A"/>
    <w:rsid w:val="00F157B1"/>
    <w:rsid w:val="00F15A15"/>
    <w:rsid w:val="00F15FE8"/>
    <w:rsid w:val="00F161F2"/>
    <w:rsid w:val="00F16DD7"/>
    <w:rsid w:val="00F16FFD"/>
    <w:rsid w:val="00F170B1"/>
    <w:rsid w:val="00F217B6"/>
    <w:rsid w:val="00F21E8B"/>
    <w:rsid w:val="00F232D9"/>
    <w:rsid w:val="00F234E2"/>
    <w:rsid w:val="00F23830"/>
    <w:rsid w:val="00F23D78"/>
    <w:rsid w:val="00F25EF7"/>
    <w:rsid w:val="00F26079"/>
    <w:rsid w:val="00F26DD3"/>
    <w:rsid w:val="00F2762D"/>
    <w:rsid w:val="00F27AA3"/>
    <w:rsid w:val="00F27CF4"/>
    <w:rsid w:val="00F315F4"/>
    <w:rsid w:val="00F3169D"/>
    <w:rsid w:val="00F32603"/>
    <w:rsid w:val="00F328B9"/>
    <w:rsid w:val="00F32C7C"/>
    <w:rsid w:val="00F32C9D"/>
    <w:rsid w:val="00F33CFF"/>
    <w:rsid w:val="00F34AEE"/>
    <w:rsid w:val="00F34D1D"/>
    <w:rsid w:val="00F37245"/>
    <w:rsid w:val="00F37479"/>
    <w:rsid w:val="00F37A66"/>
    <w:rsid w:val="00F37CDC"/>
    <w:rsid w:val="00F403A3"/>
    <w:rsid w:val="00F405B2"/>
    <w:rsid w:val="00F40EEB"/>
    <w:rsid w:val="00F41CAA"/>
    <w:rsid w:val="00F41EC2"/>
    <w:rsid w:val="00F42141"/>
    <w:rsid w:val="00F42CE9"/>
    <w:rsid w:val="00F43303"/>
    <w:rsid w:val="00F43333"/>
    <w:rsid w:val="00F4395D"/>
    <w:rsid w:val="00F43DF1"/>
    <w:rsid w:val="00F43E09"/>
    <w:rsid w:val="00F442EA"/>
    <w:rsid w:val="00F44CDF"/>
    <w:rsid w:val="00F44E1D"/>
    <w:rsid w:val="00F45216"/>
    <w:rsid w:val="00F45A52"/>
    <w:rsid w:val="00F46015"/>
    <w:rsid w:val="00F4613F"/>
    <w:rsid w:val="00F4714E"/>
    <w:rsid w:val="00F471E8"/>
    <w:rsid w:val="00F4777A"/>
    <w:rsid w:val="00F47B71"/>
    <w:rsid w:val="00F51E37"/>
    <w:rsid w:val="00F52335"/>
    <w:rsid w:val="00F5235C"/>
    <w:rsid w:val="00F52363"/>
    <w:rsid w:val="00F5247B"/>
    <w:rsid w:val="00F52FB9"/>
    <w:rsid w:val="00F53717"/>
    <w:rsid w:val="00F54531"/>
    <w:rsid w:val="00F54880"/>
    <w:rsid w:val="00F54BF5"/>
    <w:rsid w:val="00F55504"/>
    <w:rsid w:val="00F55639"/>
    <w:rsid w:val="00F56159"/>
    <w:rsid w:val="00F56D0C"/>
    <w:rsid w:val="00F57435"/>
    <w:rsid w:val="00F5793D"/>
    <w:rsid w:val="00F6120C"/>
    <w:rsid w:val="00F61294"/>
    <w:rsid w:val="00F61F87"/>
    <w:rsid w:val="00F6258A"/>
    <w:rsid w:val="00F62FCD"/>
    <w:rsid w:val="00F63209"/>
    <w:rsid w:val="00F6370B"/>
    <w:rsid w:val="00F6463E"/>
    <w:rsid w:val="00F64945"/>
    <w:rsid w:val="00F65C44"/>
    <w:rsid w:val="00F66400"/>
    <w:rsid w:val="00F664ED"/>
    <w:rsid w:val="00F66598"/>
    <w:rsid w:val="00F67967"/>
    <w:rsid w:val="00F67B21"/>
    <w:rsid w:val="00F70AE1"/>
    <w:rsid w:val="00F721C6"/>
    <w:rsid w:val="00F72DF2"/>
    <w:rsid w:val="00F72E7E"/>
    <w:rsid w:val="00F735A6"/>
    <w:rsid w:val="00F73B3A"/>
    <w:rsid w:val="00F73E24"/>
    <w:rsid w:val="00F73F33"/>
    <w:rsid w:val="00F74604"/>
    <w:rsid w:val="00F74BC0"/>
    <w:rsid w:val="00F75224"/>
    <w:rsid w:val="00F762B5"/>
    <w:rsid w:val="00F764C1"/>
    <w:rsid w:val="00F7688B"/>
    <w:rsid w:val="00F769BC"/>
    <w:rsid w:val="00F772D5"/>
    <w:rsid w:val="00F7757E"/>
    <w:rsid w:val="00F77D10"/>
    <w:rsid w:val="00F8006D"/>
    <w:rsid w:val="00F80AFD"/>
    <w:rsid w:val="00F80B09"/>
    <w:rsid w:val="00F812F3"/>
    <w:rsid w:val="00F823F4"/>
    <w:rsid w:val="00F83DD8"/>
    <w:rsid w:val="00F83FA5"/>
    <w:rsid w:val="00F854C3"/>
    <w:rsid w:val="00F859BD"/>
    <w:rsid w:val="00F85A23"/>
    <w:rsid w:val="00F85AD4"/>
    <w:rsid w:val="00F86297"/>
    <w:rsid w:val="00F91E88"/>
    <w:rsid w:val="00F92B4B"/>
    <w:rsid w:val="00F934DF"/>
    <w:rsid w:val="00F934ED"/>
    <w:rsid w:val="00F93BB2"/>
    <w:rsid w:val="00F93C47"/>
    <w:rsid w:val="00F94566"/>
    <w:rsid w:val="00F94B04"/>
    <w:rsid w:val="00F95397"/>
    <w:rsid w:val="00F95505"/>
    <w:rsid w:val="00F958E0"/>
    <w:rsid w:val="00F95D93"/>
    <w:rsid w:val="00F95EA0"/>
    <w:rsid w:val="00F961F6"/>
    <w:rsid w:val="00F9636D"/>
    <w:rsid w:val="00F972D1"/>
    <w:rsid w:val="00F972E1"/>
    <w:rsid w:val="00F976BA"/>
    <w:rsid w:val="00F97AD1"/>
    <w:rsid w:val="00F97D4F"/>
    <w:rsid w:val="00FA1897"/>
    <w:rsid w:val="00FA1FE0"/>
    <w:rsid w:val="00FA2263"/>
    <w:rsid w:val="00FA2B61"/>
    <w:rsid w:val="00FA358A"/>
    <w:rsid w:val="00FA369C"/>
    <w:rsid w:val="00FA38A1"/>
    <w:rsid w:val="00FA39B8"/>
    <w:rsid w:val="00FA39D4"/>
    <w:rsid w:val="00FA535F"/>
    <w:rsid w:val="00FA5473"/>
    <w:rsid w:val="00FA5A30"/>
    <w:rsid w:val="00FA70CD"/>
    <w:rsid w:val="00FA742D"/>
    <w:rsid w:val="00FA748F"/>
    <w:rsid w:val="00FA7771"/>
    <w:rsid w:val="00FA7972"/>
    <w:rsid w:val="00FB0C81"/>
    <w:rsid w:val="00FB1126"/>
    <w:rsid w:val="00FB11AF"/>
    <w:rsid w:val="00FB1862"/>
    <w:rsid w:val="00FB267B"/>
    <w:rsid w:val="00FB27AA"/>
    <w:rsid w:val="00FB28B5"/>
    <w:rsid w:val="00FB290D"/>
    <w:rsid w:val="00FB3CF8"/>
    <w:rsid w:val="00FB3E7C"/>
    <w:rsid w:val="00FB4487"/>
    <w:rsid w:val="00FB4732"/>
    <w:rsid w:val="00FB4800"/>
    <w:rsid w:val="00FB4943"/>
    <w:rsid w:val="00FB5070"/>
    <w:rsid w:val="00FB6A72"/>
    <w:rsid w:val="00FB70FC"/>
    <w:rsid w:val="00FB71B2"/>
    <w:rsid w:val="00FB7270"/>
    <w:rsid w:val="00FC146B"/>
    <w:rsid w:val="00FC1481"/>
    <w:rsid w:val="00FC1C15"/>
    <w:rsid w:val="00FC2C7F"/>
    <w:rsid w:val="00FC4101"/>
    <w:rsid w:val="00FC4201"/>
    <w:rsid w:val="00FC42A2"/>
    <w:rsid w:val="00FC4565"/>
    <w:rsid w:val="00FC4B7B"/>
    <w:rsid w:val="00FC4FD6"/>
    <w:rsid w:val="00FC5865"/>
    <w:rsid w:val="00FC6D78"/>
    <w:rsid w:val="00FD0280"/>
    <w:rsid w:val="00FD04A6"/>
    <w:rsid w:val="00FD07D7"/>
    <w:rsid w:val="00FD0C6B"/>
    <w:rsid w:val="00FD18F2"/>
    <w:rsid w:val="00FD1F85"/>
    <w:rsid w:val="00FD2A99"/>
    <w:rsid w:val="00FD2CF0"/>
    <w:rsid w:val="00FD3138"/>
    <w:rsid w:val="00FD31BD"/>
    <w:rsid w:val="00FD35BF"/>
    <w:rsid w:val="00FD3BA6"/>
    <w:rsid w:val="00FD517C"/>
    <w:rsid w:val="00FD5CA5"/>
    <w:rsid w:val="00FD61F6"/>
    <w:rsid w:val="00FD75B4"/>
    <w:rsid w:val="00FD7B4F"/>
    <w:rsid w:val="00FD7DAE"/>
    <w:rsid w:val="00FE08BC"/>
    <w:rsid w:val="00FE24EF"/>
    <w:rsid w:val="00FE2801"/>
    <w:rsid w:val="00FE2D0F"/>
    <w:rsid w:val="00FE3E56"/>
    <w:rsid w:val="00FE4582"/>
    <w:rsid w:val="00FE5BFC"/>
    <w:rsid w:val="00FE78BA"/>
    <w:rsid w:val="00FF0F35"/>
    <w:rsid w:val="00FF14C5"/>
    <w:rsid w:val="00FF17A3"/>
    <w:rsid w:val="00FF1DE7"/>
    <w:rsid w:val="00FF21F0"/>
    <w:rsid w:val="00FF2B28"/>
    <w:rsid w:val="00FF3824"/>
    <w:rsid w:val="00FF4180"/>
    <w:rsid w:val="00FF4642"/>
    <w:rsid w:val="00FF47CE"/>
    <w:rsid w:val="00FF4F4C"/>
    <w:rsid w:val="00FF516E"/>
    <w:rsid w:val="00FF58B2"/>
    <w:rsid w:val="00FF5A9C"/>
    <w:rsid w:val="00FF602F"/>
    <w:rsid w:val="00FF6889"/>
    <w:rsid w:val="00FF71AF"/>
    <w:rsid w:val="00FF7328"/>
    <w:rsid w:val="00FF75FC"/>
    <w:rsid w:val="00FF79C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9857"/>
    <o:shapelayout v:ext="edit">
      <o:idmap v:ext="edit" data="1"/>
    </o:shapelayout>
  </w:shapeDefaults>
  <w:decimalSymbol w:val="."/>
  <w:listSeparator w:val=","/>
  <w14:docId w14:val="466618AE"/>
  <w15:docId w15:val="{67D0055B-E0A5-49CC-A8F6-E9F6A9AD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B0"/>
    <w:rPr>
      <w:sz w:val="24"/>
      <w:szCs w:val="24"/>
    </w:rPr>
  </w:style>
  <w:style w:type="paragraph" w:styleId="Heading1">
    <w:name w:val="heading 1"/>
    <w:basedOn w:val="Normal"/>
    <w:next w:val="Normal"/>
    <w:link w:val="Heading1Char"/>
    <w:qFormat/>
    <w:rsid w:val="003F655B"/>
    <w:pPr>
      <w:keepNext/>
      <w:spacing w:before="240" w:after="60"/>
      <w:outlineLvl w:val="0"/>
    </w:pPr>
    <w:rPr>
      <w:rFonts w:ascii="Arial" w:hAnsi="Arial"/>
      <w:b/>
      <w:bCs/>
      <w:color w:val="000000"/>
      <w:kern w:val="32"/>
      <w:sz w:val="28"/>
      <w:szCs w:val="32"/>
    </w:rPr>
  </w:style>
  <w:style w:type="paragraph" w:styleId="Heading20">
    <w:name w:val="heading 2"/>
    <w:basedOn w:val="Normal"/>
    <w:next w:val="Normal"/>
    <w:link w:val="Heading2Char"/>
    <w:semiHidden/>
    <w:unhideWhenUsed/>
    <w:qFormat/>
    <w:rsid w:val="00EE75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F2A56"/>
    <w:pPr>
      <w:keepNext/>
      <w:spacing w:after="60"/>
      <w:outlineLvl w:val="2"/>
    </w:pPr>
    <w:rPr>
      <w:b/>
      <w:bCs/>
      <w:color w:val="000000"/>
      <w:sz w:val="28"/>
      <w:szCs w:val="28"/>
    </w:rPr>
  </w:style>
  <w:style w:type="paragraph" w:styleId="Heading4">
    <w:name w:val="heading 4"/>
    <w:basedOn w:val="ListParagraph"/>
    <w:next w:val="Normal"/>
    <w:link w:val="Heading4Char"/>
    <w:unhideWhenUsed/>
    <w:qFormat/>
    <w:rsid w:val="00510108"/>
    <w:pPr>
      <w:numPr>
        <w:numId w:val="19"/>
      </w:numPr>
      <w:jc w:val="both"/>
      <w:outlineLvl w:val="3"/>
    </w:pPr>
    <w:rPr>
      <w:b/>
    </w:rPr>
  </w:style>
  <w:style w:type="paragraph" w:styleId="Heading5">
    <w:name w:val="heading 5"/>
    <w:basedOn w:val="Normal"/>
    <w:next w:val="Normal"/>
    <w:link w:val="Heading5Char"/>
    <w:uiPriority w:val="9"/>
    <w:semiHidden/>
    <w:unhideWhenUsed/>
    <w:qFormat/>
    <w:rsid w:val="00C44559"/>
    <w:pPr>
      <w:keepNext/>
      <w:keepLines/>
      <w:spacing w:before="40"/>
      <w:outlineLvl w:val="4"/>
    </w:pPr>
    <w:rPr>
      <w:rFonts w:asciiTheme="majorHAnsi" w:eastAsiaTheme="majorEastAsia" w:hAnsiTheme="majorHAnsi" w:cstheme="majorBidi"/>
      <w:color w:val="365F91"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655B"/>
    <w:rPr>
      <w:rFonts w:ascii="Arial" w:hAnsi="Arial" w:cs="Arial"/>
      <w:b/>
      <w:bCs/>
      <w:color w:val="000000"/>
      <w:kern w:val="32"/>
      <w:sz w:val="28"/>
      <w:szCs w:val="32"/>
    </w:rPr>
  </w:style>
  <w:style w:type="character" w:customStyle="1" w:styleId="Heading2Char">
    <w:name w:val="Heading 2 Char"/>
    <w:basedOn w:val="DefaultParagraphFont"/>
    <w:link w:val="Heading20"/>
    <w:semiHidden/>
    <w:rsid w:val="00EE7531"/>
    <w:rPr>
      <w:rFonts w:asciiTheme="majorHAnsi" w:eastAsiaTheme="majorEastAsia" w:hAnsiTheme="majorHAnsi" w:cstheme="majorBidi"/>
      <w:color w:val="365F91" w:themeColor="accent1" w:themeShade="BF"/>
      <w:sz w:val="26"/>
      <w:szCs w:val="26"/>
    </w:rPr>
  </w:style>
  <w:style w:type="character" w:customStyle="1" w:styleId="Heading3Char">
    <w:name w:val="Heading 3 Char"/>
    <w:link w:val="Heading3"/>
    <w:rsid w:val="001F2A56"/>
    <w:rPr>
      <w:b/>
      <w:bCs/>
      <w:color w:val="000000"/>
      <w:sz w:val="28"/>
      <w:szCs w:val="28"/>
    </w:rPr>
  </w:style>
  <w:style w:type="paragraph" w:styleId="ListParagraph">
    <w:name w:val="List Paragraph"/>
    <w:aliases w:val="5 LIST,7 INDENT,LAR NOFA,Colorful List - Accent 11"/>
    <w:basedOn w:val="Normal"/>
    <w:link w:val="ListParagraphChar"/>
    <w:uiPriority w:val="34"/>
    <w:qFormat/>
    <w:rsid w:val="003A5D69"/>
    <w:pPr>
      <w:numPr>
        <w:numId w:val="17"/>
      </w:numPr>
    </w:pPr>
    <w:rPr>
      <w:sz w:val="22"/>
      <w:szCs w:val="22"/>
    </w:rPr>
  </w:style>
  <w:style w:type="character" w:customStyle="1" w:styleId="ListParagraphChar">
    <w:name w:val="List Paragraph Char"/>
    <w:aliases w:val="5 LIST Char,7 INDENT Char,LAR NOFA Char,Colorful List - Accent 11 Char"/>
    <w:link w:val="ListParagraph"/>
    <w:uiPriority w:val="34"/>
    <w:rsid w:val="003A5D69"/>
    <w:rPr>
      <w:sz w:val="22"/>
      <w:szCs w:val="22"/>
    </w:rPr>
  </w:style>
  <w:style w:type="character" w:customStyle="1" w:styleId="Heading4Char">
    <w:name w:val="Heading 4 Char"/>
    <w:basedOn w:val="DefaultParagraphFont"/>
    <w:link w:val="Heading4"/>
    <w:rsid w:val="00510108"/>
    <w:rPr>
      <w:b/>
      <w:sz w:val="22"/>
      <w:szCs w:val="22"/>
    </w:rPr>
  </w:style>
  <w:style w:type="character" w:customStyle="1" w:styleId="Heading5Char">
    <w:name w:val="Heading 5 Char"/>
    <w:basedOn w:val="DefaultParagraphFont"/>
    <w:link w:val="Heading5"/>
    <w:uiPriority w:val="9"/>
    <w:semiHidden/>
    <w:rsid w:val="00C44559"/>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rsid w:val="00634CF5"/>
    <w:pPr>
      <w:tabs>
        <w:tab w:val="left" w:pos="475"/>
        <w:tab w:val="right" w:leader="dot" w:pos="9360"/>
      </w:tabs>
      <w:spacing w:line="360" w:lineRule="auto"/>
    </w:pPr>
  </w:style>
  <w:style w:type="paragraph" w:styleId="TOC3">
    <w:name w:val="toc 3"/>
    <w:basedOn w:val="Normal"/>
    <w:next w:val="Normal"/>
    <w:autoRedefine/>
    <w:uiPriority w:val="39"/>
    <w:rsid w:val="00634CF5"/>
    <w:pPr>
      <w:tabs>
        <w:tab w:val="left" w:pos="1100"/>
        <w:tab w:val="right" w:leader="dot" w:pos="9360"/>
      </w:tabs>
      <w:spacing w:line="360" w:lineRule="auto"/>
      <w:ind w:left="475"/>
    </w:pPr>
  </w:style>
  <w:style w:type="character" w:styleId="Hyperlink">
    <w:name w:val="Hyperlink"/>
    <w:uiPriority w:val="99"/>
    <w:rsid w:val="00C92582"/>
    <w:rPr>
      <w:color w:val="0000FF"/>
      <w:u w:val="single"/>
    </w:rPr>
  </w:style>
  <w:style w:type="paragraph" w:styleId="Footer">
    <w:name w:val="footer"/>
    <w:basedOn w:val="Normal"/>
    <w:link w:val="FooterChar"/>
    <w:uiPriority w:val="99"/>
    <w:rsid w:val="00A830A2"/>
    <w:pPr>
      <w:tabs>
        <w:tab w:val="center" w:pos="4320"/>
        <w:tab w:val="right" w:pos="8640"/>
      </w:tabs>
    </w:pPr>
  </w:style>
  <w:style w:type="character" w:customStyle="1" w:styleId="FooterChar">
    <w:name w:val="Footer Char"/>
    <w:link w:val="Footer"/>
    <w:uiPriority w:val="99"/>
    <w:rsid w:val="00EE4561"/>
    <w:rPr>
      <w:sz w:val="24"/>
      <w:szCs w:val="24"/>
    </w:rPr>
  </w:style>
  <w:style w:type="character" w:styleId="PageNumber">
    <w:name w:val="page number"/>
    <w:basedOn w:val="DefaultParagraphFont"/>
    <w:rsid w:val="00A830A2"/>
  </w:style>
  <w:style w:type="paragraph" w:styleId="Header">
    <w:name w:val="header"/>
    <w:basedOn w:val="Normal"/>
    <w:link w:val="HeaderChar"/>
    <w:uiPriority w:val="99"/>
    <w:rsid w:val="0001163E"/>
    <w:pPr>
      <w:tabs>
        <w:tab w:val="center" w:pos="4320"/>
        <w:tab w:val="right" w:pos="8640"/>
      </w:tabs>
    </w:pPr>
  </w:style>
  <w:style w:type="character" w:customStyle="1" w:styleId="HeaderChar">
    <w:name w:val="Header Char"/>
    <w:link w:val="Header"/>
    <w:uiPriority w:val="99"/>
    <w:rsid w:val="005E3062"/>
    <w:rPr>
      <w:sz w:val="24"/>
      <w:szCs w:val="24"/>
    </w:rPr>
  </w:style>
  <w:style w:type="paragraph" w:styleId="BalloonText">
    <w:name w:val="Balloon Text"/>
    <w:basedOn w:val="Normal"/>
    <w:link w:val="BalloonTextChar"/>
    <w:uiPriority w:val="99"/>
    <w:semiHidden/>
    <w:rsid w:val="004E2238"/>
    <w:rPr>
      <w:rFonts w:ascii="Tahoma" w:hAnsi="Tahoma"/>
      <w:sz w:val="16"/>
      <w:szCs w:val="16"/>
    </w:rPr>
  </w:style>
  <w:style w:type="character" w:customStyle="1" w:styleId="BalloonTextChar">
    <w:name w:val="Balloon Text Char"/>
    <w:link w:val="BalloonText"/>
    <w:uiPriority w:val="99"/>
    <w:semiHidden/>
    <w:rsid w:val="005E3062"/>
    <w:rPr>
      <w:rFonts w:ascii="Tahoma" w:hAnsi="Tahoma" w:cs="Tahoma"/>
      <w:sz w:val="16"/>
      <w:szCs w:val="16"/>
    </w:rPr>
  </w:style>
  <w:style w:type="paragraph" w:styleId="FootnoteText">
    <w:name w:val="footnote text"/>
    <w:basedOn w:val="Normal"/>
    <w:link w:val="FootnoteTextChar"/>
    <w:uiPriority w:val="99"/>
    <w:rsid w:val="00937181"/>
    <w:rPr>
      <w:sz w:val="20"/>
      <w:szCs w:val="20"/>
    </w:rPr>
  </w:style>
  <w:style w:type="character" w:styleId="FootnoteReference">
    <w:name w:val="footnote reference"/>
    <w:uiPriority w:val="99"/>
    <w:rsid w:val="00937181"/>
    <w:rPr>
      <w:vertAlign w:val="superscript"/>
    </w:rPr>
  </w:style>
  <w:style w:type="paragraph" w:styleId="Quote">
    <w:name w:val="Quote"/>
    <w:basedOn w:val="Normal"/>
    <w:next w:val="Normal"/>
    <w:link w:val="QuoteChar"/>
    <w:uiPriority w:val="29"/>
    <w:qFormat/>
    <w:rsid w:val="005123A0"/>
    <w:rPr>
      <w:i/>
      <w:iCs/>
      <w:color w:val="000000"/>
    </w:rPr>
  </w:style>
  <w:style w:type="character" w:customStyle="1" w:styleId="QuoteChar">
    <w:name w:val="Quote Char"/>
    <w:link w:val="Quote"/>
    <w:uiPriority w:val="29"/>
    <w:rsid w:val="005123A0"/>
    <w:rPr>
      <w:i/>
      <w:iCs/>
      <w:color w:val="000000"/>
      <w:sz w:val="24"/>
      <w:szCs w:val="24"/>
    </w:rPr>
  </w:style>
  <w:style w:type="character" w:styleId="Emphasis">
    <w:name w:val="Emphasis"/>
    <w:qFormat/>
    <w:rsid w:val="005123A0"/>
    <w:rPr>
      <w:i/>
      <w:iCs/>
    </w:rPr>
  </w:style>
  <w:style w:type="character" w:styleId="IntenseReference">
    <w:name w:val="Intense Reference"/>
    <w:uiPriority w:val="32"/>
    <w:qFormat/>
    <w:rsid w:val="005123A0"/>
    <w:rPr>
      <w:b/>
      <w:bCs/>
      <w:smallCaps/>
      <w:color w:val="C0504D"/>
      <w:spacing w:val="5"/>
      <w:u w:val="single"/>
    </w:rPr>
  </w:style>
  <w:style w:type="character" w:styleId="CommentReference">
    <w:name w:val="annotation reference"/>
    <w:uiPriority w:val="99"/>
    <w:rsid w:val="00060A91"/>
    <w:rPr>
      <w:sz w:val="16"/>
      <w:szCs w:val="16"/>
    </w:rPr>
  </w:style>
  <w:style w:type="paragraph" w:styleId="CommentText">
    <w:name w:val="annotation text"/>
    <w:basedOn w:val="Normal"/>
    <w:link w:val="CommentTextChar"/>
    <w:rsid w:val="00060A91"/>
    <w:rPr>
      <w:sz w:val="20"/>
      <w:szCs w:val="20"/>
    </w:rPr>
  </w:style>
  <w:style w:type="character" w:customStyle="1" w:styleId="CommentTextChar">
    <w:name w:val="Comment Text Char"/>
    <w:link w:val="CommentText"/>
    <w:rsid w:val="005E3062"/>
  </w:style>
  <w:style w:type="paragraph" w:styleId="CommentSubject">
    <w:name w:val="annotation subject"/>
    <w:basedOn w:val="CommentText"/>
    <w:next w:val="CommentText"/>
    <w:link w:val="CommentSubjectChar"/>
    <w:uiPriority w:val="99"/>
    <w:semiHidden/>
    <w:rsid w:val="00060A91"/>
    <w:rPr>
      <w:b/>
      <w:bCs/>
    </w:rPr>
  </w:style>
  <w:style w:type="character" w:customStyle="1" w:styleId="CommentSubjectChar">
    <w:name w:val="Comment Subject Char"/>
    <w:link w:val="CommentSubject"/>
    <w:uiPriority w:val="99"/>
    <w:semiHidden/>
    <w:rsid w:val="005E3062"/>
    <w:rPr>
      <w:b/>
      <w:bCs/>
    </w:rPr>
  </w:style>
  <w:style w:type="paragraph" w:styleId="EndnoteText">
    <w:name w:val="endnote text"/>
    <w:basedOn w:val="Normal"/>
    <w:link w:val="EndnoteTextChar"/>
    <w:rsid w:val="00FF14C5"/>
    <w:rPr>
      <w:sz w:val="20"/>
      <w:szCs w:val="20"/>
    </w:rPr>
  </w:style>
  <w:style w:type="character" w:customStyle="1" w:styleId="EndnoteTextChar">
    <w:name w:val="Endnote Text Char"/>
    <w:basedOn w:val="DefaultParagraphFont"/>
    <w:link w:val="EndnoteText"/>
    <w:rsid w:val="00FF14C5"/>
  </w:style>
  <w:style w:type="character" w:styleId="EndnoteReference">
    <w:name w:val="endnote reference"/>
    <w:rsid w:val="00FF14C5"/>
    <w:rPr>
      <w:vertAlign w:val="superscript"/>
    </w:rPr>
  </w:style>
  <w:style w:type="paragraph" w:styleId="NoSpacing">
    <w:name w:val="No Spacing"/>
    <w:uiPriority w:val="1"/>
    <w:qFormat/>
    <w:rsid w:val="00340DEA"/>
    <w:rPr>
      <w:sz w:val="24"/>
      <w:szCs w:val="24"/>
    </w:rPr>
  </w:style>
  <w:style w:type="paragraph" w:styleId="Revision">
    <w:name w:val="Revision"/>
    <w:hidden/>
    <w:uiPriority w:val="99"/>
    <w:semiHidden/>
    <w:rsid w:val="00231793"/>
    <w:rPr>
      <w:sz w:val="24"/>
      <w:szCs w:val="24"/>
    </w:rPr>
  </w:style>
  <w:style w:type="character" w:styleId="FollowedHyperlink">
    <w:name w:val="FollowedHyperlink"/>
    <w:uiPriority w:val="99"/>
    <w:unhideWhenUsed/>
    <w:rsid w:val="006C0A5C"/>
    <w:rPr>
      <w:color w:val="800080"/>
      <w:u w:val="single"/>
    </w:rPr>
  </w:style>
  <w:style w:type="table" w:styleId="TableGrid">
    <w:name w:val="Table Grid"/>
    <w:basedOn w:val="TableNormal"/>
    <w:uiPriority w:val="39"/>
    <w:rsid w:val="00111F4B"/>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E234E"/>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80927"/>
  </w:style>
  <w:style w:type="table" w:styleId="TableContemporary">
    <w:name w:val="Table Contemporary"/>
    <w:basedOn w:val="TableNormal"/>
    <w:rsid w:val="00613D4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lainText">
    <w:name w:val="Plain Text"/>
    <w:basedOn w:val="Normal"/>
    <w:link w:val="PlainTextChar"/>
    <w:uiPriority w:val="99"/>
    <w:unhideWhenUsed/>
    <w:rsid w:val="00B71F60"/>
    <w:rPr>
      <w:rFonts w:ascii="Calibri" w:eastAsiaTheme="minorHAnsi" w:hAnsi="Calibri"/>
      <w:sz w:val="22"/>
      <w:szCs w:val="22"/>
    </w:rPr>
  </w:style>
  <w:style w:type="character" w:customStyle="1" w:styleId="PlainTextChar">
    <w:name w:val="Plain Text Char"/>
    <w:basedOn w:val="DefaultParagraphFont"/>
    <w:link w:val="PlainText"/>
    <w:uiPriority w:val="99"/>
    <w:rsid w:val="00B71F60"/>
    <w:rPr>
      <w:rFonts w:ascii="Calibri" w:eastAsiaTheme="minorHAnsi" w:hAnsi="Calibri"/>
      <w:sz w:val="22"/>
      <w:szCs w:val="22"/>
    </w:rPr>
  </w:style>
  <w:style w:type="paragraph" w:styleId="TOCHeading">
    <w:name w:val="TOC Heading"/>
    <w:basedOn w:val="Heading1"/>
    <w:next w:val="Normal"/>
    <w:uiPriority w:val="39"/>
    <w:semiHidden/>
    <w:unhideWhenUsed/>
    <w:qFormat/>
    <w:rsid w:val="009E048F"/>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table" w:styleId="LightShading">
    <w:name w:val="Light Shading"/>
    <w:basedOn w:val="TableNormal"/>
    <w:uiPriority w:val="60"/>
    <w:rsid w:val="001751F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B13531"/>
    <w:rPr>
      <w:rFonts w:eastAsiaTheme="minorHAnsi"/>
    </w:rPr>
  </w:style>
  <w:style w:type="paragraph" w:customStyle="1" w:styleId="Default">
    <w:name w:val="Default"/>
    <w:rsid w:val="008F4C37"/>
    <w:pPr>
      <w:autoSpaceDE w:val="0"/>
      <w:autoSpaceDN w:val="0"/>
      <w:adjustRightInd w:val="0"/>
    </w:pPr>
    <w:rPr>
      <w:color w:val="000000"/>
      <w:sz w:val="24"/>
      <w:szCs w:val="24"/>
    </w:rPr>
  </w:style>
  <w:style w:type="paragraph" w:customStyle="1" w:styleId="Style1">
    <w:name w:val="Style1"/>
    <w:basedOn w:val="Heading4"/>
    <w:link w:val="Style1Char"/>
    <w:qFormat/>
    <w:rsid w:val="00D81A7C"/>
    <w:pPr>
      <w:numPr>
        <w:numId w:val="0"/>
      </w:numPr>
    </w:pPr>
    <w:rPr>
      <w:b w:val="0"/>
      <w:color w:val="000000"/>
    </w:rPr>
  </w:style>
  <w:style w:type="character" w:customStyle="1" w:styleId="Style1Char">
    <w:name w:val="Style1 Char"/>
    <w:basedOn w:val="Heading4Char"/>
    <w:link w:val="Style1"/>
    <w:rsid w:val="00923AB1"/>
    <w:rPr>
      <w:rFonts w:asciiTheme="majorHAnsi" w:eastAsiaTheme="majorEastAsia" w:hAnsiTheme="majorHAnsi" w:cstheme="majorBidi"/>
      <w:b w:val="0"/>
      <w:i w:val="0"/>
      <w:iCs w:val="0"/>
      <w:color w:val="000000"/>
      <w:sz w:val="22"/>
      <w:szCs w:val="22"/>
    </w:rPr>
  </w:style>
  <w:style w:type="paragraph" w:styleId="TOC4">
    <w:name w:val="toc 4"/>
    <w:basedOn w:val="Normal"/>
    <w:next w:val="Normal"/>
    <w:autoRedefine/>
    <w:uiPriority w:val="39"/>
    <w:unhideWhenUsed/>
    <w:rsid w:val="00634CF5"/>
    <w:pPr>
      <w:tabs>
        <w:tab w:val="right" w:leader="dot" w:pos="9350"/>
      </w:tabs>
      <w:spacing w:after="100"/>
      <w:ind w:left="720"/>
    </w:pPr>
  </w:style>
  <w:style w:type="table" w:styleId="TableGridLight">
    <w:name w:val="Grid Table Light"/>
    <w:basedOn w:val="TableNormal"/>
    <w:uiPriority w:val="40"/>
    <w:rsid w:val="00F32C7C"/>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Preformatted">
    <w:name w:val="HTML Preformatted"/>
    <w:basedOn w:val="Normal"/>
    <w:link w:val="HTMLPreformattedChar"/>
    <w:rsid w:val="00087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087408"/>
    <w:rPr>
      <w:rFonts w:ascii="Courier New" w:eastAsia="Courier New" w:hAnsi="Courier New"/>
    </w:rPr>
  </w:style>
  <w:style w:type="table" w:styleId="GridTable4-Accent1">
    <w:name w:val="Grid Table 4 Accent 1"/>
    <w:basedOn w:val="TableNormal"/>
    <w:uiPriority w:val="49"/>
    <w:rsid w:val="00C32253"/>
    <w:rPr>
      <w:rFonts w:asciiTheme="minorHAnsi" w:eastAsiaTheme="minorEastAsia"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sonormal0">
    <w:name w:val="msonormal"/>
    <w:basedOn w:val="Normal"/>
    <w:rsid w:val="009F451B"/>
    <w:pPr>
      <w:spacing w:before="100" w:beforeAutospacing="1" w:after="100" w:afterAutospacing="1"/>
    </w:pPr>
  </w:style>
  <w:style w:type="paragraph" w:customStyle="1" w:styleId="font5">
    <w:name w:val="font5"/>
    <w:basedOn w:val="Normal"/>
    <w:rsid w:val="009F451B"/>
    <w:pPr>
      <w:spacing w:before="100" w:beforeAutospacing="1" w:after="100" w:afterAutospacing="1"/>
    </w:pPr>
    <w:rPr>
      <w:b/>
      <w:bCs/>
      <w:i/>
      <w:iCs/>
      <w:sz w:val="18"/>
      <w:szCs w:val="18"/>
    </w:rPr>
  </w:style>
  <w:style w:type="paragraph" w:customStyle="1" w:styleId="xl66">
    <w:name w:val="xl66"/>
    <w:basedOn w:val="Normal"/>
    <w:rsid w:val="009F451B"/>
    <w:pPr>
      <w:spacing w:before="100" w:beforeAutospacing="1" w:after="100" w:afterAutospacing="1"/>
    </w:pPr>
    <w:rPr>
      <w:sz w:val="18"/>
      <w:szCs w:val="18"/>
    </w:rPr>
  </w:style>
  <w:style w:type="paragraph" w:customStyle="1" w:styleId="xl67">
    <w:name w:val="xl67"/>
    <w:basedOn w:val="Normal"/>
    <w:rsid w:val="009F45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color w:val="000000"/>
      <w:sz w:val="18"/>
      <w:szCs w:val="18"/>
    </w:rPr>
  </w:style>
  <w:style w:type="paragraph" w:customStyle="1" w:styleId="xl68">
    <w:name w:val="xl68"/>
    <w:basedOn w:val="Normal"/>
    <w:rsid w:val="009F45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sz w:val="18"/>
      <w:szCs w:val="18"/>
    </w:rPr>
  </w:style>
  <w:style w:type="paragraph" w:customStyle="1" w:styleId="xl69">
    <w:name w:val="xl69"/>
    <w:basedOn w:val="Normal"/>
    <w:rsid w:val="009F45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8"/>
      <w:szCs w:val="18"/>
    </w:rPr>
  </w:style>
  <w:style w:type="paragraph" w:customStyle="1" w:styleId="xl70">
    <w:name w:val="xl70"/>
    <w:basedOn w:val="Normal"/>
    <w:rsid w:val="009F451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1">
    <w:name w:val="xl71"/>
    <w:basedOn w:val="Normal"/>
    <w:rsid w:val="009F4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2">
    <w:name w:val="xl72"/>
    <w:basedOn w:val="Normal"/>
    <w:rsid w:val="009F4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73">
    <w:name w:val="xl73"/>
    <w:basedOn w:val="Normal"/>
    <w:rsid w:val="009F45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4">
    <w:name w:val="xl74"/>
    <w:basedOn w:val="Normal"/>
    <w:rsid w:val="009F451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Normal"/>
    <w:rsid w:val="009F451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6">
    <w:name w:val="xl76"/>
    <w:basedOn w:val="Normal"/>
    <w:rsid w:val="009F451B"/>
    <w:pPr>
      <w:spacing w:before="100" w:beforeAutospacing="1" w:after="100" w:afterAutospacing="1"/>
    </w:pPr>
    <w:rPr>
      <w:sz w:val="18"/>
      <w:szCs w:val="18"/>
    </w:rPr>
  </w:style>
  <w:style w:type="paragraph" w:styleId="BodyText">
    <w:name w:val="Body Text"/>
    <w:basedOn w:val="Normal"/>
    <w:link w:val="BodyTextChar"/>
    <w:uiPriority w:val="99"/>
    <w:rsid w:val="00525A52"/>
    <w:rPr>
      <w:i/>
      <w:sz w:val="20"/>
      <w:szCs w:val="20"/>
    </w:rPr>
  </w:style>
  <w:style w:type="character" w:customStyle="1" w:styleId="BodyTextChar">
    <w:name w:val="Body Text Char"/>
    <w:basedOn w:val="DefaultParagraphFont"/>
    <w:link w:val="BodyText"/>
    <w:uiPriority w:val="99"/>
    <w:rsid w:val="00525A52"/>
    <w:rPr>
      <w:i/>
    </w:rPr>
  </w:style>
  <w:style w:type="character" w:customStyle="1" w:styleId="BodyText2Char">
    <w:name w:val="Body Text 2 Char"/>
    <w:basedOn w:val="DefaultParagraphFont"/>
    <w:link w:val="BodyText2"/>
    <w:uiPriority w:val="99"/>
    <w:rsid w:val="00C44559"/>
    <w:rPr>
      <w:rFonts w:ascii="Arial" w:eastAsiaTheme="minorHAnsi" w:hAnsi="Arial" w:cstheme="minorBidi"/>
    </w:rPr>
  </w:style>
  <w:style w:type="paragraph" w:styleId="BodyText2">
    <w:name w:val="Body Text 2"/>
    <w:basedOn w:val="Normal"/>
    <w:link w:val="BodyText2Char"/>
    <w:uiPriority w:val="99"/>
    <w:rsid w:val="00C44559"/>
    <w:pPr>
      <w:jc w:val="both"/>
    </w:pPr>
    <w:rPr>
      <w:rFonts w:ascii="Arial" w:eastAsiaTheme="minorHAnsi" w:hAnsi="Arial" w:cstheme="minorBidi"/>
      <w:sz w:val="20"/>
      <w:szCs w:val="20"/>
    </w:rPr>
  </w:style>
  <w:style w:type="paragraph" w:customStyle="1" w:styleId="Style2">
    <w:name w:val="Style2"/>
    <w:basedOn w:val="Heading3"/>
    <w:link w:val="Style2Char"/>
    <w:qFormat/>
    <w:rsid w:val="005827CB"/>
    <w:pPr>
      <w:numPr>
        <w:numId w:val="25"/>
      </w:numPr>
    </w:pPr>
  </w:style>
  <w:style w:type="character" w:customStyle="1" w:styleId="Style2Char">
    <w:name w:val="Style2 Char"/>
    <w:basedOn w:val="Heading3Char"/>
    <w:link w:val="Style2"/>
    <w:rsid w:val="005827CB"/>
    <w:rPr>
      <w:b/>
      <w:bCs/>
      <w:color w:val="000000"/>
      <w:sz w:val="28"/>
      <w:szCs w:val="28"/>
    </w:rPr>
  </w:style>
  <w:style w:type="paragraph" w:customStyle="1" w:styleId="Heading2">
    <w:name w:val="Heading2"/>
    <w:basedOn w:val="Style2"/>
    <w:next w:val="Heading20"/>
    <w:link w:val="Heading2Char0"/>
    <w:qFormat/>
    <w:rsid w:val="005827CB"/>
    <w:pPr>
      <w:numPr>
        <w:numId w:val="14"/>
      </w:numPr>
    </w:pPr>
  </w:style>
  <w:style w:type="character" w:customStyle="1" w:styleId="Heading2Char0">
    <w:name w:val="Heading2 Char"/>
    <w:basedOn w:val="Style2Char"/>
    <w:link w:val="Heading2"/>
    <w:rsid w:val="005827CB"/>
    <w:rPr>
      <w:b/>
      <w:bCs/>
      <w:color w:val="000000"/>
      <w:sz w:val="28"/>
      <w:szCs w:val="28"/>
    </w:rPr>
  </w:style>
  <w:style w:type="table" w:customStyle="1" w:styleId="TableGrid2">
    <w:name w:val="Table Grid2"/>
    <w:basedOn w:val="TableNormal"/>
    <w:next w:val="TableGrid"/>
    <w:uiPriority w:val="39"/>
    <w:rsid w:val="0002233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semiHidden/>
    <w:unhideWhenUsed/>
    <w:qFormat/>
    <w:rsid w:val="009B1E44"/>
    <w:pPr>
      <w:keepNext/>
      <w:keepLines/>
      <w:spacing w:before="40"/>
      <w:outlineLvl w:val="1"/>
    </w:pPr>
    <w:rPr>
      <w:rFonts w:ascii="Cambria" w:eastAsia="MS Gothic" w:hAnsi="Cambria"/>
      <w:color w:val="365F91"/>
      <w:sz w:val="26"/>
      <w:szCs w:val="26"/>
    </w:rPr>
  </w:style>
  <w:style w:type="paragraph" w:customStyle="1" w:styleId="Heading51">
    <w:name w:val="Heading 51"/>
    <w:basedOn w:val="Normal"/>
    <w:next w:val="Normal"/>
    <w:uiPriority w:val="9"/>
    <w:semiHidden/>
    <w:unhideWhenUsed/>
    <w:qFormat/>
    <w:rsid w:val="009B1E44"/>
    <w:pPr>
      <w:keepNext/>
      <w:keepLines/>
      <w:spacing w:before="40"/>
      <w:outlineLvl w:val="4"/>
    </w:pPr>
    <w:rPr>
      <w:rFonts w:ascii="Cambria" w:eastAsia="MS Gothic" w:hAnsi="Cambria"/>
      <w:color w:val="365F91"/>
      <w:sz w:val="20"/>
      <w:szCs w:val="20"/>
    </w:rPr>
  </w:style>
  <w:style w:type="numbering" w:customStyle="1" w:styleId="NoList1">
    <w:name w:val="No List1"/>
    <w:next w:val="NoList"/>
    <w:uiPriority w:val="99"/>
    <w:semiHidden/>
    <w:unhideWhenUsed/>
    <w:rsid w:val="009B1E44"/>
  </w:style>
  <w:style w:type="character" w:customStyle="1" w:styleId="FootnoteTextChar">
    <w:name w:val="Footnote Text Char"/>
    <w:basedOn w:val="DefaultParagraphFont"/>
    <w:link w:val="FootnoteText"/>
    <w:uiPriority w:val="99"/>
    <w:rsid w:val="009B1E44"/>
  </w:style>
  <w:style w:type="paragraph" w:customStyle="1" w:styleId="PlainText1">
    <w:name w:val="Plain Text1"/>
    <w:basedOn w:val="Normal"/>
    <w:next w:val="PlainText"/>
    <w:uiPriority w:val="99"/>
    <w:unhideWhenUsed/>
    <w:rsid w:val="009B1E44"/>
    <w:rPr>
      <w:rFonts w:ascii="Calibri" w:eastAsia="Calibri" w:hAnsi="Calibri" w:cstheme="minorBidi"/>
      <w:sz w:val="22"/>
      <w:szCs w:val="22"/>
    </w:rPr>
  </w:style>
  <w:style w:type="paragraph" w:customStyle="1" w:styleId="TOCHeading1">
    <w:name w:val="TOC Heading1"/>
    <w:basedOn w:val="Heading1"/>
    <w:next w:val="Normal"/>
    <w:uiPriority w:val="39"/>
    <w:semiHidden/>
    <w:unhideWhenUsed/>
    <w:qFormat/>
    <w:rsid w:val="009B1E44"/>
    <w:pPr>
      <w:keepLines/>
      <w:spacing w:before="480" w:after="0" w:line="276" w:lineRule="auto"/>
      <w:outlineLvl w:val="9"/>
    </w:pPr>
    <w:rPr>
      <w:rFonts w:ascii="Cambria" w:eastAsia="MS Gothic" w:hAnsi="Cambria"/>
      <w:color w:val="365F91"/>
      <w:kern w:val="0"/>
      <w:szCs w:val="28"/>
      <w:lang w:eastAsia="ja-JP"/>
    </w:rPr>
  </w:style>
  <w:style w:type="table" w:customStyle="1" w:styleId="LightShading1">
    <w:name w:val="Light Shading1"/>
    <w:basedOn w:val="TableNormal"/>
    <w:next w:val="LightShading"/>
    <w:uiPriority w:val="60"/>
    <w:rsid w:val="009B1E4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Web1">
    <w:name w:val="Normal (Web)1"/>
    <w:basedOn w:val="Normal"/>
    <w:next w:val="NormalWeb"/>
    <w:uiPriority w:val="99"/>
    <w:unhideWhenUsed/>
    <w:rsid w:val="009B1E44"/>
    <w:rPr>
      <w:rFonts w:eastAsiaTheme="minorHAnsi"/>
    </w:rPr>
  </w:style>
  <w:style w:type="table" w:customStyle="1" w:styleId="TableGridLight1">
    <w:name w:val="Table Grid Light1"/>
    <w:basedOn w:val="TableNormal"/>
    <w:next w:val="TableGridLight"/>
    <w:uiPriority w:val="40"/>
    <w:rsid w:val="009B1E44"/>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11">
    <w:name w:val="Grid Table 4 - Accent 11"/>
    <w:basedOn w:val="TableNormal"/>
    <w:next w:val="GridTable4-Accent1"/>
    <w:uiPriority w:val="49"/>
    <w:rsid w:val="009B1E44"/>
    <w:rPr>
      <w:rFonts w:ascii="Calibri" w:eastAsia="MS Mincho" w:hAnsi="Calibri" w:cstheme="minorBidi"/>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BodyText21">
    <w:name w:val="Body Text 21"/>
    <w:basedOn w:val="Normal"/>
    <w:next w:val="BodyText2"/>
    <w:uiPriority w:val="99"/>
    <w:rsid w:val="009B1E44"/>
    <w:pPr>
      <w:jc w:val="both"/>
    </w:pPr>
    <w:rPr>
      <w:rFonts w:ascii="Arial" w:eastAsiaTheme="minorHAnsi" w:hAnsi="Arial" w:cstheme="minorBidi"/>
      <w:sz w:val="20"/>
      <w:szCs w:val="20"/>
    </w:rPr>
  </w:style>
  <w:style w:type="character" w:customStyle="1" w:styleId="Heading2Char1">
    <w:name w:val="Heading 2 Char1"/>
    <w:basedOn w:val="DefaultParagraphFont"/>
    <w:uiPriority w:val="9"/>
    <w:semiHidden/>
    <w:rsid w:val="009B1E44"/>
    <w:rPr>
      <w:rFonts w:asciiTheme="majorHAnsi" w:eastAsiaTheme="majorEastAsia" w:hAnsiTheme="majorHAnsi" w:cstheme="majorBidi"/>
      <w:color w:val="365F91" w:themeColor="accent1" w:themeShade="BF"/>
      <w:sz w:val="26"/>
      <w:szCs w:val="26"/>
    </w:rPr>
  </w:style>
  <w:style w:type="character" w:customStyle="1" w:styleId="PlainTextChar1">
    <w:name w:val="Plain Text Char1"/>
    <w:basedOn w:val="DefaultParagraphFont"/>
    <w:uiPriority w:val="99"/>
    <w:semiHidden/>
    <w:rsid w:val="009B1E44"/>
    <w:rPr>
      <w:rFonts w:ascii="Consolas" w:hAnsi="Consolas" w:cs="Consolas"/>
      <w:sz w:val="21"/>
      <w:szCs w:val="21"/>
    </w:rPr>
  </w:style>
  <w:style w:type="character" w:customStyle="1" w:styleId="Heading5Char1">
    <w:name w:val="Heading 5 Char1"/>
    <w:basedOn w:val="DefaultParagraphFont"/>
    <w:uiPriority w:val="9"/>
    <w:semiHidden/>
    <w:rsid w:val="009B1E44"/>
    <w:rPr>
      <w:rFonts w:asciiTheme="majorHAnsi" w:eastAsiaTheme="majorEastAsia" w:hAnsiTheme="majorHAnsi" w:cstheme="majorBidi"/>
      <w:color w:val="365F91" w:themeColor="accent1" w:themeShade="BF"/>
    </w:rPr>
  </w:style>
  <w:style w:type="character" w:customStyle="1" w:styleId="BodyText2Char1">
    <w:name w:val="Body Text 2 Char1"/>
    <w:basedOn w:val="DefaultParagraphFont"/>
    <w:uiPriority w:val="99"/>
    <w:semiHidden/>
    <w:rsid w:val="009B1E44"/>
  </w:style>
  <w:style w:type="character" w:styleId="Strong">
    <w:name w:val="Strong"/>
    <w:basedOn w:val="DefaultParagraphFont"/>
    <w:uiPriority w:val="22"/>
    <w:qFormat/>
    <w:rsid w:val="009B1E44"/>
    <w:rPr>
      <w:b/>
      <w:bCs/>
    </w:rPr>
  </w:style>
  <w:style w:type="character" w:customStyle="1" w:styleId="A1">
    <w:name w:val="A1"/>
    <w:uiPriority w:val="99"/>
    <w:rsid w:val="009B1E44"/>
    <w:rPr>
      <w:rFonts w:cs="Minion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528">
      <w:bodyDiv w:val="1"/>
      <w:marLeft w:val="0"/>
      <w:marRight w:val="0"/>
      <w:marTop w:val="0"/>
      <w:marBottom w:val="0"/>
      <w:divBdr>
        <w:top w:val="none" w:sz="0" w:space="0" w:color="auto"/>
        <w:left w:val="none" w:sz="0" w:space="0" w:color="auto"/>
        <w:bottom w:val="none" w:sz="0" w:space="0" w:color="auto"/>
        <w:right w:val="none" w:sz="0" w:space="0" w:color="auto"/>
      </w:divBdr>
    </w:div>
    <w:div w:id="50856837">
      <w:bodyDiv w:val="1"/>
      <w:marLeft w:val="0"/>
      <w:marRight w:val="0"/>
      <w:marTop w:val="0"/>
      <w:marBottom w:val="0"/>
      <w:divBdr>
        <w:top w:val="none" w:sz="0" w:space="0" w:color="auto"/>
        <w:left w:val="none" w:sz="0" w:space="0" w:color="auto"/>
        <w:bottom w:val="none" w:sz="0" w:space="0" w:color="auto"/>
        <w:right w:val="none" w:sz="0" w:space="0" w:color="auto"/>
      </w:divBdr>
    </w:div>
    <w:div w:id="94445362">
      <w:bodyDiv w:val="1"/>
      <w:marLeft w:val="0"/>
      <w:marRight w:val="0"/>
      <w:marTop w:val="0"/>
      <w:marBottom w:val="0"/>
      <w:divBdr>
        <w:top w:val="none" w:sz="0" w:space="0" w:color="auto"/>
        <w:left w:val="none" w:sz="0" w:space="0" w:color="auto"/>
        <w:bottom w:val="none" w:sz="0" w:space="0" w:color="auto"/>
        <w:right w:val="none" w:sz="0" w:space="0" w:color="auto"/>
      </w:divBdr>
    </w:div>
    <w:div w:id="147866295">
      <w:bodyDiv w:val="1"/>
      <w:marLeft w:val="0"/>
      <w:marRight w:val="0"/>
      <w:marTop w:val="0"/>
      <w:marBottom w:val="0"/>
      <w:divBdr>
        <w:top w:val="none" w:sz="0" w:space="0" w:color="auto"/>
        <w:left w:val="none" w:sz="0" w:space="0" w:color="auto"/>
        <w:bottom w:val="none" w:sz="0" w:space="0" w:color="auto"/>
        <w:right w:val="none" w:sz="0" w:space="0" w:color="auto"/>
      </w:divBdr>
    </w:div>
    <w:div w:id="160514515">
      <w:bodyDiv w:val="1"/>
      <w:marLeft w:val="0"/>
      <w:marRight w:val="0"/>
      <w:marTop w:val="0"/>
      <w:marBottom w:val="0"/>
      <w:divBdr>
        <w:top w:val="none" w:sz="0" w:space="0" w:color="auto"/>
        <w:left w:val="none" w:sz="0" w:space="0" w:color="auto"/>
        <w:bottom w:val="none" w:sz="0" w:space="0" w:color="auto"/>
        <w:right w:val="none" w:sz="0" w:space="0" w:color="auto"/>
      </w:divBdr>
    </w:div>
    <w:div w:id="179784519">
      <w:bodyDiv w:val="1"/>
      <w:marLeft w:val="0"/>
      <w:marRight w:val="0"/>
      <w:marTop w:val="0"/>
      <w:marBottom w:val="0"/>
      <w:divBdr>
        <w:top w:val="none" w:sz="0" w:space="0" w:color="auto"/>
        <w:left w:val="none" w:sz="0" w:space="0" w:color="auto"/>
        <w:bottom w:val="none" w:sz="0" w:space="0" w:color="auto"/>
        <w:right w:val="none" w:sz="0" w:space="0" w:color="auto"/>
      </w:divBdr>
    </w:div>
    <w:div w:id="216432059">
      <w:bodyDiv w:val="1"/>
      <w:marLeft w:val="0"/>
      <w:marRight w:val="0"/>
      <w:marTop w:val="0"/>
      <w:marBottom w:val="0"/>
      <w:divBdr>
        <w:top w:val="none" w:sz="0" w:space="0" w:color="auto"/>
        <w:left w:val="none" w:sz="0" w:space="0" w:color="auto"/>
        <w:bottom w:val="none" w:sz="0" w:space="0" w:color="auto"/>
        <w:right w:val="none" w:sz="0" w:space="0" w:color="auto"/>
      </w:divBdr>
    </w:div>
    <w:div w:id="243952409">
      <w:bodyDiv w:val="1"/>
      <w:marLeft w:val="0"/>
      <w:marRight w:val="0"/>
      <w:marTop w:val="0"/>
      <w:marBottom w:val="0"/>
      <w:divBdr>
        <w:top w:val="none" w:sz="0" w:space="0" w:color="auto"/>
        <w:left w:val="none" w:sz="0" w:space="0" w:color="auto"/>
        <w:bottom w:val="none" w:sz="0" w:space="0" w:color="auto"/>
        <w:right w:val="none" w:sz="0" w:space="0" w:color="auto"/>
      </w:divBdr>
    </w:div>
    <w:div w:id="273296367">
      <w:bodyDiv w:val="1"/>
      <w:marLeft w:val="0"/>
      <w:marRight w:val="0"/>
      <w:marTop w:val="0"/>
      <w:marBottom w:val="0"/>
      <w:divBdr>
        <w:top w:val="none" w:sz="0" w:space="0" w:color="auto"/>
        <w:left w:val="none" w:sz="0" w:space="0" w:color="auto"/>
        <w:bottom w:val="none" w:sz="0" w:space="0" w:color="auto"/>
        <w:right w:val="none" w:sz="0" w:space="0" w:color="auto"/>
      </w:divBdr>
    </w:div>
    <w:div w:id="355732966">
      <w:bodyDiv w:val="1"/>
      <w:marLeft w:val="0"/>
      <w:marRight w:val="0"/>
      <w:marTop w:val="0"/>
      <w:marBottom w:val="0"/>
      <w:divBdr>
        <w:top w:val="none" w:sz="0" w:space="0" w:color="auto"/>
        <w:left w:val="none" w:sz="0" w:space="0" w:color="auto"/>
        <w:bottom w:val="none" w:sz="0" w:space="0" w:color="auto"/>
        <w:right w:val="none" w:sz="0" w:space="0" w:color="auto"/>
      </w:divBdr>
    </w:div>
    <w:div w:id="375544287">
      <w:bodyDiv w:val="1"/>
      <w:marLeft w:val="0"/>
      <w:marRight w:val="0"/>
      <w:marTop w:val="0"/>
      <w:marBottom w:val="0"/>
      <w:divBdr>
        <w:top w:val="none" w:sz="0" w:space="0" w:color="auto"/>
        <w:left w:val="none" w:sz="0" w:space="0" w:color="auto"/>
        <w:bottom w:val="none" w:sz="0" w:space="0" w:color="auto"/>
        <w:right w:val="none" w:sz="0" w:space="0" w:color="auto"/>
      </w:divBdr>
    </w:div>
    <w:div w:id="381901545">
      <w:bodyDiv w:val="1"/>
      <w:marLeft w:val="0"/>
      <w:marRight w:val="0"/>
      <w:marTop w:val="0"/>
      <w:marBottom w:val="0"/>
      <w:divBdr>
        <w:top w:val="none" w:sz="0" w:space="0" w:color="auto"/>
        <w:left w:val="none" w:sz="0" w:space="0" w:color="auto"/>
        <w:bottom w:val="none" w:sz="0" w:space="0" w:color="auto"/>
        <w:right w:val="none" w:sz="0" w:space="0" w:color="auto"/>
      </w:divBdr>
    </w:div>
    <w:div w:id="396782909">
      <w:bodyDiv w:val="1"/>
      <w:marLeft w:val="0"/>
      <w:marRight w:val="0"/>
      <w:marTop w:val="0"/>
      <w:marBottom w:val="0"/>
      <w:divBdr>
        <w:top w:val="none" w:sz="0" w:space="0" w:color="auto"/>
        <w:left w:val="none" w:sz="0" w:space="0" w:color="auto"/>
        <w:bottom w:val="none" w:sz="0" w:space="0" w:color="auto"/>
        <w:right w:val="none" w:sz="0" w:space="0" w:color="auto"/>
      </w:divBdr>
    </w:div>
    <w:div w:id="444079404">
      <w:bodyDiv w:val="1"/>
      <w:marLeft w:val="0"/>
      <w:marRight w:val="0"/>
      <w:marTop w:val="0"/>
      <w:marBottom w:val="0"/>
      <w:divBdr>
        <w:top w:val="none" w:sz="0" w:space="0" w:color="auto"/>
        <w:left w:val="none" w:sz="0" w:space="0" w:color="auto"/>
        <w:bottom w:val="none" w:sz="0" w:space="0" w:color="auto"/>
        <w:right w:val="none" w:sz="0" w:space="0" w:color="auto"/>
      </w:divBdr>
    </w:div>
    <w:div w:id="480535514">
      <w:bodyDiv w:val="1"/>
      <w:marLeft w:val="0"/>
      <w:marRight w:val="0"/>
      <w:marTop w:val="0"/>
      <w:marBottom w:val="0"/>
      <w:divBdr>
        <w:top w:val="none" w:sz="0" w:space="0" w:color="auto"/>
        <w:left w:val="none" w:sz="0" w:space="0" w:color="auto"/>
        <w:bottom w:val="none" w:sz="0" w:space="0" w:color="auto"/>
        <w:right w:val="none" w:sz="0" w:space="0" w:color="auto"/>
      </w:divBdr>
    </w:div>
    <w:div w:id="487526328">
      <w:bodyDiv w:val="1"/>
      <w:marLeft w:val="0"/>
      <w:marRight w:val="0"/>
      <w:marTop w:val="0"/>
      <w:marBottom w:val="0"/>
      <w:divBdr>
        <w:top w:val="none" w:sz="0" w:space="0" w:color="auto"/>
        <w:left w:val="none" w:sz="0" w:space="0" w:color="auto"/>
        <w:bottom w:val="none" w:sz="0" w:space="0" w:color="auto"/>
        <w:right w:val="none" w:sz="0" w:space="0" w:color="auto"/>
      </w:divBdr>
    </w:div>
    <w:div w:id="503251519">
      <w:bodyDiv w:val="1"/>
      <w:marLeft w:val="0"/>
      <w:marRight w:val="0"/>
      <w:marTop w:val="0"/>
      <w:marBottom w:val="0"/>
      <w:divBdr>
        <w:top w:val="none" w:sz="0" w:space="0" w:color="auto"/>
        <w:left w:val="none" w:sz="0" w:space="0" w:color="auto"/>
        <w:bottom w:val="none" w:sz="0" w:space="0" w:color="auto"/>
        <w:right w:val="none" w:sz="0" w:space="0" w:color="auto"/>
      </w:divBdr>
    </w:div>
    <w:div w:id="641276913">
      <w:bodyDiv w:val="1"/>
      <w:marLeft w:val="0"/>
      <w:marRight w:val="0"/>
      <w:marTop w:val="0"/>
      <w:marBottom w:val="0"/>
      <w:divBdr>
        <w:top w:val="none" w:sz="0" w:space="0" w:color="auto"/>
        <w:left w:val="none" w:sz="0" w:space="0" w:color="auto"/>
        <w:bottom w:val="none" w:sz="0" w:space="0" w:color="auto"/>
        <w:right w:val="none" w:sz="0" w:space="0" w:color="auto"/>
      </w:divBdr>
    </w:div>
    <w:div w:id="683477402">
      <w:bodyDiv w:val="1"/>
      <w:marLeft w:val="0"/>
      <w:marRight w:val="0"/>
      <w:marTop w:val="0"/>
      <w:marBottom w:val="0"/>
      <w:divBdr>
        <w:top w:val="none" w:sz="0" w:space="0" w:color="auto"/>
        <w:left w:val="none" w:sz="0" w:space="0" w:color="auto"/>
        <w:bottom w:val="none" w:sz="0" w:space="0" w:color="auto"/>
        <w:right w:val="none" w:sz="0" w:space="0" w:color="auto"/>
      </w:divBdr>
    </w:div>
    <w:div w:id="693920311">
      <w:bodyDiv w:val="1"/>
      <w:marLeft w:val="0"/>
      <w:marRight w:val="0"/>
      <w:marTop w:val="0"/>
      <w:marBottom w:val="0"/>
      <w:divBdr>
        <w:top w:val="none" w:sz="0" w:space="0" w:color="auto"/>
        <w:left w:val="none" w:sz="0" w:space="0" w:color="auto"/>
        <w:bottom w:val="none" w:sz="0" w:space="0" w:color="auto"/>
        <w:right w:val="none" w:sz="0" w:space="0" w:color="auto"/>
      </w:divBdr>
    </w:div>
    <w:div w:id="710230026">
      <w:bodyDiv w:val="1"/>
      <w:marLeft w:val="0"/>
      <w:marRight w:val="0"/>
      <w:marTop w:val="0"/>
      <w:marBottom w:val="0"/>
      <w:divBdr>
        <w:top w:val="none" w:sz="0" w:space="0" w:color="auto"/>
        <w:left w:val="none" w:sz="0" w:space="0" w:color="auto"/>
        <w:bottom w:val="none" w:sz="0" w:space="0" w:color="auto"/>
        <w:right w:val="none" w:sz="0" w:space="0" w:color="auto"/>
      </w:divBdr>
    </w:div>
    <w:div w:id="714084884">
      <w:bodyDiv w:val="1"/>
      <w:marLeft w:val="0"/>
      <w:marRight w:val="0"/>
      <w:marTop w:val="0"/>
      <w:marBottom w:val="0"/>
      <w:divBdr>
        <w:top w:val="none" w:sz="0" w:space="0" w:color="auto"/>
        <w:left w:val="none" w:sz="0" w:space="0" w:color="auto"/>
        <w:bottom w:val="none" w:sz="0" w:space="0" w:color="auto"/>
        <w:right w:val="none" w:sz="0" w:space="0" w:color="auto"/>
      </w:divBdr>
    </w:div>
    <w:div w:id="742026348">
      <w:bodyDiv w:val="1"/>
      <w:marLeft w:val="0"/>
      <w:marRight w:val="0"/>
      <w:marTop w:val="0"/>
      <w:marBottom w:val="0"/>
      <w:divBdr>
        <w:top w:val="none" w:sz="0" w:space="0" w:color="auto"/>
        <w:left w:val="none" w:sz="0" w:space="0" w:color="auto"/>
        <w:bottom w:val="none" w:sz="0" w:space="0" w:color="auto"/>
        <w:right w:val="none" w:sz="0" w:space="0" w:color="auto"/>
      </w:divBdr>
    </w:div>
    <w:div w:id="761218928">
      <w:bodyDiv w:val="1"/>
      <w:marLeft w:val="0"/>
      <w:marRight w:val="0"/>
      <w:marTop w:val="0"/>
      <w:marBottom w:val="0"/>
      <w:divBdr>
        <w:top w:val="none" w:sz="0" w:space="0" w:color="auto"/>
        <w:left w:val="none" w:sz="0" w:space="0" w:color="auto"/>
        <w:bottom w:val="none" w:sz="0" w:space="0" w:color="auto"/>
        <w:right w:val="none" w:sz="0" w:space="0" w:color="auto"/>
      </w:divBdr>
    </w:div>
    <w:div w:id="792872006">
      <w:bodyDiv w:val="1"/>
      <w:marLeft w:val="0"/>
      <w:marRight w:val="0"/>
      <w:marTop w:val="0"/>
      <w:marBottom w:val="0"/>
      <w:divBdr>
        <w:top w:val="none" w:sz="0" w:space="0" w:color="auto"/>
        <w:left w:val="none" w:sz="0" w:space="0" w:color="auto"/>
        <w:bottom w:val="none" w:sz="0" w:space="0" w:color="auto"/>
        <w:right w:val="none" w:sz="0" w:space="0" w:color="auto"/>
      </w:divBdr>
    </w:div>
    <w:div w:id="827675842">
      <w:bodyDiv w:val="1"/>
      <w:marLeft w:val="0"/>
      <w:marRight w:val="0"/>
      <w:marTop w:val="0"/>
      <w:marBottom w:val="0"/>
      <w:divBdr>
        <w:top w:val="none" w:sz="0" w:space="0" w:color="auto"/>
        <w:left w:val="none" w:sz="0" w:space="0" w:color="auto"/>
        <w:bottom w:val="none" w:sz="0" w:space="0" w:color="auto"/>
        <w:right w:val="none" w:sz="0" w:space="0" w:color="auto"/>
      </w:divBdr>
    </w:div>
    <w:div w:id="837575568">
      <w:bodyDiv w:val="1"/>
      <w:marLeft w:val="0"/>
      <w:marRight w:val="0"/>
      <w:marTop w:val="0"/>
      <w:marBottom w:val="0"/>
      <w:divBdr>
        <w:top w:val="none" w:sz="0" w:space="0" w:color="auto"/>
        <w:left w:val="none" w:sz="0" w:space="0" w:color="auto"/>
        <w:bottom w:val="none" w:sz="0" w:space="0" w:color="auto"/>
        <w:right w:val="none" w:sz="0" w:space="0" w:color="auto"/>
      </w:divBdr>
    </w:div>
    <w:div w:id="887182550">
      <w:bodyDiv w:val="1"/>
      <w:marLeft w:val="0"/>
      <w:marRight w:val="0"/>
      <w:marTop w:val="0"/>
      <w:marBottom w:val="0"/>
      <w:divBdr>
        <w:top w:val="none" w:sz="0" w:space="0" w:color="auto"/>
        <w:left w:val="none" w:sz="0" w:space="0" w:color="auto"/>
        <w:bottom w:val="none" w:sz="0" w:space="0" w:color="auto"/>
        <w:right w:val="none" w:sz="0" w:space="0" w:color="auto"/>
      </w:divBdr>
    </w:div>
    <w:div w:id="956915846">
      <w:bodyDiv w:val="1"/>
      <w:marLeft w:val="0"/>
      <w:marRight w:val="0"/>
      <w:marTop w:val="0"/>
      <w:marBottom w:val="0"/>
      <w:divBdr>
        <w:top w:val="none" w:sz="0" w:space="0" w:color="auto"/>
        <w:left w:val="none" w:sz="0" w:space="0" w:color="auto"/>
        <w:bottom w:val="none" w:sz="0" w:space="0" w:color="auto"/>
        <w:right w:val="none" w:sz="0" w:space="0" w:color="auto"/>
      </w:divBdr>
    </w:div>
    <w:div w:id="962223948">
      <w:bodyDiv w:val="1"/>
      <w:marLeft w:val="0"/>
      <w:marRight w:val="0"/>
      <w:marTop w:val="0"/>
      <w:marBottom w:val="0"/>
      <w:divBdr>
        <w:top w:val="none" w:sz="0" w:space="0" w:color="auto"/>
        <w:left w:val="none" w:sz="0" w:space="0" w:color="auto"/>
        <w:bottom w:val="none" w:sz="0" w:space="0" w:color="auto"/>
        <w:right w:val="none" w:sz="0" w:space="0" w:color="auto"/>
      </w:divBdr>
    </w:div>
    <w:div w:id="974529057">
      <w:bodyDiv w:val="1"/>
      <w:marLeft w:val="0"/>
      <w:marRight w:val="0"/>
      <w:marTop w:val="0"/>
      <w:marBottom w:val="0"/>
      <w:divBdr>
        <w:top w:val="none" w:sz="0" w:space="0" w:color="auto"/>
        <w:left w:val="none" w:sz="0" w:space="0" w:color="auto"/>
        <w:bottom w:val="none" w:sz="0" w:space="0" w:color="auto"/>
        <w:right w:val="none" w:sz="0" w:space="0" w:color="auto"/>
      </w:divBdr>
    </w:div>
    <w:div w:id="988175476">
      <w:bodyDiv w:val="1"/>
      <w:marLeft w:val="0"/>
      <w:marRight w:val="0"/>
      <w:marTop w:val="0"/>
      <w:marBottom w:val="0"/>
      <w:divBdr>
        <w:top w:val="none" w:sz="0" w:space="0" w:color="auto"/>
        <w:left w:val="none" w:sz="0" w:space="0" w:color="auto"/>
        <w:bottom w:val="none" w:sz="0" w:space="0" w:color="auto"/>
        <w:right w:val="none" w:sz="0" w:space="0" w:color="auto"/>
      </w:divBdr>
    </w:div>
    <w:div w:id="990213656">
      <w:bodyDiv w:val="1"/>
      <w:marLeft w:val="0"/>
      <w:marRight w:val="0"/>
      <w:marTop w:val="0"/>
      <w:marBottom w:val="0"/>
      <w:divBdr>
        <w:top w:val="none" w:sz="0" w:space="0" w:color="auto"/>
        <w:left w:val="none" w:sz="0" w:space="0" w:color="auto"/>
        <w:bottom w:val="none" w:sz="0" w:space="0" w:color="auto"/>
        <w:right w:val="none" w:sz="0" w:space="0" w:color="auto"/>
      </w:divBdr>
    </w:div>
    <w:div w:id="1023704155">
      <w:bodyDiv w:val="1"/>
      <w:marLeft w:val="0"/>
      <w:marRight w:val="0"/>
      <w:marTop w:val="0"/>
      <w:marBottom w:val="0"/>
      <w:divBdr>
        <w:top w:val="none" w:sz="0" w:space="0" w:color="auto"/>
        <w:left w:val="none" w:sz="0" w:space="0" w:color="auto"/>
        <w:bottom w:val="none" w:sz="0" w:space="0" w:color="auto"/>
        <w:right w:val="none" w:sz="0" w:space="0" w:color="auto"/>
      </w:divBdr>
    </w:div>
    <w:div w:id="1045252436">
      <w:bodyDiv w:val="1"/>
      <w:marLeft w:val="0"/>
      <w:marRight w:val="0"/>
      <w:marTop w:val="0"/>
      <w:marBottom w:val="0"/>
      <w:divBdr>
        <w:top w:val="none" w:sz="0" w:space="0" w:color="auto"/>
        <w:left w:val="none" w:sz="0" w:space="0" w:color="auto"/>
        <w:bottom w:val="none" w:sz="0" w:space="0" w:color="auto"/>
        <w:right w:val="none" w:sz="0" w:space="0" w:color="auto"/>
      </w:divBdr>
    </w:div>
    <w:div w:id="1051349746">
      <w:bodyDiv w:val="1"/>
      <w:marLeft w:val="0"/>
      <w:marRight w:val="0"/>
      <w:marTop w:val="0"/>
      <w:marBottom w:val="0"/>
      <w:divBdr>
        <w:top w:val="none" w:sz="0" w:space="0" w:color="auto"/>
        <w:left w:val="none" w:sz="0" w:space="0" w:color="auto"/>
        <w:bottom w:val="none" w:sz="0" w:space="0" w:color="auto"/>
        <w:right w:val="none" w:sz="0" w:space="0" w:color="auto"/>
      </w:divBdr>
    </w:div>
    <w:div w:id="1063454400">
      <w:bodyDiv w:val="1"/>
      <w:marLeft w:val="0"/>
      <w:marRight w:val="0"/>
      <w:marTop w:val="0"/>
      <w:marBottom w:val="0"/>
      <w:divBdr>
        <w:top w:val="none" w:sz="0" w:space="0" w:color="auto"/>
        <w:left w:val="none" w:sz="0" w:space="0" w:color="auto"/>
        <w:bottom w:val="none" w:sz="0" w:space="0" w:color="auto"/>
        <w:right w:val="none" w:sz="0" w:space="0" w:color="auto"/>
      </w:divBdr>
    </w:div>
    <w:div w:id="1150903464">
      <w:bodyDiv w:val="1"/>
      <w:marLeft w:val="0"/>
      <w:marRight w:val="0"/>
      <w:marTop w:val="0"/>
      <w:marBottom w:val="0"/>
      <w:divBdr>
        <w:top w:val="none" w:sz="0" w:space="0" w:color="auto"/>
        <w:left w:val="none" w:sz="0" w:space="0" w:color="auto"/>
        <w:bottom w:val="none" w:sz="0" w:space="0" w:color="auto"/>
        <w:right w:val="none" w:sz="0" w:space="0" w:color="auto"/>
      </w:divBdr>
    </w:div>
    <w:div w:id="1188328731">
      <w:bodyDiv w:val="1"/>
      <w:marLeft w:val="0"/>
      <w:marRight w:val="0"/>
      <w:marTop w:val="0"/>
      <w:marBottom w:val="0"/>
      <w:divBdr>
        <w:top w:val="none" w:sz="0" w:space="0" w:color="auto"/>
        <w:left w:val="none" w:sz="0" w:space="0" w:color="auto"/>
        <w:bottom w:val="none" w:sz="0" w:space="0" w:color="auto"/>
        <w:right w:val="none" w:sz="0" w:space="0" w:color="auto"/>
      </w:divBdr>
    </w:div>
    <w:div w:id="1284969540">
      <w:bodyDiv w:val="1"/>
      <w:marLeft w:val="0"/>
      <w:marRight w:val="0"/>
      <w:marTop w:val="0"/>
      <w:marBottom w:val="0"/>
      <w:divBdr>
        <w:top w:val="none" w:sz="0" w:space="0" w:color="auto"/>
        <w:left w:val="none" w:sz="0" w:space="0" w:color="auto"/>
        <w:bottom w:val="none" w:sz="0" w:space="0" w:color="auto"/>
        <w:right w:val="none" w:sz="0" w:space="0" w:color="auto"/>
      </w:divBdr>
    </w:div>
    <w:div w:id="1293247475">
      <w:bodyDiv w:val="1"/>
      <w:marLeft w:val="0"/>
      <w:marRight w:val="0"/>
      <w:marTop w:val="0"/>
      <w:marBottom w:val="0"/>
      <w:divBdr>
        <w:top w:val="none" w:sz="0" w:space="0" w:color="auto"/>
        <w:left w:val="none" w:sz="0" w:space="0" w:color="auto"/>
        <w:bottom w:val="none" w:sz="0" w:space="0" w:color="auto"/>
        <w:right w:val="none" w:sz="0" w:space="0" w:color="auto"/>
      </w:divBdr>
    </w:div>
    <w:div w:id="1299841450">
      <w:bodyDiv w:val="1"/>
      <w:marLeft w:val="0"/>
      <w:marRight w:val="0"/>
      <w:marTop w:val="0"/>
      <w:marBottom w:val="0"/>
      <w:divBdr>
        <w:top w:val="none" w:sz="0" w:space="0" w:color="auto"/>
        <w:left w:val="none" w:sz="0" w:space="0" w:color="auto"/>
        <w:bottom w:val="none" w:sz="0" w:space="0" w:color="auto"/>
        <w:right w:val="none" w:sz="0" w:space="0" w:color="auto"/>
      </w:divBdr>
    </w:div>
    <w:div w:id="1300838699">
      <w:bodyDiv w:val="1"/>
      <w:marLeft w:val="0"/>
      <w:marRight w:val="0"/>
      <w:marTop w:val="0"/>
      <w:marBottom w:val="0"/>
      <w:divBdr>
        <w:top w:val="none" w:sz="0" w:space="0" w:color="auto"/>
        <w:left w:val="none" w:sz="0" w:space="0" w:color="auto"/>
        <w:bottom w:val="none" w:sz="0" w:space="0" w:color="auto"/>
        <w:right w:val="none" w:sz="0" w:space="0" w:color="auto"/>
      </w:divBdr>
    </w:div>
    <w:div w:id="1319455909">
      <w:bodyDiv w:val="1"/>
      <w:marLeft w:val="0"/>
      <w:marRight w:val="0"/>
      <w:marTop w:val="0"/>
      <w:marBottom w:val="0"/>
      <w:divBdr>
        <w:top w:val="none" w:sz="0" w:space="0" w:color="auto"/>
        <w:left w:val="none" w:sz="0" w:space="0" w:color="auto"/>
        <w:bottom w:val="none" w:sz="0" w:space="0" w:color="auto"/>
        <w:right w:val="none" w:sz="0" w:space="0" w:color="auto"/>
      </w:divBdr>
    </w:div>
    <w:div w:id="1367563968">
      <w:bodyDiv w:val="1"/>
      <w:marLeft w:val="0"/>
      <w:marRight w:val="0"/>
      <w:marTop w:val="0"/>
      <w:marBottom w:val="0"/>
      <w:divBdr>
        <w:top w:val="none" w:sz="0" w:space="0" w:color="auto"/>
        <w:left w:val="none" w:sz="0" w:space="0" w:color="auto"/>
        <w:bottom w:val="none" w:sz="0" w:space="0" w:color="auto"/>
        <w:right w:val="none" w:sz="0" w:space="0" w:color="auto"/>
      </w:divBdr>
    </w:div>
    <w:div w:id="1376470729">
      <w:bodyDiv w:val="1"/>
      <w:marLeft w:val="0"/>
      <w:marRight w:val="0"/>
      <w:marTop w:val="0"/>
      <w:marBottom w:val="0"/>
      <w:divBdr>
        <w:top w:val="none" w:sz="0" w:space="0" w:color="auto"/>
        <w:left w:val="none" w:sz="0" w:space="0" w:color="auto"/>
        <w:bottom w:val="none" w:sz="0" w:space="0" w:color="auto"/>
        <w:right w:val="none" w:sz="0" w:space="0" w:color="auto"/>
      </w:divBdr>
    </w:div>
    <w:div w:id="1404109527">
      <w:bodyDiv w:val="1"/>
      <w:marLeft w:val="0"/>
      <w:marRight w:val="0"/>
      <w:marTop w:val="0"/>
      <w:marBottom w:val="0"/>
      <w:divBdr>
        <w:top w:val="none" w:sz="0" w:space="0" w:color="auto"/>
        <w:left w:val="none" w:sz="0" w:space="0" w:color="auto"/>
        <w:bottom w:val="none" w:sz="0" w:space="0" w:color="auto"/>
        <w:right w:val="none" w:sz="0" w:space="0" w:color="auto"/>
      </w:divBdr>
    </w:div>
    <w:div w:id="1409423503">
      <w:bodyDiv w:val="1"/>
      <w:marLeft w:val="0"/>
      <w:marRight w:val="0"/>
      <w:marTop w:val="0"/>
      <w:marBottom w:val="0"/>
      <w:divBdr>
        <w:top w:val="none" w:sz="0" w:space="0" w:color="auto"/>
        <w:left w:val="none" w:sz="0" w:space="0" w:color="auto"/>
        <w:bottom w:val="none" w:sz="0" w:space="0" w:color="auto"/>
        <w:right w:val="none" w:sz="0" w:space="0" w:color="auto"/>
      </w:divBdr>
    </w:div>
    <w:div w:id="1418287890">
      <w:bodyDiv w:val="1"/>
      <w:marLeft w:val="0"/>
      <w:marRight w:val="0"/>
      <w:marTop w:val="0"/>
      <w:marBottom w:val="0"/>
      <w:divBdr>
        <w:top w:val="none" w:sz="0" w:space="0" w:color="auto"/>
        <w:left w:val="none" w:sz="0" w:space="0" w:color="auto"/>
        <w:bottom w:val="none" w:sz="0" w:space="0" w:color="auto"/>
        <w:right w:val="none" w:sz="0" w:space="0" w:color="auto"/>
      </w:divBdr>
    </w:div>
    <w:div w:id="1431245083">
      <w:bodyDiv w:val="1"/>
      <w:marLeft w:val="0"/>
      <w:marRight w:val="0"/>
      <w:marTop w:val="0"/>
      <w:marBottom w:val="0"/>
      <w:divBdr>
        <w:top w:val="none" w:sz="0" w:space="0" w:color="auto"/>
        <w:left w:val="none" w:sz="0" w:space="0" w:color="auto"/>
        <w:bottom w:val="none" w:sz="0" w:space="0" w:color="auto"/>
        <w:right w:val="none" w:sz="0" w:space="0" w:color="auto"/>
      </w:divBdr>
    </w:div>
    <w:div w:id="1436754419">
      <w:bodyDiv w:val="1"/>
      <w:marLeft w:val="0"/>
      <w:marRight w:val="0"/>
      <w:marTop w:val="0"/>
      <w:marBottom w:val="0"/>
      <w:divBdr>
        <w:top w:val="none" w:sz="0" w:space="0" w:color="auto"/>
        <w:left w:val="none" w:sz="0" w:space="0" w:color="auto"/>
        <w:bottom w:val="none" w:sz="0" w:space="0" w:color="auto"/>
        <w:right w:val="none" w:sz="0" w:space="0" w:color="auto"/>
      </w:divBdr>
    </w:div>
    <w:div w:id="1470704150">
      <w:bodyDiv w:val="1"/>
      <w:marLeft w:val="0"/>
      <w:marRight w:val="0"/>
      <w:marTop w:val="0"/>
      <w:marBottom w:val="0"/>
      <w:divBdr>
        <w:top w:val="none" w:sz="0" w:space="0" w:color="auto"/>
        <w:left w:val="none" w:sz="0" w:space="0" w:color="auto"/>
        <w:bottom w:val="none" w:sz="0" w:space="0" w:color="auto"/>
        <w:right w:val="none" w:sz="0" w:space="0" w:color="auto"/>
      </w:divBdr>
    </w:div>
    <w:div w:id="1554267883">
      <w:bodyDiv w:val="1"/>
      <w:marLeft w:val="0"/>
      <w:marRight w:val="0"/>
      <w:marTop w:val="0"/>
      <w:marBottom w:val="0"/>
      <w:divBdr>
        <w:top w:val="none" w:sz="0" w:space="0" w:color="auto"/>
        <w:left w:val="none" w:sz="0" w:space="0" w:color="auto"/>
        <w:bottom w:val="none" w:sz="0" w:space="0" w:color="auto"/>
        <w:right w:val="none" w:sz="0" w:space="0" w:color="auto"/>
      </w:divBdr>
    </w:div>
    <w:div w:id="1667322608">
      <w:bodyDiv w:val="1"/>
      <w:marLeft w:val="0"/>
      <w:marRight w:val="0"/>
      <w:marTop w:val="0"/>
      <w:marBottom w:val="0"/>
      <w:divBdr>
        <w:top w:val="none" w:sz="0" w:space="0" w:color="auto"/>
        <w:left w:val="none" w:sz="0" w:space="0" w:color="auto"/>
        <w:bottom w:val="none" w:sz="0" w:space="0" w:color="auto"/>
        <w:right w:val="none" w:sz="0" w:space="0" w:color="auto"/>
      </w:divBdr>
    </w:div>
    <w:div w:id="1670251571">
      <w:bodyDiv w:val="1"/>
      <w:marLeft w:val="0"/>
      <w:marRight w:val="0"/>
      <w:marTop w:val="0"/>
      <w:marBottom w:val="0"/>
      <w:divBdr>
        <w:top w:val="none" w:sz="0" w:space="0" w:color="auto"/>
        <w:left w:val="none" w:sz="0" w:space="0" w:color="auto"/>
        <w:bottom w:val="none" w:sz="0" w:space="0" w:color="auto"/>
        <w:right w:val="none" w:sz="0" w:space="0" w:color="auto"/>
      </w:divBdr>
    </w:div>
    <w:div w:id="1692297392">
      <w:bodyDiv w:val="1"/>
      <w:marLeft w:val="0"/>
      <w:marRight w:val="0"/>
      <w:marTop w:val="0"/>
      <w:marBottom w:val="0"/>
      <w:divBdr>
        <w:top w:val="none" w:sz="0" w:space="0" w:color="auto"/>
        <w:left w:val="none" w:sz="0" w:space="0" w:color="auto"/>
        <w:bottom w:val="none" w:sz="0" w:space="0" w:color="auto"/>
        <w:right w:val="none" w:sz="0" w:space="0" w:color="auto"/>
      </w:divBdr>
    </w:div>
    <w:div w:id="1837725396">
      <w:bodyDiv w:val="1"/>
      <w:marLeft w:val="0"/>
      <w:marRight w:val="0"/>
      <w:marTop w:val="0"/>
      <w:marBottom w:val="0"/>
      <w:divBdr>
        <w:top w:val="none" w:sz="0" w:space="0" w:color="auto"/>
        <w:left w:val="none" w:sz="0" w:space="0" w:color="auto"/>
        <w:bottom w:val="none" w:sz="0" w:space="0" w:color="auto"/>
        <w:right w:val="none" w:sz="0" w:space="0" w:color="auto"/>
      </w:divBdr>
      <w:divsChild>
        <w:div w:id="471607271">
          <w:marLeft w:val="504"/>
          <w:marRight w:val="0"/>
          <w:marTop w:val="140"/>
          <w:marBottom w:val="0"/>
          <w:divBdr>
            <w:top w:val="none" w:sz="0" w:space="0" w:color="auto"/>
            <w:left w:val="none" w:sz="0" w:space="0" w:color="auto"/>
            <w:bottom w:val="none" w:sz="0" w:space="0" w:color="auto"/>
            <w:right w:val="none" w:sz="0" w:space="0" w:color="auto"/>
          </w:divBdr>
        </w:div>
      </w:divsChild>
    </w:div>
    <w:div w:id="1849170052">
      <w:bodyDiv w:val="1"/>
      <w:marLeft w:val="0"/>
      <w:marRight w:val="0"/>
      <w:marTop w:val="0"/>
      <w:marBottom w:val="0"/>
      <w:divBdr>
        <w:top w:val="none" w:sz="0" w:space="0" w:color="auto"/>
        <w:left w:val="none" w:sz="0" w:space="0" w:color="auto"/>
        <w:bottom w:val="none" w:sz="0" w:space="0" w:color="auto"/>
        <w:right w:val="none" w:sz="0" w:space="0" w:color="auto"/>
      </w:divBdr>
    </w:div>
    <w:div w:id="1904875066">
      <w:bodyDiv w:val="1"/>
      <w:marLeft w:val="0"/>
      <w:marRight w:val="0"/>
      <w:marTop w:val="0"/>
      <w:marBottom w:val="0"/>
      <w:divBdr>
        <w:top w:val="none" w:sz="0" w:space="0" w:color="auto"/>
        <w:left w:val="none" w:sz="0" w:space="0" w:color="auto"/>
        <w:bottom w:val="none" w:sz="0" w:space="0" w:color="auto"/>
        <w:right w:val="none" w:sz="0" w:space="0" w:color="auto"/>
      </w:divBdr>
      <w:divsChild>
        <w:div w:id="1687444786">
          <w:marLeft w:val="0"/>
          <w:marRight w:val="0"/>
          <w:marTop w:val="0"/>
          <w:marBottom w:val="0"/>
          <w:divBdr>
            <w:top w:val="none" w:sz="0" w:space="0" w:color="auto"/>
            <w:left w:val="none" w:sz="0" w:space="0" w:color="auto"/>
            <w:bottom w:val="none" w:sz="0" w:space="0" w:color="auto"/>
            <w:right w:val="none" w:sz="0" w:space="0" w:color="auto"/>
          </w:divBdr>
        </w:div>
      </w:divsChild>
    </w:div>
    <w:div w:id="1941185524">
      <w:bodyDiv w:val="1"/>
      <w:marLeft w:val="0"/>
      <w:marRight w:val="0"/>
      <w:marTop w:val="0"/>
      <w:marBottom w:val="0"/>
      <w:divBdr>
        <w:top w:val="none" w:sz="0" w:space="0" w:color="auto"/>
        <w:left w:val="none" w:sz="0" w:space="0" w:color="auto"/>
        <w:bottom w:val="none" w:sz="0" w:space="0" w:color="auto"/>
        <w:right w:val="none" w:sz="0" w:space="0" w:color="auto"/>
      </w:divBdr>
    </w:div>
    <w:div w:id="1951008989">
      <w:bodyDiv w:val="1"/>
      <w:marLeft w:val="0"/>
      <w:marRight w:val="0"/>
      <w:marTop w:val="0"/>
      <w:marBottom w:val="0"/>
      <w:divBdr>
        <w:top w:val="none" w:sz="0" w:space="0" w:color="auto"/>
        <w:left w:val="none" w:sz="0" w:space="0" w:color="auto"/>
        <w:bottom w:val="none" w:sz="0" w:space="0" w:color="auto"/>
        <w:right w:val="none" w:sz="0" w:space="0" w:color="auto"/>
      </w:divBdr>
    </w:div>
    <w:div w:id="1989479199">
      <w:bodyDiv w:val="1"/>
      <w:marLeft w:val="0"/>
      <w:marRight w:val="0"/>
      <w:marTop w:val="0"/>
      <w:marBottom w:val="0"/>
      <w:divBdr>
        <w:top w:val="none" w:sz="0" w:space="0" w:color="auto"/>
        <w:left w:val="none" w:sz="0" w:space="0" w:color="auto"/>
        <w:bottom w:val="none" w:sz="0" w:space="0" w:color="auto"/>
        <w:right w:val="none" w:sz="0" w:space="0" w:color="auto"/>
      </w:divBdr>
    </w:div>
    <w:div w:id="2116634011">
      <w:bodyDiv w:val="1"/>
      <w:marLeft w:val="0"/>
      <w:marRight w:val="0"/>
      <w:marTop w:val="0"/>
      <w:marBottom w:val="0"/>
      <w:divBdr>
        <w:top w:val="none" w:sz="0" w:space="0" w:color="auto"/>
        <w:left w:val="none" w:sz="0" w:space="0" w:color="auto"/>
        <w:bottom w:val="none" w:sz="0" w:space="0" w:color="auto"/>
        <w:right w:val="none" w:sz="0" w:space="0" w:color="auto"/>
      </w:divBdr>
    </w:div>
    <w:div w:id="21173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02A8F-DBAE-44D2-BB2B-CB021709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25113</Words>
  <Characters>143147</Characters>
  <Application>Microsoft Office Word</Application>
  <DocSecurity>4</DocSecurity>
  <Lines>1192</Lines>
  <Paragraphs>335</Paragraphs>
  <ScaleCrop>false</ScaleCrop>
  <HeadingPairs>
    <vt:vector size="2" baseType="variant">
      <vt:variant>
        <vt:lpstr>Title</vt:lpstr>
      </vt:variant>
      <vt:variant>
        <vt:i4>1</vt:i4>
      </vt:variant>
    </vt:vector>
  </HeadingPairs>
  <TitlesOfParts>
    <vt:vector size="1" baseType="lpstr">
      <vt:lpstr>Massachusetts Department of Housing and Community Development</vt:lpstr>
    </vt:vector>
  </TitlesOfParts>
  <Company>Microsoft</Company>
  <LinksUpToDate>false</LinksUpToDate>
  <CharactersWithSpaces>167925</CharactersWithSpaces>
  <SharedDoc>false</SharedDoc>
  <HLinks>
    <vt:vector size="132" baseType="variant">
      <vt:variant>
        <vt:i4>1703990</vt:i4>
      </vt:variant>
      <vt:variant>
        <vt:i4>128</vt:i4>
      </vt:variant>
      <vt:variant>
        <vt:i4>0</vt:i4>
      </vt:variant>
      <vt:variant>
        <vt:i4>5</vt:i4>
      </vt:variant>
      <vt:variant>
        <vt:lpwstr/>
      </vt:variant>
      <vt:variant>
        <vt:lpwstr>_Toc399495557</vt:lpwstr>
      </vt:variant>
      <vt:variant>
        <vt:i4>1703990</vt:i4>
      </vt:variant>
      <vt:variant>
        <vt:i4>122</vt:i4>
      </vt:variant>
      <vt:variant>
        <vt:i4>0</vt:i4>
      </vt:variant>
      <vt:variant>
        <vt:i4>5</vt:i4>
      </vt:variant>
      <vt:variant>
        <vt:lpwstr/>
      </vt:variant>
      <vt:variant>
        <vt:lpwstr>_Toc399495556</vt:lpwstr>
      </vt:variant>
      <vt:variant>
        <vt:i4>1703990</vt:i4>
      </vt:variant>
      <vt:variant>
        <vt:i4>116</vt:i4>
      </vt:variant>
      <vt:variant>
        <vt:i4>0</vt:i4>
      </vt:variant>
      <vt:variant>
        <vt:i4>5</vt:i4>
      </vt:variant>
      <vt:variant>
        <vt:lpwstr/>
      </vt:variant>
      <vt:variant>
        <vt:lpwstr>_Toc399495555</vt:lpwstr>
      </vt:variant>
      <vt:variant>
        <vt:i4>1703990</vt:i4>
      </vt:variant>
      <vt:variant>
        <vt:i4>110</vt:i4>
      </vt:variant>
      <vt:variant>
        <vt:i4>0</vt:i4>
      </vt:variant>
      <vt:variant>
        <vt:i4>5</vt:i4>
      </vt:variant>
      <vt:variant>
        <vt:lpwstr/>
      </vt:variant>
      <vt:variant>
        <vt:lpwstr>_Toc399495554</vt:lpwstr>
      </vt:variant>
      <vt:variant>
        <vt:i4>1703990</vt:i4>
      </vt:variant>
      <vt:variant>
        <vt:i4>104</vt:i4>
      </vt:variant>
      <vt:variant>
        <vt:i4>0</vt:i4>
      </vt:variant>
      <vt:variant>
        <vt:i4>5</vt:i4>
      </vt:variant>
      <vt:variant>
        <vt:lpwstr/>
      </vt:variant>
      <vt:variant>
        <vt:lpwstr>_Toc399495553</vt:lpwstr>
      </vt:variant>
      <vt:variant>
        <vt:i4>1703990</vt:i4>
      </vt:variant>
      <vt:variant>
        <vt:i4>98</vt:i4>
      </vt:variant>
      <vt:variant>
        <vt:i4>0</vt:i4>
      </vt:variant>
      <vt:variant>
        <vt:i4>5</vt:i4>
      </vt:variant>
      <vt:variant>
        <vt:lpwstr/>
      </vt:variant>
      <vt:variant>
        <vt:lpwstr>_Toc399495552</vt:lpwstr>
      </vt:variant>
      <vt:variant>
        <vt:i4>1703990</vt:i4>
      </vt:variant>
      <vt:variant>
        <vt:i4>92</vt:i4>
      </vt:variant>
      <vt:variant>
        <vt:i4>0</vt:i4>
      </vt:variant>
      <vt:variant>
        <vt:i4>5</vt:i4>
      </vt:variant>
      <vt:variant>
        <vt:lpwstr/>
      </vt:variant>
      <vt:variant>
        <vt:lpwstr>_Toc399495551</vt:lpwstr>
      </vt:variant>
      <vt:variant>
        <vt:i4>1703990</vt:i4>
      </vt:variant>
      <vt:variant>
        <vt:i4>86</vt:i4>
      </vt:variant>
      <vt:variant>
        <vt:i4>0</vt:i4>
      </vt:variant>
      <vt:variant>
        <vt:i4>5</vt:i4>
      </vt:variant>
      <vt:variant>
        <vt:lpwstr/>
      </vt:variant>
      <vt:variant>
        <vt:lpwstr>_Toc399495550</vt:lpwstr>
      </vt:variant>
      <vt:variant>
        <vt:i4>1769526</vt:i4>
      </vt:variant>
      <vt:variant>
        <vt:i4>80</vt:i4>
      </vt:variant>
      <vt:variant>
        <vt:i4>0</vt:i4>
      </vt:variant>
      <vt:variant>
        <vt:i4>5</vt:i4>
      </vt:variant>
      <vt:variant>
        <vt:lpwstr/>
      </vt:variant>
      <vt:variant>
        <vt:lpwstr>_Toc399495549</vt:lpwstr>
      </vt:variant>
      <vt:variant>
        <vt:i4>1769526</vt:i4>
      </vt:variant>
      <vt:variant>
        <vt:i4>74</vt:i4>
      </vt:variant>
      <vt:variant>
        <vt:i4>0</vt:i4>
      </vt:variant>
      <vt:variant>
        <vt:i4>5</vt:i4>
      </vt:variant>
      <vt:variant>
        <vt:lpwstr/>
      </vt:variant>
      <vt:variant>
        <vt:lpwstr>_Toc399495548</vt:lpwstr>
      </vt:variant>
      <vt:variant>
        <vt:i4>1769526</vt:i4>
      </vt:variant>
      <vt:variant>
        <vt:i4>68</vt:i4>
      </vt:variant>
      <vt:variant>
        <vt:i4>0</vt:i4>
      </vt:variant>
      <vt:variant>
        <vt:i4>5</vt:i4>
      </vt:variant>
      <vt:variant>
        <vt:lpwstr/>
      </vt:variant>
      <vt:variant>
        <vt:lpwstr>_Toc399495547</vt:lpwstr>
      </vt:variant>
      <vt:variant>
        <vt:i4>1769526</vt:i4>
      </vt:variant>
      <vt:variant>
        <vt:i4>62</vt:i4>
      </vt:variant>
      <vt:variant>
        <vt:i4>0</vt:i4>
      </vt:variant>
      <vt:variant>
        <vt:i4>5</vt:i4>
      </vt:variant>
      <vt:variant>
        <vt:lpwstr/>
      </vt:variant>
      <vt:variant>
        <vt:lpwstr>_Toc399495546</vt:lpwstr>
      </vt:variant>
      <vt:variant>
        <vt:i4>1769526</vt:i4>
      </vt:variant>
      <vt:variant>
        <vt:i4>56</vt:i4>
      </vt:variant>
      <vt:variant>
        <vt:i4>0</vt:i4>
      </vt:variant>
      <vt:variant>
        <vt:i4>5</vt:i4>
      </vt:variant>
      <vt:variant>
        <vt:lpwstr/>
      </vt:variant>
      <vt:variant>
        <vt:lpwstr>_Toc399495545</vt:lpwstr>
      </vt:variant>
      <vt:variant>
        <vt:i4>1769526</vt:i4>
      </vt:variant>
      <vt:variant>
        <vt:i4>50</vt:i4>
      </vt:variant>
      <vt:variant>
        <vt:i4>0</vt:i4>
      </vt:variant>
      <vt:variant>
        <vt:i4>5</vt:i4>
      </vt:variant>
      <vt:variant>
        <vt:lpwstr/>
      </vt:variant>
      <vt:variant>
        <vt:lpwstr>_Toc399495544</vt:lpwstr>
      </vt:variant>
      <vt:variant>
        <vt:i4>1769526</vt:i4>
      </vt:variant>
      <vt:variant>
        <vt:i4>44</vt:i4>
      </vt:variant>
      <vt:variant>
        <vt:i4>0</vt:i4>
      </vt:variant>
      <vt:variant>
        <vt:i4>5</vt:i4>
      </vt:variant>
      <vt:variant>
        <vt:lpwstr/>
      </vt:variant>
      <vt:variant>
        <vt:lpwstr>_Toc399495543</vt:lpwstr>
      </vt:variant>
      <vt:variant>
        <vt:i4>1769526</vt:i4>
      </vt:variant>
      <vt:variant>
        <vt:i4>38</vt:i4>
      </vt:variant>
      <vt:variant>
        <vt:i4>0</vt:i4>
      </vt:variant>
      <vt:variant>
        <vt:i4>5</vt:i4>
      </vt:variant>
      <vt:variant>
        <vt:lpwstr/>
      </vt:variant>
      <vt:variant>
        <vt:lpwstr>_Toc399495542</vt:lpwstr>
      </vt:variant>
      <vt:variant>
        <vt:i4>1769526</vt:i4>
      </vt:variant>
      <vt:variant>
        <vt:i4>32</vt:i4>
      </vt:variant>
      <vt:variant>
        <vt:i4>0</vt:i4>
      </vt:variant>
      <vt:variant>
        <vt:i4>5</vt:i4>
      </vt:variant>
      <vt:variant>
        <vt:lpwstr/>
      </vt:variant>
      <vt:variant>
        <vt:lpwstr>_Toc399495541</vt:lpwstr>
      </vt:variant>
      <vt:variant>
        <vt:i4>1769526</vt:i4>
      </vt:variant>
      <vt:variant>
        <vt:i4>26</vt:i4>
      </vt:variant>
      <vt:variant>
        <vt:i4>0</vt:i4>
      </vt:variant>
      <vt:variant>
        <vt:i4>5</vt:i4>
      </vt:variant>
      <vt:variant>
        <vt:lpwstr/>
      </vt:variant>
      <vt:variant>
        <vt:lpwstr>_Toc399495540</vt:lpwstr>
      </vt:variant>
      <vt:variant>
        <vt:i4>1835062</vt:i4>
      </vt:variant>
      <vt:variant>
        <vt:i4>20</vt:i4>
      </vt:variant>
      <vt:variant>
        <vt:i4>0</vt:i4>
      </vt:variant>
      <vt:variant>
        <vt:i4>5</vt:i4>
      </vt:variant>
      <vt:variant>
        <vt:lpwstr/>
      </vt:variant>
      <vt:variant>
        <vt:lpwstr>_Toc399495539</vt:lpwstr>
      </vt:variant>
      <vt:variant>
        <vt:i4>1835062</vt:i4>
      </vt:variant>
      <vt:variant>
        <vt:i4>14</vt:i4>
      </vt:variant>
      <vt:variant>
        <vt:i4>0</vt:i4>
      </vt:variant>
      <vt:variant>
        <vt:i4>5</vt:i4>
      </vt:variant>
      <vt:variant>
        <vt:lpwstr/>
      </vt:variant>
      <vt:variant>
        <vt:lpwstr>_Toc399495538</vt:lpwstr>
      </vt:variant>
      <vt:variant>
        <vt:i4>1835062</vt:i4>
      </vt:variant>
      <vt:variant>
        <vt:i4>8</vt:i4>
      </vt:variant>
      <vt:variant>
        <vt:i4>0</vt:i4>
      </vt:variant>
      <vt:variant>
        <vt:i4>5</vt:i4>
      </vt:variant>
      <vt:variant>
        <vt:lpwstr/>
      </vt:variant>
      <vt:variant>
        <vt:lpwstr>_Toc399495537</vt:lpwstr>
      </vt:variant>
      <vt:variant>
        <vt:i4>1835062</vt:i4>
      </vt:variant>
      <vt:variant>
        <vt:i4>2</vt:i4>
      </vt:variant>
      <vt:variant>
        <vt:i4>0</vt:i4>
      </vt:variant>
      <vt:variant>
        <vt:i4>5</vt:i4>
      </vt:variant>
      <vt:variant>
        <vt:lpwstr/>
      </vt:variant>
      <vt:variant>
        <vt:lpwstr>_Toc399495536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Housing and Community Development</dc:title>
  <dc:creator>John</dc:creator>
  <cp:lastModifiedBy>McKenna, Joanne (OCD)</cp:lastModifiedBy>
  <cp:revision>2</cp:revision>
  <cp:lastPrinted>2020-02-11T13:10:00Z</cp:lastPrinted>
  <dcterms:created xsi:type="dcterms:W3CDTF">2020-02-27T22:26:00Z</dcterms:created>
  <dcterms:modified xsi:type="dcterms:W3CDTF">2020-02-27T22:26:00Z</dcterms:modified>
</cp:coreProperties>
</file>