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1836"/>
        <w:gridCol w:w="9099"/>
      </w:tblGrid>
      <w:tr w:rsidR="006536D2" w:rsidRPr="005B42CB" w14:paraId="12C54A6B" w14:textId="77777777" w:rsidTr="002F2A22">
        <w:trPr>
          <w:trHeight w:val="1278"/>
        </w:trPr>
        <w:tc>
          <w:tcPr>
            <w:tcW w:w="1707" w:type="dxa"/>
            <w:shd w:val="clear" w:color="auto" w:fill="auto"/>
          </w:tcPr>
          <w:p w14:paraId="12C54A68" w14:textId="77777777" w:rsidR="006536D2" w:rsidRPr="00392D8D" w:rsidRDefault="0054330A" w:rsidP="00FA147F">
            <w:pPr>
              <w:rPr>
                <w:sz w:val="18"/>
              </w:rPr>
            </w:pPr>
            <w:r>
              <w:rPr>
                <w:noProof/>
              </w:rPr>
              <w:drawing>
                <wp:anchor distT="0" distB="0" distL="114300" distR="114300" simplePos="0" relativeHeight="251658242" behindDoc="1" locked="0" layoutInCell="1" allowOverlap="1" wp14:anchorId="12C54AD1" wp14:editId="12C54AD2">
                  <wp:simplePos x="0" y="0"/>
                  <wp:positionH relativeFrom="column">
                    <wp:posOffset>-6350</wp:posOffset>
                  </wp:positionH>
                  <wp:positionV relativeFrom="paragraph">
                    <wp:posOffset>139700</wp:posOffset>
                  </wp:positionV>
                  <wp:extent cx="1019175" cy="1019175"/>
                  <wp:effectExtent l="0" t="0" r="9525" b="9525"/>
                  <wp:wrapTight wrapText="bothSides">
                    <wp:wrapPolygon edited="0">
                      <wp:start x="0" y="0"/>
                      <wp:lineTo x="0" y="21398"/>
                      <wp:lineTo x="21398" y="21398"/>
                      <wp:lineTo x="21398" y="0"/>
                      <wp:lineTo x="0" y="0"/>
                    </wp:wrapPolygon>
                  </wp:wrapTight>
                  <wp:docPr id="1" name="Picture 1" descr="Image result for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mmonwealth of massachuset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AE1B32">
              <w:rPr>
                <w:noProof/>
                <w:szCs w:val="20"/>
              </w:rPr>
              <mc:AlternateContent>
                <mc:Choice Requires="wps">
                  <w:drawing>
                    <wp:anchor distT="0" distB="0" distL="114300" distR="114300" simplePos="0" relativeHeight="251658240" behindDoc="0" locked="0" layoutInCell="1" allowOverlap="1" wp14:anchorId="12C54AD3" wp14:editId="12C54AD4">
                      <wp:simplePos x="0" y="0"/>
                      <wp:positionH relativeFrom="column">
                        <wp:posOffset>-473710</wp:posOffset>
                      </wp:positionH>
                      <wp:positionV relativeFrom="paragraph">
                        <wp:posOffset>-699770</wp:posOffset>
                      </wp:positionV>
                      <wp:extent cx="8869045" cy="113665"/>
                      <wp:effectExtent l="2540" t="1905"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69045" cy="113665"/>
                              </a:xfrm>
                              <a:prstGeom prst="rect">
                                <a:avLst/>
                              </a:prstGeom>
                              <a:solidFill>
                                <a:srgbClr val="2541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A3CC7" id="Rectangle 2" o:spid="_x0000_s1026" style="position:absolute;margin-left:-37.3pt;margin-top:-55.1pt;width:698.35pt;height: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" fillcolor="#25416b" stroked="f"/>
                  </w:pict>
                </mc:Fallback>
              </mc:AlternateContent>
            </w:r>
          </w:p>
        </w:tc>
        <w:tc>
          <w:tcPr>
            <w:tcW w:w="9099" w:type="dxa"/>
            <w:shd w:val="clear" w:color="auto" w:fill="auto"/>
          </w:tcPr>
          <w:p w14:paraId="12C54A69" w14:textId="6908926D" w:rsidR="006536D2" w:rsidRPr="00392D8D" w:rsidRDefault="006536D2" w:rsidP="00FA147F">
            <w:pPr>
              <w:rPr>
                <w:rFonts w:ascii="Myriad Pro" w:hAnsi="Myriad Pro"/>
                <w:color w:val="25416B"/>
                <w:sz w:val="18"/>
              </w:rPr>
            </w:pPr>
          </w:p>
          <w:p w14:paraId="3231DF1C" w14:textId="77777777" w:rsidR="00EE6643" w:rsidRPr="00EE6643" w:rsidRDefault="00EE6643" w:rsidP="00752464">
            <w:pPr>
              <w:spacing w:before="140"/>
              <w:rPr>
                <w:rFonts w:ascii="Book Antiqua" w:hAnsi="Book Antiqua"/>
                <w:color w:val="25416B"/>
                <w:sz w:val="16"/>
                <w:szCs w:val="16"/>
              </w:rPr>
            </w:pPr>
          </w:p>
          <w:p w14:paraId="2CC67E90" w14:textId="564BBA2B" w:rsidR="00527541" w:rsidRDefault="0054330A" w:rsidP="00752464">
            <w:pPr>
              <w:spacing w:before="140"/>
              <w:rPr>
                <w:rFonts w:ascii="Book Antiqua" w:hAnsi="Book Antiqua"/>
                <w:color w:val="25416B"/>
                <w:sz w:val="28"/>
                <w:szCs w:val="28"/>
              </w:rPr>
            </w:pPr>
            <w:r w:rsidRPr="0054330A">
              <w:rPr>
                <w:rFonts w:ascii="Book Antiqua" w:hAnsi="Book Antiqua"/>
                <w:color w:val="25416B"/>
                <w:sz w:val="28"/>
                <w:szCs w:val="28"/>
              </w:rPr>
              <w:t>Massachusetts Executive Office of Health and Human Services</w:t>
            </w:r>
            <w:r>
              <w:rPr>
                <w:rFonts w:ascii="Book Antiqua" w:hAnsi="Book Antiqua"/>
                <w:color w:val="25416B"/>
                <w:sz w:val="28"/>
                <w:szCs w:val="28"/>
              </w:rPr>
              <w:t xml:space="preserve"> </w:t>
            </w:r>
          </w:p>
          <w:p w14:paraId="12C54A6A" w14:textId="3DAFB5FE" w:rsidR="006536D2" w:rsidRPr="00906486" w:rsidRDefault="0054330A" w:rsidP="00EE6643">
            <w:pPr>
              <w:rPr>
                <w:rFonts w:ascii="Book Antiqua" w:hAnsi="Book Antiqua"/>
                <w:color w:val="25416B"/>
                <w:sz w:val="28"/>
                <w:szCs w:val="28"/>
              </w:rPr>
            </w:pPr>
            <w:r w:rsidRPr="0054330A">
              <w:rPr>
                <w:rFonts w:ascii="Book Antiqua" w:hAnsi="Book Antiqua"/>
                <w:color w:val="25416B"/>
                <w:sz w:val="28"/>
                <w:szCs w:val="28"/>
              </w:rPr>
              <w:t xml:space="preserve">Quality </w:t>
            </w:r>
            <w:r w:rsidR="00E20CB9">
              <w:rPr>
                <w:rFonts w:ascii="Book Antiqua" w:hAnsi="Book Antiqua"/>
                <w:color w:val="25416B"/>
                <w:sz w:val="28"/>
                <w:szCs w:val="28"/>
              </w:rPr>
              <w:t xml:space="preserve">Measure </w:t>
            </w:r>
            <w:r w:rsidRPr="0054330A">
              <w:rPr>
                <w:rFonts w:ascii="Book Antiqua" w:hAnsi="Book Antiqua"/>
                <w:color w:val="25416B"/>
                <w:sz w:val="28"/>
                <w:szCs w:val="28"/>
              </w:rPr>
              <w:t>Alignment Taskforce</w:t>
            </w:r>
          </w:p>
        </w:tc>
      </w:tr>
    </w:tbl>
    <w:p w14:paraId="12C54A6C" w14:textId="77777777" w:rsidR="006536D2" w:rsidRDefault="006536D2" w:rsidP="00FA147F">
      <w:pPr>
        <w:sectPr w:rsidR="006536D2" w:rsidSect="00AF7C7F">
          <w:headerReference w:type="default" r:id="rId12"/>
          <w:footerReference w:type="even" r:id="rId13"/>
          <w:footerReference w:type="default" r:id="rId14"/>
          <w:footerReference w:type="first" r:id="rId15"/>
          <w:type w:val="continuous"/>
          <w:pgSz w:w="12240" w:h="15840"/>
          <w:pgMar w:top="720" w:right="720" w:bottom="1440" w:left="720" w:header="720" w:footer="720" w:gutter="0"/>
          <w:cols w:space="720"/>
          <w:titlePg/>
        </w:sectPr>
      </w:pPr>
    </w:p>
    <w:p w14:paraId="12C54A6D" w14:textId="08E6480D" w:rsidR="006536D2" w:rsidRPr="00C271BD" w:rsidRDefault="002F2A22" w:rsidP="00FA147F">
      <w:pPr>
        <w:rPr>
          <w:rFonts w:ascii="Book Antiqua" w:hAnsi="Book Antiqua"/>
          <w:sz w:val="22"/>
          <w:szCs w:val="22"/>
        </w:rPr>
      </w:pPr>
      <w:r>
        <w:rPr>
          <w:noProof/>
          <w:szCs w:val="20"/>
        </w:rPr>
        <mc:AlternateContent>
          <mc:Choice Requires="wpg">
            <w:drawing>
              <wp:anchor distT="0" distB="0" distL="114300" distR="114300" simplePos="0" relativeHeight="251658241" behindDoc="1" locked="0" layoutInCell="1" allowOverlap="1" wp14:anchorId="12C54AD5" wp14:editId="01226353">
                <wp:simplePos x="0" y="0"/>
                <wp:positionH relativeFrom="column">
                  <wp:posOffset>727076</wp:posOffset>
                </wp:positionH>
                <wp:positionV relativeFrom="paragraph">
                  <wp:posOffset>-1931670</wp:posOffset>
                </wp:positionV>
                <wp:extent cx="6243955" cy="9603105"/>
                <wp:effectExtent l="0" t="1905" r="0" b="0"/>
                <wp:wrapNone/>
                <wp:docPr id="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3955" cy="9603105"/>
                          <a:chOff x="2456" y="-477"/>
                          <a:chExt cx="9833" cy="15123"/>
                        </a:xfrm>
                      </wpg:grpSpPr>
                      <wps:wsp>
                        <wps:cNvPr id="3" name="Rectangle 14"/>
                        <wps:cNvSpPr>
                          <a:spLocks noChangeArrowheads="1"/>
                        </wps:cNvSpPr>
                        <wps:spPr bwMode="auto">
                          <a:xfrm rot="-5400000">
                            <a:off x="4638" y="6995"/>
                            <a:ext cx="15123" cy="179"/>
                          </a:xfrm>
                          <a:prstGeom prst="rect">
                            <a:avLst/>
                          </a:prstGeom>
                          <a:solidFill>
                            <a:srgbClr val="2541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6"/>
                        <wps:cNvSpPr>
                          <a:spLocks noChangeArrowheads="1"/>
                        </wps:cNvSpPr>
                        <wps:spPr bwMode="auto">
                          <a:xfrm>
                            <a:off x="2456" y="-21"/>
                            <a:ext cx="9680" cy="179"/>
                          </a:xfrm>
                          <a:prstGeom prst="rect">
                            <a:avLst/>
                          </a:prstGeom>
                          <a:solidFill>
                            <a:srgbClr val="2541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D39AD2" id="Group 17" o:spid="_x0000_s1026" style="position:absolute;margin-left:57.25pt;margin-top:-152.1pt;width:491.65pt;height:756.15pt;z-index:-251658239" coordorigin="2456,-477" coordsize="9833,15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">
                <v:rect id="Rectangle 14" o:spid="_x0000_s1027" style="position:absolute;left:4638;top:6995;width:15123;height:17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" fillcolor="#25416b" stroked="f"/>
                <v:rect id="Rectangle 16" o:spid="_x0000_s1028" style="position:absolute;left:2456;top:-21;width:96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" fillcolor="#25416b" stroked="f"/>
              </v:group>
            </w:pict>
          </mc:Fallback>
        </mc:AlternateContent>
      </w:r>
    </w:p>
    <w:p w14:paraId="12C54A6E" w14:textId="77777777" w:rsidR="006F4157" w:rsidRDefault="00D457EE" w:rsidP="000E2879">
      <w:pPr>
        <w:ind w:left="1440" w:right="720" w:hanging="1440"/>
        <w:jc w:val="center"/>
        <w:rPr>
          <w:rFonts w:ascii="Book Antiqua" w:hAnsi="Book Antiqua"/>
          <w:b/>
        </w:rPr>
      </w:pPr>
      <w:r w:rsidRPr="000E2879">
        <w:rPr>
          <w:rFonts w:ascii="Book Antiqua" w:hAnsi="Book Antiqua"/>
          <w:b/>
        </w:rPr>
        <w:t xml:space="preserve">Massachusetts </w:t>
      </w:r>
      <w:r w:rsidR="00784F81" w:rsidRPr="000E2879">
        <w:rPr>
          <w:rFonts w:ascii="Book Antiqua" w:hAnsi="Book Antiqua"/>
          <w:b/>
        </w:rPr>
        <w:t xml:space="preserve">Aligned Measure Set </w:t>
      </w:r>
      <w:r w:rsidR="00D20F73" w:rsidRPr="000E2879">
        <w:rPr>
          <w:rFonts w:ascii="Book Antiqua" w:hAnsi="Book Antiqua"/>
          <w:b/>
        </w:rPr>
        <w:t>for Global Budget-Based Risk Contracts</w:t>
      </w:r>
    </w:p>
    <w:p w14:paraId="12C54A6F" w14:textId="6AEF965B" w:rsidR="000E2879" w:rsidRPr="001B0085" w:rsidRDefault="000E2879" w:rsidP="000E2879">
      <w:pPr>
        <w:ind w:left="1440" w:right="720" w:hanging="1440"/>
        <w:jc w:val="center"/>
        <w:rPr>
          <w:rFonts w:ascii="Book Antiqua" w:hAnsi="Book Antiqua"/>
          <w:b/>
        </w:rPr>
      </w:pPr>
      <w:r w:rsidRPr="001B0085">
        <w:rPr>
          <w:rFonts w:ascii="Book Antiqua" w:hAnsi="Book Antiqua"/>
          <w:b/>
        </w:rPr>
        <w:t>202</w:t>
      </w:r>
      <w:r w:rsidR="00E20CB9">
        <w:rPr>
          <w:rFonts w:ascii="Book Antiqua" w:hAnsi="Book Antiqua"/>
          <w:b/>
        </w:rPr>
        <w:t>1</w:t>
      </w:r>
      <w:r w:rsidRPr="001B0085">
        <w:rPr>
          <w:rFonts w:ascii="Book Antiqua" w:hAnsi="Book Antiqua"/>
          <w:b/>
        </w:rPr>
        <w:t xml:space="preserve"> Measures and Implementation Parameters</w:t>
      </w:r>
    </w:p>
    <w:p w14:paraId="12C54A70" w14:textId="6F58AEE7" w:rsidR="001B0085" w:rsidRPr="001B0085" w:rsidRDefault="00AC4590" w:rsidP="000E2879">
      <w:pPr>
        <w:ind w:left="1440" w:right="720" w:hanging="1440"/>
        <w:jc w:val="center"/>
        <w:rPr>
          <w:rFonts w:ascii="Book Antiqua" w:hAnsi="Book Antiqua"/>
          <w:b/>
        </w:rPr>
      </w:pPr>
      <w:r>
        <w:rPr>
          <w:rFonts w:ascii="Book Antiqua" w:hAnsi="Book Antiqua"/>
          <w:b/>
        </w:rPr>
        <w:t xml:space="preserve">October </w:t>
      </w:r>
      <w:r w:rsidR="00BD1914">
        <w:rPr>
          <w:rFonts w:ascii="Book Antiqua" w:hAnsi="Book Antiqua"/>
          <w:b/>
        </w:rPr>
        <w:t>15</w:t>
      </w:r>
      <w:r w:rsidR="00E20CB9">
        <w:rPr>
          <w:rFonts w:ascii="Book Antiqua" w:hAnsi="Book Antiqua"/>
          <w:b/>
        </w:rPr>
        <w:t>, 2020</w:t>
      </w:r>
    </w:p>
    <w:p w14:paraId="12C54A71" w14:textId="77777777" w:rsidR="002D710C" w:rsidRDefault="002D710C" w:rsidP="00FA147F">
      <w:pPr>
        <w:ind w:right="720"/>
        <w:rPr>
          <w:rFonts w:ascii="Book Antiqua" w:hAnsi="Book Antiqua"/>
          <w:sz w:val="22"/>
          <w:szCs w:val="22"/>
        </w:rPr>
      </w:pPr>
    </w:p>
    <w:p w14:paraId="12C54A72" w14:textId="77777777" w:rsidR="001B0085" w:rsidRPr="004F4311" w:rsidRDefault="001B0085" w:rsidP="00FA147F">
      <w:pPr>
        <w:ind w:right="720"/>
        <w:rPr>
          <w:rFonts w:ascii="Book Antiqua" w:hAnsi="Book Antiqua"/>
          <w:sz w:val="22"/>
          <w:szCs w:val="22"/>
        </w:rPr>
      </w:pPr>
    </w:p>
    <w:p w14:paraId="12C54A73" w14:textId="77777777" w:rsidR="00301FE4" w:rsidRPr="00CB2CD2" w:rsidRDefault="00857730" w:rsidP="00023222">
      <w:pPr>
        <w:pStyle w:val="Heading1"/>
        <w:spacing w:before="0"/>
        <w:rPr>
          <w:szCs w:val="22"/>
        </w:rPr>
      </w:pPr>
      <w:r w:rsidRPr="00CB2CD2">
        <w:rPr>
          <w:szCs w:val="22"/>
        </w:rPr>
        <w:t xml:space="preserve">I. </w:t>
      </w:r>
      <w:r w:rsidR="002D710C" w:rsidRPr="00CB2CD2">
        <w:rPr>
          <w:szCs w:val="22"/>
        </w:rPr>
        <w:t>Introduction</w:t>
      </w:r>
    </w:p>
    <w:p w14:paraId="5FCEB269" w14:textId="77777777" w:rsidR="00FF12C1" w:rsidRDefault="00637114" w:rsidP="00023222">
      <w:pPr>
        <w:rPr>
          <w:rFonts w:ascii="Book Antiqua" w:hAnsi="Book Antiqua"/>
          <w:sz w:val="22"/>
          <w:szCs w:val="22"/>
        </w:rPr>
      </w:pPr>
      <w:r w:rsidRPr="004F4311">
        <w:rPr>
          <w:rFonts w:ascii="Book Antiqua" w:hAnsi="Book Antiqua"/>
          <w:sz w:val="22"/>
          <w:szCs w:val="22"/>
        </w:rPr>
        <w:t xml:space="preserve">In 2017 the </w:t>
      </w:r>
      <w:r w:rsidR="00FC3190" w:rsidRPr="004F4311">
        <w:rPr>
          <w:rFonts w:ascii="Book Antiqua" w:hAnsi="Book Antiqua"/>
          <w:sz w:val="22"/>
          <w:szCs w:val="22"/>
        </w:rPr>
        <w:t>Executive Office of Health and Human Services (</w:t>
      </w:r>
      <w:r w:rsidRPr="004F4311">
        <w:rPr>
          <w:rFonts w:ascii="Book Antiqua" w:hAnsi="Book Antiqua"/>
          <w:sz w:val="22"/>
          <w:szCs w:val="22"/>
        </w:rPr>
        <w:t>EOHHS</w:t>
      </w:r>
      <w:r w:rsidR="00FC3190" w:rsidRPr="004F4311">
        <w:rPr>
          <w:rFonts w:ascii="Book Antiqua" w:hAnsi="Book Antiqua"/>
          <w:sz w:val="22"/>
          <w:szCs w:val="22"/>
        </w:rPr>
        <w:t>)</w:t>
      </w:r>
      <w:r w:rsidRPr="004F4311">
        <w:rPr>
          <w:rFonts w:ascii="Book Antiqua" w:hAnsi="Book Antiqua"/>
          <w:sz w:val="22"/>
          <w:szCs w:val="22"/>
        </w:rPr>
        <w:t xml:space="preserve"> convened a Quality Alignment Taskforce (Taskforce) to </w:t>
      </w:r>
      <w:r w:rsidR="001B0E30">
        <w:rPr>
          <w:rFonts w:ascii="Book Antiqua" w:hAnsi="Book Antiqua"/>
          <w:sz w:val="22"/>
          <w:szCs w:val="22"/>
        </w:rPr>
        <w:t>recommend to the Secretary an</w:t>
      </w:r>
      <w:r w:rsidRPr="004F4311">
        <w:rPr>
          <w:rFonts w:ascii="Book Antiqua" w:hAnsi="Book Antiqua"/>
          <w:sz w:val="22"/>
          <w:szCs w:val="22"/>
        </w:rPr>
        <w:t xml:space="preserve"> aligned measure set for use in global budget-based risk contracts</w:t>
      </w:r>
      <w:r w:rsidR="005D70A1">
        <w:rPr>
          <w:rFonts w:ascii="Book Antiqua" w:hAnsi="Book Antiqua"/>
          <w:sz w:val="22"/>
          <w:szCs w:val="22"/>
        </w:rPr>
        <w:t>.</w:t>
      </w:r>
      <w:r w:rsidRPr="004F4311">
        <w:rPr>
          <w:rFonts w:ascii="Book Antiqua" w:hAnsi="Book Antiqua"/>
          <w:sz w:val="22"/>
          <w:szCs w:val="22"/>
        </w:rPr>
        <w:t xml:space="preserve"> </w:t>
      </w:r>
      <w:r w:rsidR="005D70A1" w:rsidRPr="005D70A1">
        <w:rPr>
          <w:rFonts w:ascii="Book Antiqua" w:hAnsi="Book Antiqua"/>
          <w:sz w:val="22"/>
          <w:szCs w:val="22"/>
        </w:rPr>
        <w:t xml:space="preserve"> </w:t>
      </w:r>
    </w:p>
    <w:p w14:paraId="57154DCC" w14:textId="77777777" w:rsidR="00FF12C1" w:rsidRDefault="00FF12C1" w:rsidP="00023222">
      <w:pPr>
        <w:rPr>
          <w:rFonts w:ascii="Book Antiqua" w:hAnsi="Book Antiqua"/>
          <w:sz w:val="22"/>
          <w:szCs w:val="22"/>
        </w:rPr>
      </w:pPr>
    </w:p>
    <w:p w14:paraId="5E94B11D" w14:textId="05F8521B" w:rsidR="00E20CB9" w:rsidRDefault="00D14F5A" w:rsidP="00023222">
      <w:pPr>
        <w:rPr>
          <w:rFonts w:ascii="Book Antiqua" w:hAnsi="Book Antiqua"/>
          <w:sz w:val="22"/>
          <w:szCs w:val="22"/>
        </w:rPr>
      </w:pPr>
      <w:r>
        <w:rPr>
          <w:rFonts w:ascii="Book Antiqua" w:hAnsi="Book Antiqua"/>
          <w:sz w:val="22"/>
          <w:szCs w:val="22"/>
        </w:rPr>
        <w:t>Global budget-based risk contracts are defined as</w:t>
      </w:r>
      <w:r w:rsidR="00FF12C1">
        <w:rPr>
          <w:rFonts w:ascii="Book Antiqua" w:hAnsi="Book Antiqua"/>
          <w:sz w:val="22"/>
          <w:szCs w:val="22"/>
        </w:rPr>
        <w:t xml:space="preserve">: </w:t>
      </w:r>
      <w:r w:rsidR="00FF12C1" w:rsidRPr="00FF12C1">
        <w:rPr>
          <w:rFonts w:ascii="Book Antiqua" w:hAnsi="Book Antiqua"/>
          <w:sz w:val="22"/>
          <w:szCs w:val="22"/>
        </w:rPr>
        <w:t>Contracts between payers (commercial and Medicaid) and provider organization where budgets for health care spending are set either prospectively or retrospectively, according to a prospectively known formula, for a comprehensive set of services</w:t>
      </w:r>
      <w:r w:rsidR="00A060E3">
        <w:rPr>
          <w:rStyle w:val="FootnoteReference"/>
          <w:rFonts w:ascii="Book Antiqua" w:hAnsi="Book Antiqua"/>
          <w:sz w:val="22"/>
          <w:szCs w:val="22"/>
        </w:rPr>
        <w:footnoteReference w:id="2"/>
      </w:r>
      <w:r w:rsidR="00FF12C1" w:rsidRPr="00FF12C1">
        <w:rPr>
          <w:rFonts w:ascii="Book Antiqua" w:hAnsi="Book Antiqua"/>
          <w:sz w:val="22"/>
          <w:szCs w:val="22"/>
        </w:rPr>
        <w:t xml:space="preserve"> for a broadly defined population, and for which there is a financial incentive for achieving a budget. </w:t>
      </w:r>
      <w:r w:rsidR="00E44C79">
        <w:rPr>
          <w:rFonts w:ascii="Book Antiqua" w:hAnsi="Book Antiqua"/>
          <w:sz w:val="22"/>
          <w:szCs w:val="22"/>
        </w:rPr>
        <w:t xml:space="preserve"> </w:t>
      </w:r>
      <w:r w:rsidR="00FF12C1" w:rsidRPr="00FF12C1">
        <w:rPr>
          <w:rFonts w:ascii="Book Antiqua" w:hAnsi="Book Antiqua"/>
          <w:sz w:val="22"/>
          <w:szCs w:val="22"/>
        </w:rPr>
        <w:t>The contract includes incentives based on a provider organization's performance on a set of measures of health care quality or there is a standalone quality incentive</w:t>
      </w:r>
      <w:r w:rsidR="00376A53">
        <w:rPr>
          <w:rFonts w:ascii="Book Antiqua" w:hAnsi="Book Antiqua"/>
          <w:sz w:val="22"/>
          <w:szCs w:val="22"/>
        </w:rPr>
        <w:t xml:space="preserve"> applied to </w:t>
      </w:r>
      <w:r w:rsidR="00FF12C1" w:rsidRPr="00FF12C1">
        <w:rPr>
          <w:rFonts w:ascii="Book Antiqua" w:hAnsi="Book Antiqua"/>
          <w:sz w:val="22"/>
          <w:szCs w:val="22"/>
        </w:rPr>
        <w:t>the same patient population.</w:t>
      </w:r>
    </w:p>
    <w:p w14:paraId="711CD725" w14:textId="77777777" w:rsidR="00B36E86" w:rsidRDefault="00B36E86" w:rsidP="00023222">
      <w:pPr>
        <w:rPr>
          <w:rFonts w:ascii="Book Antiqua" w:hAnsi="Book Antiqua"/>
          <w:sz w:val="22"/>
          <w:szCs w:val="22"/>
        </w:rPr>
      </w:pPr>
    </w:p>
    <w:p w14:paraId="12C54A76" w14:textId="60D5474A" w:rsidR="004B30F1" w:rsidRPr="004F4311" w:rsidRDefault="005D70A1" w:rsidP="00023222">
      <w:pPr>
        <w:rPr>
          <w:rFonts w:ascii="Book Antiqua" w:hAnsi="Book Antiqua"/>
          <w:sz w:val="22"/>
          <w:szCs w:val="22"/>
        </w:rPr>
      </w:pPr>
      <w:r>
        <w:rPr>
          <w:rFonts w:ascii="Book Antiqua" w:hAnsi="Book Antiqua"/>
          <w:sz w:val="22"/>
          <w:szCs w:val="22"/>
        </w:rPr>
        <w:t xml:space="preserve">At the outset of its work, </w:t>
      </w:r>
      <w:r w:rsidR="004B30F1" w:rsidRPr="004F4311">
        <w:rPr>
          <w:rFonts w:ascii="Book Antiqua" w:hAnsi="Book Antiqua"/>
          <w:sz w:val="22"/>
          <w:szCs w:val="22"/>
        </w:rPr>
        <w:t xml:space="preserve">EOHHS’ objectives </w:t>
      </w:r>
      <w:r w:rsidR="00061F2B">
        <w:rPr>
          <w:rFonts w:ascii="Book Antiqua" w:hAnsi="Book Antiqua"/>
          <w:sz w:val="22"/>
          <w:szCs w:val="22"/>
        </w:rPr>
        <w:t>we</w:t>
      </w:r>
      <w:r w:rsidR="004B30F1" w:rsidRPr="004F4311">
        <w:rPr>
          <w:rFonts w:ascii="Book Antiqua" w:hAnsi="Book Antiqua"/>
          <w:sz w:val="22"/>
          <w:szCs w:val="22"/>
        </w:rPr>
        <w:t xml:space="preserve">re to a) reduce the administrative burden on provider organizations associated with operating under multiple, non-aligned contractual measure sets, including </w:t>
      </w:r>
      <w:r w:rsidR="00704EFB">
        <w:rPr>
          <w:rFonts w:ascii="Book Antiqua" w:hAnsi="Book Antiqua"/>
          <w:sz w:val="22"/>
          <w:szCs w:val="22"/>
        </w:rPr>
        <w:t xml:space="preserve">the </w:t>
      </w:r>
      <w:r w:rsidR="004B30F1" w:rsidRPr="004F4311">
        <w:rPr>
          <w:rFonts w:ascii="Book Antiqua" w:hAnsi="Book Antiqua"/>
          <w:sz w:val="22"/>
          <w:szCs w:val="22"/>
        </w:rPr>
        <w:t xml:space="preserve">burden associated with resources dedicated to varied quality improvement initiatives and to measure reporting, and b) focus provider quality improvement efforts on state health </w:t>
      </w:r>
      <w:r w:rsidR="00B35456">
        <w:rPr>
          <w:rFonts w:ascii="Book Antiqua" w:hAnsi="Book Antiqua"/>
          <w:sz w:val="22"/>
          <w:szCs w:val="22"/>
        </w:rPr>
        <w:t xml:space="preserve">and </w:t>
      </w:r>
      <w:r w:rsidR="00F41A75">
        <w:rPr>
          <w:rFonts w:ascii="Book Antiqua" w:hAnsi="Book Antiqua"/>
          <w:sz w:val="22"/>
          <w:szCs w:val="22"/>
        </w:rPr>
        <w:t>h</w:t>
      </w:r>
      <w:r w:rsidR="00B35456">
        <w:rPr>
          <w:rFonts w:ascii="Book Antiqua" w:hAnsi="Book Antiqua"/>
          <w:sz w:val="22"/>
          <w:szCs w:val="22"/>
        </w:rPr>
        <w:t xml:space="preserve">ealth care improvement </w:t>
      </w:r>
      <w:r w:rsidR="004B30F1" w:rsidRPr="004F4311">
        <w:rPr>
          <w:rFonts w:ascii="Book Antiqua" w:hAnsi="Book Antiqua"/>
          <w:sz w:val="22"/>
          <w:szCs w:val="22"/>
        </w:rPr>
        <w:t>opportunities and priorities.</w:t>
      </w:r>
    </w:p>
    <w:p w14:paraId="12C54A77" w14:textId="77777777" w:rsidR="004B30F1" w:rsidRPr="004F4311" w:rsidRDefault="004B30F1" w:rsidP="00023222">
      <w:pPr>
        <w:rPr>
          <w:rFonts w:ascii="Book Antiqua" w:hAnsi="Book Antiqua"/>
          <w:sz w:val="22"/>
          <w:szCs w:val="22"/>
        </w:rPr>
      </w:pPr>
    </w:p>
    <w:p w14:paraId="12C54A78" w14:textId="4E772A3A" w:rsidR="00637114" w:rsidRPr="004F4311" w:rsidRDefault="003446C2" w:rsidP="00023222">
      <w:pPr>
        <w:rPr>
          <w:rFonts w:ascii="Book Antiqua" w:hAnsi="Book Antiqua"/>
          <w:sz w:val="22"/>
          <w:szCs w:val="22"/>
        </w:rPr>
      </w:pPr>
      <w:r>
        <w:rPr>
          <w:rFonts w:ascii="Book Antiqua" w:hAnsi="Book Antiqua"/>
          <w:sz w:val="22"/>
          <w:szCs w:val="22"/>
        </w:rPr>
        <w:t>T</w:t>
      </w:r>
      <w:r w:rsidR="004B30F1" w:rsidRPr="004F4311">
        <w:rPr>
          <w:rFonts w:ascii="Book Antiqua" w:hAnsi="Book Antiqua"/>
          <w:sz w:val="22"/>
          <w:szCs w:val="22"/>
        </w:rPr>
        <w:t xml:space="preserve">he Taskforce </w:t>
      </w:r>
      <w:r w:rsidR="00B77BD1">
        <w:rPr>
          <w:rFonts w:ascii="Book Antiqua" w:hAnsi="Book Antiqua"/>
          <w:sz w:val="22"/>
          <w:szCs w:val="22"/>
        </w:rPr>
        <w:t xml:space="preserve">has </w:t>
      </w:r>
      <w:r w:rsidR="004B30F1" w:rsidRPr="004F4311">
        <w:rPr>
          <w:rFonts w:ascii="Book Antiqua" w:hAnsi="Book Antiqua"/>
          <w:sz w:val="22"/>
          <w:szCs w:val="22"/>
        </w:rPr>
        <w:t>developed a</w:t>
      </w:r>
      <w:r w:rsidR="00F63949">
        <w:rPr>
          <w:rFonts w:ascii="Book Antiqua" w:hAnsi="Book Antiqua"/>
          <w:sz w:val="22"/>
          <w:szCs w:val="22"/>
        </w:rPr>
        <w:t>n</w:t>
      </w:r>
      <w:r w:rsidR="004B30F1" w:rsidRPr="004F4311">
        <w:rPr>
          <w:rFonts w:ascii="Book Antiqua" w:hAnsi="Book Antiqua"/>
          <w:sz w:val="22"/>
          <w:szCs w:val="22"/>
        </w:rPr>
        <w:t xml:space="preserve"> aligned measure set for voluntary adoption by private and public payers and by providers in global budget-based risk contracts.  </w:t>
      </w:r>
      <w:r w:rsidR="0060103E">
        <w:rPr>
          <w:rFonts w:ascii="Book Antiqua" w:hAnsi="Book Antiqua"/>
          <w:sz w:val="22"/>
          <w:szCs w:val="22"/>
        </w:rPr>
        <w:t xml:space="preserve">By doing so, the </w:t>
      </w:r>
      <w:r w:rsidR="0060103E" w:rsidRPr="0060103E">
        <w:rPr>
          <w:rFonts w:ascii="Book Antiqua" w:hAnsi="Book Antiqua"/>
          <w:sz w:val="22"/>
          <w:szCs w:val="22"/>
        </w:rPr>
        <w:t xml:space="preserve">Taskforce strives to advance progress on state health priorities and reduce use of measures that </w:t>
      </w:r>
      <w:proofErr w:type="gramStart"/>
      <w:r w:rsidR="0060103E" w:rsidRPr="0060103E">
        <w:rPr>
          <w:rFonts w:ascii="Book Antiqua" w:hAnsi="Book Antiqua"/>
          <w:sz w:val="22"/>
          <w:szCs w:val="22"/>
        </w:rPr>
        <w:t>don’t</w:t>
      </w:r>
      <w:proofErr w:type="gramEnd"/>
      <w:r w:rsidR="0060103E" w:rsidRPr="0060103E">
        <w:rPr>
          <w:rFonts w:ascii="Book Antiqua" w:hAnsi="Book Antiqua"/>
          <w:sz w:val="22"/>
          <w:szCs w:val="22"/>
        </w:rPr>
        <w:t xml:space="preserve"> add value.</w:t>
      </w:r>
      <w:r w:rsidR="0060103E">
        <w:rPr>
          <w:rFonts w:ascii="Book Antiqua" w:hAnsi="Book Antiqua"/>
          <w:sz w:val="22"/>
          <w:szCs w:val="22"/>
        </w:rPr>
        <w:t xml:space="preserve">  </w:t>
      </w:r>
      <w:r>
        <w:rPr>
          <w:rFonts w:ascii="Book Antiqua" w:hAnsi="Book Antiqua"/>
          <w:sz w:val="22"/>
          <w:szCs w:val="22"/>
        </w:rPr>
        <w:t>T</w:t>
      </w:r>
      <w:r w:rsidR="004B30F1" w:rsidRPr="004F4311">
        <w:rPr>
          <w:rFonts w:ascii="Book Antiqua" w:hAnsi="Book Antiqua"/>
          <w:sz w:val="22"/>
          <w:szCs w:val="22"/>
        </w:rPr>
        <w:t xml:space="preserve">his document </w:t>
      </w:r>
      <w:r>
        <w:rPr>
          <w:rFonts w:ascii="Book Antiqua" w:hAnsi="Book Antiqua"/>
          <w:sz w:val="22"/>
          <w:szCs w:val="22"/>
        </w:rPr>
        <w:t>puts forth</w:t>
      </w:r>
      <w:r w:rsidR="004B30F1" w:rsidRPr="004F4311">
        <w:rPr>
          <w:rFonts w:ascii="Book Antiqua" w:hAnsi="Book Antiqua"/>
          <w:sz w:val="22"/>
          <w:szCs w:val="22"/>
        </w:rPr>
        <w:t xml:space="preserve"> </w:t>
      </w:r>
      <w:r w:rsidR="00F63949">
        <w:rPr>
          <w:rFonts w:ascii="Book Antiqua" w:hAnsi="Book Antiqua"/>
          <w:sz w:val="22"/>
          <w:szCs w:val="22"/>
        </w:rPr>
        <w:t>guidance for</w:t>
      </w:r>
      <w:r>
        <w:rPr>
          <w:rFonts w:ascii="Book Antiqua" w:hAnsi="Book Antiqua"/>
          <w:sz w:val="22"/>
          <w:szCs w:val="22"/>
        </w:rPr>
        <w:t xml:space="preserve"> 202</w:t>
      </w:r>
      <w:r w:rsidR="006B6B2F">
        <w:rPr>
          <w:rFonts w:ascii="Book Antiqua" w:hAnsi="Book Antiqua"/>
          <w:sz w:val="22"/>
          <w:szCs w:val="22"/>
        </w:rPr>
        <w:t>1</w:t>
      </w:r>
      <w:r>
        <w:rPr>
          <w:rFonts w:ascii="Book Antiqua" w:hAnsi="Book Antiqua"/>
          <w:sz w:val="22"/>
          <w:szCs w:val="22"/>
        </w:rPr>
        <w:t xml:space="preserve"> </w:t>
      </w:r>
      <w:r w:rsidR="00F41A75">
        <w:rPr>
          <w:rFonts w:ascii="Book Antiqua" w:hAnsi="Book Antiqua"/>
          <w:sz w:val="22"/>
          <w:szCs w:val="22"/>
        </w:rPr>
        <w:t>implementation of the Massachusetts Aligned Measure Set</w:t>
      </w:r>
      <w:r w:rsidR="00462796">
        <w:rPr>
          <w:rFonts w:ascii="Book Antiqua" w:hAnsi="Book Antiqua"/>
          <w:sz w:val="22"/>
          <w:szCs w:val="22"/>
        </w:rPr>
        <w:t xml:space="preserve"> as endorsed by EOHHS</w:t>
      </w:r>
      <w:r w:rsidR="00F41A75">
        <w:rPr>
          <w:rFonts w:ascii="Book Antiqua" w:hAnsi="Book Antiqua"/>
          <w:sz w:val="22"/>
          <w:szCs w:val="22"/>
        </w:rPr>
        <w:t>.</w:t>
      </w:r>
    </w:p>
    <w:p w14:paraId="12C54A79" w14:textId="77777777" w:rsidR="003465A1" w:rsidRPr="004F4311" w:rsidRDefault="003465A1" w:rsidP="00023222">
      <w:pPr>
        <w:rPr>
          <w:rFonts w:ascii="Book Antiqua" w:hAnsi="Book Antiqua"/>
          <w:sz w:val="22"/>
          <w:szCs w:val="22"/>
        </w:rPr>
      </w:pPr>
    </w:p>
    <w:p w14:paraId="12C54A7A" w14:textId="77777777" w:rsidR="00857730" w:rsidRPr="00CB2CD2" w:rsidRDefault="00857730" w:rsidP="00023222">
      <w:pPr>
        <w:pStyle w:val="Heading1"/>
        <w:spacing w:before="0"/>
        <w:rPr>
          <w:szCs w:val="22"/>
        </w:rPr>
      </w:pPr>
      <w:r w:rsidRPr="00CB2CD2">
        <w:rPr>
          <w:szCs w:val="22"/>
        </w:rPr>
        <w:t xml:space="preserve">II. </w:t>
      </w:r>
      <w:r w:rsidR="00545960">
        <w:rPr>
          <w:szCs w:val="22"/>
        </w:rPr>
        <w:t xml:space="preserve">Massachusetts Aligned </w:t>
      </w:r>
      <w:r w:rsidRPr="00CB2CD2">
        <w:rPr>
          <w:szCs w:val="22"/>
        </w:rPr>
        <w:t>Measure Set</w:t>
      </w:r>
    </w:p>
    <w:p w14:paraId="12C54A7B" w14:textId="04CE673C" w:rsidR="00D3201B" w:rsidRPr="004F4311" w:rsidRDefault="00A0674B" w:rsidP="00023222">
      <w:pPr>
        <w:spacing w:after="200"/>
        <w:rPr>
          <w:rFonts w:ascii="Book Antiqua" w:hAnsi="Book Antiqua"/>
          <w:sz w:val="22"/>
          <w:szCs w:val="22"/>
        </w:rPr>
      </w:pPr>
      <w:r w:rsidRPr="004F4311">
        <w:rPr>
          <w:rFonts w:ascii="Book Antiqua" w:hAnsi="Book Antiqua"/>
          <w:sz w:val="22"/>
          <w:szCs w:val="22"/>
        </w:rPr>
        <w:t>For payers that voluntarily choose to adopt the measures,</w:t>
      </w:r>
      <w:r w:rsidR="00FE4CF7">
        <w:rPr>
          <w:rFonts w:ascii="Book Antiqua" w:hAnsi="Book Antiqua"/>
          <w:sz w:val="22"/>
          <w:szCs w:val="22"/>
        </w:rPr>
        <w:t xml:space="preserve"> </w:t>
      </w:r>
      <w:r w:rsidRPr="004F4311">
        <w:rPr>
          <w:rFonts w:ascii="Book Antiqua" w:hAnsi="Book Antiqua"/>
          <w:sz w:val="22"/>
          <w:szCs w:val="22"/>
        </w:rPr>
        <w:t xml:space="preserve">payers and </w:t>
      </w:r>
      <w:r w:rsidR="00D6382F">
        <w:rPr>
          <w:rFonts w:ascii="Book Antiqua" w:hAnsi="Book Antiqua"/>
          <w:sz w:val="22"/>
          <w:szCs w:val="22"/>
        </w:rPr>
        <w:t xml:space="preserve">providers </w:t>
      </w:r>
      <w:r w:rsidR="006667A9">
        <w:rPr>
          <w:rFonts w:ascii="Book Antiqua" w:hAnsi="Book Antiqua"/>
          <w:sz w:val="22"/>
          <w:szCs w:val="22"/>
        </w:rPr>
        <w:t>will</w:t>
      </w:r>
      <w:r w:rsidRPr="004F4311">
        <w:rPr>
          <w:rFonts w:ascii="Book Antiqua" w:hAnsi="Book Antiqua"/>
          <w:sz w:val="22"/>
          <w:szCs w:val="22"/>
        </w:rPr>
        <w:t xml:space="preserve"> select measures for use in their contracts from two main categories of measures – the Core Set and the Menu Set.  </w:t>
      </w:r>
      <w:r w:rsidR="00690051">
        <w:rPr>
          <w:rStyle w:val="CommentReference"/>
          <w:rFonts w:ascii="Book Antiqua" w:hAnsi="Book Antiqua"/>
          <w:sz w:val="22"/>
          <w:szCs w:val="22"/>
        </w:rPr>
        <w:t>Additional details on the measures included in the Massachusetts Aligned Measure Set can be found in the associated “</w:t>
      </w:r>
      <w:r w:rsidR="00A5629C">
        <w:rPr>
          <w:rStyle w:val="CommentReference"/>
          <w:rFonts w:ascii="Book Antiqua" w:hAnsi="Book Antiqua"/>
          <w:sz w:val="22"/>
          <w:szCs w:val="22"/>
        </w:rPr>
        <w:t>Measure Specifications</w:t>
      </w:r>
      <w:r w:rsidR="00690051">
        <w:rPr>
          <w:rStyle w:val="CommentReference"/>
          <w:rFonts w:ascii="Book Antiqua" w:hAnsi="Book Antiqua"/>
          <w:sz w:val="22"/>
          <w:szCs w:val="22"/>
        </w:rPr>
        <w:t>” document.</w:t>
      </w:r>
      <w:r w:rsidR="00D33801">
        <w:rPr>
          <w:rStyle w:val="CommentReference"/>
          <w:rFonts w:ascii="Book Antiqua" w:hAnsi="Book Antiqua"/>
          <w:sz w:val="22"/>
          <w:szCs w:val="22"/>
        </w:rPr>
        <w:t xml:space="preserve">  </w:t>
      </w:r>
      <w:r w:rsidR="00D33801" w:rsidRPr="000310E2">
        <w:rPr>
          <w:rStyle w:val="CommentReference"/>
          <w:rFonts w:ascii="Book Antiqua" w:hAnsi="Book Antiqua"/>
          <w:b/>
          <w:bCs/>
          <w:sz w:val="22"/>
          <w:szCs w:val="22"/>
        </w:rPr>
        <w:t>Appendix A</w:t>
      </w:r>
      <w:r w:rsidR="00D33801">
        <w:rPr>
          <w:rStyle w:val="CommentReference"/>
          <w:rFonts w:ascii="Book Antiqua" w:hAnsi="Book Antiqua"/>
          <w:sz w:val="22"/>
          <w:szCs w:val="22"/>
        </w:rPr>
        <w:t xml:space="preserve"> </w:t>
      </w:r>
      <w:r w:rsidR="000310E2">
        <w:rPr>
          <w:rStyle w:val="CommentReference"/>
          <w:rFonts w:ascii="Book Antiqua" w:hAnsi="Book Antiqua"/>
          <w:sz w:val="22"/>
          <w:szCs w:val="22"/>
        </w:rPr>
        <w:t>displays</w:t>
      </w:r>
      <w:r w:rsidR="000310E2">
        <w:rPr>
          <w:rFonts w:ascii="Book Antiqua" w:hAnsi="Book Antiqua"/>
          <w:sz w:val="22"/>
          <w:szCs w:val="22"/>
        </w:rPr>
        <w:t xml:space="preserve"> </w:t>
      </w:r>
      <w:r w:rsidR="000310E2" w:rsidRPr="000310E2">
        <w:rPr>
          <w:rFonts w:ascii="Book Antiqua" w:hAnsi="Book Antiqua"/>
          <w:sz w:val="22"/>
          <w:szCs w:val="22"/>
        </w:rPr>
        <w:t xml:space="preserve">Core, Menu and Monitoring measures applicable </w:t>
      </w:r>
      <w:r w:rsidR="007825C5">
        <w:rPr>
          <w:rFonts w:ascii="Book Antiqua" w:hAnsi="Book Antiqua"/>
          <w:sz w:val="22"/>
          <w:szCs w:val="22"/>
        </w:rPr>
        <w:t>by population (child, adolescent, adult)</w:t>
      </w:r>
      <w:r w:rsidR="000310E2" w:rsidRPr="000310E2">
        <w:rPr>
          <w:rFonts w:ascii="Book Antiqua" w:hAnsi="Book Antiqua"/>
          <w:sz w:val="22"/>
          <w:szCs w:val="22"/>
        </w:rPr>
        <w:t xml:space="preserve"> in the 202</w:t>
      </w:r>
      <w:r w:rsidR="000310E2">
        <w:rPr>
          <w:rFonts w:ascii="Book Antiqua" w:hAnsi="Book Antiqua"/>
          <w:sz w:val="22"/>
          <w:szCs w:val="22"/>
        </w:rPr>
        <w:t>1</w:t>
      </w:r>
      <w:r w:rsidR="000310E2" w:rsidRPr="000310E2">
        <w:rPr>
          <w:rFonts w:ascii="Book Antiqua" w:hAnsi="Book Antiqua"/>
          <w:sz w:val="22"/>
          <w:szCs w:val="22"/>
        </w:rPr>
        <w:t xml:space="preserve"> Aligned Measure Set.</w:t>
      </w:r>
      <w:r w:rsidR="00D33801">
        <w:rPr>
          <w:rStyle w:val="CommentReference"/>
          <w:rFonts w:ascii="Book Antiqua" w:hAnsi="Book Antiqua"/>
          <w:sz w:val="22"/>
          <w:szCs w:val="22"/>
        </w:rPr>
        <w:t xml:space="preserve"> </w:t>
      </w:r>
    </w:p>
    <w:p w14:paraId="12C54A7C" w14:textId="37644910" w:rsidR="00D3201B" w:rsidRPr="004F4311" w:rsidRDefault="00A0674B" w:rsidP="00023222">
      <w:pPr>
        <w:rPr>
          <w:rFonts w:ascii="Book Antiqua" w:hAnsi="Book Antiqua"/>
          <w:sz w:val="22"/>
          <w:szCs w:val="22"/>
        </w:rPr>
      </w:pPr>
      <w:r w:rsidRPr="004F4311">
        <w:rPr>
          <w:rFonts w:ascii="Book Antiqua" w:hAnsi="Book Antiqua"/>
          <w:b/>
          <w:sz w:val="22"/>
          <w:szCs w:val="22"/>
        </w:rPr>
        <w:lastRenderedPageBreak/>
        <w:t>The Core Set</w:t>
      </w:r>
      <w:r w:rsidRPr="004F4311">
        <w:rPr>
          <w:rFonts w:ascii="Book Antiqua" w:hAnsi="Book Antiqua"/>
          <w:sz w:val="22"/>
          <w:szCs w:val="22"/>
        </w:rPr>
        <w:t xml:space="preserve"> includes measures that payer</w:t>
      </w:r>
      <w:r w:rsidR="00D3201B" w:rsidRPr="004F4311">
        <w:rPr>
          <w:rFonts w:ascii="Book Antiqua" w:hAnsi="Book Antiqua"/>
          <w:sz w:val="22"/>
          <w:szCs w:val="22"/>
        </w:rPr>
        <w:t xml:space="preserve">s and </w:t>
      </w:r>
      <w:r w:rsidR="00D6382F">
        <w:rPr>
          <w:rFonts w:ascii="Book Antiqua" w:hAnsi="Book Antiqua"/>
          <w:sz w:val="22"/>
          <w:szCs w:val="22"/>
        </w:rPr>
        <w:t>providers</w:t>
      </w:r>
      <w:r w:rsidR="00451992">
        <w:rPr>
          <w:rFonts w:ascii="Book Antiqua" w:hAnsi="Book Antiqua"/>
          <w:sz w:val="22"/>
          <w:szCs w:val="22"/>
        </w:rPr>
        <w:t xml:space="preserve"> </w:t>
      </w:r>
      <w:r w:rsidR="00D3201B" w:rsidRPr="004F4311">
        <w:rPr>
          <w:rFonts w:ascii="Book Antiqua" w:hAnsi="Book Antiqua"/>
          <w:sz w:val="22"/>
          <w:szCs w:val="22"/>
        </w:rPr>
        <w:t xml:space="preserve">are expected to </w:t>
      </w:r>
      <w:r w:rsidR="00061AD1">
        <w:rPr>
          <w:rFonts w:ascii="Book Antiqua" w:hAnsi="Book Antiqua"/>
          <w:sz w:val="22"/>
          <w:szCs w:val="22"/>
        </w:rPr>
        <w:t xml:space="preserve">always </w:t>
      </w:r>
      <w:r w:rsidR="00D3201B" w:rsidRPr="004F4311">
        <w:rPr>
          <w:rFonts w:ascii="Book Antiqua" w:hAnsi="Book Antiqua"/>
          <w:sz w:val="22"/>
          <w:szCs w:val="22"/>
        </w:rPr>
        <w:t>use</w:t>
      </w:r>
      <w:r w:rsidR="00512AB0">
        <w:rPr>
          <w:rFonts w:ascii="Book Antiqua" w:hAnsi="Book Antiqua"/>
          <w:sz w:val="22"/>
          <w:szCs w:val="22"/>
        </w:rPr>
        <w:t xml:space="preserve"> in </w:t>
      </w:r>
      <w:r w:rsidR="00061AD1">
        <w:rPr>
          <w:rFonts w:ascii="Book Antiqua" w:hAnsi="Book Antiqua"/>
          <w:sz w:val="22"/>
          <w:szCs w:val="22"/>
        </w:rPr>
        <w:t xml:space="preserve">their </w:t>
      </w:r>
      <w:r w:rsidR="00451992">
        <w:rPr>
          <w:rFonts w:ascii="Book Antiqua" w:hAnsi="Book Antiqua"/>
          <w:sz w:val="22"/>
          <w:szCs w:val="22"/>
        </w:rPr>
        <w:t xml:space="preserve">global budget-based risk </w:t>
      </w:r>
      <w:r w:rsidR="00061AD1">
        <w:rPr>
          <w:rFonts w:ascii="Book Antiqua" w:hAnsi="Book Antiqua"/>
          <w:sz w:val="22"/>
          <w:szCs w:val="22"/>
        </w:rPr>
        <w:t>contracts</w:t>
      </w:r>
      <w:r w:rsidR="00D3201B" w:rsidRPr="004F4311">
        <w:rPr>
          <w:rFonts w:ascii="Book Antiqua" w:hAnsi="Book Antiqua"/>
          <w:sz w:val="22"/>
          <w:szCs w:val="22"/>
        </w:rPr>
        <w:t>.</w:t>
      </w:r>
    </w:p>
    <w:p w14:paraId="476818C5" w14:textId="415CF98D" w:rsidR="00A2186A" w:rsidRPr="00A2186A" w:rsidRDefault="00A2186A" w:rsidP="00A2186A">
      <w:pPr>
        <w:pStyle w:val="ListParagraph"/>
        <w:numPr>
          <w:ilvl w:val="0"/>
          <w:numId w:val="20"/>
        </w:numPr>
        <w:rPr>
          <w:rFonts w:ascii="Book Antiqua" w:hAnsi="Book Antiqua"/>
          <w:sz w:val="22"/>
          <w:szCs w:val="22"/>
        </w:rPr>
      </w:pPr>
      <w:r w:rsidRPr="004F4311">
        <w:rPr>
          <w:rFonts w:ascii="Book Antiqua" w:hAnsi="Book Antiqua"/>
          <w:sz w:val="22"/>
          <w:szCs w:val="22"/>
        </w:rPr>
        <w:t>CG-CAHPS</w:t>
      </w:r>
      <w:r w:rsidRPr="004F4311">
        <w:rPr>
          <w:rStyle w:val="FootnoteReference"/>
          <w:rFonts w:ascii="Book Antiqua" w:hAnsi="Book Antiqua"/>
          <w:sz w:val="22"/>
          <w:szCs w:val="22"/>
        </w:rPr>
        <w:footnoteReference w:id="3"/>
      </w:r>
      <w:r w:rsidRPr="004F4311">
        <w:rPr>
          <w:rFonts w:ascii="Book Antiqua" w:hAnsi="Book Antiqua"/>
          <w:sz w:val="22"/>
          <w:szCs w:val="22"/>
        </w:rPr>
        <w:t xml:space="preserve"> (MHQP</w:t>
      </w:r>
      <w:r w:rsidRPr="004F4311">
        <w:rPr>
          <w:rStyle w:val="FootnoteReference"/>
          <w:rFonts w:ascii="Book Antiqua" w:hAnsi="Book Antiqua"/>
          <w:sz w:val="22"/>
          <w:szCs w:val="22"/>
        </w:rPr>
        <w:footnoteReference w:id="4"/>
      </w:r>
      <w:r w:rsidRPr="004F4311">
        <w:rPr>
          <w:rFonts w:ascii="Book Antiqua" w:hAnsi="Book Antiqua"/>
          <w:sz w:val="22"/>
          <w:szCs w:val="22"/>
        </w:rPr>
        <w:t xml:space="preserve"> version)</w:t>
      </w:r>
      <w:r w:rsidRPr="004F4311">
        <w:rPr>
          <w:rStyle w:val="FootnoteReference"/>
          <w:rFonts w:ascii="Book Antiqua" w:hAnsi="Book Antiqua"/>
          <w:sz w:val="22"/>
          <w:szCs w:val="22"/>
        </w:rPr>
        <w:footnoteReference w:id="5"/>
      </w:r>
    </w:p>
    <w:p w14:paraId="12C54A7E" w14:textId="77777777" w:rsidR="00D3201B" w:rsidRPr="004F4311" w:rsidRDefault="00D3201B" w:rsidP="00023222">
      <w:pPr>
        <w:pStyle w:val="ListParagraph"/>
        <w:numPr>
          <w:ilvl w:val="0"/>
          <w:numId w:val="20"/>
        </w:numPr>
        <w:rPr>
          <w:rFonts w:ascii="Book Antiqua" w:hAnsi="Book Antiqua"/>
          <w:sz w:val="22"/>
          <w:szCs w:val="22"/>
        </w:rPr>
      </w:pPr>
      <w:r w:rsidRPr="004F4311">
        <w:rPr>
          <w:rFonts w:ascii="Book Antiqua" w:hAnsi="Book Antiqua"/>
          <w:sz w:val="22"/>
          <w:szCs w:val="22"/>
        </w:rPr>
        <w:t>Comprehensive Diabetes Care: Hemoglobin A1c Poor Control (&gt;9.0%)</w:t>
      </w:r>
    </w:p>
    <w:p w14:paraId="4870DA5F" w14:textId="2038AAF9" w:rsidR="00A2186A" w:rsidRPr="00A2186A" w:rsidRDefault="00A2186A" w:rsidP="00A2186A">
      <w:pPr>
        <w:pStyle w:val="ListParagraph"/>
        <w:numPr>
          <w:ilvl w:val="0"/>
          <w:numId w:val="20"/>
        </w:numPr>
        <w:rPr>
          <w:rFonts w:ascii="Book Antiqua" w:hAnsi="Book Antiqua"/>
          <w:sz w:val="22"/>
          <w:szCs w:val="22"/>
        </w:rPr>
      </w:pPr>
      <w:r w:rsidRPr="004F4311">
        <w:rPr>
          <w:rFonts w:ascii="Book Antiqua" w:hAnsi="Book Antiqua"/>
          <w:sz w:val="22"/>
          <w:szCs w:val="22"/>
        </w:rPr>
        <w:t>Controlling High Blood Pressure</w:t>
      </w:r>
    </w:p>
    <w:p w14:paraId="597B34D2" w14:textId="6C6F0DF6" w:rsidR="00A2186A" w:rsidRDefault="00F12312" w:rsidP="00A2186A">
      <w:pPr>
        <w:pStyle w:val="ListParagraph"/>
        <w:numPr>
          <w:ilvl w:val="0"/>
          <w:numId w:val="20"/>
        </w:numPr>
        <w:rPr>
          <w:rFonts w:ascii="Book Antiqua" w:hAnsi="Book Antiqua"/>
          <w:sz w:val="22"/>
          <w:szCs w:val="22"/>
        </w:rPr>
      </w:pPr>
      <w:r w:rsidRPr="00A165C9">
        <w:rPr>
          <w:rFonts w:ascii="Book Antiqua" w:hAnsi="Book Antiqua"/>
          <w:sz w:val="22"/>
          <w:szCs w:val="22"/>
        </w:rPr>
        <w:t>Screening for Clinical Depression and Follow-Up Plan</w:t>
      </w:r>
      <w:r w:rsidR="00A2186A" w:rsidRPr="004F4311">
        <w:rPr>
          <w:rFonts w:ascii="Book Antiqua" w:hAnsi="Book Antiqua"/>
          <w:sz w:val="22"/>
          <w:szCs w:val="22"/>
        </w:rPr>
        <w:t xml:space="preserve"> (CMS or</w:t>
      </w:r>
      <w:r w:rsidR="00A2186A">
        <w:rPr>
          <w:rFonts w:ascii="Book Antiqua" w:hAnsi="Book Antiqua"/>
          <w:sz w:val="22"/>
          <w:szCs w:val="22"/>
        </w:rPr>
        <w:t xml:space="preserve"> MassHealth-modified CMS</w:t>
      </w:r>
      <w:r w:rsidR="00A2186A" w:rsidRPr="004F4311">
        <w:rPr>
          <w:rFonts w:ascii="Book Antiqua" w:hAnsi="Book Antiqua"/>
          <w:sz w:val="22"/>
          <w:szCs w:val="22"/>
        </w:rPr>
        <w:t>)</w:t>
      </w:r>
    </w:p>
    <w:p w14:paraId="5995A991" w14:textId="77777777" w:rsidR="00246B15" w:rsidRPr="004F4311" w:rsidRDefault="00246B15" w:rsidP="00246B15">
      <w:pPr>
        <w:pStyle w:val="ListParagraph"/>
        <w:rPr>
          <w:rFonts w:ascii="Book Antiqua" w:hAnsi="Book Antiqua"/>
          <w:sz w:val="22"/>
          <w:szCs w:val="22"/>
        </w:rPr>
      </w:pPr>
    </w:p>
    <w:p w14:paraId="12C54A88" w14:textId="451CC4F7" w:rsidR="00857730" w:rsidRPr="004F4311" w:rsidRDefault="00D3201B" w:rsidP="00023222">
      <w:pPr>
        <w:rPr>
          <w:rFonts w:ascii="Book Antiqua" w:hAnsi="Book Antiqua"/>
          <w:sz w:val="22"/>
          <w:szCs w:val="22"/>
        </w:rPr>
      </w:pPr>
      <w:r w:rsidRPr="004F4311">
        <w:rPr>
          <w:rFonts w:ascii="Book Antiqua" w:hAnsi="Book Antiqua"/>
          <w:b/>
          <w:sz w:val="22"/>
          <w:szCs w:val="22"/>
        </w:rPr>
        <w:t>The</w:t>
      </w:r>
      <w:r w:rsidR="00A0674B" w:rsidRPr="004F4311">
        <w:rPr>
          <w:rFonts w:ascii="Book Antiqua" w:hAnsi="Book Antiqua"/>
          <w:b/>
          <w:sz w:val="22"/>
          <w:szCs w:val="22"/>
        </w:rPr>
        <w:t xml:space="preserve"> Menu Set</w:t>
      </w:r>
      <w:r w:rsidR="00A0674B" w:rsidRPr="004F4311">
        <w:rPr>
          <w:rFonts w:ascii="Book Antiqua" w:hAnsi="Book Antiqua"/>
          <w:sz w:val="22"/>
          <w:szCs w:val="22"/>
        </w:rPr>
        <w:t xml:space="preserve"> includes all other measures from which payers and </w:t>
      </w:r>
      <w:r w:rsidR="00D6382F">
        <w:rPr>
          <w:rFonts w:ascii="Book Antiqua" w:hAnsi="Book Antiqua"/>
          <w:sz w:val="22"/>
          <w:szCs w:val="22"/>
        </w:rPr>
        <w:t>provider</w:t>
      </w:r>
      <w:r w:rsidR="00C34120">
        <w:rPr>
          <w:rFonts w:ascii="Book Antiqua" w:hAnsi="Book Antiqua"/>
          <w:sz w:val="22"/>
          <w:szCs w:val="22"/>
        </w:rPr>
        <w:t>s</w:t>
      </w:r>
      <w:r w:rsidR="00C34120" w:rsidRPr="004F4311">
        <w:rPr>
          <w:rFonts w:ascii="Book Antiqua" w:hAnsi="Book Antiqua"/>
          <w:sz w:val="22"/>
          <w:szCs w:val="22"/>
        </w:rPr>
        <w:t xml:space="preserve"> </w:t>
      </w:r>
      <w:r w:rsidR="00A0674B" w:rsidRPr="004F4311">
        <w:rPr>
          <w:rFonts w:ascii="Book Antiqua" w:hAnsi="Book Antiqua"/>
          <w:sz w:val="22"/>
          <w:szCs w:val="22"/>
        </w:rPr>
        <w:t xml:space="preserve">may choose to supplement the Core measures in their </w:t>
      </w:r>
      <w:r w:rsidR="00C34120">
        <w:rPr>
          <w:rFonts w:ascii="Book Antiqua" w:hAnsi="Book Antiqua"/>
          <w:sz w:val="22"/>
          <w:szCs w:val="22"/>
        </w:rPr>
        <w:t xml:space="preserve">global budget-based risk </w:t>
      </w:r>
      <w:r w:rsidR="00A0674B" w:rsidRPr="004F4311">
        <w:rPr>
          <w:rFonts w:ascii="Book Antiqua" w:hAnsi="Book Antiqua"/>
          <w:sz w:val="22"/>
          <w:szCs w:val="22"/>
        </w:rPr>
        <w:t>contract</w:t>
      </w:r>
      <w:r w:rsidR="00C34120">
        <w:rPr>
          <w:rFonts w:ascii="Book Antiqua" w:hAnsi="Book Antiqua"/>
          <w:sz w:val="22"/>
          <w:szCs w:val="22"/>
        </w:rPr>
        <w:t>s</w:t>
      </w:r>
      <w:r w:rsidR="00F63949">
        <w:rPr>
          <w:rFonts w:ascii="Book Antiqua" w:hAnsi="Book Antiqua"/>
          <w:sz w:val="22"/>
          <w:szCs w:val="22"/>
        </w:rPr>
        <w:t xml:space="preserve"> </w:t>
      </w:r>
      <w:r w:rsidR="00A0674B" w:rsidRPr="004F4311">
        <w:rPr>
          <w:rFonts w:ascii="Book Antiqua" w:hAnsi="Book Antiqua"/>
          <w:sz w:val="22"/>
          <w:szCs w:val="22"/>
        </w:rPr>
        <w:t xml:space="preserve">(with the possible </w:t>
      </w:r>
      <w:r w:rsidR="00E84278">
        <w:rPr>
          <w:rFonts w:ascii="Book Antiqua" w:hAnsi="Book Antiqua"/>
          <w:sz w:val="22"/>
          <w:szCs w:val="22"/>
        </w:rPr>
        <w:t xml:space="preserve">Innovation measure </w:t>
      </w:r>
      <w:r w:rsidR="00A0674B" w:rsidRPr="004F4311">
        <w:rPr>
          <w:rFonts w:ascii="Book Antiqua" w:hAnsi="Book Antiqua"/>
          <w:sz w:val="22"/>
          <w:szCs w:val="22"/>
        </w:rPr>
        <w:t xml:space="preserve">exceptions described </w:t>
      </w:r>
      <w:r w:rsidR="00E84278">
        <w:rPr>
          <w:rFonts w:ascii="Book Antiqua" w:hAnsi="Book Antiqua"/>
          <w:sz w:val="22"/>
          <w:szCs w:val="22"/>
        </w:rPr>
        <w:t xml:space="preserve">further </w:t>
      </w:r>
      <w:r w:rsidR="00A0674B" w:rsidRPr="004F4311">
        <w:rPr>
          <w:rFonts w:ascii="Book Antiqua" w:hAnsi="Book Antiqua"/>
          <w:sz w:val="22"/>
          <w:szCs w:val="22"/>
        </w:rPr>
        <w:t>below).</w:t>
      </w:r>
    </w:p>
    <w:p w14:paraId="25F8FFFC" w14:textId="7704AC81" w:rsidR="00A2186A" w:rsidRPr="00A2186A" w:rsidRDefault="00A2186A" w:rsidP="00A2186A">
      <w:pPr>
        <w:pStyle w:val="ListParagraph"/>
        <w:numPr>
          <w:ilvl w:val="0"/>
          <w:numId w:val="29"/>
        </w:numPr>
        <w:rPr>
          <w:rFonts w:ascii="Book Antiqua" w:hAnsi="Book Antiqua"/>
          <w:sz w:val="22"/>
          <w:szCs w:val="22"/>
        </w:rPr>
      </w:pPr>
      <w:r w:rsidRPr="004F4311">
        <w:rPr>
          <w:rFonts w:ascii="Book Antiqua" w:hAnsi="Book Antiqua"/>
          <w:sz w:val="22"/>
          <w:szCs w:val="22"/>
        </w:rPr>
        <w:t>Asthma Medication Ratio</w:t>
      </w:r>
    </w:p>
    <w:p w14:paraId="4E95A8B0" w14:textId="367447F3" w:rsidR="00A2186A" w:rsidRPr="004F4311" w:rsidRDefault="00A2186A" w:rsidP="00A2186A">
      <w:pPr>
        <w:pStyle w:val="ListParagraph"/>
        <w:numPr>
          <w:ilvl w:val="0"/>
          <w:numId w:val="29"/>
        </w:numPr>
        <w:rPr>
          <w:rFonts w:ascii="Book Antiqua" w:hAnsi="Book Antiqua"/>
          <w:sz w:val="22"/>
          <w:szCs w:val="22"/>
        </w:rPr>
      </w:pPr>
      <w:r w:rsidRPr="004F4311">
        <w:rPr>
          <w:rFonts w:ascii="Book Antiqua" w:hAnsi="Book Antiqua"/>
          <w:sz w:val="22"/>
          <w:szCs w:val="22"/>
        </w:rPr>
        <w:t>Breast Cancer Screening</w:t>
      </w:r>
    </w:p>
    <w:p w14:paraId="5A2EC057" w14:textId="39A16BB0" w:rsidR="00A2186A" w:rsidRPr="00A2186A" w:rsidRDefault="00A2186A" w:rsidP="00A2186A">
      <w:pPr>
        <w:pStyle w:val="ListParagraph"/>
        <w:numPr>
          <w:ilvl w:val="0"/>
          <w:numId w:val="29"/>
        </w:numPr>
        <w:rPr>
          <w:rFonts w:ascii="Book Antiqua" w:hAnsi="Book Antiqua"/>
          <w:sz w:val="22"/>
          <w:szCs w:val="22"/>
        </w:rPr>
      </w:pPr>
      <w:r w:rsidRPr="004F4311">
        <w:rPr>
          <w:rFonts w:ascii="Book Antiqua" w:hAnsi="Book Antiqua"/>
          <w:sz w:val="22"/>
          <w:szCs w:val="22"/>
        </w:rPr>
        <w:t>Cervical Cancer Screening</w:t>
      </w:r>
    </w:p>
    <w:p w14:paraId="26A0E87E" w14:textId="0603E306" w:rsidR="00A2186A" w:rsidRDefault="00A2186A" w:rsidP="002D28C0">
      <w:pPr>
        <w:pStyle w:val="ListParagraph"/>
        <w:numPr>
          <w:ilvl w:val="0"/>
          <w:numId w:val="29"/>
        </w:numPr>
        <w:rPr>
          <w:rFonts w:ascii="Book Antiqua" w:hAnsi="Book Antiqua"/>
          <w:sz w:val="22"/>
          <w:szCs w:val="22"/>
        </w:rPr>
      </w:pPr>
      <w:r w:rsidRPr="004F4311">
        <w:rPr>
          <w:rFonts w:ascii="Book Antiqua" w:hAnsi="Book Antiqua"/>
          <w:sz w:val="22"/>
          <w:szCs w:val="22"/>
        </w:rPr>
        <w:t>Child and Adolescent Major Depressive Disorder: Suicide Risk Assessment</w:t>
      </w:r>
    </w:p>
    <w:p w14:paraId="12C54A89" w14:textId="23B66081" w:rsidR="00D3201B" w:rsidRPr="004F4311" w:rsidRDefault="00D3201B" w:rsidP="002D28C0">
      <w:pPr>
        <w:pStyle w:val="ListParagraph"/>
        <w:numPr>
          <w:ilvl w:val="0"/>
          <w:numId w:val="29"/>
        </w:numPr>
        <w:rPr>
          <w:rFonts w:ascii="Book Antiqua" w:hAnsi="Book Antiqua"/>
          <w:sz w:val="22"/>
          <w:szCs w:val="22"/>
        </w:rPr>
      </w:pPr>
      <w:r w:rsidRPr="004F4311">
        <w:rPr>
          <w:rFonts w:ascii="Book Antiqua" w:hAnsi="Book Antiqua"/>
          <w:sz w:val="22"/>
          <w:szCs w:val="22"/>
        </w:rPr>
        <w:t>Childhood Immunization Status (Combo 10)</w:t>
      </w:r>
    </w:p>
    <w:p w14:paraId="55EE7DFE" w14:textId="14649F6A" w:rsidR="00A2186A" w:rsidRDefault="00A2186A" w:rsidP="00A2186A">
      <w:pPr>
        <w:pStyle w:val="ListParagraph"/>
        <w:numPr>
          <w:ilvl w:val="0"/>
          <w:numId w:val="29"/>
        </w:numPr>
        <w:rPr>
          <w:rFonts w:ascii="Book Antiqua" w:hAnsi="Book Antiqua"/>
          <w:sz w:val="22"/>
          <w:szCs w:val="22"/>
        </w:rPr>
      </w:pPr>
      <w:r w:rsidRPr="004F4311">
        <w:rPr>
          <w:rFonts w:ascii="Book Antiqua" w:hAnsi="Book Antiqua"/>
          <w:sz w:val="22"/>
          <w:szCs w:val="22"/>
        </w:rPr>
        <w:t>Chlamydia Screening</w:t>
      </w:r>
    </w:p>
    <w:p w14:paraId="73446C2A" w14:textId="64B2D765" w:rsidR="00A2186A" w:rsidRPr="00A2186A" w:rsidRDefault="00A2186A" w:rsidP="00A2186A">
      <w:pPr>
        <w:pStyle w:val="ListParagraph"/>
        <w:numPr>
          <w:ilvl w:val="0"/>
          <w:numId w:val="29"/>
        </w:numPr>
        <w:rPr>
          <w:rFonts w:ascii="Book Antiqua" w:hAnsi="Book Antiqua"/>
          <w:sz w:val="22"/>
          <w:szCs w:val="22"/>
        </w:rPr>
      </w:pPr>
      <w:r w:rsidRPr="004F4311">
        <w:rPr>
          <w:rFonts w:ascii="Book Antiqua" w:hAnsi="Book Antiqua"/>
          <w:sz w:val="22"/>
          <w:szCs w:val="22"/>
        </w:rPr>
        <w:t>Colorectal Cancer Screening</w:t>
      </w:r>
    </w:p>
    <w:p w14:paraId="2672C1BB" w14:textId="0D325271" w:rsidR="00A2186A" w:rsidRPr="00A2186A" w:rsidRDefault="00A2186A" w:rsidP="00A2186A">
      <w:pPr>
        <w:pStyle w:val="ListParagraph"/>
        <w:numPr>
          <w:ilvl w:val="0"/>
          <w:numId w:val="29"/>
        </w:numPr>
        <w:rPr>
          <w:rFonts w:ascii="Book Antiqua" w:hAnsi="Book Antiqua"/>
          <w:sz w:val="22"/>
          <w:szCs w:val="22"/>
        </w:rPr>
      </w:pPr>
      <w:r w:rsidRPr="004F4311">
        <w:rPr>
          <w:rFonts w:ascii="Book Antiqua" w:hAnsi="Book Antiqua"/>
          <w:sz w:val="22"/>
          <w:szCs w:val="22"/>
        </w:rPr>
        <w:t>Comprehensive Diabetes Care: Blood Pressure Control (&lt;140/90 mm Hg)</w:t>
      </w:r>
    </w:p>
    <w:p w14:paraId="7A96E09A" w14:textId="38155CB1" w:rsidR="00A2186A" w:rsidRDefault="00A2186A" w:rsidP="00A2186A">
      <w:pPr>
        <w:pStyle w:val="ListParagraph"/>
        <w:numPr>
          <w:ilvl w:val="0"/>
          <w:numId w:val="29"/>
        </w:numPr>
        <w:rPr>
          <w:rFonts w:ascii="Book Antiqua" w:hAnsi="Book Antiqua"/>
          <w:sz w:val="22"/>
          <w:szCs w:val="22"/>
        </w:rPr>
      </w:pPr>
      <w:r w:rsidRPr="004F4311">
        <w:rPr>
          <w:rFonts w:ascii="Book Antiqua" w:hAnsi="Book Antiqua"/>
          <w:sz w:val="22"/>
          <w:szCs w:val="22"/>
        </w:rPr>
        <w:t>Comprehensive Diabetes Care: Eye Exam</w:t>
      </w:r>
    </w:p>
    <w:p w14:paraId="3D42611A" w14:textId="43C4EC68" w:rsidR="00A2186A" w:rsidRPr="00A2186A" w:rsidRDefault="00A2186A" w:rsidP="00A2186A">
      <w:pPr>
        <w:pStyle w:val="ListParagraph"/>
        <w:numPr>
          <w:ilvl w:val="0"/>
          <w:numId w:val="29"/>
        </w:numPr>
        <w:rPr>
          <w:rFonts w:ascii="Book Antiqua" w:hAnsi="Book Antiqua"/>
          <w:sz w:val="22"/>
          <w:szCs w:val="22"/>
        </w:rPr>
      </w:pPr>
      <w:r w:rsidRPr="004F4311">
        <w:rPr>
          <w:rFonts w:ascii="Book Antiqua" w:hAnsi="Book Antiqua"/>
          <w:sz w:val="22"/>
          <w:szCs w:val="22"/>
        </w:rPr>
        <w:t>Continuity of Pharmacotherapy for Opioid Use Disorder</w:t>
      </w:r>
    </w:p>
    <w:p w14:paraId="32C53922" w14:textId="3660DE71" w:rsidR="00A2186A" w:rsidRPr="00A2186A" w:rsidRDefault="00A2186A" w:rsidP="00A2186A">
      <w:pPr>
        <w:pStyle w:val="ListParagraph"/>
        <w:numPr>
          <w:ilvl w:val="0"/>
          <w:numId w:val="29"/>
        </w:numPr>
        <w:rPr>
          <w:rFonts w:ascii="Book Antiqua" w:hAnsi="Book Antiqua"/>
          <w:sz w:val="22"/>
          <w:szCs w:val="22"/>
        </w:rPr>
      </w:pPr>
      <w:r w:rsidRPr="004F4311">
        <w:rPr>
          <w:rFonts w:ascii="Book Antiqua" w:hAnsi="Book Antiqua"/>
          <w:sz w:val="22"/>
          <w:szCs w:val="22"/>
        </w:rPr>
        <w:t xml:space="preserve">Follow-up After Emergency Department Visit for Mental Health (7-Day) </w:t>
      </w:r>
    </w:p>
    <w:p w14:paraId="4387C4C8" w14:textId="18530BD1" w:rsidR="00A2186A" w:rsidRPr="004F4311" w:rsidRDefault="00A2186A" w:rsidP="00A2186A">
      <w:pPr>
        <w:pStyle w:val="ListParagraph"/>
        <w:numPr>
          <w:ilvl w:val="0"/>
          <w:numId w:val="29"/>
        </w:numPr>
        <w:rPr>
          <w:rFonts w:ascii="Book Antiqua" w:hAnsi="Book Antiqua"/>
          <w:sz w:val="22"/>
          <w:szCs w:val="22"/>
        </w:rPr>
      </w:pPr>
      <w:r w:rsidRPr="004F4311">
        <w:rPr>
          <w:rFonts w:ascii="Book Antiqua" w:hAnsi="Book Antiqua"/>
          <w:sz w:val="22"/>
          <w:szCs w:val="22"/>
        </w:rPr>
        <w:t>Follow-</w:t>
      </w:r>
      <w:r w:rsidR="006D7170">
        <w:rPr>
          <w:rFonts w:ascii="Book Antiqua" w:hAnsi="Book Antiqua"/>
          <w:sz w:val="22"/>
          <w:szCs w:val="22"/>
        </w:rPr>
        <w:t>u</w:t>
      </w:r>
      <w:r w:rsidRPr="004F4311">
        <w:rPr>
          <w:rFonts w:ascii="Book Antiqua" w:hAnsi="Book Antiqua"/>
          <w:sz w:val="22"/>
          <w:szCs w:val="22"/>
        </w:rPr>
        <w:t>p After Hospitalization for Mental Illness (7-Day)</w:t>
      </w:r>
    </w:p>
    <w:p w14:paraId="4A951555" w14:textId="44F91A81" w:rsidR="00A2186A" w:rsidRPr="004F4311" w:rsidRDefault="00A2186A" w:rsidP="00A2186A">
      <w:pPr>
        <w:pStyle w:val="ListParagraph"/>
        <w:numPr>
          <w:ilvl w:val="0"/>
          <w:numId w:val="29"/>
        </w:numPr>
        <w:rPr>
          <w:rFonts w:ascii="Book Antiqua" w:hAnsi="Book Antiqua"/>
          <w:sz w:val="22"/>
          <w:szCs w:val="22"/>
        </w:rPr>
      </w:pPr>
      <w:r w:rsidRPr="004F4311">
        <w:rPr>
          <w:rFonts w:ascii="Book Antiqua" w:hAnsi="Book Antiqua"/>
          <w:sz w:val="22"/>
          <w:szCs w:val="22"/>
        </w:rPr>
        <w:t>Follow-</w:t>
      </w:r>
      <w:r w:rsidR="006D7170">
        <w:rPr>
          <w:rFonts w:ascii="Book Antiqua" w:hAnsi="Book Antiqua"/>
          <w:sz w:val="22"/>
          <w:szCs w:val="22"/>
        </w:rPr>
        <w:t>u</w:t>
      </w:r>
      <w:r w:rsidRPr="004F4311">
        <w:rPr>
          <w:rFonts w:ascii="Book Antiqua" w:hAnsi="Book Antiqua"/>
          <w:sz w:val="22"/>
          <w:szCs w:val="22"/>
        </w:rPr>
        <w:t>p After Hospitalization for Mental Illness (30-Day)</w:t>
      </w:r>
    </w:p>
    <w:p w14:paraId="12C54A8A" w14:textId="0E3DF96F" w:rsidR="00D3201B" w:rsidRPr="004F4311" w:rsidRDefault="00D3201B" w:rsidP="002D28C0">
      <w:pPr>
        <w:pStyle w:val="ListParagraph"/>
        <w:numPr>
          <w:ilvl w:val="0"/>
          <w:numId w:val="29"/>
        </w:numPr>
        <w:rPr>
          <w:rFonts w:ascii="Book Antiqua" w:hAnsi="Book Antiqua"/>
          <w:sz w:val="22"/>
          <w:szCs w:val="22"/>
        </w:rPr>
      </w:pPr>
      <w:r w:rsidRPr="004F4311">
        <w:rPr>
          <w:rFonts w:ascii="Book Antiqua" w:hAnsi="Book Antiqua"/>
          <w:sz w:val="22"/>
          <w:szCs w:val="22"/>
        </w:rPr>
        <w:t>Immunizations for Adolescents (Combo 2)</w:t>
      </w:r>
    </w:p>
    <w:p w14:paraId="12C54A8B" w14:textId="0E64FD0A" w:rsidR="00D3201B" w:rsidRDefault="00D3201B" w:rsidP="002D28C0">
      <w:pPr>
        <w:pStyle w:val="ListParagraph"/>
        <w:numPr>
          <w:ilvl w:val="0"/>
          <w:numId w:val="29"/>
        </w:numPr>
        <w:rPr>
          <w:rFonts w:ascii="Book Antiqua" w:hAnsi="Book Antiqua"/>
          <w:sz w:val="22"/>
          <w:szCs w:val="22"/>
        </w:rPr>
      </w:pPr>
      <w:r w:rsidRPr="004F4311">
        <w:rPr>
          <w:rFonts w:ascii="Book Antiqua" w:hAnsi="Book Antiqua"/>
          <w:sz w:val="22"/>
          <w:szCs w:val="22"/>
        </w:rPr>
        <w:t>Influenza Immunization</w:t>
      </w:r>
    </w:p>
    <w:p w14:paraId="534C1EA8" w14:textId="19D13B6F" w:rsidR="009A1B6B" w:rsidRPr="004F4311" w:rsidRDefault="009A1B6B" w:rsidP="002D28C0">
      <w:pPr>
        <w:pStyle w:val="ListParagraph"/>
        <w:numPr>
          <w:ilvl w:val="0"/>
          <w:numId w:val="29"/>
        </w:numPr>
        <w:rPr>
          <w:rFonts w:ascii="Book Antiqua" w:hAnsi="Book Antiqua"/>
          <w:sz w:val="22"/>
          <w:szCs w:val="22"/>
        </w:rPr>
      </w:pPr>
      <w:r>
        <w:rPr>
          <w:rFonts w:ascii="Book Antiqua" w:hAnsi="Book Antiqua"/>
          <w:sz w:val="22"/>
          <w:szCs w:val="22"/>
        </w:rPr>
        <w:t>Informed, Patient-centered Hip and Knee Replacement</w:t>
      </w:r>
    </w:p>
    <w:p w14:paraId="3F7DE081" w14:textId="00B5808D" w:rsidR="00A2186A" w:rsidRPr="00A2186A" w:rsidRDefault="00A2186A" w:rsidP="00A2186A">
      <w:pPr>
        <w:pStyle w:val="ListParagraph"/>
        <w:numPr>
          <w:ilvl w:val="0"/>
          <w:numId w:val="29"/>
        </w:numPr>
        <w:rPr>
          <w:rFonts w:ascii="Book Antiqua" w:hAnsi="Book Antiqua"/>
          <w:sz w:val="22"/>
          <w:szCs w:val="22"/>
        </w:rPr>
      </w:pPr>
      <w:r w:rsidRPr="00A2186A">
        <w:rPr>
          <w:rFonts w:ascii="Book Antiqua" w:hAnsi="Book Antiqua"/>
          <w:sz w:val="22"/>
          <w:szCs w:val="22"/>
        </w:rPr>
        <w:t>Initiation and Engagement of Alcohol and Other Drug Abuse or Dependence Treatment (either the Initiation or Engagement Phase)</w:t>
      </w:r>
    </w:p>
    <w:p w14:paraId="12C54A94" w14:textId="1DC053E3" w:rsidR="00D3201B" w:rsidRDefault="00D3201B" w:rsidP="00A2186A">
      <w:pPr>
        <w:pStyle w:val="ListParagraph"/>
        <w:numPr>
          <w:ilvl w:val="0"/>
          <w:numId w:val="29"/>
        </w:numPr>
        <w:rPr>
          <w:rFonts w:ascii="Book Antiqua" w:hAnsi="Book Antiqua"/>
          <w:sz w:val="22"/>
          <w:szCs w:val="22"/>
        </w:rPr>
      </w:pPr>
      <w:r w:rsidRPr="004F4311">
        <w:rPr>
          <w:rFonts w:ascii="Book Antiqua" w:hAnsi="Book Antiqua"/>
          <w:sz w:val="22"/>
          <w:szCs w:val="22"/>
        </w:rPr>
        <w:t>Metabolic Monitoring for Children and Adolescents on Antipsychotics</w:t>
      </w:r>
    </w:p>
    <w:p w14:paraId="765EDC17" w14:textId="024AAC6B" w:rsidR="009A1B6B" w:rsidRDefault="009A1B6B" w:rsidP="00A2186A">
      <w:pPr>
        <w:pStyle w:val="ListParagraph"/>
        <w:numPr>
          <w:ilvl w:val="0"/>
          <w:numId w:val="29"/>
        </w:numPr>
        <w:rPr>
          <w:rFonts w:ascii="Book Antiqua" w:hAnsi="Book Antiqua"/>
          <w:sz w:val="22"/>
          <w:szCs w:val="22"/>
        </w:rPr>
      </w:pPr>
      <w:r>
        <w:rPr>
          <w:rFonts w:ascii="Book Antiqua" w:hAnsi="Book Antiqua"/>
          <w:sz w:val="22"/>
          <w:szCs w:val="22"/>
        </w:rPr>
        <w:t>Risk of Continued Opioid Use</w:t>
      </w:r>
    </w:p>
    <w:p w14:paraId="05C53B6C" w14:textId="79948ADD" w:rsidR="009A1B6B" w:rsidRPr="00A2186A" w:rsidRDefault="009A1B6B" w:rsidP="00A2186A">
      <w:pPr>
        <w:pStyle w:val="ListParagraph"/>
        <w:numPr>
          <w:ilvl w:val="0"/>
          <w:numId w:val="29"/>
        </w:numPr>
        <w:rPr>
          <w:rFonts w:ascii="Book Antiqua" w:hAnsi="Book Antiqua"/>
          <w:sz w:val="22"/>
          <w:szCs w:val="22"/>
        </w:rPr>
      </w:pPr>
      <w:r>
        <w:rPr>
          <w:rFonts w:ascii="Book Antiqua" w:hAnsi="Book Antiqua"/>
          <w:sz w:val="22"/>
          <w:szCs w:val="22"/>
        </w:rPr>
        <w:t>Shared Decision-making Process</w:t>
      </w:r>
    </w:p>
    <w:p w14:paraId="12C54A99" w14:textId="77777777" w:rsidR="00D3201B" w:rsidRPr="004F4311" w:rsidRDefault="00D3201B" w:rsidP="002D28C0">
      <w:pPr>
        <w:pStyle w:val="ListParagraph"/>
        <w:numPr>
          <w:ilvl w:val="0"/>
          <w:numId w:val="29"/>
        </w:numPr>
        <w:spacing w:after="200"/>
        <w:rPr>
          <w:rFonts w:ascii="Book Antiqua" w:hAnsi="Book Antiqua"/>
          <w:sz w:val="22"/>
          <w:szCs w:val="22"/>
        </w:rPr>
      </w:pPr>
      <w:r w:rsidRPr="004F4311">
        <w:rPr>
          <w:rFonts w:ascii="Book Antiqua" w:hAnsi="Book Antiqua"/>
          <w:sz w:val="22"/>
          <w:szCs w:val="22"/>
        </w:rPr>
        <w:t>Use of Imaging Studies for Low Back Pain</w:t>
      </w:r>
    </w:p>
    <w:p w14:paraId="12C54A9A" w14:textId="77777777" w:rsidR="00D3201B" w:rsidRPr="004F4311" w:rsidRDefault="00A0674B" w:rsidP="00023222">
      <w:pPr>
        <w:spacing w:after="200"/>
        <w:rPr>
          <w:rFonts w:ascii="Book Antiqua" w:hAnsi="Book Antiqua"/>
          <w:sz w:val="22"/>
          <w:szCs w:val="22"/>
        </w:rPr>
      </w:pPr>
      <w:r w:rsidRPr="004F4311">
        <w:rPr>
          <w:rFonts w:ascii="Book Antiqua" w:hAnsi="Book Antiqua"/>
          <w:sz w:val="22"/>
          <w:szCs w:val="22"/>
        </w:rPr>
        <w:t xml:space="preserve">In addition, the Taskforce identified four categories of measures to supplement the Core and Menu Sets.  </w:t>
      </w:r>
    </w:p>
    <w:p w14:paraId="12C54A9B" w14:textId="5BEB0568" w:rsidR="00D3201B" w:rsidRDefault="00A0674B" w:rsidP="007B0CCB">
      <w:pPr>
        <w:rPr>
          <w:rFonts w:ascii="Book Antiqua" w:hAnsi="Book Antiqua"/>
          <w:sz w:val="22"/>
          <w:szCs w:val="22"/>
        </w:rPr>
      </w:pPr>
      <w:r w:rsidRPr="004F4311">
        <w:rPr>
          <w:rFonts w:ascii="Book Antiqua" w:hAnsi="Book Antiqua"/>
          <w:sz w:val="22"/>
          <w:szCs w:val="22"/>
        </w:rPr>
        <w:t xml:space="preserve">The </w:t>
      </w:r>
      <w:r w:rsidRPr="004F4311">
        <w:rPr>
          <w:rFonts w:ascii="Book Antiqua" w:hAnsi="Book Antiqua"/>
          <w:b/>
          <w:sz w:val="22"/>
          <w:szCs w:val="22"/>
        </w:rPr>
        <w:t>Monitoring Set</w:t>
      </w:r>
      <w:r w:rsidRPr="004F4311">
        <w:rPr>
          <w:rFonts w:ascii="Book Antiqua" w:hAnsi="Book Antiqua"/>
          <w:sz w:val="22"/>
          <w:szCs w:val="22"/>
        </w:rPr>
        <w:t xml:space="preserve"> includes measures that the Taskforce identified to be a priority area of interest, but because recent </w:t>
      </w:r>
      <w:r w:rsidR="001C1492">
        <w:rPr>
          <w:rFonts w:ascii="Book Antiqua" w:hAnsi="Book Antiqua"/>
          <w:sz w:val="22"/>
          <w:szCs w:val="22"/>
        </w:rPr>
        <w:t xml:space="preserve">health plan </w:t>
      </w:r>
      <w:r w:rsidRPr="004F4311">
        <w:rPr>
          <w:rFonts w:ascii="Book Antiqua" w:hAnsi="Book Antiqua"/>
          <w:sz w:val="22"/>
          <w:szCs w:val="22"/>
        </w:rPr>
        <w:t xml:space="preserve">performance </w:t>
      </w:r>
      <w:r w:rsidR="001C1492">
        <w:rPr>
          <w:rFonts w:ascii="Book Antiqua" w:hAnsi="Book Antiqua"/>
          <w:sz w:val="22"/>
          <w:szCs w:val="22"/>
        </w:rPr>
        <w:t>h</w:t>
      </w:r>
      <w:r w:rsidRPr="004F4311">
        <w:rPr>
          <w:rFonts w:ascii="Book Antiqua" w:hAnsi="Book Antiqua"/>
          <w:sz w:val="22"/>
          <w:szCs w:val="22"/>
        </w:rPr>
        <w:t xml:space="preserve">as </w:t>
      </w:r>
      <w:r w:rsidR="001C1492">
        <w:rPr>
          <w:rFonts w:ascii="Book Antiqua" w:hAnsi="Book Antiqua"/>
          <w:sz w:val="22"/>
          <w:szCs w:val="22"/>
        </w:rPr>
        <w:t xml:space="preserve">been </w:t>
      </w:r>
      <w:r w:rsidRPr="004F4311">
        <w:rPr>
          <w:rFonts w:ascii="Book Antiqua" w:hAnsi="Book Antiqua"/>
          <w:sz w:val="22"/>
          <w:szCs w:val="22"/>
        </w:rPr>
        <w:t xml:space="preserve">high, or data </w:t>
      </w:r>
      <w:r w:rsidR="001C1492">
        <w:rPr>
          <w:rFonts w:ascii="Book Antiqua" w:hAnsi="Book Antiqua"/>
          <w:sz w:val="22"/>
          <w:szCs w:val="22"/>
        </w:rPr>
        <w:t xml:space="preserve">are </w:t>
      </w:r>
      <w:r w:rsidRPr="004F4311">
        <w:rPr>
          <w:rFonts w:ascii="Book Antiqua" w:hAnsi="Book Antiqua"/>
          <w:sz w:val="22"/>
          <w:szCs w:val="22"/>
        </w:rPr>
        <w:t xml:space="preserve">not currently </w:t>
      </w:r>
      <w:r w:rsidRPr="004F4311">
        <w:rPr>
          <w:rFonts w:ascii="Book Antiqua" w:hAnsi="Book Antiqua"/>
          <w:sz w:val="22"/>
          <w:szCs w:val="22"/>
        </w:rPr>
        <w:lastRenderedPageBreak/>
        <w:t xml:space="preserve">available, were not endorsed for Core or Menu Set use.  Monitoring Set measures are intended to be used for performance tracking to ensure performance does not decline.  If performance does decline, the Monitoring Set measures may be reconsidered by the Taskforce for </w:t>
      </w:r>
      <w:r w:rsidR="002D28C0">
        <w:rPr>
          <w:rFonts w:ascii="Book Antiqua" w:hAnsi="Book Antiqua"/>
          <w:sz w:val="22"/>
          <w:szCs w:val="22"/>
        </w:rPr>
        <w:t xml:space="preserve">future </w:t>
      </w:r>
      <w:r w:rsidRPr="004F4311">
        <w:rPr>
          <w:rFonts w:ascii="Book Antiqua" w:hAnsi="Book Antiqua"/>
          <w:sz w:val="22"/>
          <w:szCs w:val="22"/>
        </w:rPr>
        <w:t xml:space="preserve">inclusion in the Core and Menu Sets.  </w:t>
      </w:r>
    </w:p>
    <w:p w14:paraId="1A22CF33" w14:textId="7BA32D22" w:rsidR="00477A8F" w:rsidRDefault="00477A8F" w:rsidP="00023222">
      <w:pPr>
        <w:pStyle w:val="ListParagraph"/>
        <w:numPr>
          <w:ilvl w:val="0"/>
          <w:numId w:val="22"/>
        </w:numPr>
        <w:rPr>
          <w:rFonts w:ascii="Book Antiqua" w:hAnsi="Book Antiqua"/>
          <w:sz w:val="22"/>
          <w:szCs w:val="22"/>
        </w:rPr>
      </w:pPr>
      <w:r w:rsidRPr="00477A8F">
        <w:rPr>
          <w:rFonts w:ascii="Book Antiqua" w:hAnsi="Book Antiqua"/>
          <w:sz w:val="22"/>
          <w:szCs w:val="22"/>
        </w:rPr>
        <w:t>Child and Adolescent Well-Care Visits</w:t>
      </w:r>
    </w:p>
    <w:p w14:paraId="12C54A9F" w14:textId="37D24EB9" w:rsidR="00D3201B" w:rsidRPr="004F4311" w:rsidRDefault="00D3201B" w:rsidP="00023222">
      <w:pPr>
        <w:pStyle w:val="ListParagraph"/>
        <w:numPr>
          <w:ilvl w:val="0"/>
          <w:numId w:val="22"/>
        </w:numPr>
        <w:rPr>
          <w:rFonts w:ascii="Book Antiqua" w:hAnsi="Book Antiqua"/>
          <w:sz w:val="22"/>
          <w:szCs w:val="22"/>
        </w:rPr>
      </w:pPr>
      <w:r w:rsidRPr="004F4311">
        <w:rPr>
          <w:rFonts w:ascii="Book Antiqua" w:hAnsi="Book Antiqua"/>
          <w:sz w:val="22"/>
          <w:szCs w:val="22"/>
        </w:rPr>
        <w:t xml:space="preserve">Comprehensive Diabetes Care: Hemoglobin A1c Testing </w:t>
      </w:r>
    </w:p>
    <w:p w14:paraId="12C54AA1" w14:textId="001C0EDA" w:rsidR="00D3201B" w:rsidRDefault="00D3201B" w:rsidP="00023222">
      <w:pPr>
        <w:pStyle w:val="ListParagraph"/>
        <w:numPr>
          <w:ilvl w:val="0"/>
          <w:numId w:val="22"/>
        </w:numPr>
        <w:rPr>
          <w:rFonts w:ascii="Book Antiqua" w:hAnsi="Book Antiqua"/>
          <w:sz w:val="22"/>
          <w:szCs w:val="22"/>
        </w:rPr>
      </w:pPr>
      <w:r w:rsidRPr="004F4311">
        <w:rPr>
          <w:rFonts w:ascii="Book Antiqua" w:hAnsi="Book Antiqua"/>
          <w:sz w:val="22"/>
          <w:szCs w:val="22"/>
        </w:rPr>
        <w:t>Contraceptive Care – Postpartum</w:t>
      </w:r>
    </w:p>
    <w:p w14:paraId="4F7272CC" w14:textId="7BE23523" w:rsidR="00553FCA" w:rsidRPr="00553FCA" w:rsidRDefault="00553FCA" w:rsidP="00553FCA">
      <w:pPr>
        <w:pStyle w:val="ListParagraph"/>
        <w:numPr>
          <w:ilvl w:val="0"/>
          <w:numId w:val="22"/>
        </w:numPr>
        <w:spacing w:after="200"/>
        <w:rPr>
          <w:rFonts w:ascii="Book Antiqua" w:hAnsi="Book Antiqua"/>
          <w:sz w:val="22"/>
          <w:szCs w:val="22"/>
        </w:rPr>
      </w:pPr>
      <w:r w:rsidRPr="004F4311">
        <w:rPr>
          <w:rFonts w:ascii="Book Antiqua" w:hAnsi="Book Antiqua"/>
          <w:sz w:val="22"/>
          <w:szCs w:val="22"/>
        </w:rPr>
        <w:t>Incidence of Episiotomy</w:t>
      </w:r>
    </w:p>
    <w:p w14:paraId="12C54AA2" w14:textId="6058A1AB" w:rsidR="00D3201B" w:rsidRDefault="00D3201B" w:rsidP="00023222">
      <w:pPr>
        <w:pStyle w:val="ListParagraph"/>
        <w:numPr>
          <w:ilvl w:val="0"/>
          <w:numId w:val="22"/>
        </w:numPr>
        <w:rPr>
          <w:rFonts w:ascii="Book Antiqua" w:hAnsi="Book Antiqua"/>
          <w:sz w:val="22"/>
          <w:szCs w:val="22"/>
        </w:rPr>
      </w:pPr>
      <w:r w:rsidRPr="004F4311">
        <w:rPr>
          <w:rFonts w:ascii="Book Antiqua" w:hAnsi="Book Antiqua"/>
          <w:sz w:val="22"/>
          <w:szCs w:val="22"/>
        </w:rPr>
        <w:t>Prenatal &amp; Postpartum Care - Timeliness of Prenatal Care</w:t>
      </w:r>
    </w:p>
    <w:p w14:paraId="433F1335" w14:textId="4974E8FA" w:rsidR="00185BFA" w:rsidRDefault="00185BFA" w:rsidP="00023222">
      <w:pPr>
        <w:pStyle w:val="ListParagraph"/>
        <w:numPr>
          <w:ilvl w:val="0"/>
          <w:numId w:val="22"/>
        </w:numPr>
        <w:rPr>
          <w:rFonts w:ascii="Book Antiqua" w:hAnsi="Book Antiqua"/>
          <w:sz w:val="22"/>
          <w:szCs w:val="22"/>
        </w:rPr>
      </w:pPr>
      <w:r>
        <w:rPr>
          <w:rFonts w:ascii="Book Antiqua" w:hAnsi="Book Antiqua"/>
          <w:sz w:val="22"/>
          <w:szCs w:val="22"/>
        </w:rPr>
        <w:t>Prenatal and Postpartum Care: Postpartum Care</w:t>
      </w:r>
    </w:p>
    <w:p w14:paraId="251A978A" w14:textId="3F2951A2" w:rsidR="001C5FE2" w:rsidRDefault="001C5FE2" w:rsidP="00023222">
      <w:pPr>
        <w:pStyle w:val="ListParagraph"/>
        <w:numPr>
          <w:ilvl w:val="0"/>
          <w:numId w:val="22"/>
        </w:numPr>
        <w:rPr>
          <w:rFonts w:ascii="Book Antiqua" w:hAnsi="Book Antiqua"/>
          <w:sz w:val="22"/>
          <w:szCs w:val="22"/>
        </w:rPr>
      </w:pPr>
      <w:r w:rsidRPr="001C5FE2">
        <w:rPr>
          <w:rFonts w:ascii="Book Antiqua" w:hAnsi="Book Antiqua"/>
          <w:sz w:val="22"/>
          <w:szCs w:val="22"/>
        </w:rPr>
        <w:t>Well-Child Visits in the First 30 Months of Life</w:t>
      </w:r>
    </w:p>
    <w:p w14:paraId="40A642FB" w14:textId="77777777" w:rsidR="00553FCA" w:rsidRPr="00553FCA" w:rsidRDefault="00553FCA" w:rsidP="00553FCA">
      <w:pPr>
        <w:pStyle w:val="ListParagraph"/>
        <w:rPr>
          <w:rFonts w:ascii="Book Antiqua" w:hAnsi="Book Antiqua"/>
          <w:sz w:val="22"/>
          <w:szCs w:val="22"/>
        </w:rPr>
      </w:pPr>
    </w:p>
    <w:p w14:paraId="56C7569A" w14:textId="78EBF058" w:rsidR="00027815" w:rsidRDefault="00027815" w:rsidP="00027815">
      <w:pPr>
        <w:spacing w:after="200"/>
        <w:rPr>
          <w:rFonts w:ascii="Book Antiqua" w:hAnsi="Book Antiqua"/>
          <w:sz w:val="22"/>
          <w:szCs w:val="22"/>
        </w:rPr>
      </w:pPr>
      <w:r w:rsidRPr="004F4311">
        <w:rPr>
          <w:rFonts w:ascii="Book Antiqua" w:hAnsi="Book Antiqua"/>
          <w:sz w:val="22"/>
          <w:szCs w:val="22"/>
        </w:rPr>
        <w:t xml:space="preserve">The </w:t>
      </w:r>
      <w:r w:rsidRPr="004F4311">
        <w:rPr>
          <w:rFonts w:ascii="Book Antiqua" w:hAnsi="Book Antiqua"/>
          <w:b/>
          <w:sz w:val="22"/>
          <w:szCs w:val="22"/>
        </w:rPr>
        <w:t>On Deck Set</w:t>
      </w:r>
      <w:r w:rsidRPr="004F4311">
        <w:rPr>
          <w:rFonts w:ascii="Book Antiqua" w:hAnsi="Book Antiqua"/>
          <w:sz w:val="22"/>
          <w:szCs w:val="22"/>
        </w:rPr>
        <w:t xml:space="preserve"> includes measures that the Taskforce has endorsed for the Core or Menu Set, and which the Taskforce will move into those sets in the two or three years following endorsement to give providers time to prepare for reporting.</w:t>
      </w:r>
      <w:r>
        <w:rPr>
          <w:rFonts w:ascii="Book Antiqua" w:hAnsi="Book Antiqua"/>
          <w:sz w:val="22"/>
          <w:szCs w:val="22"/>
        </w:rPr>
        <w:t xml:space="preserve">  The Taskforce did not identify any On Deck measures for 202</w:t>
      </w:r>
      <w:r w:rsidR="00125471">
        <w:rPr>
          <w:rFonts w:ascii="Book Antiqua" w:hAnsi="Book Antiqua"/>
          <w:sz w:val="22"/>
          <w:szCs w:val="22"/>
        </w:rPr>
        <w:t>1</w:t>
      </w:r>
      <w:r>
        <w:rPr>
          <w:rFonts w:ascii="Book Antiqua" w:hAnsi="Book Antiqua"/>
          <w:sz w:val="22"/>
          <w:szCs w:val="22"/>
        </w:rPr>
        <w:t>.</w:t>
      </w:r>
    </w:p>
    <w:p w14:paraId="12C54AA8" w14:textId="7863FC8A" w:rsidR="00D3201B" w:rsidRPr="004F4311" w:rsidRDefault="00F87590" w:rsidP="00440EE6">
      <w:pPr>
        <w:rPr>
          <w:rFonts w:ascii="Book Antiqua" w:hAnsi="Book Antiqua"/>
          <w:sz w:val="22"/>
          <w:szCs w:val="22"/>
        </w:rPr>
      </w:pPr>
      <w:r w:rsidRPr="004F4311">
        <w:rPr>
          <w:rFonts w:ascii="Book Antiqua" w:hAnsi="Book Antiqua"/>
          <w:sz w:val="22"/>
          <w:szCs w:val="22"/>
        </w:rPr>
        <w:t xml:space="preserve">The </w:t>
      </w:r>
      <w:r w:rsidRPr="004F4311">
        <w:rPr>
          <w:rFonts w:ascii="Book Antiqua" w:hAnsi="Book Antiqua"/>
          <w:b/>
          <w:sz w:val="22"/>
          <w:szCs w:val="22"/>
        </w:rPr>
        <w:t>Developmental Set</w:t>
      </w:r>
      <w:r w:rsidRPr="004F4311">
        <w:rPr>
          <w:rFonts w:ascii="Book Antiqua" w:hAnsi="Book Antiqua"/>
          <w:sz w:val="22"/>
          <w:szCs w:val="22"/>
        </w:rPr>
        <w:t xml:space="preserve"> includes measures and measure concepts that address priority areas for the Taskforce, but the measure has not yet been defined, validated</w:t>
      </w:r>
      <w:r w:rsidR="002164BA">
        <w:rPr>
          <w:rStyle w:val="FootnoteReference"/>
          <w:rFonts w:ascii="Book Antiqua" w:hAnsi="Book Antiqua"/>
          <w:sz w:val="22"/>
          <w:szCs w:val="22"/>
        </w:rPr>
        <w:footnoteReference w:id="6"/>
      </w:r>
      <w:r w:rsidRPr="004F4311">
        <w:rPr>
          <w:rFonts w:ascii="Book Antiqua" w:hAnsi="Book Antiqua"/>
          <w:sz w:val="22"/>
          <w:szCs w:val="22"/>
        </w:rPr>
        <w:t xml:space="preserve"> and/or tested for implementation.  </w:t>
      </w:r>
      <w:r w:rsidR="001E700F" w:rsidRPr="001E700F">
        <w:rPr>
          <w:rFonts w:ascii="Book Antiqua" w:hAnsi="Book Antiqua"/>
          <w:sz w:val="22"/>
          <w:szCs w:val="22"/>
        </w:rPr>
        <w:t>Willing payers and providers may use these measures in their value-based contracts.</w:t>
      </w:r>
      <w:r w:rsidR="001E700F">
        <w:rPr>
          <w:rFonts w:ascii="Book Antiqua" w:hAnsi="Book Antiqua"/>
          <w:sz w:val="22"/>
          <w:szCs w:val="22"/>
        </w:rPr>
        <w:t xml:space="preserve">  </w:t>
      </w:r>
      <w:r w:rsidR="00BC22B8">
        <w:rPr>
          <w:rFonts w:ascii="Book Antiqua" w:hAnsi="Book Antiqua"/>
          <w:sz w:val="22"/>
          <w:szCs w:val="22"/>
        </w:rPr>
        <w:t xml:space="preserve">2020 Developmental </w:t>
      </w:r>
      <w:r w:rsidR="00E84F92">
        <w:rPr>
          <w:rFonts w:ascii="Book Antiqua" w:hAnsi="Book Antiqua"/>
          <w:sz w:val="22"/>
          <w:szCs w:val="22"/>
        </w:rPr>
        <w:t xml:space="preserve">Set </w:t>
      </w:r>
      <w:r w:rsidR="00BC22B8">
        <w:rPr>
          <w:rFonts w:ascii="Book Antiqua" w:hAnsi="Book Antiqua"/>
          <w:sz w:val="22"/>
          <w:szCs w:val="22"/>
        </w:rPr>
        <w:t>priorities include:</w:t>
      </w:r>
    </w:p>
    <w:p w14:paraId="04AF19A0" w14:textId="371CDA9B" w:rsidR="00BC22B8" w:rsidRDefault="00CD292F" w:rsidP="00BC22B8">
      <w:pPr>
        <w:pStyle w:val="ListParagraph"/>
        <w:numPr>
          <w:ilvl w:val="0"/>
          <w:numId w:val="41"/>
        </w:numPr>
        <w:rPr>
          <w:rFonts w:ascii="Book Antiqua" w:hAnsi="Book Antiqua"/>
          <w:sz w:val="22"/>
          <w:szCs w:val="22"/>
        </w:rPr>
      </w:pPr>
      <w:r>
        <w:rPr>
          <w:rFonts w:ascii="Book Antiqua" w:hAnsi="Book Antiqua"/>
          <w:sz w:val="22"/>
          <w:szCs w:val="22"/>
        </w:rPr>
        <w:t xml:space="preserve">Health </w:t>
      </w:r>
      <w:r w:rsidR="00327544">
        <w:rPr>
          <w:rFonts w:ascii="Book Antiqua" w:hAnsi="Book Antiqua"/>
          <w:sz w:val="22"/>
          <w:szCs w:val="22"/>
        </w:rPr>
        <w:t>inequities</w:t>
      </w:r>
    </w:p>
    <w:p w14:paraId="6E822317" w14:textId="0F11E596" w:rsidR="00CD292F" w:rsidRDefault="00CD292F" w:rsidP="00BC22B8">
      <w:pPr>
        <w:pStyle w:val="ListParagraph"/>
        <w:numPr>
          <w:ilvl w:val="0"/>
          <w:numId w:val="41"/>
        </w:numPr>
        <w:rPr>
          <w:rFonts w:ascii="Book Antiqua" w:hAnsi="Book Antiqua"/>
          <w:sz w:val="22"/>
          <w:szCs w:val="22"/>
        </w:rPr>
      </w:pPr>
      <w:r>
        <w:rPr>
          <w:rFonts w:ascii="Book Antiqua" w:hAnsi="Book Antiqua"/>
          <w:sz w:val="22"/>
          <w:szCs w:val="22"/>
        </w:rPr>
        <w:t xml:space="preserve">Kindergarten readiness </w:t>
      </w:r>
    </w:p>
    <w:p w14:paraId="3CA16364" w14:textId="50BCEBB3" w:rsidR="00CD292F" w:rsidRDefault="00CD292F" w:rsidP="00BC22B8">
      <w:pPr>
        <w:pStyle w:val="ListParagraph"/>
        <w:numPr>
          <w:ilvl w:val="0"/>
          <w:numId w:val="41"/>
        </w:numPr>
        <w:rPr>
          <w:rFonts w:ascii="Book Antiqua" w:hAnsi="Book Antiqua"/>
          <w:sz w:val="22"/>
          <w:szCs w:val="22"/>
        </w:rPr>
      </w:pPr>
      <w:r w:rsidRPr="00CD292F">
        <w:rPr>
          <w:rFonts w:ascii="Book Antiqua" w:hAnsi="Book Antiqua"/>
          <w:sz w:val="22"/>
          <w:szCs w:val="22"/>
        </w:rPr>
        <w:t>Depression Remission or Response for Adolescents and Adults</w:t>
      </w:r>
    </w:p>
    <w:p w14:paraId="7AAB1C0C" w14:textId="224F60AB" w:rsidR="00F20B86" w:rsidRDefault="00F20B86" w:rsidP="00BC22B8">
      <w:pPr>
        <w:pStyle w:val="ListParagraph"/>
        <w:numPr>
          <w:ilvl w:val="0"/>
          <w:numId w:val="41"/>
        </w:numPr>
        <w:rPr>
          <w:rFonts w:ascii="Book Antiqua" w:hAnsi="Book Antiqua"/>
          <w:sz w:val="22"/>
          <w:szCs w:val="22"/>
        </w:rPr>
      </w:pPr>
      <w:r w:rsidRPr="00F20B86">
        <w:rPr>
          <w:rFonts w:ascii="Book Antiqua" w:hAnsi="Book Antiqua"/>
          <w:sz w:val="22"/>
          <w:szCs w:val="22"/>
        </w:rPr>
        <w:t>Appropriate Antibiotic Prophylaxis for Children with Sickle Cell Anemia</w:t>
      </w:r>
    </w:p>
    <w:p w14:paraId="5A3C40DC" w14:textId="5B8B8361" w:rsidR="00F20B86" w:rsidRDefault="00F20B86" w:rsidP="00BC22B8">
      <w:pPr>
        <w:pStyle w:val="ListParagraph"/>
        <w:numPr>
          <w:ilvl w:val="0"/>
          <w:numId w:val="41"/>
        </w:numPr>
        <w:rPr>
          <w:rFonts w:ascii="Book Antiqua" w:hAnsi="Book Antiqua"/>
          <w:sz w:val="22"/>
          <w:szCs w:val="22"/>
        </w:rPr>
      </w:pPr>
      <w:r w:rsidRPr="00F20B86">
        <w:rPr>
          <w:rFonts w:ascii="Book Antiqua" w:hAnsi="Book Antiqua"/>
          <w:sz w:val="22"/>
          <w:szCs w:val="22"/>
        </w:rPr>
        <w:t>Developmental Screening in the First Three Years of Life</w:t>
      </w:r>
    </w:p>
    <w:p w14:paraId="123C155B" w14:textId="614E9E87" w:rsidR="00F20B86" w:rsidRDefault="00F20B86" w:rsidP="00BC22B8">
      <w:pPr>
        <w:pStyle w:val="ListParagraph"/>
        <w:numPr>
          <w:ilvl w:val="0"/>
          <w:numId w:val="41"/>
        </w:numPr>
        <w:rPr>
          <w:rFonts w:ascii="Book Antiqua" w:hAnsi="Book Antiqua"/>
          <w:sz w:val="22"/>
          <w:szCs w:val="22"/>
        </w:rPr>
      </w:pPr>
      <w:r w:rsidRPr="00F20B86">
        <w:rPr>
          <w:rFonts w:ascii="Book Antiqua" w:hAnsi="Book Antiqua"/>
          <w:sz w:val="22"/>
          <w:szCs w:val="22"/>
        </w:rPr>
        <w:t>Fluoride Varnish</w:t>
      </w:r>
    </w:p>
    <w:p w14:paraId="3234C5F9" w14:textId="77777777" w:rsidR="00F20B86" w:rsidRPr="00F20B86" w:rsidRDefault="00F20B86" w:rsidP="00F20B86">
      <w:pPr>
        <w:pStyle w:val="ListParagraph"/>
        <w:numPr>
          <w:ilvl w:val="0"/>
          <w:numId w:val="41"/>
        </w:numPr>
        <w:rPr>
          <w:rFonts w:ascii="Book Antiqua" w:hAnsi="Book Antiqua"/>
          <w:sz w:val="22"/>
          <w:szCs w:val="22"/>
        </w:rPr>
      </w:pPr>
      <w:r w:rsidRPr="00F20B86">
        <w:rPr>
          <w:rFonts w:ascii="Book Antiqua" w:hAnsi="Book Antiqua"/>
          <w:sz w:val="22"/>
          <w:szCs w:val="22"/>
        </w:rPr>
        <w:t>Tobacco Use and Help with Quitting Among Adolescents</w:t>
      </w:r>
    </w:p>
    <w:p w14:paraId="20248945" w14:textId="239F6BC4" w:rsidR="00F20B86" w:rsidRPr="00E84F92" w:rsidRDefault="00F20B86" w:rsidP="00E84F92">
      <w:pPr>
        <w:pStyle w:val="ListParagraph"/>
        <w:numPr>
          <w:ilvl w:val="0"/>
          <w:numId w:val="41"/>
        </w:numPr>
        <w:rPr>
          <w:rFonts w:ascii="Book Antiqua" w:hAnsi="Book Antiqua"/>
          <w:sz w:val="22"/>
          <w:szCs w:val="22"/>
        </w:rPr>
      </w:pPr>
      <w:r>
        <w:rPr>
          <w:rFonts w:ascii="Book Antiqua" w:hAnsi="Book Antiqua"/>
          <w:sz w:val="22"/>
          <w:szCs w:val="22"/>
        </w:rPr>
        <w:t>Care coordination</w:t>
      </w:r>
    </w:p>
    <w:p w14:paraId="0166103A" w14:textId="77777777" w:rsidR="005F7227" w:rsidRDefault="005F7227" w:rsidP="005F7227">
      <w:pPr>
        <w:rPr>
          <w:rFonts w:ascii="Book Antiqua" w:hAnsi="Book Antiqua"/>
          <w:sz w:val="22"/>
          <w:szCs w:val="22"/>
        </w:rPr>
      </w:pPr>
    </w:p>
    <w:p w14:paraId="725583E5" w14:textId="6D52C6FC" w:rsidR="00EE6643" w:rsidRPr="00C3740B" w:rsidRDefault="00A0674B" w:rsidP="00C3740B">
      <w:pPr>
        <w:spacing w:after="200"/>
        <w:rPr>
          <w:rFonts w:ascii="Book Antiqua" w:hAnsi="Book Antiqua"/>
          <w:sz w:val="22"/>
          <w:szCs w:val="22"/>
        </w:rPr>
      </w:pPr>
      <w:r w:rsidRPr="004F4311">
        <w:rPr>
          <w:rFonts w:ascii="Book Antiqua" w:hAnsi="Book Antiqua"/>
          <w:sz w:val="22"/>
          <w:szCs w:val="22"/>
        </w:rPr>
        <w:t xml:space="preserve">The </w:t>
      </w:r>
      <w:r w:rsidRPr="004F4311">
        <w:rPr>
          <w:rFonts w:ascii="Book Antiqua" w:hAnsi="Book Antiqua"/>
          <w:b/>
          <w:sz w:val="22"/>
          <w:szCs w:val="22"/>
        </w:rPr>
        <w:t xml:space="preserve">Innovation </w:t>
      </w:r>
      <w:r w:rsidRPr="004F4311">
        <w:rPr>
          <w:rFonts w:ascii="Book Antiqua" w:hAnsi="Book Antiqua"/>
          <w:sz w:val="22"/>
          <w:szCs w:val="22"/>
        </w:rPr>
        <w:t xml:space="preserve">measure category includes measures which address a) clinical topics or clinical outcomes in the Core or Menu Sets utilizing a novel approach or b) clinical topics that are not addressed in the Core or Menu Sets.  </w:t>
      </w:r>
      <w:r w:rsidR="00B81A4C" w:rsidRPr="00B81A4C">
        <w:rPr>
          <w:rFonts w:ascii="Book Antiqua" w:hAnsi="Book Antiqua"/>
          <w:sz w:val="22"/>
          <w:szCs w:val="22"/>
        </w:rPr>
        <w:t xml:space="preserve">Innovation measures are </w:t>
      </w:r>
      <w:proofErr w:type="gramStart"/>
      <w:r w:rsidR="00B81A4C" w:rsidRPr="00B81A4C">
        <w:rPr>
          <w:rFonts w:ascii="Book Antiqua" w:hAnsi="Book Antiqua"/>
          <w:sz w:val="22"/>
          <w:szCs w:val="22"/>
        </w:rPr>
        <w:t>well-defined, and</w:t>
      </w:r>
      <w:proofErr w:type="gramEnd"/>
      <w:r w:rsidR="00B81A4C" w:rsidRPr="00B81A4C">
        <w:rPr>
          <w:rFonts w:ascii="Book Antiqua" w:hAnsi="Book Antiqua"/>
          <w:sz w:val="22"/>
          <w:szCs w:val="22"/>
        </w:rPr>
        <w:t xml:space="preserve"> have been validated and tested for implementation.</w:t>
      </w:r>
      <w:r w:rsidR="00B81A4C">
        <w:rPr>
          <w:rFonts w:ascii="Book Antiqua" w:hAnsi="Book Antiqua"/>
          <w:sz w:val="22"/>
          <w:szCs w:val="22"/>
        </w:rPr>
        <w:t xml:space="preserve">  </w:t>
      </w:r>
      <w:r w:rsidRPr="004F4311">
        <w:rPr>
          <w:rFonts w:ascii="Book Antiqua" w:hAnsi="Book Antiqua"/>
          <w:sz w:val="22"/>
          <w:szCs w:val="22"/>
        </w:rPr>
        <w:t xml:space="preserve">Innovation measures are intended to advance measure development and therefore cannot include measures that have been previously considered and rejected by the Taskforce as </w:t>
      </w:r>
      <w:r w:rsidR="00294AEE">
        <w:rPr>
          <w:rFonts w:ascii="Book Antiqua" w:hAnsi="Book Antiqua"/>
          <w:sz w:val="22"/>
          <w:szCs w:val="22"/>
        </w:rPr>
        <w:t xml:space="preserve">potential </w:t>
      </w:r>
      <w:r w:rsidRPr="004F4311">
        <w:rPr>
          <w:rFonts w:ascii="Book Antiqua" w:hAnsi="Book Antiqua"/>
          <w:sz w:val="22"/>
          <w:szCs w:val="22"/>
        </w:rPr>
        <w:t xml:space="preserve">Core or Menu measures. </w:t>
      </w:r>
      <w:r w:rsidR="00294AEE">
        <w:rPr>
          <w:rFonts w:ascii="Book Antiqua" w:hAnsi="Book Antiqua"/>
          <w:sz w:val="22"/>
          <w:szCs w:val="22"/>
        </w:rPr>
        <w:t xml:space="preserve"> </w:t>
      </w:r>
      <w:r w:rsidRPr="004F4311">
        <w:rPr>
          <w:rFonts w:ascii="Book Antiqua" w:hAnsi="Book Antiqua"/>
          <w:sz w:val="22"/>
          <w:szCs w:val="22"/>
        </w:rPr>
        <w:t xml:space="preserve">Innovation measures can be used </w:t>
      </w:r>
      <w:r w:rsidR="00294AEE">
        <w:rPr>
          <w:rFonts w:ascii="Book Antiqua" w:hAnsi="Book Antiqua"/>
          <w:sz w:val="22"/>
          <w:szCs w:val="22"/>
        </w:rPr>
        <w:t>on a</w:t>
      </w:r>
      <w:r w:rsidRPr="004F4311">
        <w:rPr>
          <w:rFonts w:ascii="Book Antiqua" w:hAnsi="Book Antiqua"/>
          <w:sz w:val="22"/>
          <w:szCs w:val="22"/>
        </w:rPr>
        <w:t xml:space="preserve"> pay-for-performance or pay-for-reporting </w:t>
      </w:r>
      <w:r w:rsidR="00294AEE">
        <w:rPr>
          <w:rFonts w:ascii="Book Antiqua" w:hAnsi="Book Antiqua"/>
          <w:sz w:val="22"/>
          <w:szCs w:val="22"/>
        </w:rPr>
        <w:t xml:space="preserve">basis </w:t>
      </w:r>
      <w:r w:rsidRPr="004F4311">
        <w:rPr>
          <w:rFonts w:ascii="Book Antiqua" w:hAnsi="Book Antiqua"/>
          <w:sz w:val="22"/>
          <w:szCs w:val="22"/>
        </w:rPr>
        <w:t>at the mutual agreement of the payer and</w:t>
      </w:r>
      <w:r w:rsidR="00C34120">
        <w:rPr>
          <w:rFonts w:ascii="Book Antiqua" w:hAnsi="Book Antiqua"/>
          <w:sz w:val="22"/>
          <w:szCs w:val="22"/>
        </w:rPr>
        <w:t xml:space="preserve"> provider</w:t>
      </w:r>
      <w:r w:rsidR="00D6382F">
        <w:rPr>
          <w:rFonts w:ascii="Book Antiqua" w:hAnsi="Book Antiqua"/>
          <w:sz w:val="22"/>
          <w:szCs w:val="22"/>
        </w:rPr>
        <w:t>s</w:t>
      </w:r>
      <w:r w:rsidRPr="004F4311">
        <w:rPr>
          <w:rFonts w:ascii="Book Antiqua" w:hAnsi="Book Antiqua"/>
          <w:sz w:val="22"/>
          <w:szCs w:val="22"/>
        </w:rPr>
        <w:t xml:space="preserve">.  For payers choosing to voluntarily adopt the Massachusetts Aligned Measure Set and its associated parameters, use of Innovation measures, </w:t>
      </w:r>
      <w:r w:rsidRPr="004F4311">
        <w:rPr>
          <w:rFonts w:ascii="Book Antiqua" w:hAnsi="Book Antiqua"/>
          <w:sz w:val="22"/>
          <w:szCs w:val="22"/>
        </w:rPr>
        <w:lastRenderedPageBreak/>
        <w:t xml:space="preserve">at the outset, will not be limited in number.  The Taskforce </w:t>
      </w:r>
      <w:r w:rsidR="00821321">
        <w:rPr>
          <w:rFonts w:ascii="Book Antiqua" w:hAnsi="Book Antiqua"/>
          <w:sz w:val="22"/>
          <w:szCs w:val="22"/>
        </w:rPr>
        <w:t>will monitor</w:t>
      </w:r>
      <w:r w:rsidRPr="004F4311">
        <w:rPr>
          <w:rFonts w:ascii="Book Antiqua" w:hAnsi="Book Antiqua"/>
          <w:sz w:val="22"/>
          <w:szCs w:val="22"/>
        </w:rPr>
        <w:t xml:space="preserve"> and revisit use of Innovation measures.  The Taskforce </w:t>
      </w:r>
      <w:r w:rsidR="00821321">
        <w:rPr>
          <w:rFonts w:ascii="Book Antiqua" w:hAnsi="Book Antiqua"/>
          <w:sz w:val="22"/>
          <w:szCs w:val="22"/>
        </w:rPr>
        <w:t>will</w:t>
      </w:r>
      <w:r w:rsidR="00172C73" w:rsidRPr="004F4311">
        <w:rPr>
          <w:rFonts w:ascii="Book Antiqua" w:hAnsi="Book Antiqua"/>
          <w:sz w:val="22"/>
          <w:szCs w:val="22"/>
        </w:rPr>
        <w:t xml:space="preserve"> </w:t>
      </w:r>
      <w:r w:rsidRPr="004F4311">
        <w:rPr>
          <w:rFonts w:ascii="Book Antiqua" w:hAnsi="Book Antiqua"/>
          <w:sz w:val="22"/>
          <w:szCs w:val="22"/>
        </w:rPr>
        <w:t>evaluat</w:t>
      </w:r>
      <w:r w:rsidR="00821321">
        <w:rPr>
          <w:rFonts w:ascii="Book Antiqua" w:hAnsi="Book Antiqua"/>
          <w:sz w:val="22"/>
          <w:szCs w:val="22"/>
        </w:rPr>
        <w:t>e</w:t>
      </w:r>
      <w:r w:rsidRPr="004F4311">
        <w:rPr>
          <w:rFonts w:ascii="Book Antiqua" w:hAnsi="Book Antiqua"/>
          <w:sz w:val="22"/>
          <w:szCs w:val="22"/>
        </w:rPr>
        <w:t xml:space="preserve"> Innovation measures, once </w:t>
      </w:r>
      <w:proofErr w:type="gramStart"/>
      <w:r w:rsidRPr="004F4311">
        <w:rPr>
          <w:rFonts w:ascii="Book Antiqua" w:hAnsi="Book Antiqua"/>
          <w:sz w:val="22"/>
          <w:szCs w:val="22"/>
        </w:rPr>
        <w:t>developed</w:t>
      </w:r>
      <w:proofErr w:type="gramEnd"/>
      <w:r w:rsidRPr="004F4311">
        <w:rPr>
          <w:rFonts w:ascii="Book Antiqua" w:hAnsi="Book Antiqua"/>
          <w:sz w:val="22"/>
          <w:szCs w:val="22"/>
        </w:rPr>
        <w:t xml:space="preserve"> and tested, for inclusion in the Menu</w:t>
      </w:r>
      <w:r w:rsidR="008A1B8F">
        <w:rPr>
          <w:rFonts w:ascii="Book Antiqua" w:hAnsi="Book Antiqua"/>
          <w:sz w:val="22"/>
          <w:szCs w:val="22"/>
        </w:rPr>
        <w:t xml:space="preserve"> or</w:t>
      </w:r>
      <w:r w:rsidRPr="004F4311">
        <w:rPr>
          <w:rFonts w:ascii="Book Antiqua" w:hAnsi="Book Antiqua"/>
          <w:sz w:val="22"/>
          <w:szCs w:val="22"/>
        </w:rPr>
        <w:t xml:space="preserve"> On Deck</w:t>
      </w:r>
      <w:r w:rsidR="008A1B8F">
        <w:rPr>
          <w:rFonts w:ascii="Book Antiqua" w:hAnsi="Book Antiqua"/>
          <w:sz w:val="22"/>
          <w:szCs w:val="22"/>
        </w:rPr>
        <w:t xml:space="preserve"> </w:t>
      </w:r>
      <w:r w:rsidRPr="004F4311">
        <w:rPr>
          <w:rFonts w:ascii="Book Antiqua" w:hAnsi="Book Antiqua"/>
          <w:sz w:val="22"/>
          <w:szCs w:val="22"/>
        </w:rPr>
        <w:t>Sets.</w:t>
      </w:r>
      <w:r w:rsidRPr="004F4311" w:rsidDel="00131A3B">
        <w:rPr>
          <w:rStyle w:val="CommentReference"/>
          <w:rFonts w:ascii="Book Antiqua" w:hAnsi="Book Antiqua"/>
          <w:sz w:val="22"/>
          <w:szCs w:val="22"/>
        </w:rPr>
        <w:t xml:space="preserve"> </w:t>
      </w:r>
      <w:bookmarkStart w:id="0" w:name="_II._Development_of"/>
      <w:bookmarkStart w:id="1" w:name="_III._Development_of"/>
      <w:bookmarkEnd w:id="0"/>
      <w:bookmarkEnd w:id="1"/>
    </w:p>
    <w:p w14:paraId="12C54AAD" w14:textId="1A275787" w:rsidR="00594F55" w:rsidRPr="004F4311" w:rsidRDefault="00594F55" w:rsidP="00023222">
      <w:pPr>
        <w:pStyle w:val="Heading1"/>
        <w:spacing w:before="0"/>
        <w:rPr>
          <w:szCs w:val="22"/>
        </w:rPr>
      </w:pPr>
      <w:r w:rsidRPr="004F4311">
        <w:rPr>
          <w:szCs w:val="22"/>
        </w:rPr>
        <w:t>I</w:t>
      </w:r>
      <w:r w:rsidR="007077EA" w:rsidRPr="004F4311">
        <w:rPr>
          <w:szCs w:val="22"/>
        </w:rPr>
        <w:t>II</w:t>
      </w:r>
      <w:r w:rsidRPr="004F4311">
        <w:rPr>
          <w:szCs w:val="22"/>
        </w:rPr>
        <w:t xml:space="preserve">. </w:t>
      </w:r>
      <w:r w:rsidR="00857730" w:rsidRPr="004F4311">
        <w:rPr>
          <w:szCs w:val="22"/>
        </w:rPr>
        <w:t>Implementation Parameters</w:t>
      </w:r>
    </w:p>
    <w:p w14:paraId="12C54AAE" w14:textId="5AD1CDDA" w:rsidR="001F58DA" w:rsidRPr="00823B9F" w:rsidRDefault="00C13DF3" w:rsidP="00823B9F">
      <w:pPr>
        <w:pStyle w:val="ListParagraph"/>
        <w:numPr>
          <w:ilvl w:val="0"/>
          <w:numId w:val="30"/>
        </w:numPr>
        <w:rPr>
          <w:rFonts w:ascii="Book Antiqua" w:hAnsi="Book Antiqua"/>
          <w:sz w:val="22"/>
          <w:szCs w:val="22"/>
        </w:rPr>
      </w:pPr>
      <w:r>
        <w:rPr>
          <w:rFonts w:ascii="Book Antiqua" w:hAnsi="Book Antiqua"/>
          <w:sz w:val="22"/>
          <w:szCs w:val="22"/>
          <w:u w:val="single"/>
        </w:rPr>
        <w:t>Commercial i</w:t>
      </w:r>
      <w:r w:rsidR="00351F44" w:rsidRPr="00823B9F">
        <w:rPr>
          <w:rFonts w:ascii="Book Antiqua" w:hAnsi="Book Antiqua"/>
          <w:sz w:val="22"/>
          <w:szCs w:val="22"/>
          <w:u w:val="single"/>
        </w:rPr>
        <w:t>mplementation timeframe</w:t>
      </w:r>
      <w:r w:rsidR="00823B9F" w:rsidRPr="00823B9F">
        <w:rPr>
          <w:rFonts w:ascii="Book Antiqua" w:hAnsi="Book Antiqua"/>
          <w:sz w:val="22"/>
          <w:szCs w:val="22"/>
          <w:u w:val="single"/>
        </w:rPr>
        <w:t>.</w:t>
      </w:r>
      <w:r w:rsidR="00351F44" w:rsidRPr="00823B9F">
        <w:rPr>
          <w:rFonts w:ascii="Book Antiqua" w:hAnsi="Book Antiqua"/>
          <w:sz w:val="22"/>
          <w:szCs w:val="22"/>
        </w:rPr>
        <w:t xml:space="preserve"> </w:t>
      </w:r>
      <w:r w:rsidR="00823B9F" w:rsidRPr="00823B9F">
        <w:rPr>
          <w:rFonts w:ascii="Book Antiqua" w:hAnsi="Book Antiqua"/>
          <w:sz w:val="22"/>
          <w:szCs w:val="22"/>
        </w:rPr>
        <w:t xml:space="preserve"> </w:t>
      </w:r>
      <w:r w:rsidR="00DE7B0C">
        <w:rPr>
          <w:rFonts w:ascii="Book Antiqua" w:hAnsi="Book Antiqua"/>
          <w:sz w:val="22"/>
          <w:szCs w:val="22"/>
        </w:rPr>
        <w:t>C</w:t>
      </w:r>
      <w:r w:rsidR="001E0190" w:rsidRPr="00823B9F">
        <w:rPr>
          <w:rFonts w:ascii="Book Antiqua" w:hAnsi="Book Antiqua"/>
          <w:sz w:val="22"/>
          <w:szCs w:val="22"/>
        </w:rPr>
        <w:t>ommercial insurer</w:t>
      </w:r>
      <w:r w:rsidR="00DE7B0C">
        <w:rPr>
          <w:rFonts w:ascii="Book Antiqua" w:hAnsi="Book Antiqua"/>
          <w:sz w:val="22"/>
          <w:szCs w:val="22"/>
        </w:rPr>
        <w:t>s</w:t>
      </w:r>
      <w:r w:rsidR="00821321">
        <w:rPr>
          <w:rFonts w:ascii="Book Antiqua" w:hAnsi="Book Antiqua"/>
          <w:sz w:val="22"/>
          <w:szCs w:val="22"/>
        </w:rPr>
        <w:t xml:space="preserve"> choosing to</w:t>
      </w:r>
      <w:r w:rsidR="001E0190" w:rsidRPr="00823B9F">
        <w:rPr>
          <w:rFonts w:ascii="Book Antiqua" w:hAnsi="Book Antiqua"/>
          <w:sz w:val="22"/>
          <w:szCs w:val="22"/>
        </w:rPr>
        <w:t xml:space="preserve"> </w:t>
      </w:r>
      <w:r w:rsidR="00DE7B0C">
        <w:rPr>
          <w:rFonts w:ascii="Book Antiqua" w:hAnsi="Book Antiqua"/>
          <w:sz w:val="22"/>
          <w:szCs w:val="22"/>
        </w:rPr>
        <w:t xml:space="preserve">adopt the Massachusetts Aligned Measure Set </w:t>
      </w:r>
      <w:r w:rsidR="006B10E8">
        <w:rPr>
          <w:rFonts w:ascii="Book Antiqua" w:hAnsi="Book Antiqua"/>
          <w:sz w:val="22"/>
          <w:szCs w:val="22"/>
        </w:rPr>
        <w:t xml:space="preserve">and that have not yet done so </w:t>
      </w:r>
      <w:r w:rsidR="004D695F">
        <w:rPr>
          <w:rFonts w:ascii="Book Antiqua" w:hAnsi="Book Antiqua"/>
          <w:sz w:val="22"/>
          <w:szCs w:val="22"/>
        </w:rPr>
        <w:t xml:space="preserve">should </w:t>
      </w:r>
      <w:r w:rsidR="00821321">
        <w:rPr>
          <w:rFonts w:ascii="Book Antiqua" w:hAnsi="Book Antiqua"/>
          <w:sz w:val="22"/>
          <w:szCs w:val="22"/>
        </w:rPr>
        <w:t xml:space="preserve">do so </w:t>
      </w:r>
      <w:r w:rsidR="001B2956">
        <w:rPr>
          <w:rFonts w:ascii="Book Antiqua" w:hAnsi="Book Antiqua"/>
          <w:sz w:val="22"/>
          <w:szCs w:val="22"/>
        </w:rPr>
        <w:t>for implementation beginning</w:t>
      </w:r>
      <w:r w:rsidR="00704EFB">
        <w:rPr>
          <w:rFonts w:ascii="Book Antiqua" w:hAnsi="Book Antiqua"/>
          <w:sz w:val="22"/>
          <w:szCs w:val="22"/>
        </w:rPr>
        <w:t xml:space="preserve"> </w:t>
      </w:r>
      <w:r w:rsidR="00E21438" w:rsidRPr="00823B9F">
        <w:rPr>
          <w:rFonts w:ascii="Book Antiqua" w:hAnsi="Book Antiqua"/>
          <w:sz w:val="22"/>
          <w:szCs w:val="22"/>
        </w:rPr>
        <w:t>1/1/2</w:t>
      </w:r>
      <w:r w:rsidR="00BA774C">
        <w:rPr>
          <w:rFonts w:ascii="Book Antiqua" w:hAnsi="Book Antiqua"/>
          <w:sz w:val="22"/>
          <w:szCs w:val="22"/>
        </w:rPr>
        <w:t>1</w:t>
      </w:r>
      <w:r w:rsidR="009C47AB">
        <w:rPr>
          <w:rFonts w:ascii="Book Antiqua" w:hAnsi="Book Antiqua"/>
          <w:sz w:val="22"/>
          <w:szCs w:val="22"/>
        </w:rPr>
        <w:t xml:space="preserve"> </w:t>
      </w:r>
      <w:r w:rsidR="001B2956">
        <w:rPr>
          <w:rFonts w:ascii="Book Antiqua" w:hAnsi="Book Antiqua"/>
          <w:sz w:val="22"/>
          <w:szCs w:val="22"/>
        </w:rPr>
        <w:t>as contracts are renewed</w:t>
      </w:r>
      <w:r w:rsidR="001F58DA" w:rsidRPr="00823B9F">
        <w:rPr>
          <w:rFonts w:ascii="Book Antiqua" w:hAnsi="Book Antiqua"/>
          <w:sz w:val="22"/>
          <w:szCs w:val="22"/>
        </w:rPr>
        <w:t>.</w:t>
      </w:r>
      <w:r w:rsidR="003F205B">
        <w:rPr>
          <w:rStyle w:val="FootnoteReference"/>
          <w:rFonts w:ascii="Book Antiqua" w:hAnsi="Book Antiqua"/>
          <w:sz w:val="22"/>
          <w:szCs w:val="22"/>
        </w:rPr>
        <w:footnoteReference w:id="7"/>
      </w:r>
      <w:r w:rsidR="00C93149">
        <w:rPr>
          <w:rFonts w:ascii="Book Antiqua" w:hAnsi="Book Antiqua"/>
          <w:sz w:val="22"/>
          <w:szCs w:val="22"/>
        </w:rPr>
        <w:t xml:space="preserve">  </w:t>
      </w:r>
    </w:p>
    <w:p w14:paraId="12C54AAF" w14:textId="5DB58076" w:rsidR="00875784" w:rsidRDefault="00C13DF3" w:rsidP="00875784">
      <w:pPr>
        <w:pStyle w:val="ListParagraph"/>
        <w:numPr>
          <w:ilvl w:val="0"/>
          <w:numId w:val="30"/>
        </w:numPr>
        <w:rPr>
          <w:rFonts w:ascii="Book Antiqua" w:hAnsi="Book Antiqua"/>
          <w:sz w:val="22"/>
          <w:szCs w:val="22"/>
        </w:rPr>
      </w:pPr>
      <w:r w:rsidRPr="00EC1C5C">
        <w:rPr>
          <w:rFonts w:ascii="Book Antiqua" w:hAnsi="Book Antiqua"/>
          <w:sz w:val="22"/>
          <w:szCs w:val="22"/>
          <w:u w:val="single"/>
        </w:rPr>
        <w:t>MassHealth implementation timeframe:</w:t>
      </w:r>
      <w:r>
        <w:rPr>
          <w:rFonts w:ascii="Book Antiqua" w:hAnsi="Book Antiqua"/>
          <w:sz w:val="22"/>
          <w:szCs w:val="22"/>
        </w:rPr>
        <w:t xml:space="preserve"> </w:t>
      </w:r>
      <w:r w:rsidR="00143643">
        <w:rPr>
          <w:rFonts w:ascii="Book Antiqua" w:hAnsi="Book Antiqua"/>
          <w:sz w:val="22"/>
          <w:szCs w:val="22"/>
        </w:rPr>
        <w:t xml:space="preserve">MassHealth has updated its contractual measure set to align with the Massachusetts Aligned Measure </w:t>
      </w:r>
      <w:r w:rsidR="00875784">
        <w:rPr>
          <w:rFonts w:ascii="Book Antiqua" w:hAnsi="Book Antiqua"/>
          <w:sz w:val="22"/>
          <w:szCs w:val="22"/>
        </w:rPr>
        <w:t xml:space="preserve">Set.  MassHealth </w:t>
      </w:r>
      <w:r w:rsidR="007760CA">
        <w:rPr>
          <w:rFonts w:ascii="Book Antiqua" w:hAnsi="Book Antiqua"/>
          <w:sz w:val="22"/>
          <w:szCs w:val="22"/>
        </w:rPr>
        <w:t>has included additional measures</w:t>
      </w:r>
      <w:r w:rsidR="00704EFB">
        <w:rPr>
          <w:rFonts w:ascii="Book Antiqua" w:hAnsi="Book Antiqua"/>
          <w:sz w:val="22"/>
          <w:szCs w:val="22"/>
        </w:rPr>
        <w:t xml:space="preserve"> that are </w:t>
      </w:r>
      <w:r w:rsidR="007760CA">
        <w:rPr>
          <w:rFonts w:ascii="Book Antiqua" w:hAnsi="Book Antiqua"/>
          <w:sz w:val="22"/>
          <w:szCs w:val="22"/>
        </w:rPr>
        <w:t xml:space="preserve">not found in the </w:t>
      </w:r>
      <w:r w:rsidR="00875784">
        <w:rPr>
          <w:rFonts w:ascii="Book Antiqua" w:hAnsi="Book Antiqua"/>
          <w:sz w:val="22"/>
          <w:szCs w:val="22"/>
        </w:rPr>
        <w:t>Massachusetts Aligned Measure Set</w:t>
      </w:r>
      <w:r w:rsidR="00CE0A26">
        <w:rPr>
          <w:rFonts w:ascii="Book Antiqua" w:hAnsi="Book Antiqua"/>
          <w:sz w:val="22"/>
          <w:szCs w:val="22"/>
        </w:rPr>
        <w:t>:</w:t>
      </w:r>
      <w:r w:rsidR="00875784">
        <w:rPr>
          <w:rFonts w:ascii="Book Antiqua" w:hAnsi="Book Antiqua"/>
          <w:sz w:val="22"/>
          <w:szCs w:val="22"/>
        </w:rPr>
        <w:t xml:space="preserve">  </w:t>
      </w:r>
    </w:p>
    <w:p w14:paraId="12C54AB0" w14:textId="4476E29C" w:rsidR="00875784" w:rsidRDefault="00875784" w:rsidP="00875784">
      <w:pPr>
        <w:pStyle w:val="ListParagraph"/>
        <w:numPr>
          <w:ilvl w:val="0"/>
          <w:numId w:val="31"/>
        </w:numPr>
        <w:rPr>
          <w:rFonts w:ascii="Book Antiqua" w:hAnsi="Book Antiqua"/>
          <w:sz w:val="22"/>
          <w:szCs w:val="22"/>
        </w:rPr>
      </w:pPr>
      <w:r w:rsidRPr="00875784">
        <w:rPr>
          <w:rFonts w:ascii="Book Antiqua" w:hAnsi="Book Antiqua"/>
          <w:sz w:val="22"/>
          <w:szCs w:val="22"/>
        </w:rPr>
        <w:t>Prenatal and Postpartum Care – Timeliness of Prenatal Care</w:t>
      </w:r>
    </w:p>
    <w:p w14:paraId="12C54AB1" w14:textId="37E0B627" w:rsidR="00704EFB" w:rsidRDefault="00704EFB" w:rsidP="00704EFB">
      <w:pPr>
        <w:pStyle w:val="ListParagraph"/>
        <w:numPr>
          <w:ilvl w:val="0"/>
          <w:numId w:val="31"/>
        </w:numPr>
        <w:rPr>
          <w:rFonts w:ascii="Book Antiqua" w:hAnsi="Book Antiqua"/>
          <w:sz w:val="22"/>
          <w:szCs w:val="22"/>
        </w:rPr>
      </w:pPr>
      <w:r>
        <w:rPr>
          <w:rFonts w:ascii="Book Antiqua" w:hAnsi="Book Antiqua"/>
          <w:sz w:val="22"/>
          <w:szCs w:val="22"/>
        </w:rPr>
        <w:t>Adult hospital r</w:t>
      </w:r>
      <w:r w:rsidR="00875784" w:rsidRPr="00875784">
        <w:rPr>
          <w:rFonts w:ascii="Book Antiqua" w:hAnsi="Book Antiqua"/>
          <w:sz w:val="22"/>
          <w:szCs w:val="22"/>
        </w:rPr>
        <w:t xml:space="preserve">eadmission </w:t>
      </w:r>
      <w:r>
        <w:rPr>
          <w:rFonts w:ascii="Book Antiqua" w:hAnsi="Book Antiqua"/>
          <w:sz w:val="22"/>
          <w:szCs w:val="22"/>
        </w:rPr>
        <w:t>(</w:t>
      </w:r>
      <w:r w:rsidR="007F76BB">
        <w:rPr>
          <w:rFonts w:ascii="Book Antiqua" w:hAnsi="Book Antiqua"/>
          <w:sz w:val="22"/>
          <w:szCs w:val="22"/>
        </w:rPr>
        <w:t>c</w:t>
      </w:r>
      <w:r w:rsidRPr="00704EFB">
        <w:rPr>
          <w:rFonts w:ascii="Book Antiqua" w:hAnsi="Book Antiqua"/>
          <w:sz w:val="22"/>
          <w:szCs w:val="22"/>
        </w:rPr>
        <w:t>ase-mix adjusted rate of acute unplanned hospital readmissions within 30 days of discharge for members 18 to 64 years of age</w:t>
      </w:r>
      <w:r>
        <w:rPr>
          <w:rFonts w:ascii="Book Antiqua" w:hAnsi="Book Antiqua"/>
          <w:sz w:val="22"/>
          <w:szCs w:val="22"/>
        </w:rPr>
        <w:t>)</w:t>
      </w:r>
    </w:p>
    <w:p w14:paraId="12C54AB2" w14:textId="74F150F1" w:rsidR="00875784" w:rsidRDefault="00704EFB" w:rsidP="00875784">
      <w:pPr>
        <w:pStyle w:val="ListParagraph"/>
        <w:numPr>
          <w:ilvl w:val="0"/>
          <w:numId w:val="31"/>
        </w:numPr>
        <w:rPr>
          <w:rFonts w:ascii="Book Antiqua" w:hAnsi="Book Antiqua"/>
          <w:sz w:val="22"/>
          <w:szCs w:val="22"/>
        </w:rPr>
      </w:pPr>
      <w:r>
        <w:rPr>
          <w:rFonts w:ascii="Book Antiqua" w:hAnsi="Book Antiqua"/>
          <w:sz w:val="22"/>
          <w:szCs w:val="22"/>
        </w:rPr>
        <w:t>A</w:t>
      </w:r>
      <w:r w:rsidR="00875784" w:rsidRPr="00875784">
        <w:rPr>
          <w:rFonts w:ascii="Book Antiqua" w:hAnsi="Book Antiqua"/>
          <w:sz w:val="22"/>
          <w:szCs w:val="22"/>
        </w:rPr>
        <w:t>cute unplanned admission</w:t>
      </w:r>
      <w:r>
        <w:rPr>
          <w:rFonts w:ascii="Book Antiqua" w:hAnsi="Book Antiqua"/>
          <w:sz w:val="22"/>
          <w:szCs w:val="22"/>
        </w:rPr>
        <w:t>s</w:t>
      </w:r>
      <w:r w:rsidR="00875784" w:rsidRPr="00875784">
        <w:rPr>
          <w:rFonts w:ascii="Book Antiqua" w:hAnsi="Book Antiqua"/>
          <w:sz w:val="22"/>
          <w:szCs w:val="22"/>
        </w:rPr>
        <w:t xml:space="preserve"> for individuals with diabetes </w:t>
      </w:r>
    </w:p>
    <w:p w14:paraId="12C54AB3" w14:textId="68BB1BD8" w:rsidR="00875784" w:rsidRDefault="00704EFB" w:rsidP="00875784">
      <w:pPr>
        <w:pStyle w:val="ListParagraph"/>
        <w:numPr>
          <w:ilvl w:val="0"/>
          <w:numId w:val="31"/>
        </w:numPr>
        <w:rPr>
          <w:rFonts w:ascii="Book Antiqua" w:hAnsi="Book Antiqua"/>
          <w:sz w:val="22"/>
          <w:szCs w:val="22"/>
        </w:rPr>
      </w:pPr>
      <w:r>
        <w:rPr>
          <w:rFonts w:ascii="Book Antiqua" w:hAnsi="Book Antiqua"/>
          <w:sz w:val="22"/>
          <w:szCs w:val="22"/>
        </w:rPr>
        <w:t>S</w:t>
      </w:r>
      <w:r w:rsidR="00875784" w:rsidRPr="00875784">
        <w:rPr>
          <w:rFonts w:ascii="Book Antiqua" w:hAnsi="Book Antiqua"/>
          <w:sz w:val="22"/>
          <w:szCs w:val="22"/>
        </w:rPr>
        <w:t>everal measures that do not need to align with the Massachusetts Aligned Measure Set because they are not applicable to a commercially insured population (e.g., Oral Health Evaluation, Behavioral Health Community Partner and LTSS Community Partner Engagement).</w:t>
      </w:r>
    </w:p>
    <w:p w14:paraId="12C54AB4" w14:textId="77777777" w:rsidR="00875784" w:rsidRPr="00875784" w:rsidRDefault="00875784" w:rsidP="00875784">
      <w:pPr>
        <w:pStyle w:val="ListParagraph"/>
        <w:rPr>
          <w:rFonts w:ascii="Book Antiqua" w:hAnsi="Book Antiqua"/>
          <w:sz w:val="22"/>
          <w:szCs w:val="22"/>
        </w:rPr>
      </w:pPr>
      <w:r w:rsidRPr="00875784">
        <w:rPr>
          <w:rFonts w:ascii="Book Antiqua" w:hAnsi="Book Antiqua"/>
          <w:sz w:val="22"/>
          <w:szCs w:val="22"/>
        </w:rPr>
        <w:t xml:space="preserve">The Taskforce </w:t>
      </w:r>
      <w:r w:rsidR="00EC1C5C">
        <w:rPr>
          <w:rFonts w:ascii="Book Antiqua" w:hAnsi="Book Antiqua"/>
          <w:sz w:val="22"/>
          <w:szCs w:val="22"/>
        </w:rPr>
        <w:t xml:space="preserve">agreed </w:t>
      </w:r>
      <w:r w:rsidRPr="00875784">
        <w:rPr>
          <w:rFonts w:ascii="Book Antiqua" w:hAnsi="Book Antiqua"/>
          <w:sz w:val="22"/>
          <w:szCs w:val="22"/>
        </w:rPr>
        <w:t>that MassHealth’s adoption of the Aligned Measure Set</w:t>
      </w:r>
      <w:r w:rsidR="00EC1C5C">
        <w:rPr>
          <w:rFonts w:ascii="Book Antiqua" w:hAnsi="Book Antiqua"/>
          <w:sz w:val="22"/>
          <w:szCs w:val="22"/>
        </w:rPr>
        <w:t xml:space="preserve"> should</w:t>
      </w:r>
      <w:r w:rsidRPr="00875784">
        <w:rPr>
          <w:rFonts w:ascii="Book Antiqua" w:hAnsi="Book Antiqua"/>
          <w:sz w:val="22"/>
          <w:szCs w:val="22"/>
        </w:rPr>
        <w:t xml:space="preserve"> allow for </w:t>
      </w:r>
      <w:r w:rsidR="001509F1">
        <w:rPr>
          <w:rFonts w:ascii="Book Antiqua" w:hAnsi="Book Antiqua"/>
          <w:sz w:val="22"/>
          <w:szCs w:val="22"/>
        </w:rPr>
        <w:t xml:space="preserve">these </w:t>
      </w:r>
      <w:r w:rsidRPr="00875784">
        <w:rPr>
          <w:rFonts w:ascii="Book Antiqua" w:hAnsi="Book Antiqua"/>
          <w:sz w:val="22"/>
          <w:szCs w:val="22"/>
        </w:rPr>
        <w:t>deviations to meet Medicaid-specific program needs</w:t>
      </w:r>
      <w:r w:rsidR="00DE7CE9">
        <w:rPr>
          <w:rFonts w:ascii="Book Antiqua" w:hAnsi="Book Antiqua"/>
          <w:sz w:val="22"/>
          <w:szCs w:val="22"/>
        </w:rPr>
        <w:t>.</w:t>
      </w:r>
    </w:p>
    <w:p w14:paraId="12C54AB5" w14:textId="51C9B83C" w:rsidR="00513E48" w:rsidRPr="00823B9F" w:rsidRDefault="001F58DA" w:rsidP="00823B9F">
      <w:pPr>
        <w:pStyle w:val="ListParagraph"/>
        <w:numPr>
          <w:ilvl w:val="0"/>
          <w:numId w:val="30"/>
        </w:numPr>
        <w:rPr>
          <w:rFonts w:ascii="Book Antiqua" w:hAnsi="Book Antiqua"/>
          <w:sz w:val="22"/>
          <w:szCs w:val="22"/>
        </w:rPr>
      </w:pPr>
      <w:r w:rsidRPr="00823B9F">
        <w:rPr>
          <w:rFonts w:ascii="Book Antiqua" w:hAnsi="Book Antiqua"/>
          <w:sz w:val="22"/>
          <w:szCs w:val="22"/>
          <w:u w:val="single"/>
        </w:rPr>
        <w:t>Annual review process and timeframe</w:t>
      </w:r>
      <w:r w:rsidR="00823B9F" w:rsidRPr="00823B9F">
        <w:rPr>
          <w:rFonts w:ascii="Book Antiqua" w:hAnsi="Book Antiqua"/>
          <w:sz w:val="22"/>
          <w:szCs w:val="22"/>
          <w:u w:val="single"/>
        </w:rPr>
        <w:t>.</w:t>
      </w:r>
      <w:r w:rsidR="00E21438" w:rsidRPr="00823B9F">
        <w:rPr>
          <w:rFonts w:ascii="Book Antiqua" w:hAnsi="Book Antiqua"/>
          <w:sz w:val="22"/>
          <w:szCs w:val="22"/>
        </w:rPr>
        <w:t xml:space="preserve"> </w:t>
      </w:r>
      <w:r w:rsidR="00823B9F" w:rsidRPr="00823B9F">
        <w:rPr>
          <w:rFonts w:ascii="Book Antiqua" w:hAnsi="Book Antiqua"/>
          <w:sz w:val="22"/>
          <w:szCs w:val="22"/>
        </w:rPr>
        <w:t xml:space="preserve"> </w:t>
      </w:r>
      <w:r w:rsidRPr="00823B9F">
        <w:rPr>
          <w:rFonts w:ascii="Book Antiqua" w:hAnsi="Book Antiqua"/>
          <w:sz w:val="22"/>
          <w:szCs w:val="22"/>
        </w:rPr>
        <w:t>T</w:t>
      </w:r>
      <w:r w:rsidR="00E21438" w:rsidRPr="00823B9F">
        <w:rPr>
          <w:rFonts w:ascii="Book Antiqua" w:hAnsi="Book Antiqua"/>
          <w:sz w:val="22"/>
          <w:szCs w:val="22"/>
        </w:rPr>
        <w:t>he Taskforce</w:t>
      </w:r>
      <w:r w:rsidRPr="00823B9F">
        <w:rPr>
          <w:rFonts w:ascii="Book Antiqua" w:hAnsi="Book Antiqua"/>
          <w:sz w:val="22"/>
          <w:szCs w:val="22"/>
        </w:rPr>
        <w:t xml:space="preserve"> </w:t>
      </w:r>
      <w:r w:rsidR="00821321">
        <w:rPr>
          <w:rFonts w:ascii="Book Antiqua" w:hAnsi="Book Antiqua"/>
          <w:sz w:val="22"/>
          <w:szCs w:val="22"/>
        </w:rPr>
        <w:t>will</w:t>
      </w:r>
      <w:r w:rsidRPr="00823B9F">
        <w:rPr>
          <w:rFonts w:ascii="Book Antiqua" w:hAnsi="Book Antiqua"/>
          <w:sz w:val="22"/>
          <w:szCs w:val="22"/>
        </w:rPr>
        <w:t xml:space="preserve"> conduct an annual review of the </w:t>
      </w:r>
      <w:r w:rsidR="00C13DF3">
        <w:rPr>
          <w:rFonts w:ascii="Book Antiqua" w:hAnsi="Book Antiqua"/>
          <w:sz w:val="22"/>
          <w:szCs w:val="22"/>
        </w:rPr>
        <w:t xml:space="preserve">Massachusetts </w:t>
      </w:r>
      <w:r w:rsidR="00513E48" w:rsidRPr="00823B9F">
        <w:rPr>
          <w:rFonts w:ascii="Book Antiqua" w:hAnsi="Book Antiqua"/>
          <w:sz w:val="22"/>
          <w:szCs w:val="22"/>
        </w:rPr>
        <w:t xml:space="preserve">Aligned Measure Set </w:t>
      </w:r>
      <w:r w:rsidR="009A0043">
        <w:rPr>
          <w:rFonts w:ascii="Book Antiqua" w:hAnsi="Book Antiqua"/>
          <w:sz w:val="22"/>
          <w:szCs w:val="22"/>
        </w:rPr>
        <w:t xml:space="preserve">(see details in Section IV) </w:t>
      </w:r>
      <w:r w:rsidR="00513E48" w:rsidRPr="00823B9F">
        <w:rPr>
          <w:rFonts w:ascii="Book Antiqua" w:hAnsi="Book Antiqua"/>
          <w:sz w:val="22"/>
          <w:szCs w:val="22"/>
        </w:rPr>
        <w:t xml:space="preserve">and </w:t>
      </w:r>
      <w:r w:rsidR="00E21438" w:rsidRPr="00823B9F">
        <w:rPr>
          <w:rFonts w:ascii="Book Antiqua" w:hAnsi="Book Antiqua"/>
          <w:sz w:val="22"/>
          <w:szCs w:val="22"/>
        </w:rPr>
        <w:t>finalize any recommended modifications to the measure set by 3/31 each year</w:t>
      </w:r>
      <w:r w:rsidR="00E94326">
        <w:rPr>
          <w:rStyle w:val="FootnoteReference"/>
          <w:rFonts w:ascii="Book Antiqua" w:hAnsi="Book Antiqua"/>
          <w:sz w:val="22"/>
          <w:szCs w:val="22"/>
        </w:rPr>
        <w:footnoteReference w:id="8"/>
      </w:r>
      <w:r w:rsidR="00E21438" w:rsidRPr="00823B9F">
        <w:rPr>
          <w:rFonts w:ascii="Book Antiqua" w:hAnsi="Book Antiqua"/>
          <w:sz w:val="22"/>
          <w:szCs w:val="22"/>
        </w:rPr>
        <w:t xml:space="preserve"> for the next </w:t>
      </w:r>
      <w:r w:rsidR="003870AD">
        <w:rPr>
          <w:rFonts w:ascii="Book Antiqua" w:hAnsi="Book Antiqua"/>
          <w:sz w:val="22"/>
          <w:szCs w:val="22"/>
        </w:rPr>
        <w:t xml:space="preserve">calendar </w:t>
      </w:r>
      <w:r w:rsidR="00E21438" w:rsidRPr="00823B9F">
        <w:rPr>
          <w:rFonts w:ascii="Book Antiqua" w:hAnsi="Book Antiqua"/>
          <w:sz w:val="22"/>
          <w:szCs w:val="22"/>
        </w:rPr>
        <w:t>year.</w:t>
      </w:r>
      <w:r w:rsidR="00172C73" w:rsidRPr="00823B9F">
        <w:rPr>
          <w:rFonts w:ascii="Book Antiqua" w:hAnsi="Book Antiqua"/>
          <w:sz w:val="22"/>
          <w:szCs w:val="22"/>
        </w:rPr>
        <w:t xml:space="preserve"> </w:t>
      </w:r>
      <w:r w:rsidR="007B0CCB" w:rsidRPr="00823B9F">
        <w:rPr>
          <w:rFonts w:ascii="Book Antiqua" w:hAnsi="Book Antiqua"/>
          <w:sz w:val="22"/>
          <w:szCs w:val="22"/>
        </w:rPr>
        <w:t xml:space="preserve"> </w:t>
      </w:r>
    </w:p>
    <w:p w14:paraId="12C54AB6" w14:textId="33BA21D8" w:rsidR="00172C73" w:rsidRPr="00823B9F" w:rsidRDefault="009E566D" w:rsidP="00023222">
      <w:pPr>
        <w:pStyle w:val="ListParagraph"/>
        <w:numPr>
          <w:ilvl w:val="0"/>
          <w:numId w:val="30"/>
        </w:numPr>
        <w:rPr>
          <w:rFonts w:ascii="Book Antiqua" w:hAnsi="Book Antiqua"/>
          <w:sz w:val="22"/>
          <w:szCs w:val="22"/>
        </w:rPr>
      </w:pPr>
      <w:r>
        <w:rPr>
          <w:rFonts w:ascii="Book Antiqua" w:hAnsi="Book Antiqua"/>
          <w:sz w:val="22"/>
          <w:szCs w:val="22"/>
          <w:u w:val="single"/>
        </w:rPr>
        <w:t>Automatic incorporation of annual measure set modifications.</w:t>
      </w:r>
      <w:r>
        <w:rPr>
          <w:rFonts w:ascii="Book Antiqua" w:hAnsi="Book Antiqua"/>
          <w:sz w:val="22"/>
          <w:szCs w:val="22"/>
        </w:rPr>
        <w:t xml:space="preserve">  </w:t>
      </w:r>
      <w:r w:rsidR="00950648">
        <w:rPr>
          <w:rFonts w:ascii="Book Antiqua" w:hAnsi="Book Antiqua"/>
          <w:sz w:val="22"/>
          <w:szCs w:val="22"/>
        </w:rPr>
        <w:t>If language is not already included in contracts, p</w:t>
      </w:r>
      <w:r w:rsidR="00206047" w:rsidRPr="00823B9F">
        <w:rPr>
          <w:rFonts w:ascii="Book Antiqua" w:hAnsi="Book Antiqua"/>
          <w:sz w:val="22"/>
          <w:szCs w:val="22"/>
        </w:rPr>
        <w:t>ayer</w:t>
      </w:r>
      <w:r w:rsidR="00FD0C0C">
        <w:rPr>
          <w:rFonts w:ascii="Book Antiqua" w:hAnsi="Book Antiqua"/>
          <w:sz w:val="22"/>
          <w:szCs w:val="22"/>
        </w:rPr>
        <w:t xml:space="preserve">s and providers </w:t>
      </w:r>
      <w:r w:rsidR="00821321">
        <w:rPr>
          <w:rFonts w:ascii="Book Antiqua" w:hAnsi="Book Antiqua"/>
          <w:sz w:val="22"/>
          <w:szCs w:val="22"/>
        </w:rPr>
        <w:t xml:space="preserve">should </w:t>
      </w:r>
      <w:r w:rsidR="00FD0C0C">
        <w:rPr>
          <w:rFonts w:ascii="Book Antiqua" w:hAnsi="Book Antiqua"/>
          <w:sz w:val="22"/>
          <w:szCs w:val="22"/>
        </w:rPr>
        <w:t>amend contracts by 1/1/2</w:t>
      </w:r>
      <w:r w:rsidR="00950648">
        <w:rPr>
          <w:rFonts w:ascii="Book Antiqua" w:hAnsi="Book Antiqua"/>
          <w:sz w:val="22"/>
          <w:szCs w:val="22"/>
        </w:rPr>
        <w:t>1</w:t>
      </w:r>
      <w:r w:rsidR="00FD0C0C">
        <w:rPr>
          <w:rFonts w:ascii="Book Antiqua" w:hAnsi="Book Antiqua"/>
          <w:sz w:val="22"/>
          <w:szCs w:val="22"/>
        </w:rPr>
        <w:t xml:space="preserve"> to state that </w:t>
      </w:r>
      <w:r w:rsidR="00172C73" w:rsidRPr="00823B9F">
        <w:rPr>
          <w:rFonts w:ascii="Book Antiqua" w:hAnsi="Book Antiqua"/>
          <w:sz w:val="22"/>
          <w:szCs w:val="22"/>
        </w:rPr>
        <w:t xml:space="preserve">annual changes to the </w:t>
      </w:r>
      <w:r w:rsidR="00F44C03" w:rsidRPr="00823B9F">
        <w:rPr>
          <w:rFonts w:ascii="Book Antiqua" w:hAnsi="Book Antiqua"/>
          <w:sz w:val="22"/>
          <w:szCs w:val="22"/>
        </w:rPr>
        <w:t xml:space="preserve">Massachusetts </w:t>
      </w:r>
      <w:r w:rsidR="00172C73" w:rsidRPr="00823B9F">
        <w:rPr>
          <w:rFonts w:ascii="Book Antiqua" w:hAnsi="Book Antiqua"/>
          <w:sz w:val="22"/>
          <w:szCs w:val="22"/>
        </w:rPr>
        <w:t>Aligned Measure Set</w:t>
      </w:r>
      <w:r w:rsidR="00A43010">
        <w:rPr>
          <w:rFonts w:ascii="Book Antiqua" w:hAnsi="Book Antiqua"/>
          <w:sz w:val="22"/>
          <w:szCs w:val="22"/>
        </w:rPr>
        <w:t xml:space="preserve"> shall</w:t>
      </w:r>
      <w:r w:rsidR="00172C73" w:rsidRPr="00823B9F">
        <w:rPr>
          <w:rFonts w:ascii="Book Antiqua" w:hAnsi="Book Antiqua"/>
          <w:sz w:val="22"/>
          <w:szCs w:val="22"/>
        </w:rPr>
        <w:t xml:space="preserve"> be automatically incorporated into contracts effective the next contract performance year.</w:t>
      </w:r>
    </w:p>
    <w:p w14:paraId="12C54AB8" w14:textId="3287527A" w:rsidR="00172C73" w:rsidRPr="00413CF4" w:rsidRDefault="009E566D" w:rsidP="00413CF4">
      <w:pPr>
        <w:pStyle w:val="ListParagraph"/>
        <w:numPr>
          <w:ilvl w:val="0"/>
          <w:numId w:val="30"/>
        </w:numPr>
        <w:rPr>
          <w:rFonts w:ascii="Book Antiqua" w:hAnsi="Book Antiqua"/>
          <w:sz w:val="22"/>
          <w:szCs w:val="22"/>
        </w:rPr>
      </w:pPr>
      <w:r w:rsidRPr="00823B9F">
        <w:rPr>
          <w:rFonts w:ascii="Book Antiqua" w:hAnsi="Book Antiqua"/>
          <w:sz w:val="22"/>
          <w:szCs w:val="22"/>
          <w:u w:val="single"/>
        </w:rPr>
        <w:t>Voluntary adoption in full and not in part.</w:t>
      </w:r>
      <w:r w:rsidRPr="00823B9F">
        <w:rPr>
          <w:rFonts w:ascii="Book Antiqua" w:hAnsi="Book Antiqua"/>
          <w:sz w:val="22"/>
          <w:szCs w:val="22"/>
        </w:rPr>
        <w:t xml:space="preserve">  Those choosing to adopt the Massachusetts Aligned Measure Set should adopt the set in its entirety.</w:t>
      </w:r>
    </w:p>
    <w:p w14:paraId="12C54AB9" w14:textId="0E795860" w:rsidR="00857730" w:rsidRDefault="00BB48CA" w:rsidP="00CE7404">
      <w:pPr>
        <w:pStyle w:val="ListParagraph"/>
        <w:numPr>
          <w:ilvl w:val="0"/>
          <w:numId w:val="30"/>
        </w:numPr>
        <w:rPr>
          <w:rFonts w:ascii="Book Antiqua" w:hAnsi="Book Antiqua"/>
          <w:sz w:val="22"/>
          <w:szCs w:val="22"/>
        </w:rPr>
      </w:pPr>
      <w:r w:rsidRPr="00AE4D2C">
        <w:rPr>
          <w:rFonts w:ascii="Book Antiqua" w:hAnsi="Book Antiqua"/>
          <w:sz w:val="22"/>
          <w:szCs w:val="22"/>
          <w:u w:val="single"/>
        </w:rPr>
        <w:t xml:space="preserve">Guiding </w:t>
      </w:r>
      <w:r w:rsidR="002A3011">
        <w:rPr>
          <w:rFonts w:ascii="Book Antiqua" w:hAnsi="Book Antiqua"/>
          <w:sz w:val="22"/>
          <w:szCs w:val="22"/>
          <w:u w:val="single"/>
        </w:rPr>
        <w:t>p</w:t>
      </w:r>
      <w:r w:rsidRPr="00AE4D2C">
        <w:rPr>
          <w:rFonts w:ascii="Book Antiqua" w:hAnsi="Book Antiqua"/>
          <w:sz w:val="22"/>
          <w:szCs w:val="22"/>
          <w:u w:val="single"/>
        </w:rPr>
        <w:t xml:space="preserve">rinciples for </w:t>
      </w:r>
      <w:r w:rsidR="002A3011">
        <w:rPr>
          <w:rFonts w:ascii="Book Antiqua" w:hAnsi="Book Antiqua"/>
          <w:sz w:val="22"/>
          <w:szCs w:val="22"/>
          <w:u w:val="single"/>
        </w:rPr>
        <w:t>u</w:t>
      </w:r>
      <w:r w:rsidRPr="00AE4D2C">
        <w:rPr>
          <w:rFonts w:ascii="Book Antiqua" w:hAnsi="Book Antiqua"/>
          <w:sz w:val="22"/>
          <w:szCs w:val="22"/>
          <w:u w:val="single"/>
        </w:rPr>
        <w:t xml:space="preserve">se of the Aligned Measure Set in </w:t>
      </w:r>
      <w:r w:rsidR="002A3011">
        <w:rPr>
          <w:rFonts w:ascii="Book Antiqua" w:hAnsi="Book Antiqua"/>
          <w:sz w:val="22"/>
          <w:szCs w:val="22"/>
          <w:u w:val="single"/>
        </w:rPr>
        <w:t>c</w:t>
      </w:r>
      <w:r w:rsidRPr="00AE4D2C">
        <w:rPr>
          <w:rFonts w:ascii="Book Antiqua" w:hAnsi="Book Antiqua"/>
          <w:sz w:val="22"/>
          <w:szCs w:val="22"/>
          <w:u w:val="single"/>
        </w:rPr>
        <w:t>ontracts.</w:t>
      </w:r>
      <w:r w:rsidRPr="00AE4D2C">
        <w:rPr>
          <w:rFonts w:ascii="Book Antiqua" w:hAnsi="Book Antiqua"/>
          <w:sz w:val="22"/>
          <w:szCs w:val="22"/>
        </w:rPr>
        <w:t xml:space="preserve"> </w:t>
      </w:r>
      <w:r w:rsidR="006271BF">
        <w:rPr>
          <w:rFonts w:ascii="Book Antiqua" w:hAnsi="Book Antiqua"/>
          <w:sz w:val="22"/>
          <w:szCs w:val="22"/>
        </w:rPr>
        <w:t xml:space="preserve"> </w:t>
      </w:r>
      <w:r w:rsidR="00AE4D2C" w:rsidRPr="00AE4D2C">
        <w:rPr>
          <w:rFonts w:ascii="Book Antiqua" w:hAnsi="Book Antiqua"/>
          <w:sz w:val="22"/>
          <w:szCs w:val="22"/>
        </w:rPr>
        <w:t>While the focus of the Taskforce is on aligning contractual quality measures and not on the broader terms of global budget-based risk contracts, the Taskforce has developed a set of guiding principles for those seeking to implement the Aligned Measure Set.</w:t>
      </w:r>
      <w:r w:rsidR="00AE4D2C">
        <w:rPr>
          <w:rFonts w:ascii="Book Antiqua" w:hAnsi="Book Antiqua"/>
          <w:sz w:val="22"/>
          <w:szCs w:val="22"/>
        </w:rPr>
        <w:t xml:space="preserve">  These principles can be found </w:t>
      </w:r>
      <w:r w:rsidR="00C74ED7">
        <w:rPr>
          <w:rFonts w:ascii="Book Antiqua" w:hAnsi="Book Antiqua"/>
          <w:sz w:val="22"/>
          <w:szCs w:val="22"/>
        </w:rPr>
        <w:t xml:space="preserve">in </w:t>
      </w:r>
      <w:r w:rsidR="00C74ED7" w:rsidRPr="00C74ED7">
        <w:rPr>
          <w:rFonts w:ascii="Book Antiqua" w:hAnsi="Book Antiqua"/>
          <w:b/>
          <w:bCs/>
          <w:sz w:val="22"/>
          <w:szCs w:val="22"/>
        </w:rPr>
        <w:t>Appendix B</w:t>
      </w:r>
      <w:r w:rsidR="00C74ED7">
        <w:rPr>
          <w:rFonts w:ascii="Book Antiqua" w:hAnsi="Book Antiqua"/>
          <w:sz w:val="22"/>
          <w:szCs w:val="22"/>
        </w:rPr>
        <w:t>.</w:t>
      </w:r>
    </w:p>
    <w:p w14:paraId="7129B872" w14:textId="77777777" w:rsidR="00AE4D2C" w:rsidRPr="00AE4D2C" w:rsidRDefault="00AE4D2C" w:rsidP="00AE4D2C">
      <w:pPr>
        <w:pStyle w:val="ListParagraph"/>
        <w:rPr>
          <w:rFonts w:ascii="Book Antiqua" w:hAnsi="Book Antiqua"/>
          <w:sz w:val="22"/>
          <w:szCs w:val="22"/>
        </w:rPr>
      </w:pPr>
    </w:p>
    <w:p w14:paraId="12C54ABA" w14:textId="77777777" w:rsidR="001D4F2C" w:rsidRPr="004F4311" w:rsidRDefault="007077EA" w:rsidP="00023222">
      <w:pPr>
        <w:pStyle w:val="Heading1"/>
        <w:spacing w:before="0"/>
        <w:rPr>
          <w:szCs w:val="22"/>
        </w:rPr>
      </w:pPr>
      <w:bookmarkStart w:id="2" w:name="_IV._Development_of"/>
      <w:bookmarkEnd w:id="2"/>
      <w:r w:rsidRPr="004F4311">
        <w:rPr>
          <w:szCs w:val="22"/>
        </w:rPr>
        <w:t>I</w:t>
      </w:r>
      <w:r w:rsidR="00594F55" w:rsidRPr="004F4311">
        <w:rPr>
          <w:szCs w:val="22"/>
        </w:rPr>
        <w:t xml:space="preserve">V. </w:t>
      </w:r>
      <w:r w:rsidR="00857730" w:rsidRPr="004F4311">
        <w:rPr>
          <w:szCs w:val="22"/>
        </w:rPr>
        <w:t>Annual Review Process</w:t>
      </w:r>
    </w:p>
    <w:p w14:paraId="12C54ABB" w14:textId="43822191" w:rsidR="00636845" w:rsidRPr="004F4311" w:rsidRDefault="00857766" w:rsidP="00023222">
      <w:pPr>
        <w:rPr>
          <w:rFonts w:ascii="Book Antiqua" w:hAnsi="Book Antiqua"/>
          <w:sz w:val="22"/>
          <w:szCs w:val="22"/>
        </w:rPr>
      </w:pPr>
      <w:r w:rsidRPr="004F4311">
        <w:rPr>
          <w:rFonts w:ascii="Book Antiqua" w:hAnsi="Book Antiqua"/>
          <w:sz w:val="22"/>
          <w:szCs w:val="22"/>
        </w:rPr>
        <w:t xml:space="preserve">The Taskforce </w:t>
      </w:r>
      <w:r w:rsidR="00821321">
        <w:rPr>
          <w:rFonts w:ascii="Book Antiqua" w:hAnsi="Book Antiqua"/>
          <w:sz w:val="22"/>
          <w:szCs w:val="22"/>
        </w:rPr>
        <w:t>will</w:t>
      </w:r>
      <w:r w:rsidRPr="004F4311">
        <w:rPr>
          <w:rFonts w:ascii="Book Antiqua" w:hAnsi="Book Antiqua"/>
          <w:sz w:val="22"/>
          <w:szCs w:val="22"/>
        </w:rPr>
        <w:t xml:space="preserve"> conduct an annual review process </w:t>
      </w:r>
      <w:r w:rsidR="00AC7E17" w:rsidRPr="004F4311">
        <w:rPr>
          <w:rFonts w:ascii="Book Antiqua" w:hAnsi="Book Antiqua"/>
          <w:sz w:val="22"/>
          <w:szCs w:val="22"/>
        </w:rPr>
        <w:t xml:space="preserve">to maintain the Massachusetts Aligned Measure Set.  </w:t>
      </w:r>
      <w:r w:rsidR="00865054">
        <w:rPr>
          <w:rFonts w:ascii="Book Antiqua" w:hAnsi="Book Antiqua"/>
          <w:sz w:val="22"/>
          <w:szCs w:val="22"/>
        </w:rPr>
        <w:t>Taskforce staff will prepare information on the following topics for review</w:t>
      </w:r>
      <w:r w:rsidR="004067DE">
        <w:rPr>
          <w:rFonts w:ascii="Book Antiqua" w:hAnsi="Book Antiqua"/>
          <w:sz w:val="22"/>
          <w:szCs w:val="22"/>
        </w:rPr>
        <w:t xml:space="preserve"> by the Taskforce</w:t>
      </w:r>
      <w:r w:rsidR="00865054">
        <w:rPr>
          <w:rFonts w:ascii="Book Antiqua" w:hAnsi="Book Antiqua"/>
          <w:sz w:val="22"/>
          <w:szCs w:val="22"/>
        </w:rPr>
        <w:t xml:space="preserve">: </w:t>
      </w:r>
    </w:p>
    <w:p w14:paraId="12C54ABC" w14:textId="77777777" w:rsidR="00AC7E17" w:rsidRPr="004F4311" w:rsidRDefault="00C204C3" w:rsidP="00023222">
      <w:pPr>
        <w:pStyle w:val="ListParagraph"/>
        <w:numPr>
          <w:ilvl w:val="0"/>
          <w:numId w:val="24"/>
        </w:numPr>
        <w:rPr>
          <w:rFonts w:ascii="Book Antiqua" w:hAnsi="Book Antiqua"/>
          <w:sz w:val="22"/>
          <w:szCs w:val="22"/>
        </w:rPr>
      </w:pPr>
      <w:r>
        <w:rPr>
          <w:rFonts w:ascii="Book Antiqua" w:hAnsi="Book Antiqua"/>
          <w:sz w:val="22"/>
          <w:szCs w:val="22"/>
        </w:rPr>
        <w:lastRenderedPageBreak/>
        <w:t xml:space="preserve">substantive </w:t>
      </w:r>
      <w:r w:rsidR="00B80EA2">
        <w:rPr>
          <w:rFonts w:ascii="Book Antiqua" w:hAnsi="Book Antiqua"/>
          <w:sz w:val="22"/>
          <w:szCs w:val="22"/>
        </w:rPr>
        <w:t>HEDIS c</w:t>
      </w:r>
      <w:r w:rsidR="00AC7E17" w:rsidRPr="004F4311">
        <w:rPr>
          <w:rFonts w:ascii="Book Antiqua" w:hAnsi="Book Antiqua"/>
          <w:sz w:val="22"/>
          <w:szCs w:val="22"/>
        </w:rPr>
        <w:t xml:space="preserve">hanges to the measures in the current Massachusetts Aligned Measure </w:t>
      </w:r>
      <w:proofErr w:type="gramStart"/>
      <w:r w:rsidR="00AC7E17" w:rsidRPr="004F4311">
        <w:rPr>
          <w:rFonts w:ascii="Book Antiqua" w:hAnsi="Book Antiqua"/>
          <w:sz w:val="22"/>
          <w:szCs w:val="22"/>
        </w:rPr>
        <w:t>Set</w:t>
      </w:r>
      <w:r>
        <w:rPr>
          <w:rFonts w:ascii="Book Antiqua" w:hAnsi="Book Antiqua"/>
          <w:sz w:val="22"/>
          <w:szCs w:val="22"/>
        </w:rPr>
        <w:t>;</w:t>
      </w:r>
      <w:proofErr w:type="gramEnd"/>
    </w:p>
    <w:p w14:paraId="12C54ABD" w14:textId="77777777" w:rsidR="00AC7E17" w:rsidRPr="004F4311" w:rsidRDefault="00AC7E17" w:rsidP="00023222">
      <w:pPr>
        <w:pStyle w:val="ListParagraph"/>
        <w:numPr>
          <w:ilvl w:val="0"/>
          <w:numId w:val="24"/>
        </w:numPr>
        <w:rPr>
          <w:rFonts w:ascii="Book Antiqua" w:hAnsi="Book Antiqua"/>
          <w:sz w:val="22"/>
          <w:szCs w:val="22"/>
        </w:rPr>
      </w:pPr>
      <w:r w:rsidRPr="004F4311">
        <w:rPr>
          <w:rFonts w:ascii="Book Antiqua" w:hAnsi="Book Antiqua"/>
          <w:sz w:val="22"/>
          <w:szCs w:val="22"/>
        </w:rPr>
        <w:t>CMS-drive</w:t>
      </w:r>
      <w:r w:rsidR="001D012E">
        <w:rPr>
          <w:rFonts w:ascii="Book Antiqua" w:hAnsi="Book Antiqua"/>
          <w:sz w:val="22"/>
          <w:szCs w:val="22"/>
        </w:rPr>
        <w:t>n</w:t>
      </w:r>
      <w:r w:rsidRPr="004F4311">
        <w:rPr>
          <w:rFonts w:ascii="Book Antiqua" w:hAnsi="Book Antiqua"/>
          <w:sz w:val="22"/>
          <w:szCs w:val="22"/>
        </w:rPr>
        <w:t xml:space="preserve"> changes to the MassHealth ACO measure set and Medicare ACO measure </w:t>
      </w:r>
      <w:proofErr w:type="gramStart"/>
      <w:r w:rsidRPr="004F4311">
        <w:rPr>
          <w:rFonts w:ascii="Book Antiqua" w:hAnsi="Book Antiqua"/>
          <w:sz w:val="22"/>
          <w:szCs w:val="22"/>
        </w:rPr>
        <w:t>set</w:t>
      </w:r>
      <w:r w:rsidR="00C204C3">
        <w:rPr>
          <w:rFonts w:ascii="Book Antiqua" w:hAnsi="Book Antiqua"/>
          <w:sz w:val="22"/>
          <w:szCs w:val="22"/>
        </w:rPr>
        <w:t>;</w:t>
      </w:r>
      <w:proofErr w:type="gramEnd"/>
    </w:p>
    <w:p w14:paraId="12C54ABE" w14:textId="3F1C1CD1" w:rsidR="00AC7E17" w:rsidRPr="004F4311" w:rsidRDefault="00C204C3" w:rsidP="00023222">
      <w:pPr>
        <w:pStyle w:val="ListParagraph"/>
        <w:numPr>
          <w:ilvl w:val="0"/>
          <w:numId w:val="24"/>
        </w:numPr>
        <w:rPr>
          <w:rFonts w:ascii="Book Antiqua" w:hAnsi="Book Antiqua"/>
          <w:sz w:val="22"/>
          <w:szCs w:val="22"/>
        </w:rPr>
      </w:pPr>
      <w:r>
        <w:rPr>
          <w:rFonts w:ascii="Book Antiqua" w:hAnsi="Book Antiqua"/>
          <w:sz w:val="22"/>
          <w:szCs w:val="22"/>
        </w:rPr>
        <w:t>a</w:t>
      </w:r>
      <w:r w:rsidR="00857730" w:rsidRPr="004F4311">
        <w:rPr>
          <w:rFonts w:ascii="Book Antiqua" w:hAnsi="Book Antiqua"/>
          <w:sz w:val="22"/>
          <w:szCs w:val="22"/>
        </w:rPr>
        <w:t xml:space="preserve">doption of Menu and Innovation measures in </w:t>
      </w:r>
      <w:r w:rsidR="003F3CFE">
        <w:rPr>
          <w:rFonts w:ascii="Book Antiqua" w:hAnsi="Book Antiqua"/>
          <w:sz w:val="22"/>
          <w:szCs w:val="22"/>
        </w:rPr>
        <w:t>global budget-based risk</w:t>
      </w:r>
      <w:r w:rsidR="00857730" w:rsidRPr="004F4311">
        <w:rPr>
          <w:rFonts w:ascii="Book Antiqua" w:hAnsi="Book Antiqua"/>
          <w:sz w:val="22"/>
          <w:szCs w:val="22"/>
        </w:rPr>
        <w:t xml:space="preserve"> </w:t>
      </w:r>
      <w:proofErr w:type="gramStart"/>
      <w:r w:rsidR="00857730" w:rsidRPr="004F4311">
        <w:rPr>
          <w:rFonts w:ascii="Book Antiqua" w:hAnsi="Book Antiqua"/>
          <w:sz w:val="22"/>
          <w:szCs w:val="22"/>
        </w:rPr>
        <w:t>contracts</w:t>
      </w:r>
      <w:r>
        <w:rPr>
          <w:rFonts w:ascii="Book Antiqua" w:hAnsi="Book Antiqua"/>
          <w:sz w:val="22"/>
          <w:szCs w:val="22"/>
        </w:rPr>
        <w:t>;</w:t>
      </w:r>
      <w:proofErr w:type="gramEnd"/>
    </w:p>
    <w:p w14:paraId="12C54ABF" w14:textId="77777777" w:rsidR="00AC7E17" w:rsidRPr="004F4311" w:rsidRDefault="00E15C18" w:rsidP="00023222">
      <w:pPr>
        <w:pStyle w:val="ListParagraph"/>
        <w:numPr>
          <w:ilvl w:val="0"/>
          <w:numId w:val="24"/>
        </w:numPr>
        <w:rPr>
          <w:rFonts w:ascii="Book Antiqua" w:hAnsi="Book Antiqua"/>
          <w:sz w:val="22"/>
          <w:szCs w:val="22"/>
        </w:rPr>
      </w:pPr>
      <w:r>
        <w:rPr>
          <w:rFonts w:ascii="Book Antiqua" w:hAnsi="Book Antiqua"/>
          <w:sz w:val="22"/>
          <w:szCs w:val="22"/>
        </w:rPr>
        <w:t>a</w:t>
      </w:r>
      <w:r w:rsidR="00857730" w:rsidRPr="004F4311">
        <w:rPr>
          <w:rFonts w:ascii="Book Antiqua" w:hAnsi="Book Antiqua"/>
          <w:sz w:val="22"/>
          <w:szCs w:val="22"/>
        </w:rPr>
        <w:t xml:space="preserve">lignment of the measure set with statewide health </w:t>
      </w:r>
      <w:proofErr w:type="gramStart"/>
      <w:r w:rsidR="00857730" w:rsidRPr="004F4311">
        <w:rPr>
          <w:rFonts w:ascii="Book Antiqua" w:hAnsi="Book Antiqua"/>
          <w:sz w:val="22"/>
          <w:szCs w:val="22"/>
        </w:rPr>
        <w:t>priorities</w:t>
      </w:r>
      <w:r w:rsidR="00C204C3">
        <w:rPr>
          <w:rFonts w:ascii="Book Antiqua" w:hAnsi="Book Antiqua"/>
          <w:sz w:val="22"/>
          <w:szCs w:val="22"/>
        </w:rPr>
        <w:t>;</w:t>
      </w:r>
      <w:proofErr w:type="gramEnd"/>
      <w:r w:rsidR="00857730" w:rsidRPr="004F4311">
        <w:rPr>
          <w:rFonts w:ascii="Book Antiqua" w:hAnsi="Book Antiqua"/>
          <w:sz w:val="22"/>
          <w:szCs w:val="22"/>
        </w:rPr>
        <w:t xml:space="preserve"> </w:t>
      </w:r>
    </w:p>
    <w:p w14:paraId="12C54AC0" w14:textId="77777777" w:rsidR="00857730" w:rsidRPr="004F4311" w:rsidRDefault="00E15C18" w:rsidP="00023222">
      <w:pPr>
        <w:pStyle w:val="ListParagraph"/>
        <w:numPr>
          <w:ilvl w:val="0"/>
          <w:numId w:val="24"/>
        </w:numPr>
        <w:rPr>
          <w:rFonts w:ascii="Book Antiqua" w:hAnsi="Book Antiqua"/>
          <w:sz w:val="22"/>
          <w:szCs w:val="22"/>
        </w:rPr>
      </w:pPr>
      <w:r>
        <w:rPr>
          <w:rFonts w:ascii="Book Antiqua" w:hAnsi="Book Antiqua"/>
          <w:sz w:val="22"/>
          <w:szCs w:val="22"/>
        </w:rPr>
        <w:t>o</w:t>
      </w:r>
      <w:r w:rsidR="00857730" w:rsidRPr="004F4311">
        <w:rPr>
          <w:rFonts w:ascii="Book Antiqua" w:hAnsi="Book Antiqua"/>
          <w:sz w:val="22"/>
          <w:szCs w:val="22"/>
        </w:rPr>
        <w:t>pportunities for improvement</w:t>
      </w:r>
      <w:r w:rsidR="00AC7E17" w:rsidRPr="004F4311">
        <w:rPr>
          <w:rFonts w:ascii="Book Antiqua" w:hAnsi="Book Antiqua"/>
          <w:sz w:val="22"/>
          <w:szCs w:val="22"/>
        </w:rPr>
        <w:t xml:space="preserve"> on performance for Core and Menu </w:t>
      </w:r>
      <w:proofErr w:type="gramStart"/>
      <w:r w:rsidR="00AC7E17" w:rsidRPr="004F4311">
        <w:rPr>
          <w:rFonts w:ascii="Book Antiqua" w:hAnsi="Book Antiqua"/>
          <w:sz w:val="22"/>
          <w:szCs w:val="22"/>
        </w:rPr>
        <w:t>measures</w:t>
      </w:r>
      <w:r w:rsidR="00C204C3">
        <w:rPr>
          <w:rFonts w:ascii="Book Antiqua" w:hAnsi="Book Antiqua"/>
          <w:sz w:val="22"/>
          <w:szCs w:val="22"/>
        </w:rPr>
        <w:t>;</w:t>
      </w:r>
      <w:proofErr w:type="gramEnd"/>
    </w:p>
    <w:p w14:paraId="12C54AC1" w14:textId="77777777" w:rsidR="00AC7E17" w:rsidRPr="004F4311" w:rsidRDefault="00E15C18" w:rsidP="00023222">
      <w:pPr>
        <w:pStyle w:val="ListParagraph"/>
        <w:numPr>
          <w:ilvl w:val="0"/>
          <w:numId w:val="24"/>
        </w:numPr>
        <w:rPr>
          <w:rFonts w:ascii="Book Antiqua" w:hAnsi="Book Antiqua"/>
          <w:sz w:val="22"/>
          <w:szCs w:val="22"/>
        </w:rPr>
      </w:pPr>
      <w:r>
        <w:rPr>
          <w:rFonts w:ascii="Book Antiqua" w:hAnsi="Book Antiqua"/>
          <w:sz w:val="22"/>
          <w:szCs w:val="22"/>
        </w:rPr>
        <w:t>m</w:t>
      </w:r>
      <w:r w:rsidR="00AC7E17" w:rsidRPr="004F4311">
        <w:rPr>
          <w:rFonts w:ascii="Book Antiqua" w:hAnsi="Book Antiqua"/>
          <w:sz w:val="22"/>
          <w:szCs w:val="22"/>
        </w:rPr>
        <w:t xml:space="preserve">ost recent performance </w:t>
      </w:r>
      <w:r w:rsidR="00857730" w:rsidRPr="004F4311">
        <w:rPr>
          <w:rFonts w:ascii="Book Antiqua" w:hAnsi="Book Antiqua"/>
          <w:sz w:val="22"/>
          <w:szCs w:val="22"/>
        </w:rPr>
        <w:t xml:space="preserve">of measures in the Monitoring </w:t>
      </w:r>
      <w:proofErr w:type="gramStart"/>
      <w:r w:rsidR="00857730" w:rsidRPr="004F4311">
        <w:rPr>
          <w:rFonts w:ascii="Book Antiqua" w:hAnsi="Book Antiqua"/>
          <w:sz w:val="22"/>
          <w:szCs w:val="22"/>
        </w:rPr>
        <w:t>Set</w:t>
      </w:r>
      <w:r w:rsidR="00C204C3">
        <w:rPr>
          <w:rFonts w:ascii="Book Antiqua" w:hAnsi="Book Antiqua"/>
          <w:sz w:val="22"/>
          <w:szCs w:val="22"/>
        </w:rPr>
        <w:t>;</w:t>
      </w:r>
      <w:proofErr w:type="gramEnd"/>
    </w:p>
    <w:p w14:paraId="12C54AC2" w14:textId="77777777" w:rsidR="00AC7E17" w:rsidRPr="004F4311" w:rsidRDefault="00E15C18" w:rsidP="00023222">
      <w:pPr>
        <w:pStyle w:val="ListParagraph"/>
        <w:numPr>
          <w:ilvl w:val="0"/>
          <w:numId w:val="24"/>
        </w:numPr>
        <w:rPr>
          <w:rFonts w:ascii="Book Antiqua" w:hAnsi="Book Antiqua"/>
          <w:sz w:val="22"/>
          <w:szCs w:val="22"/>
        </w:rPr>
      </w:pPr>
      <w:r>
        <w:rPr>
          <w:rFonts w:ascii="Book Antiqua" w:hAnsi="Book Antiqua"/>
          <w:sz w:val="22"/>
          <w:szCs w:val="22"/>
        </w:rPr>
        <w:t>t</w:t>
      </w:r>
      <w:r w:rsidR="00857730" w:rsidRPr="004F4311">
        <w:rPr>
          <w:rFonts w:ascii="Book Antiqua" w:hAnsi="Book Antiqua"/>
          <w:sz w:val="22"/>
          <w:szCs w:val="22"/>
        </w:rPr>
        <w:t xml:space="preserve">ransition of </w:t>
      </w:r>
      <w:r>
        <w:rPr>
          <w:rFonts w:ascii="Book Antiqua" w:hAnsi="Book Antiqua"/>
          <w:sz w:val="22"/>
          <w:szCs w:val="22"/>
        </w:rPr>
        <w:t>D</w:t>
      </w:r>
      <w:r w:rsidR="00857730" w:rsidRPr="004F4311">
        <w:rPr>
          <w:rFonts w:ascii="Book Antiqua" w:hAnsi="Book Antiqua"/>
          <w:sz w:val="22"/>
          <w:szCs w:val="22"/>
        </w:rPr>
        <w:t>evelopmental measures into the Core or Menu Set</w:t>
      </w:r>
      <w:r w:rsidR="00C204C3">
        <w:rPr>
          <w:rFonts w:ascii="Book Antiqua" w:hAnsi="Book Antiqua"/>
          <w:sz w:val="22"/>
          <w:szCs w:val="22"/>
        </w:rPr>
        <w:t>, and</w:t>
      </w:r>
    </w:p>
    <w:p w14:paraId="12C54AC3" w14:textId="77777777" w:rsidR="00857730" w:rsidRPr="004F4311" w:rsidRDefault="00E15C18" w:rsidP="00023222">
      <w:pPr>
        <w:pStyle w:val="ListParagraph"/>
        <w:numPr>
          <w:ilvl w:val="0"/>
          <w:numId w:val="24"/>
        </w:numPr>
        <w:rPr>
          <w:rFonts w:ascii="Book Antiqua" w:hAnsi="Book Antiqua"/>
          <w:sz w:val="22"/>
          <w:szCs w:val="22"/>
        </w:rPr>
      </w:pPr>
      <w:r>
        <w:rPr>
          <w:rFonts w:ascii="Book Antiqua" w:hAnsi="Book Antiqua"/>
          <w:sz w:val="22"/>
          <w:szCs w:val="22"/>
        </w:rPr>
        <w:t xml:space="preserve">any other </w:t>
      </w:r>
      <w:r w:rsidR="00857730" w:rsidRPr="004F4311">
        <w:rPr>
          <w:rFonts w:ascii="Book Antiqua" w:hAnsi="Book Antiqua"/>
          <w:sz w:val="22"/>
          <w:szCs w:val="22"/>
        </w:rPr>
        <w:t>Taskforce recommended changes</w:t>
      </w:r>
      <w:r w:rsidR="00C204C3">
        <w:rPr>
          <w:rFonts w:ascii="Book Antiqua" w:hAnsi="Book Antiqua"/>
          <w:sz w:val="22"/>
          <w:szCs w:val="22"/>
        </w:rPr>
        <w:t>.</w:t>
      </w:r>
      <w:r w:rsidR="00857730" w:rsidRPr="004F4311">
        <w:rPr>
          <w:rFonts w:ascii="Book Antiqua" w:hAnsi="Book Antiqua"/>
          <w:sz w:val="22"/>
          <w:szCs w:val="22"/>
        </w:rPr>
        <w:t xml:space="preserve"> </w:t>
      </w:r>
    </w:p>
    <w:p w14:paraId="12C54AC4" w14:textId="77777777" w:rsidR="00AC7E17" w:rsidRPr="004F4311" w:rsidRDefault="00AC7E17" w:rsidP="00023222">
      <w:pPr>
        <w:rPr>
          <w:rFonts w:ascii="Book Antiqua" w:hAnsi="Book Antiqua"/>
          <w:sz w:val="22"/>
          <w:szCs w:val="22"/>
        </w:rPr>
      </w:pPr>
    </w:p>
    <w:p w14:paraId="12C54AC5" w14:textId="694D8EF4" w:rsidR="00AC7E17" w:rsidRPr="004F4311" w:rsidRDefault="00AC7E17" w:rsidP="00023222">
      <w:pPr>
        <w:rPr>
          <w:rFonts w:ascii="Book Antiqua" w:hAnsi="Book Antiqua"/>
          <w:sz w:val="22"/>
          <w:szCs w:val="22"/>
        </w:rPr>
      </w:pPr>
      <w:r w:rsidRPr="004F4311">
        <w:rPr>
          <w:rFonts w:ascii="Book Antiqua" w:hAnsi="Book Antiqua"/>
          <w:sz w:val="22"/>
          <w:szCs w:val="22"/>
        </w:rPr>
        <w:t xml:space="preserve">Following the Taskforce’s annual review, the Taskforce </w:t>
      </w:r>
      <w:r w:rsidR="00FF2609">
        <w:rPr>
          <w:rFonts w:ascii="Book Antiqua" w:hAnsi="Book Antiqua"/>
          <w:sz w:val="22"/>
          <w:szCs w:val="22"/>
        </w:rPr>
        <w:t>wi</w:t>
      </w:r>
      <w:r w:rsidRPr="004F4311">
        <w:rPr>
          <w:rFonts w:ascii="Book Antiqua" w:hAnsi="Book Antiqua"/>
          <w:sz w:val="22"/>
          <w:szCs w:val="22"/>
        </w:rPr>
        <w:t xml:space="preserve">ll submit </w:t>
      </w:r>
      <w:r w:rsidR="00811C26" w:rsidRPr="004F4311">
        <w:rPr>
          <w:rFonts w:ascii="Book Antiqua" w:hAnsi="Book Antiqua"/>
          <w:sz w:val="22"/>
          <w:szCs w:val="22"/>
        </w:rPr>
        <w:t>its</w:t>
      </w:r>
      <w:r w:rsidRPr="004F4311">
        <w:rPr>
          <w:rFonts w:ascii="Book Antiqua" w:hAnsi="Book Antiqua"/>
          <w:sz w:val="22"/>
          <w:szCs w:val="22"/>
        </w:rPr>
        <w:t xml:space="preserve"> recommendations for annual changes to the Secretary of the Executive Office of Health and Human Services for review</w:t>
      </w:r>
      <w:r w:rsidR="00D413A4">
        <w:rPr>
          <w:rFonts w:ascii="Book Antiqua" w:hAnsi="Book Antiqua"/>
          <w:sz w:val="22"/>
          <w:szCs w:val="22"/>
        </w:rPr>
        <w:t xml:space="preserve"> and acceptance</w:t>
      </w:r>
      <w:r w:rsidRPr="004F4311">
        <w:rPr>
          <w:rFonts w:ascii="Book Antiqua" w:hAnsi="Book Antiqua"/>
          <w:sz w:val="22"/>
          <w:szCs w:val="22"/>
        </w:rPr>
        <w:t>.</w:t>
      </w:r>
    </w:p>
    <w:p w14:paraId="12C54AC6" w14:textId="77777777" w:rsidR="00AC3F9A" w:rsidRPr="004F4311" w:rsidRDefault="00AC3F9A" w:rsidP="00023222">
      <w:pPr>
        <w:rPr>
          <w:rFonts w:ascii="Book Antiqua" w:hAnsi="Book Antiqua"/>
          <w:sz w:val="22"/>
          <w:szCs w:val="22"/>
        </w:rPr>
      </w:pPr>
    </w:p>
    <w:p w14:paraId="12C54AD0" w14:textId="153F2991" w:rsidR="000310E2" w:rsidRDefault="000310E2">
      <w:pPr>
        <w:rPr>
          <w:rFonts w:ascii="Book Antiqua" w:hAnsi="Book Antiqua"/>
          <w:sz w:val="22"/>
          <w:szCs w:val="22"/>
        </w:rPr>
      </w:pPr>
      <w:r>
        <w:rPr>
          <w:rFonts w:ascii="Book Antiqua" w:hAnsi="Book Antiqua"/>
          <w:sz w:val="22"/>
          <w:szCs w:val="22"/>
        </w:rPr>
        <w:br w:type="page"/>
      </w:r>
    </w:p>
    <w:p w14:paraId="39AF1360" w14:textId="0EE09EDB" w:rsidR="000F53AD" w:rsidRPr="000637BC" w:rsidRDefault="000310E2" w:rsidP="009F3439">
      <w:pPr>
        <w:jc w:val="center"/>
        <w:rPr>
          <w:rStyle w:val="CommentReference"/>
          <w:rFonts w:ascii="Book Antiqua" w:hAnsi="Book Antiqua"/>
          <w:b/>
          <w:bCs/>
          <w:sz w:val="24"/>
          <w:szCs w:val="24"/>
        </w:rPr>
      </w:pPr>
      <w:r w:rsidRPr="000637BC">
        <w:rPr>
          <w:rStyle w:val="CommentReference"/>
          <w:rFonts w:ascii="Book Antiqua" w:hAnsi="Book Antiqua"/>
          <w:b/>
          <w:bCs/>
          <w:sz w:val="24"/>
          <w:szCs w:val="24"/>
        </w:rPr>
        <w:lastRenderedPageBreak/>
        <w:t>Appendix A</w:t>
      </w:r>
      <w:r w:rsidR="00DD5C62" w:rsidRPr="000637BC">
        <w:rPr>
          <w:rStyle w:val="CommentReference"/>
          <w:rFonts w:ascii="Book Antiqua" w:hAnsi="Book Antiqua"/>
          <w:b/>
          <w:bCs/>
          <w:sz w:val="24"/>
          <w:szCs w:val="24"/>
        </w:rPr>
        <w:t>:</w:t>
      </w:r>
    </w:p>
    <w:p w14:paraId="6BD7EBC7" w14:textId="348A536C" w:rsidR="000310E2" w:rsidRPr="000637BC" w:rsidRDefault="00DD5C62" w:rsidP="009F3439">
      <w:pPr>
        <w:spacing w:after="200"/>
        <w:jc w:val="center"/>
        <w:rPr>
          <w:rStyle w:val="CommentReference"/>
          <w:rFonts w:ascii="Book Antiqua" w:hAnsi="Book Antiqua"/>
          <w:b/>
          <w:bCs/>
          <w:sz w:val="24"/>
          <w:szCs w:val="24"/>
        </w:rPr>
      </w:pPr>
      <w:r w:rsidRPr="000637BC">
        <w:rPr>
          <w:rStyle w:val="CommentReference"/>
          <w:rFonts w:ascii="Book Antiqua" w:hAnsi="Book Antiqua"/>
          <w:b/>
          <w:bCs/>
          <w:sz w:val="24"/>
          <w:szCs w:val="24"/>
        </w:rPr>
        <w:t xml:space="preserve">Core, Menu and Monitoring Measures </w:t>
      </w:r>
      <w:r w:rsidR="007825C5" w:rsidRPr="000637BC">
        <w:rPr>
          <w:rStyle w:val="CommentReference"/>
          <w:rFonts w:ascii="Book Antiqua" w:hAnsi="Book Antiqua"/>
          <w:b/>
          <w:bCs/>
          <w:sz w:val="24"/>
          <w:szCs w:val="24"/>
        </w:rPr>
        <w:t>by Population (Child, Adolescent, Adult)</w:t>
      </w:r>
    </w:p>
    <w:tbl>
      <w:tblPr>
        <w:tblW w:w="9175" w:type="dxa"/>
        <w:tblInd w:w="113" w:type="dxa"/>
        <w:tblLook w:val="04A0" w:firstRow="1" w:lastRow="0" w:firstColumn="1" w:lastColumn="0" w:noHBand="0" w:noVBand="1"/>
      </w:tblPr>
      <w:tblGrid>
        <w:gridCol w:w="1330"/>
        <w:gridCol w:w="3299"/>
        <w:gridCol w:w="2446"/>
        <w:gridCol w:w="2100"/>
      </w:tblGrid>
      <w:tr w:rsidR="00CF2D2C" w:rsidRPr="00CF2D2C" w14:paraId="7D8A709E" w14:textId="77777777" w:rsidTr="006F742C">
        <w:trPr>
          <w:trHeight w:val="20"/>
          <w:tblHeader/>
        </w:trPr>
        <w:tc>
          <w:tcPr>
            <w:tcW w:w="107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D792C55" w14:textId="77777777" w:rsidR="007825C5" w:rsidRPr="00CF2D2C" w:rsidRDefault="007825C5" w:rsidP="00332195">
            <w:pPr>
              <w:rPr>
                <w:rFonts w:ascii="Book Antiqua" w:hAnsi="Book Antiqua" w:cs="Calibri"/>
                <w:b/>
                <w:bCs/>
                <w:sz w:val="22"/>
                <w:szCs w:val="22"/>
              </w:rPr>
            </w:pPr>
            <w:r w:rsidRPr="00CF2D2C">
              <w:rPr>
                <w:rFonts w:ascii="Book Antiqua" w:hAnsi="Book Antiqua" w:cs="Calibri"/>
                <w:b/>
                <w:bCs/>
                <w:sz w:val="22"/>
                <w:szCs w:val="22"/>
              </w:rPr>
              <w:t>Set</w:t>
            </w:r>
          </w:p>
        </w:tc>
        <w:tc>
          <w:tcPr>
            <w:tcW w:w="3420" w:type="dxa"/>
            <w:tcBorders>
              <w:top w:val="single" w:sz="4" w:space="0" w:color="auto"/>
              <w:left w:val="nil"/>
              <w:bottom w:val="single" w:sz="4" w:space="0" w:color="auto"/>
              <w:right w:val="single" w:sz="4" w:space="0" w:color="auto"/>
            </w:tcBorders>
            <w:shd w:val="clear" w:color="auto" w:fill="002060"/>
            <w:vAlign w:val="center"/>
            <w:hideMark/>
          </w:tcPr>
          <w:p w14:paraId="1CA67DD1" w14:textId="77777777" w:rsidR="007825C5" w:rsidRPr="00CF2D2C" w:rsidRDefault="007825C5" w:rsidP="00332195">
            <w:pPr>
              <w:rPr>
                <w:rFonts w:ascii="Book Antiqua" w:hAnsi="Book Antiqua" w:cs="Calibri"/>
                <w:b/>
                <w:bCs/>
                <w:sz w:val="22"/>
                <w:szCs w:val="22"/>
              </w:rPr>
            </w:pPr>
            <w:r w:rsidRPr="00CF2D2C">
              <w:rPr>
                <w:rFonts w:ascii="Book Antiqua" w:hAnsi="Book Antiqua" w:cs="Calibri"/>
                <w:b/>
                <w:bCs/>
                <w:sz w:val="22"/>
                <w:szCs w:val="22"/>
              </w:rPr>
              <w:t>Measure Name</w:t>
            </w:r>
          </w:p>
        </w:tc>
        <w:tc>
          <w:tcPr>
            <w:tcW w:w="2520" w:type="dxa"/>
            <w:tcBorders>
              <w:top w:val="single" w:sz="4" w:space="0" w:color="auto"/>
              <w:left w:val="nil"/>
              <w:bottom w:val="single" w:sz="4" w:space="0" w:color="auto"/>
              <w:right w:val="single" w:sz="4" w:space="0" w:color="auto"/>
            </w:tcBorders>
            <w:shd w:val="clear" w:color="auto" w:fill="002060"/>
            <w:vAlign w:val="center"/>
            <w:hideMark/>
          </w:tcPr>
          <w:p w14:paraId="3A357299" w14:textId="77777777" w:rsidR="007825C5" w:rsidRPr="00CF2D2C" w:rsidRDefault="007825C5" w:rsidP="007825C5">
            <w:pPr>
              <w:rPr>
                <w:rFonts w:ascii="Book Antiqua" w:hAnsi="Book Antiqua" w:cs="Calibri"/>
                <w:b/>
                <w:bCs/>
                <w:sz w:val="22"/>
                <w:szCs w:val="22"/>
              </w:rPr>
            </w:pPr>
            <w:r w:rsidRPr="00CF2D2C">
              <w:rPr>
                <w:rFonts w:ascii="Book Antiqua" w:hAnsi="Book Antiqua" w:cs="Calibri"/>
                <w:b/>
                <w:bCs/>
                <w:sz w:val="22"/>
                <w:szCs w:val="22"/>
              </w:rPr>
              <w:t>Steward</w:t>
            </w:r>
          </w:p>
        </w:tc>
        <w:tc>
          <w:tcPr>
            <w:tcW w:w="2160" w:type="dxa"/>
            <w:tcBorders>
              <w:top w:val="single" w:sz="4" w:space="0" w:color="auto"/>
              <w:left w:val="nil"/>
              <w:bottom w:val="single" w:sz="4" w:space="0" w:color="auto"/>
              <w:right w:val="single" w:sz="4" w:space="0" w:color="auto"/>
            </w:tcBorders>
            <w:shd w:val="clear" w:color="auto" w:fill="002060"/>
            <w:vAlign w:val="center"/>
            <w:hideMark/>
          </w:tcPr>
          <w:p w14:paraId="2F7A2FD9" w14:textId="77777777" w:rsidR="007825C5" w:rsidRPr="00CF2D2C" w:rsidRDefault="007825C5" w:rsidP="007825C5">
            <w:pPr>
              <w:rPr>
                <w:rFonts w:ascii="Book Antiqua" w:hAnsi="Book Antiqua" w:cs="Calibri"/>
                <w:b/>
                <w:bCs/>
                <w:sz w:val="22"/>
                <w:szCs w:val="22"/>
              </w:rPr>
            </w:pPr>
            <w:r w:rsidRPr="00CF2D2C">
              <w:rPr>
                <w:rFonts w:ascii="Book Antiqua" w:hAnsi="Book Antiqua" w:cs="Calibri"/>
                <w:b/>
                <w:bCs/>
                <w:sz w:val="22"/>
                <w:szCs w:val="22"/>
              </w:rPr>
              <w:t>Populations</w:t>
            </w:r>
          </w:p>
        </w:tc>
      </w:tr>
      <w:tr w:rsidR="00CF2D2C" w:rsidRPr="00CF2D2C" w14:paraId="3B51D88D" w14:textId="77777777" w:rsidTr="006F742C">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F66F8"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Core</w:t>
            </w:r>
          </w:p>
        </w:tc>
        <w:tc>
          <w:tcPr>
            <w:tcW w:w="3420" w:type="dxa"/>
            <w:tcBorders>
              <w:top w:val="nil"/>
              <w:left w:val="nil"/>
              <w:bottom w:val="single" w:sz="4" w:space="0" w:color="auto"/>
              <w:right w:val="single" w:sz="4" w:space="0" w:color="auto"/>
            </w:tcBorders>
            <w:shd w:val="clear" w:color="auto" w:fill="auto"/>
            <w:vAlign w:val="center"/>
            <w:hideMark/>
          </w:tcPr>
          <w:p w14:paraId="40EDFE74"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CG-CAHPS (MHQP Version)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77120"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MHQP</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B88F5" w14:textId="679E2BD3"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Child, Adolescent, Adult</w:t>
            </w:r>
          </w:p>
        </w:tc>
      </w:tr>
      <w:tr w:rsidR="00CF2D2C" w:rsidRPr="00CF2D2C" w14:paraId="11A3504D" w14:textId="77777777" w:rsidTr="006F742C">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D5FE1"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Core</w:t>
            </w:r>
          </w:p>
        </w:tc>
        <w:tc>
          <w:tcPr>
            <w:tcW w:w="3420" w:type="dxa"/>
            <w:tcBorders>
              <w:top w:val="nil"/>
              <w:left w:val="nil"/>
              <w:bottom w:val="single" w:sz="4" w:space="0" w:color="auto"/>
              <w:right w:val="single" w:sz="4" w:space="0" w:color="auto"/>
            </w:tcBorders>
            <w:shd w:val="clear" w:color="auto" w:fill="auto"/>
            <w:vAlign w:val="center"/>
            <w:hideMark/>
          </w:tcPr>
          <w:p w14:paraId="26841F98"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Comprehensive Diabetes Care: Hemoglobin A1c (HbA1c) Poor Control (&gt;9.0%)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CD06D"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NCQA</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4C702"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Adult</w:t>
            </w:r>
          </w:p>
        </w:tc>
      </w:tr>
      <w:tr w:rsidR="00CF2D2C" w:rsidRPr="00CF2D2C" w14:paraId="294489C9" w14:textId="77777777" w:rsidTr="006F742C">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C52C5"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Core</w:t>
            </w:r>
          </w:p>
        </w:tc>
        <w:tc>
          <w:tcPr>
            <w:tcW w:w="3420" w:type="dxa"/>
            <w:tcBorders>
              <w:top w:val="nil"/>
              <w:left w:val="nil"/>
              <w:bottom w:val="single" w:sz="4" w:space="0" w:color="auto"/>
              <w:right w:val="single" w:sz="4" w:space="0" w:color="auto"/>
            </w:tcBorders>
            <w:shd w:val="clear" w:color="auto" w:fill="auto"/>
            <w:vAlign w:val="center"/>
            <w:hideMark/>
          </w:tcPr>
          <w:p w14:paraId="28101D45" w14:textId="77777777" w:rsidR="007825C5" w:rsidRPr="00CF2D2C" w:rsidRDefault="007825C5" w:rsidP="00332195">
            <w:pPr>
              <w:rPr>
                <w:rFonts w:ascii="Book Antiqua" w:hAnsi="Book Antiqua" w:cs="Calibri"/>
                <w:sz w:val="22"/>
                <w:szCs w:val="22"/>
              </w:rPr>
            </w:pPr>
            <w:r w:rsidRPr="00CF2D2C">
              <w:rPr>
                <w:rFonts w:ascii="Book Antiqua" w:hAnsi="Book Antiqua" w:cs="Calibri"/>
                <w:sz w:val="22"/>
                <w:szCs w:val="22"/>
              </w:rPr>
              <w:t>Controlling High Blood Pressure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FA168"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NCQA</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FD53E"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Adult</w:t>
            </w:r>
          </w:p>
        </w:tc>
      </w:tr>
      <w:tr w:rsidR="00CF2D2C" w:rsidRPr="00CF2D2C" w14:paraId="55832395" w14:textId="77777777" w:rsidTr="006F742C">
        <w:trPr>
          <w:trHeight w:val="20"/>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4566AAD4"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Core</w:t>
            </w:r>
          </w:p>
        </w:tc>
        <w:tc>
          <w:tcPr>
            <w:tcW w:w="3420" w:type="dxa"/>
            <w:tcBorders>
              <w:top w:val="nil"/>
              <w:left w:val="nil"/>
              <w:bottom w:val="single" w:sz="4" w:space="0" w:color="auto"/>
              <w:right w:val="single" w:sz="4" w:space="0" w:color="auto"/>
            </w:tcBorders>
            <w:shd w:val="clear" w:color="auto" w:fill="auto"/>
            <w:vAlign w:val="center"/>
            <w:hideMark/>
          </w:tcPr>
          <w:p w14:paraId="0EB45372"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Screening for Clinical Depression and Follow-Up Plan</w:t>
            </w:r>
          </w:p>
        </w:tc>
        <w:tc>
          <w:tcPr>
            <w:tcW w:w="2520" w:type="dxa"/>
            <w:tcBorders>
              <w:top w:val="nil"/>
              <w:left w:val="nil"/>
              <w:bottom w:val="single" w:sz="4" w:space="0" w:color="auto"/>
              <w:right w:val="single" w:sz="4" w:space="0" w:color="auto"/>
            </w:tcBorders>
            <w:shd w:val="clear" w:color="auto" w:fill="auto"/>
            <w:vAlign w:val="center"/>
            <w:hideMark/>
          </w:tcPr>
          <w:p w14:paraId="36F1FA61" w14:textId="3F0C7B74" w:rsidR="007825C5" w:rsidRPr="00CF2D2C" w:rsidRDefault="001E71BA" w:rsidP="007825C5">
            <w:pPr>
              <w:rPr>
                <w:rFonts w:ascii="Book Antiqua" w:hAnsi="Book Antiqua" w:cs="Calibri"/>
                <w:sz w:val="22"/>
                <w:szCs w:val="22"/>
              </w:rPr>
            </w:pPr>
            <w:r>
              <w:rPr>
                <w:rFonts w:ascii="Book Antiqua" w:hAnsi="Book Antiqua" w:cs="Calibri"/>
                <w:sz w:val="22"/>
                <w:szCs w:val="22"/>
              </w:rPr>
              <w:t>CMS</w:t>
            </w:r>
            <w:r w:rsidR="007825C5" w:rsidRPr="00CF2D2C">
              <w:rPr>
                <w:rFonts w:ascii="Book Antiqua" w:hAnsi="Book Antiqua" w:cs="Calibri"/>
                <w:sz w:val="22"/>
                <w:szCs w:val="22"/>
              </w:rPr>
              <w:t xml:space="preserve"> or MassHealth-modified CMS</w:t>
            </w:r>
          </w:p>
        </w:tc>
        <w:tc>
          <w:tcPr>
            <w:tcW w:w="2160" w:type="dxa"/>
            <w:tcBorders>
              <w:top w:val="nil"/>
              <w:left w:val="nil"/>
              <w:bottom w:val="single" w:sz="4" w:space="0" w:color="auto"/>
              <w:right w:val="single" w:sz="4" w:space="0" w:color="auto"/>
            </w:tcBorders>
            <w:shd w:val="clear" w:color="auto" w:fill="auto"/>
            <w:vAlign w:val="center"/>
            <w:hideMark/>
          </w:tcPr>
          <w:p w14:paraId="7C1F3D64"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Adolescent and Adult</w:t>
            </w:r>
          </w:p>
        </w:tc>
      </w:tr>
      <w:tr w:rsidR="00CF2D2C" w:rsidRPr="00CF2D2C" w14:paraId="0E039FB7" w14:textId="77777777" w:rsidTr="006F742C">
        <w:trPr>
          <w:trHeight w:val="20"/>
        </w:trPr>
        <w:tc>
          <w:tcPr>
            <w:tcW w:w="1075" w:type="dxa"/>
            <w:tcBorders>
              <w:top w:val="single" w:sz="4" w:space="0" w:color="auto"/>
              <w:left w:val="single" w:sz="4" w:space="0" w:color="4472C4"/>
              <w:bottom w:val="single" w:sz="4" w:space="0" w:color="auto"/>
              <w:right w:val="single" w:sz="4" w:space="0" w:color="auto"/>
            </w:tcBorders>
            <w:shd w:val="clear" w:color="auto" w:fill="auto"/>
            <w:noWrap/>
            <w:vAlign w:val="center"/>
            <w:hideMark/>
          </w:tcPr>
          <w:p w14:paraId="22F8E785"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Menu</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68B5E"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Asthma Medication Ratio</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D7BE0"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NCQA</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61B57"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Adolescent, Adult</w:t>
            </w:r>
          </w:p>
        </w:tc>
      </w:tr>
      <w:tr w:rsidR="00CF2D2C" w:rsidRPr="00CF2D2C" w14:paraId="157289F0" w14:textId="77777777" w:rsidTr="006F742C">
        <w:trPr>
          <w:trHeight w:val="20"/>
        </w:trPr>
        <w:tc>
          <w:tcPr>
            <w:tcW w:w="1075" w:type="dxa"/>
            <w:tcBorders>
              <w:top w:val="single" w:sz="4" w:space="0" w:color="auto"/>
              <w:left w:val="single" w:sz="4" w:space="0" w:color="4472C4"/>
              <w:bottom w:val="single" w:sz="4" w:space="0" w:color="auto"/>
              <w:right w:val="single" w:sz="4" w:space="0" w:color="auto"/>
            </w:tcBorders>
            <w:shd w:val="clear" w:color="auto" w:fill="auto"/>
            <w:noWrap/>
            <w:vAlign w:val="center"/>
            <w:hideMark/>
          </w:tcPr>
          <w:p w14:paraId="3C12F16B"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Menu</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469B7"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Breast Cancer Screening</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87523"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NCQA</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28985"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Adult</w:t>
            </w:r>
          </w:p>
        </w:tc>
      </w:tr>
      <w:tr w:rsidR="00CF2D2C" w:rsidRPr="00CF2D2C" w14:paraId="4814C60F" w14:textId="77777777" w:rsidTr="006F742C">
        <w:trPr>
          <w:trHeight w:val="20"/>
        </w:trPr>
        <w:tc>
          <w:tcPr>
            <w:tcW w:w="1075" w:type="dxa"/>
            <w:tcBorders>
              <w:top w:val="single" w:sz="4" w:space="0" w:color="auto"/>
              <w:left w:val="single" w:sz="4" w:space="0" w:color="4472C4"/>
              <w:bottom w:val="single" w:sz="4" w:space="0" w:color="auto"/>
              <w:right w:val="single" w:sz="4" w:space="0" w:color="auto"/>
            </w:tcBorders>
            <w:shd w:val="clear" w:color="auto" w:fill="auto"/>
            <w:noWrap/>
            <w:vAlign w:val="center"/>
            <w:hideMark/>
          </w:tcPr>
          <w:p w14:paraId="66226EC3"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Menu</w:t>
            </w:r>
          </w:p>
        </w:tc>
        <w:tc>
          <w:tcPr>
            <w:tcW w:w="3420" w:type="dxa"/>
            <w:tcBorders>
              <w:top w:val="nil"/>
              <w:left w:val="nil"/>
              <w:bottom w:val="single" w:sz="4" w:space="0" w:color="auto"/>
              <w:right w:val="single" w:sz="4" w:space="0" w:color="auto"/>
            </w:tcBorders>
            <w:shd w:val="clear" w:color="auto" w:fill="auto"/>
            <w:vAlign w:val="center"/>
            <w:hideMark/>
          </w:tcPr>
          <w:p w14:paraId="52001FFB"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Cervical Cancer Screening</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7C4A9"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NCQA</w:t>
            </w:r>
          </w:p>
        </w:tc>
        <w:tc>
          <w:tcPr>
            <w:tcW w:w="2160" w:type="dxa"/>
            <w:tcBorders>
              <w:top w:val="nil"/>
              <w:left w:val="nil"/>
              <w:bottom w:val="single" w:sz="4" w:space="0" w:color="auto"/>
              <w:right w:val="single" w:sz="4" w:space="0" w:color="auto"/>
            </w:tcBorders>
            <w:shd w:val="clear" w:color="auto" w:fill="auto"/>
            <w:vAlign w:val="center"/>
            <w:hideMark/>
          </w:tcPr>
          <w:p w14:paraId="15A0777D"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Adult</w:t>
            </w:r>
          </w:p>
        </w:tc>
      </w:tr>
      <w:tr w:rsidR="00CF2D2C" w:rsidRPr="00CF2D2C" w14:paraId="36BC34FB" w14:textId="77777777" w:rsidTr="006F742C">
        <w:trPr>
          <w:trHeight w:val="20"/>
        </w:trPr>
        <w:tc>
          <w:tcPr>
            <w:tcW w:w="1075" w:type="dxa"/>
            <w:tcBorders>
              <w:top w:val="single" w:sz="4" w:space="0" w:color="auto"/>
              <w:left w:val="single" w:sz="4" w:space="0" w:color="4472C4"/>
              <w:bottom w:val="single" w:sz="4" w:space="0" w:color="auto"/>
              <w:right w:val="single" w:sz="4" w:space="0" w:color="auto"/>
            </w:tcBorders>
            <w:shd w:val="clear" w:color="auto" w:fill="auto"/>
            <w:noWrap/>
            <w:vAlign w:val="center"/>
            <w:hideMark/>
          </w:tcPr>
          <w:p w14:paraId="5FFF0A82"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Menu</w:t>
            </w:r>
          </w:p>
        </w:tc>
        <w:tc>
          <w:tcPr>
            <w:tcW w:w="3420" w:type="dxa"/>
            <w:tcBorders>
              <w:top w:val="nil"/>
              <w:left w:val="nil"/>
              <w:bottom w:val="single" w:sz="4" w:space="0" w:color="auto"/>
              <w:right w:val="single" w:sz="4" w:space="0" w:color="auto"/>
            </w:tcBorders>
            <w:shd w:val="clear" w:color="auto" w:fill="auto"/>
            <w:vAlign w:val="center"/>
            <w:hideMark/>
          </w:tcPr>
          <w:p w14:paraId="56430DFE"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Child and Adolescent Major Depressive Disorder: Suicide Risk Assessment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CB146"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AMA-PCPI</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9A8C3" w14:textId="4B226C5B"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Child, Adolescent</w:t>
            </w:r>
          </w:p>
        </w:tc>
      </w:tr>
      <w:tr w:rsidR="00CF2D2C" w:rsidRPr="00CF2D2C" w14:paraId="2B60AEC6" w14:textId="77777777" w:rsidTr="006F742C">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949A3"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Menu</w:t>
            </w:r>
          </w:p>
        </w:tc>
        <w:tc>
          <w:tcPr>
            <w:tcW w:w="3420" w:type="dxa"/>
            <w:tcBorders>
              <w:top w:val="nil"/>
              <w:left w:val="nil"/>
              <w:bottom w:val="single" w:sz="4" w:space="0" w:color="auto"/>
              <w:right w:val="single" w:sz="4" w:space="0" w:color="auto"/>
            </w:tcBorders>
            <w:shd w:val="clear" w:color="auto" w:fill="auto"/>
            <w:vAlign w:val="center"/>
            <w:hideMark/>
          </w:tcPr>
          <w:p w14:paraId="2F9AE4DB"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Childhood Immunization Status (Combo 10)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A7C19"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NCQA</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7C36B" w14:textId="1533F079"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Child</w:t>
            </w:r>
          </w:p>
        </w:tc>
      </w:tr>
      <w:tr w:rsidR="00CF2D2C" w:rsidRPr="00CF2D2C" w14:paraId="33AB623C" w14:textId="77777777" w:rsidTr="006F742C">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D9FAC"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Menu</w:t>
            </w:r>
          </w:p>
        </w:tc>
        <w:tc>
          <w:tcPr>
            <w:tcW w:w="3420" w:type="dxa"/>
            <w:tcBorders>
              <w:top w:val="nil"/>
              <w:left w:val="nil"/>
              <w:bottom w:val="single" w:sz="4" w:space="0" w:color="auto"/>
              <w:right w:val="single" w:sz="4" w:space="0" w:color="auto"/>
            </w:tcBorders>
            <w:shd w:val="clear" w:color="auto" w:fill="auto"/>
            <w:vAlign w:val="center"/>
            <w:hideMark/>
          </w:tcPr>
          <w:p w14:paraId="068356BD"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Chlamydia Screening - Ages 16-24</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34E8C"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NCQA</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95269"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Adolescent</w:t>
            </w:r>
          </w:p>
        </w:tc>
      </w:tr>
      <w:tr w:rsidR="00CF2D2C" w:rsidRPr="00CF2D2C" w14:paraId="42C4B87F" w14:textId="77777777" w:rsidTr="006F742C">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45457"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Menu</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45E74"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Colorectal Cancer Screening</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8619C"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NCQA</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54C81"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Adult</w:t>
            </w:r>
          </w:p>
        </w:tc>
      </w:tr>
      <w:tr w:rsidR="00CF2D2C" w:rsidRPr="00CF2D2C" w14:paraId="73AE4B61" w14:textId="77777777" w:rsidTr="006F742C">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6AC7E"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Menu</w:t>
            </w:r>
          </w:p>
        </w:tc>
        <w:tc>
          <w:tcPr>
            <w:tcW w:w="3420" w:type="dxa"/>
            <w:tcBorders>
              <w:top w:val="nil"/>
              <w:left w:val="nil"/>
              <w:bottom w:val="single" w:sz="4" w:space="0" w:color="auto"/>
              <w:right w:val="single" w:sz="4" w:space="0" w:color="auto"/>
            </w:tcBorders>
            <w:shd w:val="clear" w:color="auto" w:fill="auto"/>
            <w:vAlign w:val="center"/>
            <w:hideMark/>
          </w:tcPr>
          <w:p w14:paraId="1F7414C6"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Comprehensive Diabetes Care: Blood Pressure Control (&lt;140/90 mm Hg)</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DAFD8"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NCQA</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FC8FD"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Adult</w:t>
            </w:r>
          </w:p>
        </w:tc>
      </w:tr>
      <w:tr w:rsidR="00CF2D2C" w:rsidRPr="00CF2D2C" w14:paraId="65391AA9" w14:textId="77777777" w:rsidTr="006F742C">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EAE4B"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Menu</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13601"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Comprehensive Diabetes Care: Eye Exam</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1BE80"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NCQA</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5F65D"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Adult</w:t>
            </w:r>
          </w:p>
        </w:tc>
      </w:tr>
      <w:tr w:rsidR="00CF2D2C" w:rsidRPr="00CF2D2C" w14:paraId="2E03ED51" w14:textId="77777777" w:rsidTr="006F742C">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0AD2B"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Menu</w:t>
            </w:r>
          </w:p>
        </w:tc>
        <w:tc>
          <w:tcPr>
            <w:tcW w:w="3420" w:type="dxa"/>
            <w:tcBorders>
              <w:top w:val="nil"/>
              <w:left w:val="nil"/>
              <w:bottom w:val="single" w:sz="4" w:space="0" w:color="auto"/>
              <w:right w:val="single" w:sz="4" w:space="0" w:color="auto"/>
            </w:tcBorders>
            <w:shd w:val="clear" w:color="auto" w:fill="auto"/>
            <w:vAlign w:val="center"/>
            <w:hideMark/>
          </w:tcPr>
          <w:p w14:paraId="2CC03A6A"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Continuity of Pharmacotherapy for Opioid Use Disorder</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DCEA5"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RAND Corporation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D7D7D" w14:textId="429E59F5"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Child, Adolescent, Adult</w:t>
            </w:r>
          </w:p>
        </w:tc>
      </w:tr>
      <w:tr w:rsidR="00CF2D2C" w:rsidRPr="00CF2D2C" w14:paraId="0AFE50E7" w14:textId="77777777" w:rsidTr="006F742C">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40C26" w14:textId="77777777" w:rsidR="007825C5" w:rsidRPr="00CF2D2C" w:rsidRDefault="007825C5" w:rsidP="00332195">
            <w:pPr>
              <w:rPr>
                <w:rFonts w:ascii="Book Antiqua" w:hAnsi="Book Antiqua" w:cs="Calibri"/>
                <w:sz w:val="22"/>
                <w:szCs w:val="22"/>
              </w:rPr>
            </w:pPr>
            <w:r w:rsidRPr="00CF2D2C">
              <w:rPr>
                <w:rFonts w:ascii="Book Antiqua" w:hAnsi="Book Antiqua" w:cs="Calibri"/>
                <w:sz w:val="22"/>
                <w:szCs w:val="22"/>
              </w:rPr>
              <w:t>Menu</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2F1D7" w14:textId="77777777" w:rsidR="007825C5" w:rsidRPr="00CF2D2C" w:rsidRDefault="007825C5" w:rsidP="00332195">
            <w:pPr>
              <w:rPr>
                <w:rFonts w:ascii="Book Antiqua" w:hAnsi="Book Antiqua" w:cs="Calibri"/>
                <w:sz w:val="22"/>
                <w:szCs w:val="22"/>
              </w:rPr>
            </w:pPr>
            <w:r w:rsidRPr="00CF2D2C">
              <w:rPr>
                <w:rFonts w:ascii="Book Antiqua" w:hAnsi="Book Antiqua" w:cs="Calibri"/>
                <w:sz w:val="22"/>
                <w:szCs w:val="22"/>
              </w:rPr>
              <w:t>Follow-up After Emergency Department Visit for Mental Health (7-Day)</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46507" w14:textId="77777777" w:rsidR="007825C5" w:rsidRPr="00CF2D2C" w:rsidRDefault="007825C5" w:rsidP="00332195">
            <w:pPr>
              <w:rPr>
                <w:rFonts w:ascii="Book Antiqua" w:hAnsi="Book Antiqua" w:cs="Calibri"/>
                <w:sz w:val="22"/>
                <w:szCs w:val="22"/>
              </w:rPr>
            </w:pPr>
            <w:r w:rsidRPr="00CF2D2C">
              <w:rPr>
                <w:rFonts w:ascii="Book Antiqua" w:hAnsi="Book Antiqua" w:cs="Calibri"/>
                <w:sz w:val="22"/>
                <w:szCs w:val="22"/>
              </w:rPr>
              <w:t>NCQA</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47F8E"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Adolescent, Adult</w:t>
            </w:r>
          </w:p>
        </w:tc>
      </w:tr>
      <w:tr w:rsidR="00CF2D2C" w:rsidRPr="00CF2D2C" w14:paraId="16E7FB57" w14:textId="77777777" w:rsidTr="006F742C">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2619E"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Menu</w:t>
            </w:r>
          </w:p>
        </w:tc>
        <w:tc>
          <w:tcPr>
            <w:tcW w:w="3420" w:type="dxa"/>
            <w:tcBorders>
              <w:top w:val="nil"/>
              <w:left w:val="nil"/>
              <w:bottom w:val="single" w:sz="4" w:space="0" w:color="auto"/>
              <w:right w:val="single" w:sz="4" w:space="0" w:color="auto"/>
            </w:tcBorders>
            <w:shd w:val="clear" w:color="auto" w:fill="auto"/>
            <w:vAlign w:val="center"/>
            <w:hideMark/>
          </w:tcPr>
          <w:p w14:paraId="1417D0FA"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Follow-Up After Hospitalization for Mental Illness (30-Day)</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8D3D8"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NCQA</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3FB2D" w14:textId="5834096B"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Child, Adolescent, Adult</w:t>
            </w:r>
          </w:p>
        </w:tc>
      </w:tr>
      <w:tr w:rsidR="00CF2D2C" w:rsidRPr="00CF2D2C" w14:paraId="377D5AB2" w14:textId="77777777" w:rsidTr="006F742C">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1F42C"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Menu</w:t>
            </w:r>
          </w:p>
        </w:tc>
        <w:tc>
          <w:tcPr>
            <w:tcW w:w="3420" w:type="dxa"/>
            <w:tcBorders>
              <w:top w:val="nil"/>
              <w:left w:val="nil"/>
              <w:bottom w:val="single" w:sz="4" w:space="0" w:color="auto"/>
              <w:right w:val="single" w:sz="4" w:space="0" w:color="auto"/>
            </w:tcBorders>
            <w:shd w:val="clear" w:color="auto" w:fill="auto"/>
            <w:vAlign w:val="center"/>
            <w:hideMark/>
          </w:tcPr>
          <w:p w14:paraId="4C212555"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Follow-Up After Hospitalization for Mental Illness (7-Day)</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2168E"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NCQA</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815E9" w14:textId="5DE70F74"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Child, Adolescent, Adult</w:t>
            </w:r>
          </w:p>
        </w:tc>
      </w:tr>
      <w:tr w:rsidR="00CF2D2C" w:rsidRPr="00CF2D2C" w14:paraId="0FBC565A" w14:textId="77777777" w:rsidTr="006F742C">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D2A57"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Menu</w:t>
            </w:r>
          </w:p>
        </w:tc>
        <w:tc>
          <w:tcPr>
            <w:tcW w:w="3420" w:type="dxa"/>
            <w:tcBorders>
              <w:top w:val="nil"/>
              <w:left w:val="nil"/>
              <w:bottom w:val="single" w:sz="4" w:space="0" w:color="auto"/>
              <w:right w:val="single" w:sz="4" w:space="0" w:color="auto"/>
            </w:tcBorders>
            <w:shd w:val="clear" w:color="auto" w:fill="auto"/>
            <w:vAlign w:val="center"/>
            <w:hideMark/>
          </w:tcPr>
          <w:p w14:paraId="171E36FB"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Immunizations for Adolescents (Combo 2)</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FF9D2"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NCQA</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FE7CC"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Adolescent</w:t>
            </w:r>
          </w:p>
        </w:tc>
      </w:tr>
      <w:tr w:rsidR="00CF2D2C" w:rsidRPr="00CF2D2C" w14:paraId="478AD0B8" w14:textId="77777777" w:rsidTr="006F742C">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97AFC"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Menu</w:t>
            </w:r>
          </w:p>
        </w:tc>
        <w:tc>
          <w:tcPr>
            <w:tcW w:w="3420" w:type="dxa"/>
            <w:tcBorders>
              <w:top w:val="nil"/>
              <w:left w:val="nil"/>
              <w:bottom w:val="single" w:sz="4" w:space="0" w:color="auto"/>
              <w:right w:val="single" w:sz="4" w:space="0" w:color="auto"/>
            </w:tcBorders>
            <w:shd w:val="clear" w:color="auto" w:fill="auto"/>
            <w:vAlign w:val="center"/>
            <w:hideMark/>
          </w:tcPr>
          <w:p w14:paraId="68FFE98A"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Influenza Immunization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F44BA"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AMA-PCPI</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C5522" w14:textId="76418036"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Child, Adolescent, Adult</w:t>
            </w:r>
          </w:p>
        </w:tc>
      </w:tr>
      <w:tr w:rsidR="00CF2D2C" w:rsidRPr="00CF2D2C" w14:paraId="3318D575" w14:textId="77777777" w:rsidTr="006F742C">
        <w:trPr>
          <w:trHeight w:val="20"/>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3375F4BE"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lastRenderedPageBreak/>
              <w:t>Menu</w:t>
            </w:r>
          </w:p>
        </w:tc>
        <w:tc>
          <w:tcPr>
            <w:tcW w:w="3420" w:type="dxa"/>
            <w:tcBorders>
              <w:top w:val="nil"/>
              <w:left w:val="nil"/>
              <w:bottom w:val="single" w:sz="4" w:space="0" w:color="auto"/>
              <w:right w:val="single" w:sz="4" w:space="0" w:color="auto"/>
            </w:tcBorders>
            <w:shd w:val="clear" w:color="auto" w:fill="auto"/>
            <w:vAlign w:val="center"/>
            <w:hideMark/>
          </w:tcPr>
          <w:p w14:paraId="4F3AE4F4"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 xml:space="preserve">Informed, Patient-Centered Hip and Knee Replacement </w:t>
            </w:r>
          </w:p>
        </w:tc>
        <w:tc>
          <w:tcPr>
            <w:tcW w:w="2520" w:type="dxa"/>
            <w:tcBorders>
              <w:top w:val="nil"/>
              <w:left w:val="nil"/>
              <w:bottom w:val="single" w:sz="4" w:space="0" w:color="auto"/>
              <w:right w:val="single" w:sz="4" w:space="0" w:color="auto"/>
            </w:tcBorders>
            <w:shd w:val="clear" w:color="auto" w:fill="auto"/>
            <w:vAlign w:val="center"/>
            <w:hideMark/>
          </w:tcPr>
          <w:p w14:paraId="216E4CDE"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Massachusetts General Hospital</w:t>
            </w:r>
          </w:p>
        </w:tc>
        <w:tc>
          <w:tcPr>
            <w:tcW w:w="2160" w:type="dxa"/>
            <w:tcBorders>
              <w:top w:val="nil"/>
              <w:left w:val="nil"/>
              <w:bottom w:val="single" w:sz="4" w:space="0" w:color="auto"/>
              <w:right w:val="single" w:sz="4" w:space="0" w:color="auto"/>
            </w:tcBorders>
            <w:shd w:val="clear" w:color="auto" w:fill="auto"/>
            <w:vAlign w:val="center"/>
            <w:hideMark/>
          </w:tcPr>
          <w:p w14:paraId="1F87AD87"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Adult</w:t>
            </w:r>
          </w:p>
        </w:tc>
      </w:tr>
      <w:tr w:rsidR="00CF2D2C" w:rsidRPr="00CF2D2C" w14:paraId="5984F3BB" w14:textId="77777777" w:rsidTr="006F742C">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1B2EF"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Menu</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A54F6"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Initiation and Engagement of Alcohol and Other Drug Abuse or Dependence Treatment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A4EEA"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NCQA</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22FEA"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Adolescent, Adult</w:t>
            </w:r>
          </w:p>
        </w:tc>
      </w:tr>
      <w:tr w:rsidR="00CF2D2C" w:rsidRPr="00CF2D2C" w14:paraId="5C770A87" w14:textId="77777777" w:rsidTr="006F742C">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730F6"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Menu</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E3A03"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Metabolic Monitoring for Children and Adolescents on Antipsychotics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46D78"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NCQA</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8490B" w14:textId="697054C1"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Child</w:t>
            </w:r>
          </w:p>
        </w:tc>
      </w:tr>
      <w:tr w:rsidR="00CF2D2C" w:rsidRPr="00CF2D2C" w14:paraId="7CE87402" w14:textId="77777777" w:rsidTr="006F742C">
        <w:trPr>
          <w:trHeight w:val="20"/>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5DDBCD95"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Menu</w:t>
            </w:r>
          </w:p>
        </w:tc>
        <w:tc>
          <w:tcPr>
            <w:tcW w:w="3420" w:type="dxa"/>
            <w:tcBorders>
              <w:top w:val="nil"/>
              <w:left w:val="nil"/>
              <w:bottom w:val="single" w:sz="4" w:space="0" w:color="auto"/>
              <w:right w:val="single" w:sz="4" w:space="0" w:color="auto"/>
            </w:tcBorders>
            <w:shd w:val="clear" w:color="auto" w:fill="auto"/>
            <w:vAlign w:val="center"/>
            <w:hideMark/>
          </w:tcPr>
          <w:p w14:paraId="546AC696"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Risk of Continued Opioid Use</w:t>
            </w:r>
          </w:p>
        </w:tc>
        <w:tc>
          <w:tcPr>
            <w:tcW w:w="2520" w:type="dxa"/>
            <w:tcBorders>
              <w:top w:val="nil"/>
              <w:left w:val="nil"/>
              <w:bottom w:val="single" w:sz="4" w:space="0" w:color="auto"/>
              <w:right w:val="single" w:sz="4" w:space="0" w:color="auto"/>
            </w:tcBorders>
            <w:shd w:val="clear" w:color="auto" w:fill="auto"/>
            <w:vAlign w:val="center"/>
            <w:hideMark/>
          </w:tcPr>
          <w:p w14:paraId="1F515331"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NCQA</w:t>
            </w:r>
          </w:p>
        </w:tc>
        <w:tc>
          <w:tcPr>
            <w:tcW w:w="2160" w:type="dxa"/>
            <w:tcBorders>
              <w:top w:val="nil"/>
              <w:left w:val="nil"/>
              <w:bottom w:val="single" w:sz="4" w:space="0" w:color="auto"/>
              <w:right w:val="single" w:sz="4" w:space="0" w:color="auto"/>
            </w:tcBorders>
            <w:shd w:val="clear" w:color="auto" w:fill="auto"/>
            <w:vAlign w:val="center"/>
            <w:hideMark/>
          </w:tcPr>
          <w:p w14:paraId="0DF14B75"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Adult</w:t>
            </w:r>
          </w:p>
        </w:tc>
      </w:tr>
      <w:tr w:rsidR="00CF2D2C" w:rsidRPr="00CF2D2C" w14:paraId="30EC8F2C" w14:textId="77777777" w:rsidTr="006F742C">
        <w:trPr>
          <w:trHeight w:val="20"/>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7CB76CE1"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Menu</w:t>
            </w:r>
          </w:p>
        </w:tc>
        <w:tc>
          <w:tcPr>
            <w:tcW w:w="3420" w:type="dxa"/>
            <w:tcBorders>
              <w:top w:val="nil"/>
              <w:left w:val="nil"/>
              <w:bottom w:val="single" w:sz="4" w:space="0" w:color="auto"/>
              <w:right w:val="single" w:sz="4" w:space="0" w:color="auto"/>
            </w:tcBorders>
            <w:shd w:val="clear" w:color="auto" w:fill="auto"/>
            <w:vAlign w:val="center"/>
            <w:hideMark/>
          </w:tcPr>
          <w:p w14:paraId="23D8F331"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Shared Decision-Making Process</w:t>
            </w:r>
          </w:p>
        </w:tc>
        <w:tc>
          <w:tcPr>
            <w:tcW w:w="2520" w:type="dxa"/>
            <w:tcBorders>
              <w:top w:val="nil"/>
              <w:left w:val="nil"/>
              <w:bottom w:val="single" w:sz="4" w:space="0" w:color="auto"/>
              <w:right w:val="single" w:sz="4" w:space="0" w:color="auto"/>
            </w:tcBorders>
            <w:shd w:val="clear" w:color="auto" w:fill="auto"/>
            <w:vAlign w:val="center"/>
            <w:hideMark/>
          </w:tcPr>
          <w:p w14:paraId="54F67797"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Massachusetts General Hospital</w:t>
            </w:r>
          </w:p>
        </w:tc>
        <w:tc>
          <w:tcPr>
            <w:tcW w:w="2160" w:type="dxa"/>
            <w:tcBorders>
              <w:top w:val="nil"/>
              <w:left w:val="nil"/>
              <w:bottom w:val="single" w:sz="4" w:space="0" w:color="auto"/>
              <w:right w:val="single" w:sz="4" w:space="0" w:color="auto"/>
            </w:tcBorders>
            <w:shd w:val="clear" w:color="auto" w:fill="auto"/>
            <w:vAlign w:val="center"/>
            <w:hideMark/>
          </w:tcPr>
          <w:p w14:paraId="0E56BF10"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Adult</w:t>
            </w:r>
          </w:p>
        </w:tc>
      </w:tr>
      <w:tr w:rsidR="00CF2D2C" w:rsidRPr="00CF2D2C" w14:paraId="4ACDA3D3" w14:textId="77777777" w:rsidTr="006F742C">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D53F6"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Menu</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B016D"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Use of Imaging Studies for Low Back Pain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26C38"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NCQA</w:t>
            </w:r>
          </w:p>
        </w:tc>
        <w:tc>
          <w:tcPr>
            <w:tcW w:w="2160" w:type="dxa"/>
            <w:tcBorders>
              <w:top w:val="nil"/>
              <w:left w:val="nil"/>
              <w:bottom w:val="single" w:sz="4" w:space="0" w:color="auto"/>
              <w:right w:val="single" w:sz="4" w:space="0" w:color="auto"/>
            </w:tcBorders>
            <w:shd w:val="clear" w:color="auto" w:fill="auto"/>
            <w:vAlign w:val="center"/>
            <w:hideMark/>
          </w:tcPr>
          <w:p w14:paraId="5BFE6DF8"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Adolescent, Adult</w:t>
            </w:r>
          </w:p>
        </w:tc>
      </w:tr>
      <w:tr w:rsidR="00CF2D2C" w:rsidRPr="00CF2D2C" w14:paraId="7B27CDA8" w14:textId="77777777" w:rsidTr="006F742C">
        <w:trPr>
          <w:trHeight w:val="20"/>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4E12C299"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Monitoring</w:t>
            </w:r>
          </w:p>
        </w:tc>
        <w:tc>
          <w:tcPr>
            <w:tcW w:w="3420" w:type="dxa"/>
            <w:tcBorders>
              <w:top w:val="nil"/>
              <w:left w:val="nil"/>
              <w:bottom w:val="single" w:sz="4" w:space="0" w:color="auto"/>
              <w:right w:val="single" w:sz="4" w:space="0" w:color="auto"/>
            </w:tcBorders>
            <w:shd w:val="clear" w:color="auto" w:fill="auto"/>
            <w:vAlign w:val="center"/>
            <w:hideMark/>
          </w:tcPr>
          <w:p w14:paraId="40C04578"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Child and Adolescent Well-Care Visits</w:t>
            </w:r>
          </w:p>
        </w:tc>
        <w:tc>
          <w:tcPr>
            <w:tcW w:w="2520" w:type="dxa"/>
            <w:tcBorders>
              <w:top w:val="nil"/>
              <w:left w:val="nil"/>
              <w:bottom w:val="single" w:sz="4" w:space="0" w:color="auto"/>
              <w:right w:val="single" w:sz="4" w:space="0" w:color="auto"/>
            </w:tcBorders>
            <w:shd w:val="clear" w:color="auto" w:fill="auto"/>
            <w:vAlign w:val="center"/>
            <w:hideMark/>
          </w:tcPr>
          <w:p w14:paraId="2B35D6ED"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NCQA</w:t>
            </w:r>
          </w:p>
        </w:tc>
        <w:tc>
          <w:tcPr>
            <w:tcW w:w="2160" w:type="dxa"/>
            <w:tcBorders>
              <w:top w:val="nil"/>
              <w:left w:val="nil"/>
              <w:bottom w:val="single" w:sz="4" w:space="0" w:color="auto"/>
              <w:right w:val="single" w:sz="4" w:space="0" w:color="auto"/>
            </w:tcBorders>
            <w:shd w:val="clear" w:color="auto" w:fill="auto"/>
            <w:vAlign w:val="center"/>
            <w:hideMark/>
          </w:tcPr>
          <w:p w14:paraId="4B82FCC4" w14:textId="388B3358"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Child, Adolescent</w:t>
            </w:r>
          </w:p>
        </w:tc>
      </w:tr>
      <w:tr w:rsidR="00CF2D2C" w:rsidRPr="00CF2D2C" w14:paraId="5797D2A1" w14:textId="77777777" w:rsidTr="006F742C">
        <w:trPr>
          <w:trHeight w:val="20"/>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410999CC" w14:textId="77777777" w:rsidR="007825C5" w:rsidRPr="00CF2D2C" w:rsidRDefault="007825C5">
            <w:pPr>
              <w:jc w:val="center"/>
              <w:rPr>
                <w:rFonts w:ascii="Book Antiqua" w:hAnsi="Book Antiqua" w:cs="Calibri"/>
                <w:sz w:val="22"/>
                <w:szCs w:val="22"/>
              </w:rPr>
            </w:pPr>
            <w:r w:rsidRPr="00CF2D2C">
              <w:rPr>
                <w:rFonts w:ascii="Book Antiqua" w:hAnsi="Book Antiqua" w:cs="Calibri"/>
                <w:sz w:val="22"/>
                <w:szCs w:val="22"/>
              </w:rPr>
              <w:t>Monitoring</w:t>
            </w:r>
          </w:p>
        </w:tc>
        <w:tc>
          <w:tcPr>
            <w:tcW w:w="3420" w:type="dxa"/>
            <w:tcBorders>
              <w:top w:val="nil"/>
              <w:left w:val="nil"/>
              <w:bottom w:val="single" w:sz="4" w:space="0" w:color="auto"/>
              <w:right w:val="single" w:sz="4" w:space="0" w:color="auto"/>
            </w:tcBorders>
            <w:shd w:val="clear" w:color="auto" w:fill="auto"/>
            <w:vAlign w:val="center"/>
            <w:hideMark/>
          </w:tcPr>
          <w:p w14:paraId="285DF303"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 xml:space="preserve">Comprehensive Diabetes Care: Hemoglobin A1c Testing </w:t>
            </w:r>
          </w:p>
        </w:tc>
        <w:tc>
          <w:tcPr>
            <w:tcW w:w="2520" w:type="dxa"/>
            <w:tcBorders>
              <w:top w:val="nil"/>
              <w:left w:val="nil"/>
              <w:bottom w:val="single" w:sz="4" w:space="0" w:color="auto"/>
              <w:right w:val="single" w:sz="4" w:space="0" w:color="auto"/>
            </w:tcBorders>
            <w:shd w:val="clear" w:color="auto" w:fill="auto"/>
            <w:vAlign w:val="center"/>
            <w:hideMark/>
          </w:tcPr>
          <w:p w14:paraId="37409401" w14:textId="0A8431A1"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NCQA</w:t>
            </w:r>
          </w:p>
        </w:tc>
        <w:tc>
          <w:tcPr>
            <w:tcW w:w="2160" w:type="dxa"/>
            <w:tcBorders>
              <w:top w:val="nil"/>
              <w:left w:val="nil"/>
              <w:bottom w:val="single" w:sz="4" w:space="0" w:color="auto"/>
              <w:right w:val="single" w:sz="4" w:space="0" w:color="auto"/>
            </w:tcBorders>
            <w:shd w:val="clear" w:color="auto" w:fill="auto"/>
            <w:vAlign w:val="center"/>
            <w:hideMark/>
          </w:tcPr>
          <w:p w14:paraId="437AC301"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Adult</w:t>
            </w:r>
          </w:p>
        </w:tc>
      </w:tr>
      <w:tr w:rsidR="00CF2D2C" w:rsidRPr="00CF2D2C" w14:paraId="2FF285DB" w14:textId="77777777" w:rsidTr="006F742C">
        <w:trPr>
          <w:trHeight w:val="20"/>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76785F73" w14:textId="77777777" w:rsidR="007825C5" w:rsidRPr="00CF2D2C" w:rsidRDefault="007825C5">
            <w:pPr>
              <w:jc w:val="center"/>
              <w:rPr>
                <w:rFonts w:ascii="Book Antiqua" w:hAnsi="Book Antiqua" w:cs="Calibri"/>
                <w:sz w:val="22"/>
                <w:szCs w:val="22"/>
              </w:rPr>
            </w:pPr>
            <w:r w:rsidRPr="00CF2D2C">
              <w:rPr>
                <w:rFonts w:ascii="Book Antiqua" w:hAnsi="Book Antiqua" w:cs="Calibri"/>
                <w:sz w:val="22"/>
                <w:szCs w:val="22"/>
              </w:rPr>
              <w:t>Monitoring</w:t>
            </w:r>
          </w:p>
        </w:tc>
        <w:tc>
          <w:tcPr>
            <w:tcW w:w="3420" w:type="dxa"/>
            <w:tcBorders>
              <w:top w:val="nil"/>
              <w:left w:val="nil"/>
              <w:bottom w:val="single" w:sz="4" w:space="0" w:color="auto"/>
              <w:right w:val="single" w:sz="4" w:space="0" w:color="auto"/>
            </w:tcBorders>
            <w:shd w:val="clear" w:color="auto" w:fill="auto"/>
            <w:vAlign w:val="center"/>
            <w:hideMark/>
          </w:tcPr>
          <w:p w14:paraId="02F2AD60" w14:textId="20A2A00E"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 xml:space="preserve">Contraceptive Care </w:t>
            </w:r>
            <w:r w:rsidR="0037364B">
              <w:rPr>
                <w:rFonts w:ascii="Book Antiqua" w:hAnsi="Book Antiqua" w:cs="Calibri"/>
                <w:sz w:val="22"/>
                <w:szCs w:val="22"/>
              </w:rPr>
              <w:t>–</w:t>
            </w:r>
            <w:r w:rsidRPr="00CF2D2C">
              <w:rPr>
                <w:rFonts w:ascii="Book Antiqua" w:hAnsi="Book Antiqua" w:cs="Calibri"/>
                <w:sz w:val="22"/>
                <w:szCs w:val="22"/>
              </w:rPr>
              <w:t xml:space="preserve"> Postpartum</w:t>
            </w:r>
          </w:p>
        </w:tc>
        <w:tc>
          <w:tcPr>
            <w:tcW w:w="2520" w:type="dxa"/>
            <w:tcBorders>
              <w:top w:val="nil"/>
              <w:left w:val="nil"/>
              <w:bottom w:val="single" w:sz="4" w:space="0" w:color="auto"/>
              <w:right w:val="single" w:sz="4" w:space="0" w:color="auto"/>
            </w:tcBorders>
            <w:shd w:val="clear" w:color="auto" w:fill="auto"/>
            <w:vAlign w:val="center"/>
            <w:hideMark/>
          </w:tcPr>
          <w:p w14:paraId="32F1F340" w14:textId="0122DE6F"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 xml:space="preserve">U.S. </w:t>
            </w:r>
            <w:r w:rsidR="008C54FA">
              <w:rPr>
                <w:rFonts w:ascii="Book Antiqua" w:hAnsi="Book Antiqua" w:cs="Calibri"/>
                <w:sz w:val="22"/>
                <w:szCs w:val="22"/>
              </w:rPr>
              <w:t xml:space="preserve">HHS </w:t>
            </w:r>
            <w:r w:rsidRPr="00CF2D2C">
              <w:rPr>
                <w:rFonts w:ascii="Book Antiqua" w:hAnsi="Book Antiqua" w:cs="Calibri"/>
                <w:sz w:val="22"/>
                <w:szCs w:val="22"/>
              </w:rPr>
              <w:t>Office of Pop</w:t>
            </w:r>
            <w:r w:rsidR="008C54FA">
              <w:rPr>
                <w:rFonts w:ascii="Book Antiqua" w:hAnsi="Book Antiqua" w:cs="Calibri"/>
                <w:sz w:val="22"/>
                <w:szCs w:val="22"/>
              </w:rPr>
              <w:t>ulation</w:t>
            </w:r>
            <w:r w:rsidRPr="00CF2D2C">
              <w:rPr>
                <w:rFonts w:ascii="Book Antiqua" w:hAnsi="Book Antiqua" w:cs="Calibri"/>
                <w:sz w:val="22"/>
                <w:szCs w:val="22"/>
              </w:rPr>
              <w:t xml:space="preserve"> Affairs</w:t>
            </w:r>
          </w:p>
        </w:tc>
        <w:tc>
          <w:tcPr>
            <w:tcW w:w="2160" w:type="dxa"/>
            <w:tcBorders>
              <w:top w:val="nil"/>
              <w:left w:val="nil"/>
              <w:bottom w:val="single" w:sz="4" w:space="0" w:color="auto"/>
              <w:right w:val="single" w:sz="4" w:space="0" w:color="auto"/>
            </w:tcBorders>
            <w:shd w:val="clear" w:color="auto" w:fill="auto"/>
            <w:vAlign w:val="center"/>
            <w:hideMark/>
          </w:tcPr>
          <w:p w14:paraId="070D9AA6" w14:textId="1A27628E"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Child, Adolescent, Adult</w:t>
            </w:r>
          </w:p>
        </w:tc>
      </w:tr>
      <w:tr w:rsidR="00CF2D2C" w:rsidRPr="00CF2D2C" w14:paraId="5976F211" w14:textId="77777777" w:rsidTr="006F742C">
        <w:trPr>
          <w:trHeight w:val="20"/>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0605FB34" w14:textId="77777777" w:rsidR="007825C5" w:rsidRPr="00CF2D2C" w:rsidRDefault="007825C5">
            <w:pPr>
              <w:jc w:val="center"/>
              <w:rPr>
                <w:rFonts w:ascii="Book Antiqua" w:hAnsi="Book Antiqua" w:cs="Calibri"/>
                <w:sz w:val="22"/>
                <w:szCs w:val="22"/>
              </w:rPr>
            </w:pPr>
            <w:r w:rsidRPr="00CF2D2C">
              <w:rPr>
                <w:rFonts w:ascii="Book Antiqua" w:hAnsi="Book Antiqua" w:cs="Calibri"/>
                <w:sz w:val="22"/>
                <w:szCs w:val="22"/>
              </w:rPr>
              <w:t>Monitoring</w:t>
            </w:r>
          </w:p>
        </w:tc>
        <w:tc>
          <w:tcPr>
            <w:tcW w:w="3420" w:type="dxa"/>
            <w:tcBorders>
              <w:top w:val="nil"/>
              <w:left w:val="nil"/>
              <w:bottom w:val="single" w:sz="4" w:space="0" w:color="auto"/>
              <w:right w:val="single" w:sz="4" w:space="0" w:color="auto"/>
            </w:tcBorders>
            <w:shd w:val="clear" w:color="auto" w:fill="auto"/>
            <w:vAlign w:val="center"/>
            <w:hideMark/>
          </w:tcPr>
          <w:p w14:paraId="2E82A8CC"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Prenatal &amp; Postpartum Care - Timeliness of Prenatal Care</w:t>
            </w:r>
          </w:p>
        </w:tc>
        <w:tc>
          <w:tcPr>
            <w:tcW w:w="2520" w:type="dxa"/>
            <w:tcBorders>
              <w:top w:val="nil"/>
              <w:left w:val="nil"/>
              <w:bottom w:val="single" w:sz="4" w:space="0" w:color="auto"/>
              <w:right w:val="single" w:sz="4" w:space="0" w:color="auto"/>
            </w:tcBorders>
            <w:shd w:val="clear" w:color="auto" w:fill="auto"/>
            <w:vAlign w:val="center"/>
            <w:hideMark/>
          </w:tcPr>
          <w:p w14:paraId="659268B5"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NCQA</w:t>
            </w:r>
          </w:p>
        </w:tc>
        <w:tc>
          <w:tcPr>
            <w:tcW w:w="2160" w:type="dxa"/>
            <w:tcBorders>
              <w:top w:val="nil"/>
              <w:left w:val="nil"/>
              <w:bottom w:val="single" w:sz="4" w:space="0" w:color="auto"/>
              <w:right w:val="single" w:sz="4" w:space="0" w:color="auto"/>
            </w:tcBorders>
            <w:shd w:val="clear" w:color="auto" w:fill="auto"/>
            <w:vAlign w:val="center"/>
            <w:hideMark/>
          </w:tcPr>
          <w:p w14:paraId="3CC7D659"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Adolescent, Adult</w:t>
            </w:r>
          </w:p>
        </w:tc>
      </w:tr>
      <w:tr w:rsidR="00CF2D2C" w:rsidRPr="00CF2D2C" w14:paraId="4A0C5AE0" w14:textId="77777777" w:rsidTr="006F742C">
        <w:trPr>
          <w:trHeight w:val="20"/>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433158EE" w14:textId="77777777" w:rsidR="007825C5" w:rsidRPr="00CF2D2C" w:rsidRDefault="007825C5">
            <w:pPr>
              <w:jc w:val="center"/>
              <w:rPr>
                <w:rFonts w:ascii="Book Antiqua" w:hAnsi="Book Antiqua" w:cs="Calibri"/>
                <w:sz w:val="22"/>
                <w:szCs w:val="22"/>
              </w:rPr>
            </w:pPr>
            <w:r w:rsidRPr="00CF2D2C">
              <w:rPr>
                <w:rFonts w:ascii="Book Antiqua" w:hAnsi="Book Antiqua" w:cs="Calibri"/>
                <w:sz w:val="22"/>
                <w:szCs w:val="22"/>
              </w:rPr>
              <w:t>Monitoring</w:t>
            </w:r>
          </w:p>
        </w:tc>
        <w:tc>
          <w:tcPr>
            <w:tcW w:w="3420" w:type="dxa"/>
            <w:tcBorders>
              <w:top w:val="nil"/>
              <w:left w:val="nil"/>
              <w:bottom w:val="single" w:sz="4" w:space="0" w:color="auto"/>
              <w:right w:val="single" w:sz="4" w:space="0" w:color="auto"/>
            </w:tcBorders>
            <w:shd w:val="clear" w:color="auto" w:fill="auto"/>
            <w:vAlign w:val="center"/>
            <w:hideMark/>
          </w:tcPr>
          <w:p w14:paraId="572D8BBC"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Prenatal &amp; Postpartum Care - Postpartum Care</w:t>
            </w:r>
          </w:p>
        </w:tc>
        <w:tc>
          <w:tcPr>
            <w:tcW w:w="2520" w:type="dxa"/>
            <w:tcBorders>
              <w:top w:val="nil"/>
              <w:left w:val="nil"/>
              <w:bottom w:val="single" w:sz="4" w:space="0" w:color="auto"/>
              <w:right w:val="single" w:sz="4" w:space="0" w:color="auto"/>
            </w:tcBorders>
            <w:shd w:val="clear" w:color="auto" w:fill="auto"/>
            <w:vAlign w:val="center"/>
            <w:hideMark/>
          </w:tcPr>
          <w:p w14:paraId="09568D02"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NCQA</w:t>
            </w:r>
          </w:p>
        </w:tc>
        <w:tc>
          <w:tcPr>
            <w:tcW w:w="2160" w:type="dxa"/>
            <w:tcBorders>
              <w:top w:val="nil"/>
              <w:left w:val="nil"/>
              <w:bottom w:val="single" w:sz="4" w:space="0" w:color="auto"/>
              <w:right w:val="single" w:sz="4" w:space="0" w:color="auto"/>
            </w:tcBorders>
            <w:shd w:val="clear" w:color="auto" w:fill="auto"/>
            <w:vAlign w:val="center"/>
            <w:hideMark/>
          </w:tcPr>
          <w:p w14:paraId="586C33CE"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Adolescent, Adult</w:t>
            </w:r>
          </w:p>
        </w:tc>
      </w:tr>
      <w:tr w:rsidR="00CF2D2C" w:rsidRPr="00CF2D2C" w14:paraId="470CD334" w14:textId="77777777" w:rsidTr="006F742C">
        <w:trPr>
          <w:trHeight w:val="20"/>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57071293" w14:textId="77777777" w:rsidR="007825C5" w:rsidRPr="00CF2D2C" w:rsidRDefault="007825C5">
            <w:pPr>
              <w:jc w:val="center"/>
              <w:rPr>
                <w:rFonts w:ascii="Book Antiqua" w:hAnsi="Book Antiqua" w:cs="Calibri"/>
                <w:sz w:val="22"/>
                <w:szCs w:val="22"/>
              </w:rPr>
            </w:pPr>
            <w:r w:rsidRPr="00CF2D2C">
              <w:rPr>
                <w:rFonts w:ascii="Book Antiqua" w:hAnsi="Book Antiqua" w:cs="Calibri"/>
                <w:sz w:val="22"/>
                <w:szCs w:val="22"/>
              </w:rPr>
              <w:t>Monitoring</w:t>
            </w:r>
          </w:p>
        </w:tc>
        <w:tc>
          <w:tcPr>
            <w:tcW w:w="3420" w:type="dxa"/>
            <w:tcBorders>
              <w:top w:val="nil"/>
              <w:left w:val="nil"/>
              <w:bottom w:val="single" w:sz="4" w:space="0" w:color="auto"/>
              <w:right w:val="single" w:sz="4" w:space="0" w:color="auto"/>
            </w:tcBorders>
            <w:shd w:val="clear" w:color="auto" w:fill="auto"/>
            <w:vAlign w:val="center"/>
            <w:hideMark/>
          </w:tcPr>
          <w:p w14:paraId="45606B04"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Well-Child Visits in the First 30 Months of Life</w:t>
            </w:r>
          </w:p>
        </w:tc>
        <w:tc>
          <w:tcPr>
            <w:tcW w:w="2520" w:type="dxa"/>
            <w:tcBorders>
              <w:top w:val="nil"/>
              <w:left w:val="nil"/>
              <w:bottom w:val="single" w:sz="4" w:space="0" w:color="auto"/>
              <w:right w:val="single" w:sz="4" w:space="0" w:color="auto"/>
            </w:tcBorders>
            <w:shd w:val="clear" w:color="auto" w:fill="auto"/>
            <w:vAlign w:val="center"/>
            <w:hideMark/>
          </w:tcPr>
          <w:p w14:paraId="1EF65B96" w14:textId="77777777"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NCQA</w:t>
            </w:r>
          </w:p>
        </w:tc>
        <w:tc>
          <w:tcPr>
            <w:tcW w:w="2160" w:type="dxa"/>
            <w:tcBorders>
              <w:top w:val="nil"/>
              <w:left w:val="nil"/>
              <w:bottom w:val="single" w:sz="4" w:space="0" w:color="auto"/>
              <w:right w:val="single" w:sz="4" w:space="0" w:color="auto"/>
            </w:tcBorders>
            <w:shd w:val="clear" w:color="auto" w:fill="auto"/>
            <w:vAlign w:val="center"/>
            <w:hideMark/>
          </w:tcPr>
          <w:p w14:paraId="6C2448E1" w14:textId="3B6CFE81" w:rsidR="007825C5" w:rsidRPr="00CF2D2C" w:rsidRDefault="007825C5" w:rsidP="007C53A1">
            <w:pPr>
              <w:rPr>
                <w:rFonts w:ascii="Book Antiqua" w:hAnsi="Book Antiqua" w:cs="Calibri"/>
                <w:sz w:val="22"/>
                <w:szCs w:val="22"/>
              </w:rPr>
            </w:pPr>
            <w:r w:rsidRPr="00CF2D2C">
              <w:rPr>
                <w:rFonts w:ascii="Book Antiqua" w:hAnsi="Book Antiqua" w:cs="Calibri"/>
                <w:sz w:val="22"/>
                <w:szCs w:val="22"/>
              </w:rPr>
              <w:t>Child</w:t>
            </w:r>
          </w:p>
        </w:tc>
      </w:tr>
    </w:tbl>
    <w:p w14:paraId="332A613D" w14:textId="48DA64E3" w:rsidR="00C74ED7" w:rsidRDefault="00C74ED7" w:rsidP="00023222">
      <w:pPr>
        <w:rPr>
          <w:rFonts w:ascii="Book Antiqua" w:hAnsi="Book Antiqua"/>
          <w:sz w:val="22"/>
          <w:szCs w:val="22"/>
        </w:rPr>
      </w:pPr>
    </w:p>
    <w:p w14:paraId="7D5D23B0" w14:textId="77777777" w:rsidR="00C74ED7" w:rsidRDefault="00C74ED7">
      <w:pPr>
        <w:rPr>
          <w:rFonts w:ascii="Book Antiqua" w:hAnsi="Book Antiqua"/>
          <w:sz w:val="22"/>
          <w:szCs w:val="22"/>
        </w:rPr>
      </w:pPr>
      <w:r>
        <w:rPr>
          <w:rFonts w:ascii="Book Antiqua" w:hAnsi="Book Antiqua"/>
          <w:sz w:val="22"/>
          <w:szCs w:val="22"/>
        </w:rPr>
        <w:br w:type="page"/>
      </w:r>
    </w:p>
    <w:p w14:paraId="2604C4F4" w14:textId="20047AE4" w:rsidR="0069234D" w:rsidRPr="000637BC" w:rsidRDefault="00C74ED7" w:rsidP="003F7FD3">
      <w:pPr>
        <w:jc w:val="center"/>
        <w:rPr>
          <w:rFonts w:ascii="Book Antiqua" w:hAnsi="Book Antiqua"/>
          <w:b/>
          <w:bCs/>
        </w:rPr>
      </w:pPr>
      <w:r w:rsidRPr="000637BC">
        <w:rPr>
          <w:rFonts w:ascii="Book Antiqua" w:hAnsi="Book Antiqua"/>
          <w:b/>
          <w:bCs/>
        </w:rPr>
        <w:lastRenderedPageBreak/>
        <w:t>Appendix B:</w:t>
      </w:r>
    </w:p>
    <w:p w14:paraId="10347E35" w14:textId="505FEC24" w:rsidR="00857730" w:rsidRPr="000637BC" w:rsidRDefault="00F77FD5" w:rsidP="003F7FD3">
      <w:pPr>
        <w:jc w:val="center"/>
        <w:rPr>
          <w:rFonts w:ascii="Book Antiqua" w:hAnsi="Book Antiqua"/>
          <w:b/>
          <w:bCs/>
        </w:rPr>
      </w:pPr>
      <w:r w:rsidRPr="000637BC">
        <w:rPr>
          <w:rFonts w:ascii="Book Antiqua" w:hAnsi="Book Antiqua"/>
          <w:b/>
          <w:bCs/>
        </w:rPr>
        <w:t>Guiding Principles for Use of the Aligned Measure Set in Contracts</w:t>
      </w:r>
    </w:p>
    <w:p w14:paraId="0AF30124" w14:textId="77777777" w:rsidR="00E05A2A" w:rsidRPr="003F7FD3" w:rsidRDefault="00E05A2A" w:rsidP="003F7FD3">
      <w:pPr>
        <w:jc w:val="center"/>
        <w:rPr>
          <w:rFonts w:ascii="Book Antiqua" w:hAnsi="Book Antiqua"/>
          <w:b/>
          <w:bCs/>
          <w:sz w:val="22"/>
          <w:szCs w:val="22"/>
        </w:rPr>
      </w:pPr>
    </w:p>
    <w:p w14:paraId="6E70963E" w14:textId="799ED537" w:rsidR="003F7FD3" w:rsidRDefault="003F7FD3" w:rsidP="003F7FD3">
      <w:pPr>
        <w:rPr>
          <w:rFonts w:ascii="Book Antiqua" w:hAnsi="Book Antiqua"/>
          <w:sz w:val="22"/>
          <w:szCs w:val="22"/>
        </w:rPr>
      </w:pPr>
      <w:r w:rsidRPr="003F7FD3">
        <w:rPr>
          <w:rFonts w:ascii="Book Antiqua" w:hAnsi="Book Antiqua"/>
          <w:sz w:val="22"/>
          <w:szCs w:val="22"/>
        </w:rPr>
        <w:t xml:space="preserve">While the focus of the Taskforce is on aligning contractual quality measures and not on the broader terms of global budget-based risk contracts, the Taskforce has developed a set of guiding principles for those seeking to implement the Aligned Measure Set.  These guiding principles apply to all Aligned Measure Set measure categories used in contracts. </w:t>
      </w:r>
    </w:p>
    <w:p w14:paraId="7324CB17" w14:textId="77777777" w:rsidR="003F7FD3" w:rsidRPr="003F7FD3" w:rsidRDefault="003F7FD3" w:rsidP="003F7FD3">
      <w:pPr>
        <w:rPr>
          <w:rFonts w:ascii="Book Antiqua" w:hAnsi="Book Antiqua"/>
          <w:sz w:val="22"/>
          <w:szCs w:val="22"/>
        </w:rPr>
      </w:pPr>
    </w:p>
    <w:p w14:paraId="615C81DD" w14:textId="77777777" w:rsidR="00114197" w:rsidRPr="0051307D" w:rsidRDefault="00114197" w:rsidP="00114197">
      <w:pPr>
        <w:rPr>
          <w:rFonts w:ascii="Book Antiqua" w:hAnsi="Book Antiqua"/>
          <w:b/>
          <w:bCs/>
          <w:sz w:val="22"/>
          <w:szCs w:val="22"/>
        </w:rPr>
      </w:pPr>
      <w:r w:rsidRPr="0051307D">
        <w:rPr>
          <w:rFonts w:ascii="Book Antiqua" w:hAnsi="Book Antiqua"/>
          <w:b/>
          <w:bCs/>
          <w:sz w:val="22"/>
          <w:szCs w:val="22"/>
        </w:rPr>
        <w:t>COVID-19-specific Considerations</w:t>
      </w:r>
    </w:p>
    <w:p w14:paraId="34EEF0A0" w14:textId="77777777" w:rsidR="00114197" w:rsidRPr="0051307D" w:rsidRDefault="00114197" w:rsidP="00114197">
      <w:pPr>
        <w:rPr>
          <w:rFonts w:ascii="Book Antiqua" w:hAnsi="Book Antiqua"/>
          <w:sz w:val="22"/>
          <w:szCs w:val="22"/>
        </w:rPr>
      </w:pPr>
      <w:r w:rsidRPr="0051307D">
        <w:rPr>
          <w:rFonts w:ascii="Book Antiqua" w:hAnsi="Book Antiqua"/>
          <w:sz w:val="22"/>
          <w:szCs w:val="22"/>
        </w:rPr>
        <w:t>For 2020 and 2021, it is important to recognize that the COVID-19 pandemic will have an impact on quality measure performance.  The Taskforce recommends providers and payers consider the following when using measures:</w:t>
      </w:r>
    </w:p>
    <w:p w14:paraId="4D91EED5" w14:textId="77777777" w:rsidR="00114197" w:rsidRPr="0051307D" w:rsidRDefault="00114197" w:rsidP="00114197">
      <w:pPr>
        <w:pStyle w:val="ListParagraph"/>
        <w:numPr>
          <w:ilvl w:val="0"/>
          <w:numId w:val="38"/>
        </w:numPr>
        <w:spacing w:after="160" w:line="259" w:lineRule="auto"/>
        <w:rPr>
          <w:rFonts w:ascii="Book Antiqua" w:hAnsi="Book Antiqua"/>
          <w:sz w:val="22"/>
          <w:szCs w:val="22"/>
        </w:rPr>
      </w:pPr>
      <w:r w:rsidRPr="0051307D">
        <w:rPr>
          <w:rFonts w:ascii="Book Antiqua" w:hAnsi="Book Antiqua"/>
          <w:sz w:val="22"/>
          <w:szCs w:val="22"/>
        </w:rPr>
        <w:t xml:space="preserve">Measure validity may be impacted by the </w:t>
      </w:r>
      <w:proofErr w:type="gramStart"/>
      <w:r w:rsidRPr="0051307D">
        <w:rPr>
          <w:rFonts w:ascii="Book Antiqua" w:hAnsi="Book Antiqua"/>
          <w:sz w:val="22"/>
          <w:szCs w:val="22"/>
        </w:rPr>
        <w:t>pandemic;</w:t>
      </w:r>
      <w:proofErr w:type="gramEnd"/>
    </w:p>
    <w:p w14:paraId="728450DF" w14:textId="77777777" w:rsidR="00114197" w:rsidRPr="0051307D" w:rsidRDefault="00114197" w:rsidP="00114197">
      <w:pPr>
        <w:pStyle w:val="ListParagraph"/>
        <w:numPr>
          <w:ilvl w:val="0"/>
          <w:numId w:val="38"/>
        </w:numPr>
        <w:spacing w:after="160" w:line="259" w:lineRule="auto"/>
        <w:rPr>
          <w:rFonts w:ascii="Book Antiqua" w:hAnsi="Book Antiqua"/>
          <w:sz w:val="22"/>
          <w:szCs w:val="22"/>
        </w:rPr>
      </w:pPr>
      <w:r w:rsidRPr="0051307D">
        <w:rPr>
          <w:rFonts w:ascii="Book Antiqua" w:hAnsi="Book Antiqua"/>
          <w:sz w:val="22"/>
          <w:szCs w:val="22"/>
        </w:rPr>
        <w:t xml:space="preserve">Benchmarks set a priori may not be applicable to quality measure performance in 2020 and 2021 due to changes in care delivery and utilization during this </w:t>
      </w:r>
      <w:proofErr w:type="gramStart"/>
      <w:r w:rsidRPr="0051307D">
        <w:rPr>
          <w:rFonts w:ascii="Book Antiqua" w:hAnsi="Book Antiqua"/>
          <w:sz w:val="22"/>
          <w:szCs w:val="22"/>
        </w:rPr>
        <w:t>time;</w:t>
      </w:r>
      <w:proofErr w:type="gramEnd"/>
    </w:p>
    <w:p w14:paraId="591F5FA4" w14:textId="77777777" w:rsidR="00114197" w:rsidRPr="0051307D" w:rsidRDefault="00114197" w:rsidP="00114197">
      <w:pPr>
        <w:pStyle w:val="ListParagraph"/>
        <w:numPr>
          <w:ilvl w:val="0"/>
          <w:numId w:val="38"/>
        </w:numPr>
        <w:spacing w:after="160" w:line="259" w:lineRule="auto"/>
        <w:rPr>
          <w:rFonts w:ascii="Book Antiqua" w:hAnsi="Book Antiqua"/>
          <w:sz w:val="22"/>
          <w:szCs w:val="22"/>
        </w:rPr>
      </w:pPr>
      <w:r w:rsidRPr="0051307D">
        <w:rPr>
          <w:rFonts w:ascii="Book Antiqua" w:hAnsi="Book Antiqua"/>
          <w:sz w:val="22"/>
          <w:szCs w:val="22"/>
        </w:rPr>
        <w:t xml:space="preserve">If measures cannot be changed, performance could be evaluated using prior performance instead of measurement year </w:t>
      </w:r>
      <w:proofErr w:type="gramStart"/>
      <w:r w:rsidRPr="0051307D">
        <w:rPr>
          <w:rFonts w:ascii="Book Antiqua" w:hAnsi="Book Antiqua"/>
          <w:sz w:val="22"/>
          <w:szCs w:val="22"/>
        </w:rPr>
        <w:t>performance;</w:t>
      </w:r>
      <w:proofErr w:type="gramEnd"/>
    </w:p>
    <w:p w14:paraId="23A4EE52" w14:textId="77777777" w:rsidR="00114197" w:rsidRPr="0051307D" w:rsidRDefault="00114197" w:rsidP="00114197">
      <w:pPr>
        <w:pStyle w:val="ListParagraph"/>
        <w:numPr>
          <w:ilvl w:val="0"/>
          <w:numId w:val="38"/>
        </w:numPr>
        <w:spacing w:after="160" w:line="259" w:lineRule="auto"/>
        <w:rPr>
          <w:rFonts w:ascii="Book Antiqua" w:hAnsi="Book Antiqua"/>
          <w:sz w:val="22"/>
          <w:szCs w:val="22"/>
        </w:rPr>
      </w:pPr>
      <w:r w:rsidRPr="0051307D">
        <w:rPr>
          <w:rFonts w:ascii="Book Antiqua" w:hAnsi="Book Antiqua"/>
          <w:sz w:val="22"/>
          <w:szCs w:val="22"/>
        </w:rPr>
        <w:t>For 2021, measures should be selected to focus on “at-risk” populations to ensure they receive necessary care during the pandemic, and</w:t>
      </w:r>
    </w:p>
    <w:p w14:paraId="09578E2B" w14:textId="77777777" w:rsidR="00114197" w:rsidRPr="0051307D" w:rsidRDefault="00114197" w:rsidP="00114197">
      <w:pPr>
        <w:pStyle w:val="ListParagraph"/>
        <w:numPr>
          <w:ilvl w:val="0"/>
          <w:numId w:val="38"/>
        </w:numPr>
        <w:spacing w:after="160" w:line="259" w:lineRule="auto"/>
        <w:rPr>
          <w:rFonts w:ascii="Book Antiqua" w:hAnsi="Book Antiqua"/>
          <w:sz w:val="22"/>
          <w:szCs w:val="22"/>
        </w:rPr>
      </w:pPr>
      <w:r w:rsidRPr="0051307D">
        <w:rPr>
          <w:rFonts w:ascii="Book Antiqua" w:hAnsi="Book Antiqua"/>
          <w:sz w:val="22"/>
          <w:szCs w:val="22"/>
        </w:rPr>
        <w:t xml:space="preserve">For 2021, measures should be applied in a manner that will advance understanding of inequities. </w:t>
      </w:r>
    </w:p>
    <w:p w14:paraId="7EF5BAF2" w14:textId="77777777" w:rsidR="00114197" w:rsidRPr="0051307D" w:rsidRDefault="00114197" w:rsidP="00114197">
      <w:pPr>
        <w:rPr>
          <w:rFonts w:ascii="Book Antiqua" w:hAnsi="Book Antiqua"/>
          <w:b/>
          <w:bCs/>
          <w:sz w:val="22"/>
          <w:szCs w:val="22"/>
        </w:rPr>
      </w:pPr>
      <w:r w:rsidRPr="0051307D">
        <w:rPr>
          <w:rFonts w:ascii="Book Antiqua" w:hAnsi="Book Antiqua"/>
          <w:b/>
          <w:bCs/>
          <w:sz w:val="22"/>
          <w:szCs w:val="22"/>
        </w:rPr>
        <w:t>Selection of Menu Measures</w:t>
      </w:r>
    </w:p>
    <w:p w14:paraId="3411C003" w14:textId="77777777" w:rsidR="00114197" w:rsidRPr="0051307D" w:rsidRDefault="00114197" w:rsidP="00114197">
      <w:pPr>
        <w:rPr>
          <w:rFonts w:ascii="Book Antiqua" w:hAnsi="Book Antiqua"/>
          <w:sz w:val="22"/>
          <w:szCs w:val="22"/>
        </w:rPr>
      </w:pPr>
      <w:r w:rsidRPr="0051307D">
        <w:rPr>
          <w:rFonts w:ascii="Book Antiqua" w:hAnsi="Book Antiqua"/>
          <w:sz w:val="22"/>
          <w:szCs w:val="22"/>
        </w:rPr>
        <w:t>For those providers and payers who choose the adopt the Aligned Measure Set, the Core Set should be adopted in full as these measures represent high priority areas for the State.  The Menu Set allows providers and payers to supplement the Core Set, but the Taskforce recommends that contracts limit use of Menu measures to allow providers to focus on key opportunities for improvement.  The Taskforce further recommends the following guiding principle for the selection of Menu measures in contracts:</w:t>
      </w:r>
    </w:p>
    <w:p w14:paraId="3C8BBB9F" w14:textId="77777777" w:rsidR="00EF02CB" w:rsidRDefault="00EF02CB" w:rsidP="00114197">
      <w:pPr>
        <w:rPr>
          <w:rFonts w:ascii="Book Antiqua" w:hAnsi="Book Antiqua"/>
          <w:sz w:val="22"/>
          <w:szCs w:val="22"/>
        </w:rPr>
      </w:pPr>
    </w:p>
    <w:p w14:paraId="280014B9" w14:textId="69CB6FC5" w:rsidR="00114197" w:rsidRPr="0051307D" w:rsidRDefault="00114197" w:rsidP="00114197">
      <w:pPr>
        <w:rPr>
          <w:rFonts w:ascii="Book Antiqua" w:hAnsi="Book Antiqua"/>
          <w:sz w:val="22"/>
          <w:szCs w:val="22"/>
        </w:rPr>
      </w:pPr>
      <w:r w:rsidRPr="0051307D">
        <w:rPr>
          <w:rFonts w:ascii="Book Antiqua" w:hAnsi="Book Antiqua"/>
          <w:sz w:val="22"/>
          <w:szCs w:val="22"/>
        </w:rPr>
        <w:t xml:space="preserve">Menu measures selected for contract use should target identified opportunities to improve care specific to the contracted population. </w:t>
      </w:r>
    </w:p>
    <w:p w14:paraId="7C535F32" w14:textId="77777777" w:rsidR="00F47736" w:rsidRDefault="00F47736" w:rsidP="00114197">
      <w:pPr>
        <w:rPr>
          <w:rFonts w:ascii="Book Antiqua" w:hAnsi="Book Antiqua"/>
          <w:b/>
          <w:bCs/>
          <w:sz w:val="22"/>
          <w:szCs w:val="22"/>
        </w:rPr>
      </w:pPr>
    </w:p>
    <w:p w14:paraId="2627CAAF" w14:textId="11C2E18B" w:rsidR="00114197" w:rsidRPr="0051307D" w:rsidRDefault="00114197" w:rsidP="00114197">
      <w:pPr>
        <w:rPr>
          <w:rFonts w:ascii="Book Antiqua" w:hAnsi="Book Antiqua"/>
          <w:b/>
          <w:bCs/>
          <w:sz w:val="22"/>
          <w:szCs w:val="22"/>
        </w:rPr>
      </w:pPr>
      <w:r w:rsidRPr="0051307D">
        <w:rPr>
          <w:rFonts w:ascii="Book Antiqua" w:hAnsi="Book Antiqua"/>
          <w:b/>
          <w:bCs/>
          <w:sz w:val="22"/>
          <w:szCs w:val="22"/>
        </w:rPr>
        <w:t>Reasonable Benchmarks</w:t>
      </w:r>
    </w:p>
    <w:p w14:paraId="5F976E5E" w14:textId="77777777" w:rsidR="00114197" w:rsidRPr="0051307D" w:rsidRDefault="00114197" w:rsidP="00114197">
      <w:pPr>
        <w:rPr>
          <w:rFonts w:ascii="Book Antiqua" w:hAnsi="Book Antiqua"/>
          <w:sz w:val="22"/>
          <w:szCs w:val="22"/>
        </w:rPr>
      </w:pPr>
      <w:r w:rsidRPr="0051307D">
        <w:rPr>
          <w:rFonts w:ascii="Book Antiqua" w:hAnsi="Book Antiqua"/>
          <w:sz w:val="22"/>
          <w:szCs w:val="22"/>
        </w:rPr>
        <w:t>The Taskforce recommends that provider organizations and payers negotiate benchmarks that:</w:t>
      </w:r>
    </w:p>
    <w:p w14:paraId="4F720156" w14:textId="77777777" w:rsidR="00114197" w:rsidRPr="0051307D" w:rsidRDefault="00114197" w:rsidP="00114197">
      <w:pPr>
        <w:pStyle w:val="ListParagraph"/>
        <w:numPr>
          <w:ilvl w:val="0"/>
          <w:numId w:val="36"/>
        </w:numPr>
        <w:spacing w:after="160" w:line="259" w:lineRule="auto"/>
        <w:rPr>
          <w:rFonts w:ascii="Book Antiqua" w:hAnsi="Book Antiqua"/>
          <w:sz w:val="22"/>
          <w:szCs w:val="22"/>
        </w:rPr>
      </w:pPr>
      <w:r w:rsidRPr="0051307D">
        <w:rPr>
          <w:rFonts w:ascii="Book Antiqua" w:hAnsi="Book Antiqua"/>
          <w:sz w:val="22"/>
          <w:szCs w:val="22"/>
        </w:rPr>
        <w:t xml:space="preserve">Are not below current provider </w:t>
      </w:r>
      <w:proofErr w:type="gramStart"/>
      <w:r w:rsidRPr="0051307D">
        <w:rPr>
          <w:rFonts w:ascii="Book Antiqua" w:hAnsi="Book Antiqua"/>
          <w:sz w:val="22"/>
          <w:szCs w:val="22"/>
        </w:rPr>
        <w:t>performance;</w:t>
      </w:r>
      <w:proofErr w:type="gramEnd"/>
    </w:p>
    <w:p w14:paraId="63AA1D60" w14:textId="77777777" w:rsidR="00114197" w:rsidRPr="0051307D" w:rsidRDefault="00114197" w:rsidP="00114197">
      <w:pPr>
        <w:pStyle w:val="ListParagraph"/>
        <w:numPr>
          <w:ilvl w:val="0"/>
          <w:numId w:val="36"/>
        </w:numPr>
        <w:spacing w:after="160" w:line="259" w:lineRule="auto"/>
        <w:rPr>
          <w:rFonts w:ascii="Book Antiqua" w:hAnsi="Book Antiqua"/>
          <w:sz w:val="22"/>
          <w:szCs w:val="22"/>
        </w:rPr>
      </w:pPr>
      <w:r w:rsidRPr="0051307D">
        <w:rPr>
          <w:rFonts w:ascii="Book Antiqua" w:hAnsi="Book Antiqua"/>
          <w:sz w:val="22"/>
          <w:szCs w:val="22"/>
        </w:rPr>
        <w:t xml:space="preserve">Are achievable by the provider organization (achievement benchmarks should not be so far above provider performance as to discourage improvement efforts), and </w:t>
      </w:r>
    </w:p>
    <w:p w14:paraId="1035E39D" w14:textId="77777777" w:rsidR="00114197" w:rsidRPr="0051307D" w:rsidRDefault="00114197" w:rsidP="00114197">
      <w:pPr>
        <w:pStyle w:val="ListParagraph"/>
        <w:numPr>
          <w:ilvl w:val="0"/>
          <w:numId w:val="36"/>
        </w:numPr>
        <w:spacing w:after="160" w:line="259" w:lineRule="auto"/>
        <w:rPr>
          <w:rFonts w:ascii="Book Antiqua" w:hAnsi="Book Antiqua"/>
          <w:sz w:val="22"/>
          <w:szCs w:val="22"/>
        </w:rPr>
      </w:pPr>
      <w:r w:rsidRPr="0051307D">
        <w:rPr>
          <w:rFonts w:ascii="Book Antiqua" w:hAnsi="Book Antiqua"/>
          <w:sz w:val="22"/>
          <w:szCs w:val="22"/>
        </w:rPr>
        <w:t xml:space="preserve">Reflect a reasonable understanding of high performance.  </w:t>
      </w:r>
    </w:p>
    <w:p w14:paraId="7E69BB8C" w14:textId="77777777" w:rsidR="00114197" w:rsidRPr="0051307D" w:rsidRDefault="00114197" w:rsidP="00114197">
      <w:pPr>
        <w:rPr>
          <w:rFonts w:ascii="Book Antiqua" w:hAnsi="Book Antiqua"/>
          <w:sz w:val="22"/>
          <w:szCs w:val="22"/>
        </w:rPr>
      </w:pPr>
      <w:r w:rsidRPr="0051307D">
        <w:rPr>
          <w:rFonts w:ascii="Book Antiqua" w:hAnsi="Book Antiqua"/>
          <w:sz w:val="22"/>
          <w:szCs w:val="22"/>
        </w:rPr>
        <w:t xml:space="preserve">Furthermore, the quality incentive program should not be structured in a way that penalizes providers for caring for populations with higher clinical and/or social risk.  </w:t>
      </w:r>
    </w:p>
    <w:p w14:paraId="4F8E5BBB" w14:textId="77777777" w:rsidR="00F47736" w:rsidRDefault="00F47736" w:rsidP="00114197">
      <w:pPr>
        <w:rPr>
          <w:rFonts w:ascii="Book Antiqua" w:hAnsi="Book Antiqua"/>
          <w:b/>
          <w:bCs/>
          <w:sz w:val="22"/>
          <w:szCs w:val="22"/>
        </w:rPr>
      </w:pPr>
    </w:p>
    <w:p w14:paraId="7DFE0003" w14:textId="77777777" w:rsidR="00F47736" w:rsidRDefault="00F47736" w:rsidP="00114197">
      <w:pPr>
        <w:rPr>
          <w:rFonts w:ascii="Book Antiqua" w:hAnsi="Book Antiqua"/>
          <w:b/>
          <w:bCs/>
          <w:sz w:val="22"/>
          <w:szCs w:val="22"/>
        </w:rPr>
      </w:pPr>
    </w:p>
    <w:p w14:paraId="62358213" w14:textId="77777777" w:rsidR="00F47736" w:rsidRDefault="00F47736" w:rsidP="00114197">
      <w:pPr>
        <w:rPr>
          <w:rFonts w:ascii="Book Antiqua" w:hAnsi="Book Antiqua"/>
          <w:b/>
          <w:bCs/>
          <w:sz w:val="22"/>
          <w:szCs w:val="22"/>
        </w:rPr>
      </w:pPr>
    </w:p>
    <w:p w14:paraId="62E0BD2E" w14:textId="77777777" w:rsidR="00F47736" w:rsidRDefault="00F47736" w:rsidP="00114197">
      <w:pPr>
        <w:rPr>
          <w:rFonts w:ascii="Book Antiqua" w:hAnsi="Book Antiqua"/>
          <w:b/>
          <w:bCs/>
          <w:sz w:val="22"/>
          <w:szCs w:val="22"/>
        </w:rPr>
      </w:pPr>
    </w:p>
    <w:p w14:paraId="7367DC65" w14:textId="77777777" w:rsidR="00F47736" w:rsidRDefault="00F47736" w:rsidP="00114197">
      <w:pPr>
        <w:rPr>
          <w:rFonts w:ascii="Book Antiqua" w:hAnsi="Book Antiqua"/>
          <w:b/>
          <w:bCs/>
          <w:sz w:val="22"/>
          <w:szCs w:val="22"/>
        </w:rPr>
      </w:pPr>
    </w:p>
    <w:p w14:paraId="105F8DE0" w14:textId="77777777" w:rsidR="00F47736" w:rsidRDefault="00F47736" w:rsidP="00114197">
      <w:pPr>
        <w:rPr>
          <w:rFonts w:ascii="Book Antiqua" w:hAnsi="Book Antiqua"/>
          <w:b/>
          <w:bCs/>
          <w:sz w:val="22"/>
          <w:szCs w:val="22"/>
        </w:rPr>
      </w:pPr>
    </w:p>
    <w:p w14:paraId="394CEEEF" w14:textId="727F1543" w:rsidR="00114197" w:rsidRPr="0051307D" w:rsidRDefault="00114197" w:rsidP="00114197">
      <w:pPr>
        <w:rPr>
          <w:rFonts w:ascii="Book Antiqua" w:hAnsi="Book Antiqua"/>
          <w:b/>
          <w:bCs/>
          <w:sz w:val="22"/>
          <w:szCs w:val="22"/>
        </w:rPr>
      </w:pPr>
      <w:r w:rsidRPr="0051307D">
        <w:rPr>
          <w:rFonts w:ascii="Book Antiqua" w:hAnsi="Book Antiqua"/>
          <w:b/>
          <w:bCs/>
          <w:sz w:val="22"/>
          <w:szCs w:val="22"/>
        </w:rPr>
        <w:t>Adequate Denominators</w:t>
      </w:r>
    </w:p>
    <w:p w14:paraId="57771114" w14:textId="77777777" w:rsidR="00114197" w:rsidRPr="0051307D" w:rsidRDefault="00114197" w:rsidP="00114197">
      <w:pPr>
        <w:rPr>
          <w:rFonts w:ascii="Book Antiqua" w:hAnsi="Book Antiqua"/>
          <w:sz w:val="22"/>
          <w:szCs w:val="22"/>
        </w:rPr>
      </w:pPr>
      <w:r w:rsidRPr="0051307D">
        <w:rPr>
          <w:rFonts w:ascii="Book Antiqua" w:hAnsi="Book Antiqua"/>
          <w:sz w:val="22"/>
          <w:szCs w:val="22"/>
        </w:rPr>
        <w:t>Provider organizations and payers should not use measures in contracts if denominators are too small to report a reliable measurement</w:t>
      </w:r>
      <w:r w:rsidRPr="0051307D">
        <w:rPr>
          <w:rStyle w:val="FootnoteReference"/>
          <w:rFonts w:ascii="Book Antiqua" w:hAnsi="Book Antiqua"/>
          <w:sz w:val="22"/>
          <w:szCs w:val="22"/>
        </w:rPr>
        <w:footnoteReference w:id="9"/>
      </w:r>
      <w:r w:rsidRPr="0051307D">
        <w:rPr>
          <w:rFonts w:ascii="Book Antiqua" w:hAnsi="Book Antiqua"/>
          <w:sz w:val="22"/>
          <w:szCs w:val="22"/>
        </w:rPr>
        <w:t xml:space="preserve">.  To the extent that any Core Measure does not meet minimum denominator size, the insurer may elect to not include the measure when applying a performance incentive and/or disincentive provision in the contract.  </w:t>
      </w:r>
    </w:p>
    <w:p w14:paraId="2A8EA82E" w14:textId="77777777" w:rsidR="0028259B" w:rsidRPr="003F7FD3" w:rsidRDefault="0028259B" w:rsidP="00114197">
      <w:pPr>
        <w:rPr>
          <w:rFonts w:ascii="Book Antiqua" w:hAnsi="Book Antiqua"/>
          <w:b/>
          <w:bCs/>
          <w:sz w:val="22"/>
          <w:szCs w:val="22"/>
        </w:rPr>
      </w:pPr>
    </w:p>
    <w:sectPr w:rsidR="0028259B" w:rsidRPr="003F7FD3" w:rsidSect="00E44C43">
      <w:footerReference w:type="default" r:id="rId16"/>
      <w:type w:val="continuous"/>
      <w:pgSz w:w="12240" w:h="15840"/>
      <w:pgMar w:top="1440" w:right="1440" w:bottom="1440" w:left="144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01920" w14:textId="77777777" w:rsidR="00701398" w:rsidRDefault="00701398">
      <w:r>
        <w:separator/>
      </w:r>
    </w:p>
  </w:endnote>
  <w:endnote w:type="continuationSeparator" w:id="0">
    <w:p w14:paraId="14CD995E" w14:textId="77777777" w:rsidR="00701398" w:rsidRDefault="00701398">
      <w:r>
        <w:continuationSeparator/>
      </w:r>
    </w:p>
  </w:endnote>
  <w:endnote w:type="continuationNotice" w:id="1">
    <w:p w14:paraId="32C1E130" w14:textId="77777777" w:rsidR="00701398" w:rsidRDefault="007013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Cambri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3000000"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yriad Web Pro">
    <w:altName w:val="Corbel"/>
    <w:charset w:val="00"/>
    <w:family w:val="swiss"/>
    <w:pitch w:val="variable"/>
    <w:sig w:usb0="00000001"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54AED" w14:textId="77777777" w:rsidR="00D46350" w:rsidRDefault="00D46350" w:rsidP="00356A4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2C54AEE" w14:textId="77777777" w:rsidR="00D46350" w:rsidRDefault="00D46350" w:rsidP="004A5472">
    <w:pPr>
      <w:pStyle w:val="Footer"/>
      <w:framePr w:wrap="around" w:vAnchor="text" w:hAnchor="margin" w:xAlign="center" w:y="1"/>
      <w:ind w:right="360" w:firstLine="360"/>
      <w:rPr>
        <w:rStyle w:val="PageNumber"/>
      </w:rPr>
    </w:pPr>
    <w:r>
      <w:rPr>
        <w:rStyle w:val="PageNumber"/>
      </w:rPr>
      <w:fldChar w:fldCharType="begin"/>
    </w:r>
    <w:r>
      <w:rPr>
        <w:rStyle w:val="PageNumber"/>
      </w:rPr>
      <w:instrText xml:space="preserve">PAGE  </w:instrText>
    </w:r>
    <w:r>
      <w:rPr>
        <w:rStyle w:val="PageNumber"/>
      </w:rPr>
      <w:fldChar w:fldCharType="end"/>
    </w:r>
  </w:p>
  <w:p w14:paraId="12C54AEF" w14:textId="77777777" w:rsidR="00D46350" w:rsidRDefault="00D46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54AF0" w14:textId="77777777" w:rsidR="00D46350" w:rsidRDefault="00D46350" w:rsidP="004A547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2C54AF1" w14:textId="77777777" w:rsidR="00D46350" w:rsidRPr="004E5DCC" w:rsidRDefault="00D46350" w:rsidP="00F85226">
    <w:pPr>
      <w:pStyle w:val="Footer"/>
      <w:ind w:right="360" w:firstLine="360"/>
      <w:jc w:val="center"/>
      <w:rPr>
        <w:rFonts w:ascii="Myriad Web Pro" w:hAnsi="Myriad Web Pro"/>
        <w:color w:val="25416B"/>
        <w:sz w:val="18"/>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54AF2" w14:textId="77777777" w:rsidR="00D46350" w:rsidRPr="00AF7C7F" w:rsidRDefault="00D46350" w:rsidP="00AF7C7F">
    <w:pPr>
      <w:pStyle w:val="Footer"/>
      <w:ind w:right="360" w:firstLine="360"/>
      <w:jc w:val="center"/>
      <w:rPr>
        <w:rFonts w:ascii="Myriad Web Pro" w:hAnsi="Myriad Web Pro"/>
        <w:color w:val="25416B"/>
        <w:sz w:val="18"/>
        <w:szCs w:val="2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0301879"/>
      <w:docPartObj>
        <w:docPartGallery w:val="Page Numbers (Bottom of Page)"/>
        <w:docPartUnique/>
      </w:docPartObj>
    </w:sdtPr>
    <w:sdtEndPr>
      <w:rPr>
        <w:noProof/>
      </w:rPr>
    </w:sdtEndPr>
    <w:sdtContent>
      <w:p w14:paraId="12C54AF3" w14:textId="77777777" w:rsidR="00D46350" w:rsidRDefault="00D46350">
        <w:pPr>
          <w:pStyle w:val="Footer"/>
          <w:jc w:val="right"/>
        </w:pPr>
        <w:r>
          <w:fldChar w:fldCharType="begin"/>
        </w:r>
        <w:r>
          <w:instrText xml:space="preserve"> PAGE   \* MERGEFORMAT </w:instrText>
        </w:r>
        <w:r>
          <w:fldChar w:fldCharType="separate"/>
        </w:r>
        <w:r w:rsidR="002A5FF3">
          <w:rPr>
            <w:noProof/>
          </w:rPr>
          <w:t>5</w:t>
        </w:r>
        <w:r>
          <w:rPr>
            <w:noProof/>
          </w:rPr>
          <w:fldChar w:fldCharType="end"/>
        </w:r>
      </w:p>
    </w:sdtContent>
  </w:sdt>
  <w:p w14:paraId="12C54AF4" w14:textId="77777777" w:rsidR="00D46350" w:rsidRDefault="00D46350" w:rsidP="00A14D11">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DA5FC" w14:textId="77777777" w:rsidR="00701398" w:rsidRDefault="00701398">
      <w:r>
        <w:separator/>
      </w:r>
    </w:p>
  </w:footnote>
  <w:footnote w:type="continuationSeparator" w:id="0">
    <w:p w14:paraId="5E9340A0" w14:textId="77777777" w:rsidR="00701398" w:rsidRDefault="00701398">
      <w:r>
        <w:continuationSeparator/>
      </w:r>
    </w:p>
  </w:footnote>
  <w:footnote w:type="continuationNotice" w:id="1">
    <w:p w14:paraId="2A651281" w14:textId="77777777" w:rsidR="00701398" w:rsidRDefault="00701398"/>
  </w:footnote>
  <w:footnote w:id="2">
    <w:p w14:paraId="6CD9795C" w14:textId="7C6FB48C" w:rsidR="00A060E3" w:rsidRPr="00A060E3" w:rsidRDefault="00A060E3" w:rsidP="00A060E3">
      <w:pPr>
        <w:rPr>
          <w:rFonts w:ascii="Book Antiqua" w:hAnsi="Book Antiqua"/>
          <w:sz w:val="20"/>
          <w:szCs w:val="20"/>
        </w:rPr>
      </w:pPr>
      <w:r w:rsidRPr="00A060E3">
        <w:rPr>
          <w:rStyle w:val="FootnoteReference"/>
          <w:rFonts w:ascii="Book Antiqua" w:hAnsi="Book Antiqua"/>
          <w:sz w:val="20"/>
          <w:szCs w:val="20"/>
        </w:rPr>
        <w:footnoteRef/>
      </w:r>
      <w:r w:rsidRPr="00A060E3">
        <w:rPr>
          <w:rFonts w:ascii="Book Antiqua" w:hAnsi="Book Antiqua"/>
          <w:sz w:val="20"/>
          <w:szCs w:val="20"/>
        </w:rPr>
        <w:t xml:space="preserve"> Contracts must include, at a minimum, physician services and inpatient and outpatient hospital services.  Contracts could also include services that are not traditionally billed for, such as care management, addressing social determinants of health, behavioral health integration, etc.</w:t>
      </w:r>
    </w:p>
  </w:footnote>
  <w:footnote w:id="3">
    <w:p w14:paraId="18132B2D" w14:textId="77777777" w:rsidR="00A2186A" w:rsidRPr="006667A9" w:rsidRDefault="00A2186A" w:rsidP="00A2186A">
      <w:pPr>
        <w:pStyle w:val="FootnoteText"/>
        <w:rPr>
          <w:rFonts w:ascii="Book Antiqua" w:hAnsi="Book Antiqua"/>
          <w:sz w:val="18"/>
        </w:rPr>
      </w:pPr>
      <w:r w:rsidRPr="006667A9">
        <w:rPr>
          <w:rStyle w:val="FootnoteReference"/>
          <w:rFonts w:ascii="Book Antiqua" w:hAnsi="Book Antiqua"/>
        </w:rPr>
        <w:footnoteRef/>
      </w:r>
      <w:r w:rsidRPr="006667A9">
        <w:rPr>
          <w:rFonts w:ascii="Book Antiqua" w:hAnsi="Book Antiqua"/>
        </w:rPr>
        <w:t xml:space="preserve"> </w:t>
      </w:r>
      <w:r w:rsidRPr="006667A9">
        <w:rPr>
          <w:rFonts w:ascii="Book Antiqua" w:hAnsi="Book Antiqua" w:cstheme="minorHAnsi"/>
        </w:rPr>
        <w:t xml:space="preserve">Clinician and Group Consumer Assessment of Healthcare Providers and Systems.  See </w:t>
      </w:r>
      <w:hyperlink r:id="rId1" w:history="1">
        <w:r w:rsidRPr="006667A9">
          <w:rPr>
            <w:rStyle w:val="Hyperlink"/>
            <w:rFonts w:ascii="Book Antiqua" w:hAnsi="Book Antiqua" w:cstheme="minorHAnsi"/>
          </w:rPr>
          <w:t>www.ahrq.gov/cahps/surveys-guidance/cg/index.html</w:t>
        </w:r>
      </w:hyperlink>
      <w:r w:rsidRPr="006667A9">
        <w:rPr>
          <w:rFonts w:ascii="Book Antiqua" w:hAnsi="Book Antiqua" w:cstheme="minorHAnsi"/>
        </w:rPr>
        <w:t xml:space="preserve">. </w:t>
      </w:r>
    </w:p>
  </w:footnote>
  <w:footnote w:id="4">
    <w:p w14:paraId="326C2A00" w14:textId="77777777" w:rsidR="00A2186A" w:rsidRPr="006667A9" w:rsidRDefault="00A2186A" w:rsidP="00A2186A">
      <w:pPr>
        <w:pStyle w:val="FootnoteText"/>
        <w:rPr>
          <w:rFonts w:ascii="Book Antiqua" w:hAnsi="Book Antiqua"/>
        </w:rPr>
      </w:pPr>
      <w:r w:rsidRPr="006667A9">
        <w:rPr>
          <w:rStyle w:val="FootnoteReference"/>
          <w:rFonts w:ascii="Book Antiqua" w:hAnsi="Book Antiqua"/>
        </w:rPr>
        <w:footnoteRef/>
      </w:r>
      <w:r w:rsidRPr="006667A9">
        <w:rPr>
          <w:rFonts w:ascii="Book Antiqua" w:hAnsi="Book Antiqua"/>
        </w:rPr>
        <w:t xml:space="preserve"> Massachusetts Health Quality Partners.  See </w:t>
      </w:r>
      <w:hyperlink r:id="rId2" w:history="1">
        <w:r w:rsidRPr="006667A9">
          <w:rPr>
            <w:rStyle w:val="Hyperlink"/>
            <w:rFonts w:ascii="Book Antiqua" w:hAnsi="Book Antiqua"/>
          </w:rPr>
          <w:t>http://mhqp.org</w:t>
        </w:r>
      </w:hyperlink>
      <w:r w:rsidRPr="006667A9">
        <w:rPr>
          <w:rFonts w:ascii="Book Antiqua" w:hAnsi="Book Antiqua"/>
        </w:rPr>
        <w:t>.</w:t>
      </w:r>
    </w:p>
  </w:footnote>
  <w:footnote w:id="5">
    <w:p w14:paraId="7A9414DE" w14:textId="77777777" w:rsidR="00A2186A" w:rsidRPr="006667A9" w:rsidRDefault="00A2186A" w:rsidP="00A2186A">
      <w:pPr>
        <w:pStyle w:val="FootnoteText"/>
        <w:rPr>
          <w:rFonts w:ascii="Book Antiqua" w:hAnsi="Book Antiqua"/>
        </w:rPr>
      </w:pPr>
      <w:r w:rsidRPr="006667A9">
        <w:rPr>
          <w:rStyle w:val="FootnoteReference"/>
          <w:rFonts w:ascii="Book Antiqua" w:hAnsi="Book Antiqua"/>
        </w:rPr>
        <w:footnoteRef/>
      </w:r>
      <w:r w:rsidRPr="006667A9">
        <w:rPr>
          <w:rFonts w:ascii="Book Antiqua" w:hAnsi="Book Antiqua"/>
        </w:rPr>
        <w:t xml:space="preserve"> The Taskforce considered several surveys, such as the ACO CAHPS and CG-CAHPS surveys, and endorsed the MHQP-modified version of the CG-CAHPS survey because it </w:t>
      </w:r>
      <w:r>
        <w:rPr>
          <w:rFonts w:ascii="Book Antiqua" w:hAnsi="Book Antiqua"/>
        </w:rPr>
        <w:t>i</w:t>
      </w:r>
      <w:r w:rsidRPr="006667A9">
        <w:rPr>
          <w:rFonts w:ascii="Book Antiqua" w:hAnsi="Book Antiqua"/>
        </w:rPr>
        <w:t xml:space="preserve">s widely </w:t>
      </w:r>
      <w:r>
        <w:rPr>
          <w:rFonts w:ascii="Book Antiqua" w:hAnsi="Book Antiqua"/>
        </w:rPr>
        <w:t>used</w:t>
      </w:r>
      <w:r w:rsidRPr="006667A9">
        <w:rPr>
          <w:rFonts w:ascii="Book Antiqua" w:hAnsi="Book Antiqua"/>
        </w:rPr>
        <w:t xml:space="preserve"> by both Medicaid and commercial payers in the state.  The Taskforce did not endorse specific survey measures or group</w:t>
      </w:r>
      <w:r>
        <w:rPr>
          <w:rFonts w:ascii="Book Antiqua" w:hAnsi="Book Antiqua"/>
        </w:rPr>
        <w:t>s</w:t>
      </w:r>
      <w:r w:rsidRPr="006667A9">
        <w:rPr>
          <w:rFonts w:ascii="Book Antiqua" w:hAnsi="Book Antiqua"/>
        </w:rPr>
        <w:t xml:space="preserve"> of measures.</w:t>
      </w:r>
    </w:p>
  </w:footnote>
  <w:footnote w:id="6">
    <w:p w14:paraId="7E368947" w14:textId="554633C5" w:rsidR="002164BA" w:rsidRPr="00DA1851" w:rsidRDefault="002164BA" w:rsidP="00307B6C">
      <w:pPr>
        <w:pStyle w:val="FootnoteText"/>
        <w:rPr>
          <w:rFonts w:ascii="Book Antiqua" w:hAnsi="Book Antiqua"/>
        </w:rPr>
      </w:pPr>
      <w:r w:rsidRPr="00DA1851">
        <w:rPr>
          <w:rStyle w:val="FootnoteReference"/>
          <w:rFonts w:ascii="Book Antiqua" w:hAnsi="Book Antiqua"/>
        </w:rPr>
        <w:footnoteRef/>
      </w:r>
      <w:r w:rsidRPr="00DA1851">
        <w:rPr>
          <w:rFonts w:ascii="Book Antiqua" w:hAnsi="Book Antiqua"/>
        </w:rPr>
        <w:t xml:space="preserve"> </w:t>
      </w:r>
      <w:r w:rsidR="00307B6C" w:rsidRPr="00DA1851">
        <w:rPr>
          <w:rFonts w:ascii="Book Antiqua" w:hAnsi="Book Antiqua"/>
        </w:rPr>
        <w:t xml:space="preserve">The Taskforce utilizes the National Quality Forum (NQF) definition of validity as published on the NQF’s website: </w:t>
      </w:r>
      <w:hyperlink r:id="rId3" w:history="1">
        <w:r w:rsidR="00C3740B" w:rsidRPr="00017090">
          <w:rPr>
            <w:rStyle w:val="Hyperlink"/>
            <w:rFonts w:ascii="Book Antiqua" w:hAnsi="Book Antiqua"/>
          </w:rPr>
          <w:t>www.qualityforum.org/Measuring_Performance/Scientific_Methods_Panel/Meetings/2018_Scientific_Methods_Panel_Meetings.aspx</w:t>
        </w:r>
      </w:hyperlink>
      <w:r w:rsidR="00307B6C" w:rsidRPr="00DA1851">
        <w:rPr>
          <w:rFonts w:ascii="Book Antiqua" w:hAnsi="Book Antiqua"/>
        </w:rPr>
        <w:t>:</w:t>
      </w:r>
      <w:r w:rsidR="00C3740B">
        <w:rPr>
          <w:rFonts w:ascii="Book Antiqua" w:hAnsi="Book Antiqua"/>
        </w:rPr>
        <w:t xml:space="preserve"> </w:t>
      </w:r>
      <w:r w:rsidR="00307B6C" w:rsidRPr="00DA1851">
        <w:rPr>
          <w:rFonts w:ascii="Book Antiqua" w:hAnsi="Book Antiqua"/>
        </w:rPr>
        <w:t>“Validity refers to the correctness of measurement. Validity of data elements refers to the correctness of the data elements as compared to an authoritative source. Validity of the measure score refers to the correctness of conclusions about quality that can be made based on the measure scores (i.e., a higher score on a quality measure reflects higher quality).”</w:t>
      </w:r>
    </w:p>
  </w:footnote>
  <w:footnote w:id="7">
    <w:p w14:paraId="12C54AFA" w14:textId="23423A9E" w:rsidR="003F205B" w:rsidRPr="004138CB" w:rsidRDefault="003F205B">
      <w:pPr>
        <w:pStyle w:val="FootnoteText"/>
        <w:rPr>
          <w:rFonts w:ascii="Book Antiqua" w:hAnsi="Book Antiqua"/>
        </w:rPr>
      </w:pPr>
      <w:r w:rsidRPr="004138CB">
        <w:rPr>
          <w:rStyle w:val="FootnoteReference"/>
          <w:rFonts w:ascii="Book Antiqua" w:hAnsi="Book Antiqua"/>
        </w:rPr>
        <w:footnoteRef/>
      </w:r>
      <w:r w:rsidRPr="004138CB">
        <w:rPr>
          <w:rFonts w:ascii="Book Antiqua" w:hAnsi="Book Antiqua"/>
        </w:rPr>
        <w:t xml:space="preserve"> The Group Insurance Commission</w:t>
      </w:r>
      <w:r w:rsidR="004138CB" w:rsidRPr="004138CB">
        <w:rPr>
          <w:rFonts w:ascii="Book Antiqua" w:hAnsi="Book Antiqua"/>
        </w:rPr>
        <w:t xml:space="preserve"> </w:t>
      </w:r>
      <w:r w:rsidR="00702C41">
        <w:rPr>
          <w:rFonts w:ascii="Book Antiqua" w:hAnsi="Book Antiqua"/>
        </w:rPr>
        <w:t>contracts are aligned with</w:t>
      </w:r>
      <w:r w:rsidR="004138CB" w:rsidRPr="004138CB">
        <w:rPr>
          <w:rFonts w:ascii="Book Antiqua" w:hAnsi="Book Antiqua"/>
        </w:rPr>
        <w:t xml:space="preserve"> the Massachusetts Aligned Measure Set.</w:t>
      </w:r>
    </w:p>
  </w:footnote>
  <w:footnote w:id="8">
    <w:p w14:paraId="42ADBE2C" w14:textId="7A9F1791" w:rsidR="00E94326" w:rsidRPr="00BB425C" w:rsidRDefault="00E94326">
      <w:pPr>
        <w:pStyle w:val="FootnoteText"/>
        <w:rPr>
          <w:rFonts w:ascii="Book Antiqua" w:hAnsi="Book Antiqua"/>
        </w:rPr>
      </w:pPr>
      <w:r w:rsidRPr="00BB425C">
        <w:rPr>
          <w:rStyle w:val="FootnoteReference"/>
          <w:rFonts w:ascii="Book Antiqua" w:hAnsi="Book Antiqua"/>
        </w:rPr>
        <w:footnoteRef/>
      </w:r>
      <w:r w:rsidRPr="00BB425C">
        <w:rPr>
          <w:rFonts w:ascii="Book Antiqua" w:hAnsi="Book Antiqua"/>
        </w:rPr>
        <w:t xml:space="preserve"> This timeframe was extended for the 2021</w:t>
      </w:r>
      <w:r w:rsidR="00261A80" w:rsidRPr="00BB425C">
        <w:rPr>
          <w:rFonts w:ascii="Book Antiqua" w:hAnsi="Book Antiqua"/>
        </w:rPr>
        <w:t xml:space="preserve"> Aligned Measure Set as the COVID-19 pandemic prevented the Taskforce from meeting to finalize its set </w:t>
      </w:r>
      <w:r w:rsidR="00065F61" w:rsidRPr="00BB425C">
        <w:rPr>
          <w:rFonts w:ascii="Book Antiqua" w:hAnsi="Book Antiqua"/>
        </w:rPr>
        <w:t>until the summer of 2020.</w:t>
      </w:r>
    </w:p>
  </w:footnote>
  <w:footnote w:id="9">
    <w:p w14:paraId="0DD70655" w14:textId="77777777" w:rsidR="00114197" w:rsidRPr="00DD7290" w:rsidRDefault="00114197" w:rsidP="00114197">
      <w:pPr>
        <w:pStyle w:val="FootnoteText"/>
        <w:rPr>
          <w:rFonts w:ascii="Book Antiqua" w:hAnsi="Book Antiqua"/>
        </w:rPr>
      </w:pPr>
      <w:r w:rsidRPr="00DD7290">
        <w:rPr>
          <w:rStyle w:val="FootnoteReference"/>
          <w:rFonts w:ascii="Book Antiqua" w:hAnsi="Book Antiqua"/>
        </w:rPr>
        <w:footnoteRef/>
      </w:r>
      <w:r w:rsidRPr="00DD7290">
        <w:rPr>
          <w:rFonts w:ascii="Book Antiqua" w:hAnsi="Book Antiqua"/>
        </w:rPr>
        <w:t xml:space="preserve"> For this purpose, the NQF definition of reliability of the measure score is used: “Reliability of the measure score refers to the proportion of variation in the performance scores due to systematic differences across the measured entities (or signal) in relation to random error (or noise).” www.qualityforum.org/WorkArea/linkit.aspx?LinkIdentifier=id&amp;ItemID=87595. Taskforce staff will update this language, as necessary, to reflect any modifications to NQF’s definition of reliability of the measure score.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B9529" w14:textId="77777777" w:rsidR="002F2A22" w:rsidRDefault="002F2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51189"/>
    <w:multiLevelType w:val="hybridMultilevel"/>
    <w:tmpl w:val="D1FEB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22E36"/>
    <w:multiLevelType w:val="hybridMultilevel"/>
    <w:tmpl w:val="1D56C42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317A0"/>
    <w:multiLevelType w:val="hybridMultilevel"/>
    <w:tmpl w:val="21ECC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C59B2"/>
    <w:multiLevelType w:val="hybridMultilevel"/>
    <w:tmpl w:val="AFB67DE4"/>
    <w:lvl w:ilvl="0" w:tplc="9C86346A">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461B8"/>
    <w:multiLevelType w:val="hybridMultilevel"/>
    <w:tmpl w:val="279624D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0D70337F"/>
    <w:multiLevelType w:val="hybridMultilevel"/>
    <w:tmpl w:val="7A466464"/>
    <w:lvl w:ilvl="0" w:tplc="CD70B966">
      <w:start w:val="1"/>
      <w:numFmt w:val="decimal"/>
      <w:lvlText w:val="%1."/>
      <w:lvlJc w:val="left"/>
      <w:pPr>
        <w:tabs>
          <w:tab w:val="num" w:pos="720"/>
        </w:tabs>
        <w:ind w:left="720" w:hanging="360"/>
      </w:pPr>
    </w:lvl>
    <w:lvl w:ilvl="1" w:tplc="2C40F97E" w:tentative="1">
      <w:start w:val="1"/>
      <w:numFmt w:val="decimal"/>
      <w:lvlText w:val="%2."/>
      <w:lvlJc w:val="left"/>
      <w:pPr>
        <w:tabs>
          <w:tab w:val="num" w:pos="1440"/>
        </w:tabs>
        <w:ind w:left="1440" w:hanging="360"/>
      </w:pPr>
    </w:lvl>
    <w:lvl w:ilvl="2" w:tplc="EF0E7DF0" w:tentative="1">
      <w:start w:val="1"/>
      <w:numFmt w:val="decimal"/>
      <w:lvlText w:val="%3."/>
      <w:lvlJc w:val="left"/>
      <w:pPr>
        <w:tabs>
          <w:tab w:val="num" w:pos="2160"/>
        </w:tabs>
        <w:ind w:left="2160" w:hanging="360"/>
      </w:pPr>
    </w:lvl>
    <w:lvl w:ilvl="3" w:tplc="06C07620" w:tentative="1">
      <w:start w:val="1"/>
      <w:numFmt w:val="decimal"/>
      <w:lvlText w:val="%4."/>
      <w:lvlJc w:val="left"/>
      <w:pPr>
        <w:tabs>
          <w:tab w:val="num" w:pos="2880"/>
        </w:tabs>
        <w:ind w:left="2880" w:hanging="360"/>
      </w:pPr>
    </w:lvl>
    <w:lvl w:ilvl="4" w:tplc="150008C0" w:tentative="1">
      <w:start w:val="1"/>
      <w:numFmt w:val="decimal"/>
      <w:lvlText w:val="%5."/>
      <w:lvlJc w:val="left"/>
      <w:pPr>
        <w:tabs>
          <w:tab w:val="num" w:pos="3600"/>
        </w:tabs>
        <w:ind w:left="3600" w:hanging="360"/>
      </w:pPr>
    </w:lvl>
    <w:lvl w:ilvl="5" w:tplc="F1F4C488" w:tentative="1">
      <w:start w:val="1"/>
      <w:numFmt w:val="decimal"/>
      <w:lvlText w:val="%6."/>
      <w:lvlJc w:val="left"/>
      <w:pPr>
        <w:tabs>
          <w:tab w:val="num" w:pos="4320"/>
        </w:tabs>
        <w:ind w:left="4320" w:hanging="360"/>
      </w:pPr>
    </w:lvl>
    <w:lvl w:ilvl="6" w:tplc="4A646FB2" w:tentative="1">
      <w:start w:val="1"/>
      <w:numFmt w:val="decimal"/>
      <w:lvlText w:val="%7."/>
      <w:lvlJc w:val="left"/>
      <w:pPr>
        <w:tabs>
          <w:tab w:val="num" w:pos="5040"/>
        </w:tabs>
        <w:ind w:left="5040" w:hanging="360"/>
      </w:pPr>
    </w:lvl>
    <w:lvl w:ilvl="7" w:tplc="8F82D58E" w:tentative="1">
      <w:start w:val="1"/>
      <w:numFmt w:val="decimal"/>
      <w:lvlText w:val="%8."/>
      <w:lvlJc w:val="left"/>
      <w:pPr>
        <w:tabs>
          <w:tab w:val="num" w:pos="5760"/>
        </w:tabs>
        <w:ind w:left="5760" w:hanging="360"/>
      </w:pPr>
    </w:lvl>
    <w:lvl w:ilvl="8" w:tplc="3E5E129C" w:tentative="1">
      <w:start w:val="1"/>
      <w:numFmt w:val="decimal"/>
      <w:lvlText w:val="%9."/>
      <w:lvlJc w:val="left"/>
      <w:pPr>
        <w:tabs>
          <w:tab w:val="num" w:pos="6480"/>
        </w:tabs>
        <w:ind w:left="6480" w:hanging="360"/>
      </w:pPr>
    </w:lvl>
  </w:abstractNum>
  <w:abstractNum w:abstractNumId="6" w15:restartNumberingAfterBreak="0">
    <w:nsid w:val="0DB75C0C"/>
    <w:multiLevelType w:val="hybridMultilevel"/>
    <w:tmpl w:val="783287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83A6C"/>
    <w:multiLevelType w:val="hybridMultilevel"/>
    <w:tmpl w:val="EDDEE678"/>
    <w:lvl w:ilvl="0" w:tplc="4D2CEA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035ED"/>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34245"/>
    <w:multiLevelType w:val="hybridMultilevel"/>
    <w:tmpl w:val="4A643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7B7251"/>
    <w:multiLevelType w:val="hybridMultilevel"/>
    <w:tmpl w:val="A61AB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32EF8"/>
    <w:multiLevelType w:val="hybridMultilevel"/>
    <w:tmpl w:val="9F16A486"/>
    <w:lvl w:ilvl="0" w:tplc="47E8FC3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D1551"/>
    <w:multiLevelType w:val="hybridMultilevel"/>
    <w:tmpl w:val="176CF4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50F7B3A"/>
    <w:multiLevelType w:val="hybridMultilevel"/>
    <w:tmpl w:val="7528DF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895F98"/>
    <w:multiLevelType w:val="hybridMultilevel"/>
    <w:tmpl w:val="96F6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F1878"/>
    <w:multiLevelType w:val="hybridMultilevel"/>
    <w:tmpl w:val="4A843512"/>
    <w:lvl w:ilvl="0" w:tplc="9C86346A">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927000"/>
    <w:multiLevelType w:val="hybridMultilevel"/>
    <w:tmpl w:val="F1EA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9D59BD"/>
    <w:multiLevelType w:val="hybridMultilevel"/>
    <w:tmpl w:val="E2380B9C"/>
    <w:lvl w:ilvl="0" w:tplc="E4C27EDE">
      <w:start w:val="1"/>
      <w:numFmt w:val="decimal"/>
      <w:lvlText w:val="%1."/>
      <w:lvlJc w:val="left"/>
      <w:pPr>
        <w:tabs>
          <w:tab w:val="num" w:pos="720"/>
        </w:tabs>
        <w:ind w:left="720" w:hanging="360"/>
      </w:pPr>
    </w:lvl>
    <w:lvl w:ilvl="1" w:tplc="944CB302">
      <w:start w:val="1"/>
      <w:numFmt w:val="decimal"/>
      <w:lvlText w:val="%2."/>
      <w:lvlJc w:val="left"/>
      <w:pPr>
        <w:tabs>
          <w:tab w:val="num" w:pos="1440"/>
        </w:tabs>
        <w:ind w:left="1440" w:hanging="360"/>
      </w:pPr>
    </w:lvl>
    <w:lvl w:ilvl="2" w:tplc="CEE0FEB8" w:tentative="1">
      <w:start w:val="1"/>
      <w:numFmt w:val="decimal"/>
      <w:lvlText w:val="%3."/>
      <w:lvlJc w:val="left"/>
      <w:pPr>
        <w:tabs>
          <w:tab w:val="num" w:pos="2160"/>
        </w:tabs>
        <w:ind w:left="2160" w:hanging="360"/>
      </w:pPr>
    </w:lvl>
    <w:lvl w:ilvl="3" w:tplc="9B3A9F26" w:tentative="1">
      <w:start w:val="1"/>
      <w:numFmt w:val="decimal"/>
      <w:lvlText w:val="%4."/>
      <w:lvlJc w:val="left"/>
      <w:pPr>
        <w:tabs>
          <w:tab w:val="num" w:pos="2880"/>
        </w:tabs>
        <w:ind w:left="2880" w:hanging="360"/>
      </w:pPr>
    </w:lvl>
    <w:lvl w:ilvl="4" w:tplc="E6B8A8E4" w:tentative="1">
      <w:start w:val="1"/>
      <w:numFmt w:val="decimal"/>
      <w:lvlText w:val="%5."/>
      <w:lvlJc w:val="left"/>
      <w:pPr>
        <w:tabs>
          <w:tab w:val="num" w:pos="3600"/>
        </w:tabs>
        <w:ind w:left="3600" w:hanging="360"/>
      </w:pPr>
    </w:lvl>
    <w:lvl w:ilvl="5" w:tplc="C302C312" w:tentative="1">
      <w:start w:val="1"/>
      <w:numFmt w:val="decimal"/>
      <w:lvlText w:val="%6."/>
      <w:lvlJc w:val="left"/>
      <w:pPr>
        <w:tabs>
          <w:tab w:val="num" w:pos="4320"/>
        </w:tabs>
        <w:ind w:left="4320" w:hanging="360"/>
      </w:pPr>
    </w:lvl>
    <w:lvl w:ilvl="6" w:tplc="FAA8971E" w:tentative="1">
      <w:start w:val="1"/>
      <w:numFmt w:val="decimal"/>
      <w:lvlText w:val="%7."/>
      <w:lvlJc w:val="left"/>
      <w:pPr>
        <w:tabs>
          <w:tab w:val="num" w:pos="5040"/>
        </w:tabs>
        <w:ind w:left="5040" w:hanging="360"/>
      </w:pPr>
    </w:lvl>
    <w:lvl w:ilvl="7" w:tplc="EF1E07C4" w:tentative="1">
      <w:start w:val="1"/>
      <w:numFmt w:val="decimal"/>
      <w:lvlText w:val="%8."/>
      <w:lvlJc w:val="left"/>
      <w:pPr>
        <w:tabs>
          <w:tab w:val="num" w:pos="5760"/>
        </w:tabs>
        <w:ind w:left="5760" w:hanging="360"/>
      </w:pPr>
    </w:lvl>
    <w:lvl w:ilvl="8" w:tplc="3328D950" w:tentative="1">
      <w:start w:val="1"/>
      <w:numFmt w:val="decimal"/>
      <w:lvlText w:val="%9."/>
      <w:lvlJc w:val="left"/>
      <w:pPr>
        <w:tabs>
          <w:tab w:val="num" w:pos="6480"/>
        </w:tabs>
        <w:ind w:left="6480" w:hanging="360"/>
      </w:pPr>
    </w:lvl>
  </w:abstractNum>
  <w:abstractNum w:abstractNumId="18" w15:restartNumberingAfterBreak="0">
    <w:nsid w:val="302D5FBF"/>
    <w:multiLevelType w:val="hybridMultilevel"/>
    <w:tmpl w:val="9C58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FE3E9C"/>
    <w:multiLevelType w:val="hybridMultilevel"/>
    <w:tmpl w:val="5FFA7B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3EE6101"/>
    <w:multiLevelType w:val="hybridMultilevel"/>
    <w:tmpl w:val="412A6F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F42973"/>
    <w:multiLevelType w:val="hybridMultilevel"/>
    <w:tmpl w:val="C0B8FC7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3500798F"/>
    <w:multiLevelType w:val="hybridMultilevel"/>
    <w:tmpl w:val="0ABABB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A61783"/>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C95FDB"/>
    <w:multiLevelType w:val="hybridMultilevel"/>
    <w:tmpl w:val="9C5CE7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D862F8"/>
    <w:multiLevelType w:val="hybridMultilevel"/>
    <w:tmpl w:val="17EC37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5B14B85"/>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12727B"/>
    <w:multiLevelType w:val="hybridMultilevel"/>
    <w:tmpl w:val="B076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274422"/>
    <w:multiLevelType w:val="hybridMultilevel"/>
    <w:tmpl w:val="0FE63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3D7F0A"/>
    <w:multiLevelType w:val="hybridMultilevel"/>
    <w:tmpl w:val="E2321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771CCE"/>
    <w:multiLevelType w:val="hybridMultilevel"/>
    <w:tmpl w:val="9A82D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934454"/>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0416B6"/>
    <w:multiLevelType w:val="hybridMultilevel"/>
    <w:tmpl w:val="E1260D42"/>
    <w:lvl w:ilvl="0" w:tplc="F4E20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BF30CE"/>
    <w:multiLevelType w:val="hybridMultilevel"/>
    <w:tmpl w:val="19C6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3F4730"/>
    <w:multiLevelType w:val="hybridMultilevel"/>
    <w:tmpl w:val="8D30F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F9315A"/>
    <w:multiLevelType w:val="hybridMultilevel"/>
    <w:tmpl w:val="2C10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167B0"/>
    <w:multiLevelType w:val="hybridMultilevel"/>
    <w:tmpl w:val="530E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AC05C7"/>
    <w:multiLevelType w:val="hybridMultilevel"/>
    <w:tmpl w:val="AA0E5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05408B"/>
    <w:multiLevelType w:val="hybridMultilevel"/>
    <w:tmpl w:val="E2321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1A5711"/>
    <w:multiLevelType w:val="hybridMultilevel"/>
    <w:tmpl w:val="5AE21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D64833"/>
    <w:multiLevelType w:val="hybridMultilevel"/>
    <w:tmpl w:val="9C12F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72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59C0A5AA">
      <w:start w:val="2"/>
      <w:numFmt w:val="bullet"/>
      <w:lvlText w:val="•"/>
      <w:lvlJc w:val="left"/>
      <w:pPr>
        <w:ind w:left="5400" w:hanging="720"/>
      </w:pPr>
      <w:rPr>
        <w:rFonts w:ascii="Book Antiqua" w:eastAsiaTheme="minorHAnsi" w:hAnsi="Book Antiqua" w:cstheme="minorBidi"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344765"/>
    <w:multiLevelType w:val="hybridMultilevel"/>
    <w:tmpl w:val="69CC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26"/>
  </w:num>
  <w:num w:numId="4">
    <w:abstractNumId w:val="35"/>
  </w:num>
  <w:num w:numId="5">
    <w:abstractNumId w:val="8"/>
  </w:num>
  <w:num w:numId="6">
    <w:abstractNumId w:val="23"/>
  </w:num>
  <w:num w:numId="7">
    <w:abstractNumId w:val="27"/>
  </w:num>
  <w:num w:numId="8">
    <w:abstractNumId w:val="24"/>
  </w:num>
  <w:num w:numId="9">
    <w:abstractNumId w:val="1"/>
  </w:num>
  <w:num w:numId="10">
    <w:abstractNumId w:val="31"/>
  </w:num>
  <w:num w:numId="11">
    <w:abstractNumId w:val="20"/>
  </w:num>
  <w:num w:numId="12">
    <w:abstractNumId w:val="39"/>
  </w:num>
  <w:num w:numId="13">
    <w:abstractNumId w:val="32"/>
  </w:num>
  <w:num w:numId="14">
    <w:abstractNumId w:val="28"/>
  </w:num>
  <w:num w:numId="15">
    <w:abstractNumId w:val="13"/>
  </w:num>
  <w:num w:numId="16">
    <w:abstractNumId w:val="12"/>
  </w:num>
  <w:num w:numId="17">
    <w:abstractNumId w:val="21"/>
  </w:num>
  <w:num w:numId="18">
    <w:abstractNumId w:val="4"/>
  </w:num>
  <w:num w:numId="19">
    <w:abstractNumId w:val="18"/>
  </w:num>
  <w:num w:numId="20">
    <w:abstractNumId w:val="6"/>
  </w:num>
  <w:num w:numId="21">
    <w:abstractNumId w:val="22"/>
  </w:num>
  <w:num w:numId="22">
    <w:abstractNumId w:val="40"/>
  </w:num>
  <w:num w:numId="23">
    <w:abstractNumId w:val="37"/>
  </w:num>
  <w:num w:numId="24">
    <w:abstractNumId w:val="30"/>
  </w:num>
  <w:num w:numId="25">
    <w:abstractNumId w:val="9"/>
  </w:num>
  <w:num w:numId="26">
    <w:abstractNumId w:val="10"/>
  </w:num>
  <w:num w:numId="27">
    <w:abstractNumId w:val="0"/>
  </w:num>
  <w:num w:numId="28">
    <w:abstractNumId w:val="34"/>
  </w:num>
  <w:num w:numId="29">
    <w:abstractNumId w:val="7"/>
  </w:num>
  <w:num w:numId="30">
    <w:abstractNumId w:val="14"/>
  </w:num>
  <w:num w:numId="31">
    <w:abstractNumId w:val="19"/>
  </w:num>
  <w:num w:numId="32">
    <w:abstractNumId w:val="5"/>
  </w:num>
  <w:num w:numId="33">
    <w:abstractNumId w:val="17"/>
  </w:num>
  <w:num w:numId="34">
    <w:abstractNumId w:val="38"/>
  </w:num>
  <w:num w:numId="35">
    <w:abstractNumId w:val="29"/>
  </w:num>
  <w:num w:numId="36">
    <w:abstractNumId w:val="41"/>
  </w:num>
  <w:num w:numId="37">
    <w:abstractNumId w:val="25"/>
  </w:num>
  <w:num w:numId="38">
    <w:abstractNumId w:val="36"/>
  </w:num>
  <w:num w:numId="39">
    <w:abstractNumId w:val="11"/>
  </w:num>
  <w:num w:numId="40">
    <w:abstractNumId w:val="33"/>
  </w:num>
  <w:num w:numId="41">
    <w:abstractNumId w:val="2"/>
  </w:num>
  <w:num w:numId="4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o:colormru v:ext="edit" colors="#25416b,#609ed1,#e0dad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9F5"/>
    <w:rsid w:val="00000459"/>
    <w:rsid w:val="00002134"/>
    <w:rsid w:val="00002B88"/>
    <w:rsid w:val="00005671"/>
    <w:rsid w:val="00011698"/>
    <w:rsid w:val="00012C8F"/>
    <w:rsid w:val="000169AC"/>
    <w:rsid w:val="00021902"/>
    <w:rsid w:val="00023222"/>
    <w:rsid w:val="0002525A"/>
    <w:rsid w:val="00027815"/>
    <w:rsid w:val="000310E2"/>
    <w:rsid w:val="00031B1E"/>
    <w:rsid w:val="00032BCF"/>
    <w:rsid w:val="00032E67"/>
    <w:rsid w:val="00035EBC"/>
    <w:rsid w:val="00040B47"/>
    <w:rsid w:val="0004134F"/>
    <w:rsid w:val="00041A51"/>
    <w:rsid w:val="00045188"/>
    <w:rsid w:val="0004556B"/>
    <w:rsid w:val="0006091E"/>
    <w:rsid w:val="00061744"/>
    <w:rsid w:val="00061AD1"/>
    <w:rsid w:val="00061F2B"/>
    <w:rsid w:val="000637BC"/>
    <w:rsid w:val="00063AAF"/>
    <w:rsid w:val="0006513B"/>
    <w:rsid w:val="00065F61"/>
    <w:rsid w:val="0006624A"/>
    <w:rsid w:val="0007057C"/>
    <w:rsid w:val="00071246"/>
    <w:rsid w:val="0007221D"/>
    <w:rsid w:val="000767A3"/>
    <w:rsid w:val="00077BFD"/>
    <w:rsid w:val="00081EF6"/>
    <w:rsid w:val="00082895"/>
    <w:rsid w:val="00082DA4"/>
    <w:rsid w:val="00090B1D"/>
    <w:rsid w:val="00094D98"/>
    <w:rsid w:val="00094DF5"/>
    <w:rsid w:val="00095052"/>
    <w:rsid w:val="0009689B"/>
    <w:rsid w:val="0009796E"/>
    <w:rsid w:val="000A01E9"/>
    <w:rsid w:val="000A0BAA"/>
    <w:rsid w:val="000A79C9"/>
    <w:rsid w:val="000A79FE"/>
    <w:rsid w:val="000B4364"/>
    <w:rsid w:val="000B439A"/>
    <w:rsid w:val="000B62F6"/>
    <w:rsid w:val="000B6623"/>
    <w:rsid w:val="000B6A9E"/>
    <w:rsid w:val="000B6D14"/>
    <w:rsid w:val="000B7229"/>
    <w:rsid w:val="000C1C95"/>
    <w:rsid w:val="000C3C13"/>
    <w:rsid w:val="000C7AD5"/>
    <w:rsid w:val="000C7BB7"/>
    <w:rsid w:val="000D0EF9"/>
    <w:rsid w:val="000D2494"/>
    <w:rsid w:val="000E2879"/>
    <w:rsid w:val="000E3127"/>
    <w:rsid w:val="000E6F1B"/>
    <w:rsid w:val="000F0232"/>
    <w:rsid w:val="000F19FF"/>
    <w:rsid w:val="000F2D38"/>
    <w:rsid w:val="000F36A7"/>
    <w:rsid w:val="000F52C3"/>
    <w:rsid w:val="000F53AD"/>
    <w:rsid w:val="000F57B9"/>
    <w:rsid w:val="000F5F47"/>
    <w:rsid w:val="000F7FDA"/>
    <w:rsid w:val="00100D39"/>
    <w:rsid w:val="00103C97"/>
    <w:rsid w:val="00103DF6"/>
    <w:rsid w:val="00105164"/>
    <w:rsid w:val="00110D09"/>
    <w:rsid w:val="00110D48"/>
    <w:rsid w:val="00111121"/>
    <w:rsid w:val="001119CF"/>
    <w:rsid w:val="001136D2"/>
    <w:rsid w:val="00113D66"/>
    <w:rsid w:val="00114197"/>
    <w:rsid w:val="00114CB6"/>
    <w:rsid w:val="00122E46"/>
    <w:rsid w:val="001248FA"/>
    <w:rsid w:val="00125471"/>
    <w:rsid w:val="00127506"/>
    <w:rsid w:val="0013137F"/>
    <w:rsid w:val="0013220C"/>
    <w:rsid w:val="001322E9"/>
    <w:rsid w:val="0013524A"/>
    <w:rsid w:val="001369FF"/>
    <w:rsid w:val="00136CF5"/>
    <w:rsid w:val="00141738"/>
    <w:rsid w:val="0014341B"/>
    <w:rsid w:val="00143643"/>
    <w:rsid w:val="00143824"/>
    <w:rsid w:val="00144151"/>
    <w:rsid w:val="00145677"/>
    <w:rsid w:val="00145B03"/>
    <w:rsid w:val="001465C6"/>
    <w:rsid w:val="001509F1"/>
    <w:rsid w:val="00155E4B"/>
    <w:rsid w:val="00160970"/>
    <w:rsid w:val="001612BA"/>
    <w:rsid w:val="00171774"/>
    <w:rsid w:val="00172C73"/>
    <w:rsid w:val="0017338D"/>
    <w:rsid w:val="00173A02"/>
    <w:rsid w:val="001763D6"/>
    <w:rsid w:val="00176927"/>
    <w:rsid w:val="00177773"/>
    <w:rsid w:val="0018163A"/>
    <w:rsid w:val="00182108"/>
    <w:rsid w:val="00185BFA"/>
    <w:rsid w:val="001860D4"/>
    <w:rsid w:val="001863A2"/>
    <w:rsid w:val="001947BE"/>
    <w:rsid w:val="00195081"/>
    <w:rsid w:val="00195486"/>
    <w:rsid w:val="001964E5"/>
    <w:rsid w:val="001A1B86"/>
    <w:rsid w:val="001A7762"/>
    <w:rsid w:val="001B0085"/>
    <w:rsid w:val="001B0E30"/>
    <w:rsid w:val="001B2956"/>
    <w:rsid w:val="001B30D1"/>
    <w:rsid w:val="001B3CDA"/>
    <w:rsid w:val="001C1492"/>
    <w:rsid w:val="001C17A0"/>
    <w:rsid w:val="001C18FB"/>
    <w:rsid w:val="001C3941"/>
    <w:rsid w:val="001C5503"/>
    <w:rsid w:val="001C5FE2"/>
    <w:rsid w:val="001D012E"/>
    <w:rsid w:val="001D4355"/>
    <w:rsid w:val="001D4F2C"/>
    <w:rsid w:val="001E0190"/>
    <w:rsid w:val="001E2DE2"/>
    <w:rsid w:val="001E700F"/>
    <w:rsid w:val="001E71BA"/>
    <w:rsid w:val="001E76D2"/>
    <w:rsid w:val="001F05E2"/>
    <w:rsid w:val="001F10BB"/>
    <w:rsid w:val="001F15BA"/>
    <w:rsid w:val="001F1F48"/>
    <w:rsid w:val="001F228E"/>
    <w:rsid w:val="001F3DB8"/>
    <w:rsid w:val="001F562A"/>
    <w:rsid w:val="001F58DA"/>
    <w:rsid w:val="001F6FE3"/>
    <w:rsid w:val="002025B0"/>
    <w:rsid w:val="00206047"/>
    <w:rsid w:val="00206EA7"/>
    <w:rsid w:val="00213F1A"/>
    <w:rsid w:val="002164BA"/>
    <w:rsid w:val="00217F8B"/>
    <w:rsid w:val="0022348F"/>
    <w:rsid w:val="00224BF6"/>
    <w:rsid w:val="00230647"/>
    <w:rsid w:val="002311C5"/>
    <w:rsid w:val="00231E0E"/>
    <w:rsid w:val="00232566"/>
    <w:rsid w:val="002340D8"/>
    <w:rsid w:val="00240873"/>
    <w:rsid w:val="0024269B"/>
    <w:rsid w:val="00243202"/>
    <w:rsid w:val="00246B15"/>
    <w:rsid w:val="0024799F"/>
    <w:rsid w:val="002504BD"/>
    <w:rsid w:val="00250676"/>
    <w:rsid w:val="002530AD"/>
    <w:rsid w:val="00256EC7"/>
    <w:rsid w:val="00260D35"/>
    <w:rsid w:val="00261A80"/>
    <w:rsid w:val="00262E1D"/>
    <w:rsid w:val="002717E1"/>
    <w:rsid w:val="002735DE"/>
    <w:rsid w:val="002743C6"/>
    <w:rsid w:val="002774D1"/>
    <w:rsid w:val="0028259B"/>
    <w:rsid w:val="00282A65"/>
    <w:rsid w:val="0029099B"/>
    <w:rsid w:val="0029171E"/>
    <w:rsid w:val="0029202F"/>
    <w:rsid w:val="002942BD"/>
    <w:rsid w:val="00294AC8"/>
    <w:rsid w:val="00294AEE"/>
    <w:rsid w:val="00294B17"/>
    <w:rsid w:val="00294EA1"/>
    <w:rsid w:val="00295607"/>
    <w:rsid w:val="00297370"/>
    <w:rsid w:val="002A3011"/>
    <w:rsid w:val="002A4348"/>
    <w:rsid w:val="002A5FF3"/>
    <w:rsid w:val="002B095F"/>
    <w:rsid w:val="002B1772"/>
    <w:rsid w:val="002C29EC"/>
    <w:rsid w:val="002C2F70"/>
    <w:rsid w:val="002C43EC"/>
    <w:rsid w:val="002D12F1"/>
    <w:rsid w:val="002D1DEC"/>
    <w:rsid w:val="002D28C0"/>
    <w:rsid w:val="002D3133"/>
    <w:rsid w:val="002D4582"/>
    <w:rsid w:val="002D6570"/>
    <w:rsid w:val="002D710C"/>
    <w:rsid w:val="002E03F0"/>
    <w:rsid w:val="002E520D"/>
    <w:rsid w:val="002E6AC9"/>
    <w:rsid w:val="002F1D97"/>
    <w:rsid w:val="002F2A22"/>
    <w:rsid w:val="002F383D"/>
    <w:rsid w:val="00301DCE"/>
    <w:rsid w:val="00301FE4"/>
    <w:rsid w:val="00302A04"/>
    <w:rsid w:val="0030550A"/>
    <w:rsid w:val="00306629"/>
    <w:rsid w:val="00307B6C"/>
    <w:rsid w:val="00310838"/>
    <w:rsid w:val="003110EA"/>
    <w:rsid w:val="003129B5"/>
    <w:rsid w:val="00312E53"/>
    <w:rsid w:val="00312E99"/>
    <w:rsid w:val="00321145"/>
    <w:rsid w:val="00323A6F"/>
    <w:rsid w:val="00323E4D"/>
    <w:rsid w:val="00326179"/>
    <w:rsid w:val="00327544"/>
    <w:rsid w:val="00327E26"/>
    <w:rsid w:val="00330DFC"/>
    <w:rsid w:val="00332195"/>
    <w:rsid w:val="00333453"/>
    <w:rsid w:val="003361F9"/>
    <w:rsid w:val="003364E0"/>
    <w:rsid w:val="003410E3"/>
    <w:rsid w:val="00341AB1"/>
    <w:rsid w:val="003446C2"/>
    <w:rsid w:val="00345597"/>
    <w:rsid w:val="00345BBA"/>
    <w:rsid w:val="003465A1"/>
    <w:rsid w:val="00351F44"/>
    <w:rsid w:val="0035288D"/>
    <w:rsid w:val="003531FB"/>
    <w:rsid w:val="00356A49"/>
    <w:rsid w:val="00357FC7"/>
    <w:rsid w:val="00362073"/>
    <w:rsid w:val="00365997"/>
    <w:rsid w:val="00365D38"/>
    <w:rsid w:val="003660C0"/>
    <w:rsid w:val="00367BF9"/>
    <w:rsid w:val="0037364B"/>
    <w:rsid w:val="00373CDC"/>
    <w:rsid w:val="00374C2C"/>
    <w:rsid w:val="00375A89"/>
    <w:rsid w:val="00376A53"/>
    <w:rsid w:val="00380070"/>
    <w:rsid w:val="003819BD"/>
    <w:rsid w:val="00385256"/>
    <w:rsid w:val="0038580B"/>
    <w:rsid w:val="00385D46"/>
    <w:rsid w:val="00386126"/>
    <w:rsid w:val="003870AD"/>
    <w:rsid w:val="00390753"/>
    <w:rsid w:val="00391F9E"/>
    <w:rsid w:val="00392D8D"/>
    <w:rsid w:val="00392F54"/>
    <w:rsid w:val="003964FB"/>
    <w:rsid w:val="00396C29"/>
    <w:rsid w:val="003A4027"/>
    <w:rsid w:val="003A4EFD"/>
    <w:rsid w:val="003A58F9"/>
    <w:rsid w:val="003A6BE4"/>
    <w:rsid w:val="003B2F95"/>
    <w:rsid w:val="003B7574"/>
    <w:rsid w:val="003B7E08"/>
    <w:rsid w:val="003C1F42"/>
    <w:rsid w:val="003C2915"/>
    <w:rsid w:val="003D06B6"/>
    <w:rsid w:val="003D1EDF"/>
    <w:rsid w:val="003D3CAA"/>
    <w:rsid w:val="003D4969"/>
    <w:rsid w:val="003D5FA8"/>
    <w:rsid w:val="003D6740"/>
    <w:rsid w:val="003E171D"/>
    <w:rsid w:val="003E18A8"/>
    <w:rsid w:val="003E1AE3"/>
    <w:rsid w:val="003E338D"/>
    <w:rsid w:val="003E38BC"/>
    <w:rsid w:val="003E3AB7"/>
    <w:rsid w:val="003E7D78"/>
    <w:rsid w:val="003F14E0"/>
    <w:rsid w:val="003F205B"/>
    <w:rsid w:val="003F3797"/>
    <w:rsid w:val="003F3CFE"/>
    <w:rsid w:val="003F4BAB"/>
    <w:rsid w:val="003F7BF4"/>
    <w:rsid w:val="003F7FD3"/>
    <w:rsid w:val="0040033A"/>
    <w:rsid w:val="00401FEC"/>
    <w:rsid w:val="00402655"/>
    <w:rsid w:val="004044CC"/>
    <w:rsid w:val="004051D4"/>
    <w:rsid w:val="004067DE"/>
    <w:rsid w:val="00407737"/>
    <w:rsid w:val="0040783A"/>
    <w:rsid w:val="00412492"/>
    <w:rsid w:val="00412903"/>
    <w:rsid w:val="004138CB"/>
    <w:rsid w:val="00413CF4"/>
    <w:rsid w:val="00415410"/>
    <w:rsid w:val="00416DA6"/>
    <w:rsid w:val="00416F2F"/>
    <w:rsid w:val="0041765E"/>
    <w:rsid w:val="00421A27"/>
    <w:rsid w:val="00424AB7"/>
    <w:rsid w:val="00427EE2"/>
    <w:rsid w:val="00431613"/>
    <w:rsid w:val="00434F8F"/>
    <w:rsid w:val="00435B0D"/>
    <w:rsid w:val="00437235"/>
    <w:rsid w:val="00437835"/>
    <w:rsid w:val="00437B93"/>
    <w:rsid w:val="00440736"/>
    <w:rsid w:val="00440EE6"/>
    <w:rsid w:val="004430F6"/>
    <w:rsid w:val="00451827"/>
    <w:rsid w:val="00451992"/>
    <w:rsid w:val="00454FC8"/>
    <w:rsid w:val="00455733"/>
    <w:rsid w:val="004569B1"/>
    <w:rsid w:val="00460596"/>
    <w:rsid w:val="0046154E"/>
    <w:rsid w:val="00462796"/>
    <w:rsid w:val="00463C84"/>
    <w:rsid w:val="00471786"/>
    <w:rsid w:val="0047379A"/>
    <w:rsid w:val="00473844"/>
    <w:rsid w:val="00475EDF"/>
    <w:rsid w:val="00477A8F"/>
    <w:rsid w:val="0048101B"/>
    <w:rsid w:val="00483C85"/>
    <w:rsid w:val="004857E8"/>
    <w:rsid w:val="00485CA4"/>
    <w:rsid w:val="00492478"/>
    <w:rsid w:val="00494773"/>
    <w:rsid w:val="00497D3B"/>
    <w:rsid w:val="004A5472"/>
    <w:rsid w:val="004A5EA4"/>
    <w:rsid w:val="004B30F1"/>
    <w:rsid w:val="004B4C9F"/>
    <w:rsid w:val="004B5FEC"/>
    <w:rsid w:val="004C4E16"/>
    <w:rsid w:val="004C727A"/>
    <w:rsid w:val="004C745E"/>
    <w:rsid w:val="004C7AC9"/>
    <w:rsid w:val="004D503C"/>
    <w:rsid w:val="004D5FB2"/>
    <w:rsid w:val="004D695F"/>
    <w:rsid w:val="004E1152"/>
    <w:rsid w:val="004E1783"/>
    <w:rsid w:val="004E1C72"/>
    <w:rsid w:val="004E31E4"/>
    <w:rsid w:val="004E650B"/>
    <w:rsid w:val="004E7B7F"/>
    <w:rsid w:val="004F2E62"/>
    <w:rsid w:val="004F4311"/>
    <w:rsid w:val="004F52E9"/>
    <w:rsid w:val="004F55D5"/>
    <w:rsid w:val="0050006F"/>
    <w:rsid w:val="005022FE"/>
    <w:rsid w:val="00507C2B"/>
    <w:rsid w:val="00510E3C"/>
    <w:rsid w:val="00511569"/>
    <w:rsid w:val="00512AB0"/>
    <w:rsid w:val="0051307D"/>
    <w:rsid w:val="00513E48"/>
    <w:rsid w:val="00514D63"/>
    <w:rsid w:val="00520725"/>
    <w:rsid w:val="00527541"/>
    <w:rsid w:val="00534F91"/>
    <w:rsid w:val="0054317C"/>
    <w:rsid w:val="0054330A"/>
    <w:rsid w:val="0054406A"/>
    <w:rsid w:val="00545449"/>
    <w:rsid w:val="00545960"/>
    <w:rsid w:val="00545E64"/>
    <w:rsid w:val="00547206"/>
    <w:rsid w:val="00553ED4"/>
    <w:rsid w:val="00553FCA"/>
    <w:rsid w:val="005573BA"/>
    <w:rsid w:val="00560B63"/>
    <w:rsid w:val="00564692"/>
    <w:rsid w:val="00565269"/>
    <w:rsid w:val="00565E8A"/>
    <w:rsid w:val="00567041"/>
    <w:rsid w:val="00570B4A"/>
    <w:rsid w:val="005751F4"/>
    <w:rsid w:val="005827E6"/>
    <w:rsid w:val="005906DC"/>
    <w:rsid w:val="005923EE"/>
    <w:rsid w:val="0059495B"/>
    <w:rsid w:val="00594A9D"/>
    <w:rsid w:val="00594F55"/>
    <w:rsid w:val="00595AE0"/>
    <w:rsid w:val="00595B44"/>
    <w:rsid w:val="005960E8"/>
    <w:rsid w:val="005A0671"/>
    <w:rsid w:val="005A328C"/>
    <w:rsid w:val="005A5E59"/>
    <w:rsid w:val="005B048C"/>
    <w:rsid w:val="005B122D"/>
    <w:rsid w:val="005B1EDB"/>
    <w:rsid w:val="005C00CD"/>
    <w:rsid w:val="005C01BB"/>
    <w:rsid w:val="005C2A4A"/>
    <w:rsid w:val="005C6601"/>
    <w:rsid w:val="005C7414"/>
    <w:rsid w:val="005D4BAF"/>
    <w:rsid w:val="005D70A1"/>
    <w:rsid w:val="005E1B0D"/>
    <w:rsid w:val="005E4EE3"/>
    <w:rsid w:val="005E7DDE"/>
    <w:rsid w:val="005F30F7"/>
    <w:rsid w:val="005F7227"/>
    <w:rsid w:val="005F7C87"/>
    <w:rsid w:val="0060103E"/>
    <w:rsid w:val="00602748"/>
    <w:rsid w:val="0061233E"/>
    <w:rsid w:val="0061489E"/>
    <w:rsid w:val="00615209"/>
    <w:rsid w:val="00615ADF"/>
    <w:rsid w:val="00617246"/>
    <w:rsid w:val="00617334"/>
    <w:rsid w:val="00621232"/>
    <w:rsid w:val="00624AF6"/>
    <w:rsid w:val="006252E7"/>
    <w:rsid w:val="006271BF"/>
    <w:rsid w:val="00632529"/>
    <w:rsid w:val="00632E27"/>
    <w:rsid w:val="00636845"/>
    <w:rsid w:val="00637114"/>
    <w:rsid w:val="0063711A"/>
    <w:rsid w:val="0063762E"/>
    <w:rsid w:val="00637C19"/>
    <w:rsid w:val="006465B8"/>
    <w:rsid w:val="00647E10"/>
    <w:rsid w:val="00650BA5"/>
    <w:rsid w:val="006536D2"/>
    <w:rsid w:val="00653B4B"/>
    <w:rsid w:val="00657BAA"/>
    <w:rsid w:val="00660087"/>
    <w:rsid w:val="00662B8E"/>
    <w:rsid w:val="00662F60"/>
    <w:rsid w:val="006644BA"/>
    <w:rsid w:val="006667A9"/>
    <w:rsid w:val="006669C0"/>
    <w:rsid w:val="0067151C"/>
    <w:rsid w:val="00672FE4"/>
    <w:rsid w:val="00673FCD"/>
    <w:rsid w:val="006740D1"/>
    <w:rsid w:val="0067549D"/>
    <w:rsid w:val="006775C8"/>
    <w:rsid w:val="006779EB"/>
    <w:rsid w:val="00685A1C"/>
    <w:rsid w:val="00690051"/>
    <w:rsid w:val="0069234D"/>
    <w:rsid w:val="00696FD6"/>
    <w:rsid w:val="00697329"/>
    <w:rsid w:val="00697CF6"/>
    <w:rsid w:val="006A0C0A"/>
    <w:rsid w:val="006A1995"/>
    <w:rsid w:val="006A26EF"/>
    <w:rsid w:val="006A2BAF"/>
    <w:rsid w:val="006A3C8C"/>
    <w:rsid w:val="006A4FCA"/>
    <w:rsid w:val="006A7394"/>
    <w:rsid w:val="006B10E8"/>
    <w:rsid w:val="006B2927"/>
    <w:rsid w:val="006B39C0"/>
    <w:rsid w:val="006B3B08"/>
    <w:rsid w:val="006B67F6"/>
    <w:rsid w:val="006B6902"/>
    <w:rsid w:val="006B6B2F"/>
    <w:rsid w:val="006B7CE2"/>
    <w:rsid w:val="006C0DF7"/>
    <w:rsid w:val="006C3645"/>
    <w:rsid w:val="006C5AA3"/>
    <w:rsid w:val="006C6C70"/>
    <w:rsid w:val="006C7710"/>
    <w:rsid w:val="006D7170"/>
    <w:rsid w:val="006E25DA"/>
    <w:rsid w:val="006E39F5"/>
    <w:rsid w:val="006E45A4"/>
    <w:rsid w:val="006F2767"/>
    <w:rsid w:val="006F4157"/>
    <w:rsid w:val="006F5771"/>
    <w:rsid w:val="006F6E99"/>
    <w:rsid w:val="006F742C"/>
    <w:rsid w:val="00701398"/>
    <w:rsid w:val="00702C41"/>
    <w:rsid w:val="00704EFB"/>
    <w:rsid w:val="00705A33"/>
    <w:rsid w:val="00705FAD"/>
    <w:rsid w:val="007077EA"/>
    <w:rsid w:val="00711ABB"/>
    <w:rsid w:val="00720BB0"/>
    <w:rsid w:val="00722F72"/>
    <w:rsid w:val="0072436A"/>
    <w:rsid w:val="00725927"/>
    <w:rsid w:val="00725A91"/>
    <w:rsid w:val="007278EE"/>
    <w:rsid w:val="007330F4"/>
    <w:rsid w:val="00734771"/>
    <w:rsid w:val="00736024"/>
    <w:rsid w:val="007467EB"/>
    <w:rsid w:val="00751015"/>
    <w:rsid w:val="00752464"/>
    <w:rsid w:val="007525F4"/>
    <w:rsid w:val="0075532F"/>
    <w:rsid w:val="00755B1A"/>
    <w:rsid w:val="00756173"/>
    <w:rsid w:val="007605D6"/>
    <w:rsid w:val="00761143"/>
    <w:rsid w:val="00761B76"/>
    <w:rsid w:val="00764415"/>
    <w:rsid w:val="00764B41"/>
    <w:rsid w:val="007666BB"/>
    <w:rsid w:val="00767949"/>
    <w:rsid w:val="00770013"/>
    <w:rsid w:val="00773803"/>
    <w:rsid w:val="00773938"/>
    <w:rsid w:val="00773C96"/>
    <w:rsid w:val="00773FBA"/>
    <w:rsid w:val="00775AA4"/>
    <w:rsid w:val="007760CA"/>
    <w:rsid w:val="00777AC9"/>
    <w:rsid w:val="00781F67"/>
    <w:rsid w:val="007825C5"/>
    <w:rsid w:val="00784F81"/>
    <w:rsid w:val="007860C6"/>
    <w:rsid w:val="0079246F"/>
    <w:rsid w:val="00793313"/>
    <w:rsid w:val="00793882"/>
    <w:rsid w:val="007939AE"/>
    <w:rsid w:val="00793E18"/>
    <w:rsid w:val="00795CF6"/>
    <w:rsid w:val="007978FA"/>
    <w:rsid w:val="007A0EAC"/>
    <w:rsid w:val="007B0CCB"/>
    <w:rsid w:val="007B11D0"/>
    <w:rsid w:val="007B47B1"/>
    <w:rsid w:val="007B51E2"/>
    <w:rsid w:val="007C53A1"/>
    <w:rsid w:val="007C5B21"/>
    <w:rsid w:val="007C5CEB"/>
    <w:rsid w:val="007C783F"/>
    <w:rsid w:val="007D1A0D"/>
    <w:rsid w:val="007D2694"/>
    <w:rsid w:val="007D39D8"/>
    <w:rsid w:val="007D7D27"/>
    <w:rsid w:val="007E0FF2"/>
    <w:rsid w:val="007E4C1C"/>
    <w:rsid w:val="007E5B39"/>
    <w:rsid w:val="007E5B63"/>
    <w:rsid w:val="007E7DFE"/>
    <w:rsid w:val="007F0B21"/>
    <w:rsid w:val="007F0FA4"/>
    <w:rsid w:val="007F2B8E"/>
    <w:rsid w:val="007F4C85"/>
    <w:rsid w:val="007F6223"/>
    <w:rsid w:val="007F76BB"/>
    <w:rsid w:val="007F79C4"/>
    <w:rsid w:val="008022AB"/>
    <w:rsid w:val="00803E71"/>
    <w:rsid w:val="0080462E"/>
    <w:rsid w:val="008075A7"/>
    <w:rsid w:val="00811C26"/>
    <w:rsid w:val="00812478"/>
    <w:rsid w:val="00812C04"/>
    <w:rsid w:val="00815171"/>
    <w:rsid w:val="008158F2"/>
    <w:rsid w:val="008171E4"/>
    <w:rsid w:val="0082056C"/>
    <w:rsid w:val="00821321"/>
    <w:rsid w:val="008232DD"/>
    <w:rsid w:val="00823B9F"/>
    <w:rsid w:val="00834A74"/>
    <w:rsid w:val="00836723"/>
    <w:rsid w:val="0084053C"/>
    <w:rsid w:val="00843BF2"/>
    <w:rsid w:val="00843F0B"/>
    <w:rsid w:val="00845A56"/>
    <w:rsid w:val="00845E14"/>
    <w:rsid w:val="00853D09"/>
    <w:rsid w:val="00857730"/>
    <w:rsid w:val="00857766"/>
    <w:rsid w:val="00860180"/>
    <w:rsid w:val="008633D4"/>
    <w:rsid w:val="00864428"/>
    <w:rsid w:val="00865054"/>
    <w:rsid w:val="008653AB"/>
    <w:rsid w:val="00865B99"/>
    <w:rsid w:val="00871EC3"/>
    <w:rsid w:val="008739A5"/>
    <w:rsid w:val="00874CD1"/>
    <w:rsid w:val="00875784"/>
    <w:rsid w:val="00876131"/>
    <w:rsid w:val="0087629E"/>
    <w:rsid w:val="00883599"/>
    <w:rsid w:val="00883A23"/>
    <w:rsid w:val="00884CA6"/>
    <w:rsid w:val="0088645A"/>
    <w:rsid w:val="00893D87"/>
    <w:rsid w:val="00896954"/>
    <w:rsid w:val="008A1747"/>
    <w:rsid w:val="008A1B8F"/>
    <w:rsid w:val="008A1C3A"/>
    <w:rsid w:val="008A46B6"/>
    <w:rsid w:val="008A6599"/>
    <w:rsid w:val="008A70C1"/>
    <w:rsid w:val="008A7809"/>
    <w:rsid w:val="008B60DE"/>
    <w:rsid w:val="008C34BC"/>
    <w:rsid w:val="008C54FA"/>
    <w:rsid w:val="008D1C23"/>
    <w:rsid w:val="008D38B2"/>
    <w:rsid w:val="008D64E4"/>
    <w:rsid w:val="008D7395"/>
    <w:rsid w:val="008D7437"/>
    <w:rsid w:val="008E3D07"/>
    <w:rsid w:val="008E6392"/>
    <w:rsid w:val="008F1AAF"/>
    <w:rsid w:val="008F1D4C"/>
    <w:rsid w:val="008F469F"/>
    <w:rsid w:val="008F4AFD"/>
    <w:rsid w:val="008F513B"/>
    <w:rsid w:val="008F5397"/>
    <w:rsid w:val="008F615F"/>
    <w:rsid w:val="00900204"/>
    <w:rsid w:val="00904B00"/>
    <w:rsid w:val="0090510E"/>
    <w:rsid w:val="00906486"/>
    <w:rsid w:val="00914EF6"/>
    <w:rsid w:val="00921153"/>
    <w:rsid w:val="009236DF"/>
    <w:rsid w:val="00925B83"/>
    <w:rsid w:val="00926034"/>
    <w:rsid w:val="00931AC6"/>
    <w:rsid w:val="00934275"/>
    <w:rsid w:val="009369BA"/>
    <w:rsid w:val="00936A73"/>
    <w:rsid w:val="009406CA"/>
    <w:rsid w:val="0094528A"/>
    <w:rsid w:val="00950648"/>
    <w:rsid w:val="00951CFC"/>
    <w:rsid w:val="009542A9"/>
    <w:rsid w:val="0095508C"/>
    <w:rsid w:val="0096311B"/>
    <w:rsid w:val="00970797"/>
    <w:rsid w:val="00971B7D"/>
    <w:rsid w:val="00972899"/>
    <w:rsid w:val="00973A2B"/>
    <w:rsid w:val="009762AE"/>
    <w:rsid w:val="00983EF4"/>
    <w:rsid w:val="00986977"/>
    <w:rsid w:val="00987EDB"/>
    <w:rsid w:val="00993537"/>
    <w:rsid w:val="00995B12"/>
    <w:rsid w:val="00996BBD"/>
    <w:rsid w:val="0099716C"/>
    <w:rsid w:val="009A0043"/>
    <w:rsid w:val="009A1B6B"/>
    <w:rsid w:val="009A274E"/>
    <w:rsid w:val="009A49C9"/>
    <w:rsid w:val="009A67B9"/>
    <w:rsid w:val="009C1308"/>
    <w:rsid w:val="009C3828"/>
    <w:rsid w:val="009C47AB"/>
    <w:rsid w:val="009C4906"/>
    <w:rsid w:val="009C50B2"/>
    <w:rsid w:val="009D179B"/>
    <w:rsid w:val="009D2D3E"/>
    <w:rsid w:val="009D67D3"/>
    <w:rsid w:val="009D6851"/>
    <w:rsid w:val="009E566D"/>
    <w:rsid w:val="009E674D"/>
    <w:rsid w:val="009E6C4C"/>
    <w:rsid w:val="009F2BA2"/>
    <w:rsid w:val="009F3439"/>
    <w:rsid w:val="009F54FE"/>
    <w:rsid w:val="00A060E3"/>
    <w:rsid w:val="00A0674B"/>
    <w:rsid w:val="00A06820"/>
    <w:rsid w:val="00A07673"/>
    <w:rsid w:val="00A13A9E"/>
    <w:rsid w:val="00A14D11"/>
    <w:rsid w:val="00A16606"/>
    <w:rsid w:val="00A1738B"/>
    <w:rsid w:val="00A2186A"/>
    <w:rsid w:val="00A231E8"/>
    <w:rsid w:val="00A251D0"/>
    <w:rsid w:val="00A26513"/>
    <w:rsid w:val="00A26B95"/>
    <w:rsid w:val="00A3073D"/>
    <w:rsid w:val="00A33729"/>
    <w:rsid w:val="00A42346"/>
    <w:rsid w:val="00A42EA5"/>
    <w:rsid w:val="00A42F0F"/>
    <w:rsid w:val="00A43010"/>
    <w:rsid w:val="00A44C2E"/>
    <w:rsid w:val="00A44EFF"/>
    <w:rsid w:val="00A512A8"/>
    <w:rsid w:val="00A52212"/>
    <w:rsid w:val="00A523C3"/>
    <w:rsid w:val="00A52E79"/>
    <w:rsid w:val="00A5629C"/>
    <w:rsid w:val="00A63622"/>
    <w:rsid w:val="00A65242"/>
    <w:rsid w:val="00A704C3"/>
    <w:rsid w:val="00A73F97"/>
    <w:rsid w:val="00A76983"/>
    <w:rsid w:val="00A778BD"/>
    <w:rsid w:val="00A80BDC"/>
    <w:rsid w:val="00A8460F"/>
    <w:rsid w:val="00A90C0F"/>
    <w:rsid w:val="00A94E95"/>
    <w:rsid w:val="00A96E04"/>
    <w:rsid w:val="00A97DB8"/>
    <w:rsid w:val="00AA0991"/>
    <w:rsid w:val="00AA1C07"/>
    <w:rsid w:val="00AA2E1F"/>
    <w:rsid w:val="00AA3607"/>
    <w:rsid w:val="00AA3E6F"/>
    <w:rsid w:val="00AA60C7"/>
    <w:rsid w:val="00AA7011"/>
    <w:rsid w:val="00AA75B2"/>
    <w:rsid w:val="00AB174C"/>
    <w:rsid w:val="00AB3B2E"/>
    <w:rsid w:val="00AB606C"/>
    <w:rsid w:val="00AB60C7"/>
    <w:rsid w:val="00AB6118"/>
    <w:rsid w:val="00AB612A"/>
    <w:rsid w:val="00AC0C29"/>
    <w:rsid w:val="00AC22F9"/>
    <w:rsid w:val="00AC3F9A"/>
    <w:rsid w:val="00AC4590"/>
    <w:rsid w:val="00AC795A"/>
    <w:rsid w:val="00AC7E17"/>
    <w:rsid w:val="00AD1106"/>
    <w:rsid w:val="00AD1DC7"/>
    <w:rsid w:val="00AD43E4"/>
    <w:rsid w:val="00AE0E80"/>
    <w:rsid w:val="00AE1B32"/>
    <w:rsid w:val="00AE1B70"/>
    <w:rsid w:val="00AE3CB8"/>
    <w:rsid w:val="00AE4232"/>
    <w:rsid w:val="00AE4D2C"/>
    <w:rsid w:val="00AF1FC2"/>
    <w:rsid w:val="00AF42B4"/>
    <w:rsid w:val="00AF4D34"/>
    <w:rsid w:val="00AF7C7F"/>
    <w:rsid w:val="00B04E1E"/>
    <w:rsid w:val="00B05246"/>
    <w:rsid w:val="00B0607B"/>
    <w:rsid w:val="00B0790A"/>
    <w:rsid w:val="00B112F3"/>
    <w:rsid w:val="00B11311"/>
    <w:rsid w:val="00B1154B"/>
    <w:rsid w:val="00B1307C"/>
    <w:rsid w:val="00B163C2"/>
    <w:rsid w:val="00B21A29"/>
    <w:rsid w:val="00B31400"/>
    <w:rsid w:val="00B31809"/>
    <w:rsid w:val="00B31D27"/>
    <w:rsid w:val="00B320E7"/>
    <w:rsid w:val="00B32387"/>
    <w:rsid w:val="00B35456"/>
    <w:rsid w:val="00B36CA3"/>
    <w:rsid w:val="00B36E86"/>
    <w:rsid w:val="00B37F8F"/>
    <w:rsid w:val="00B41C62"/>
    <w:rsid w:val="00B5131C"/>
    <w:rsid w:val="00B5166C"/>
    <w:rsid w:val="00B519BB"/>
    <w:rsid w:val="00B53E81"/>
    <w:rsid w:val="00B60213"/>
    <w:rsid w:val="00B63A18"/>
    <w:rsid w:val="00B64C43"/>
    <w:rsid w:val="00B66AEF"/>
    <w:rsid w:val="00B70FEE"/>
    <w:rsid w:val="00B71403"/>
    <w:rsid w:val="00B714ED"/>
    <w:rsid w:val="00B75142"/>
    <w:rsid w:val="00B75EFA"/>
    <w:rsid w:val="00B770EE"/>
    <w:rsid w:val="00B775AA"/>
    <w:rsid w:val="00B77BD1"/>
    <w:rsid w:val="00B802CF"/>
    <w:rsid w:val="00B80EA2"/>
    <w:rsid w:val="00B81A4C"/>
    <w:rsid w:val="00B84E79"/>
    <w:rsid w:val="00B87278"/>
    <w:rsid w:val="00B90ACE"/>
    <w:rsid w:val="00B90CAB"/>
    <w:rsid w:val="00B910F3"/>
    <w:rsid w:val="00B913A7"/>
    <w:rsid w:val="00BA185B"/>
    <w:rsid w:val="00BA5823"/>
    <w:rsid w:val="00BA58D7"/>
    <w:rsid w:val="00BA5A3D"/>
    <w:rsid w:val="00BA67B0"/>
    <w:rsid w:val="00BA6A8D"/>
    <w:rsid w:val="00BA774C"/>
    <w:rsid w:val="00BB425C"/>
    <w:rsid w:val="00BB48CA"/>
    <w:rsid w:val="00BB5B26"/>
    <w:rsid w:val="00BB5E23"/>
    <w:rsid w:val="00BB5FFC"/>
    <w:rsid w:val="00BC1715"/>
    <w:rsid w:val="00BC21F0"/>
    <w:rsid w:val="00BC22B8"/>
    <w:rsid w:val="00BC4DF7"/>
    <w:rsid w:val="00BC4F18"/>
    <w:rsid w:val="00BC527C"/>
    <w:rsid w:val="00BC5A7B"/>
    <w:rsid w:val="00BC6669"/>
    <w:rsid w:val="00BC7A64"/>
    <w:rsid w:val="00BD1914"/>
    <w:rsid w:val="00BD1927"/>
    <w:rsid w:val="00BD5740"/>
    <w:rsid w:val="00BD7813"/>
    <w:rsid w:val="00BE13B3"/>
    <w:rsid w:val="00BE223C"/>
    <w:rsid w:val="00BE26C6"/>
    <w:rsid w:val="00BE3E61"/>
    <w:rsid w:val="00BE478F"/>
    <w:rsid w:val="00BF47EC"/>
    <w:rsid w:val="00BF66E0"/>
    <w:rsid w:val="00BF7368"/>
    <w:rsid w:val="00C02AED"/>
    <w:rsid w:val="00C04CA3"/>
    <w:rsid w:val="00C06CD4"/>
    <w:rsid w:val="00C072EB"/>
    <w:rsid w:val="00C073C2"/>
    <w:rsid w:val="00C07640"/>
    <w:rsid w:val="00C10C31"/>
    <w:rsid w:val="00C13DF3"/>
    <w:rsid w:val="00C1439F"/>
    <w:rsid w:val="00C14696"/>
    <w:rsid w:val="00C1504A"/>
    <w:rsid w:val="00C16B3D"/>
    <w:rsid w:val="00C1715D"/>
    <w:rsid w:val="00C204C3"/>
    <w:rsid w:val="00C2186D"/>
    <w:rsid w:val="00C24345"/>
    <w:rsid w:val="00C271BD"/>
    <w:rsid w:val="00C27B0F"/>
    <w:rsid w:val="00C33BD1"/>
    <w:rsid w:val="00C34091"/>
    <w:rsid w:val="00C34120"/>
    <w:rsid w:val="00C3740B"/>
    <w:rsid w:val="00C40E23"/>
    <w:rsid w:val="00C4107B"/>
    <w:rsid w:val="00C43A53"/>
    <w:rsid w:val="00C454F8"/>
    <w:rsid w:val="00C45F14"/>
    <w:rsid w:val="00C5380F"/>
    <w:rsid w:val="00C5475E"/>
    <w:rsid w:val="00C57106"/>
    <w:rsid w:val="00C600E7"/>
    <w:rsid w:val="00C609E8"/>
    <w:rsid w:val="00C623B1"/>
    <w:rsid w:val="00C63504"/>
    <w:rsid w:val="00C63852"/>
    <w:rsid w:val="00C663B8"/>
    <w:rsid w:val="00C670E6"/>
    <w:rsid w:val="00C679E8"/>
    <w:rsid w:val="00C67D3F"/>
    <w:rsid w:val="00C74ED7"/>
    <w:rsid w:val="00C768C5"/>
    <w:rsid w:val="00C770C9"/>
    <w:rsid w:val="00C83120"/>
    <w:rsid w:val="00C926ED"/>
    <w:rsid w:val="00C93149"/>
    <w:rsid w:val="00C93920"/>
    <w:rsid w:val="00C943C6"/>
    <w:rsid w:val="00CA112C"/>
    <w:rsid w:val="00CA68FA"/>
    <w:rsid w:val="00CB0F81"/>
    <w:rsid w:val="00CB2CD2"/>
    <w:rsid w:val="00CC32B4"/>
    <w:rsid w:val="00CC72D4"/>
    <w:rsid w:val="00CC7CBB"/>
    <w:rsid w:val="00CD08F1"/>
    <w:rsid w:val="00CD137C"/>
    <w:rsid w:val="00CD292F"/>
    <w:rsid w:val="00CD365E"/>
    <w:rsid w:val="00CD4B35"/>
    <w:rsid w:val="00CD64E0"/>
    <w:rsid w:val="00CE095D"/>
    <w:rsid w:val="00CE0A26"/>
    <w:rsid w:val="00CE1893"/>
    <w:rsid w:val="00CE7954"/>
    <w:rsid w:val="00CF0466"/>
    <w:rsid w:val="00CF2D2C"/>
    <w:rsid w:val="00CF3889"/>
    <w:rsid w:val="00D00B61"/>
    <w:rsid w:val="00D059EC"/>
    <w:rsid w:val="00D05EBB"/>
    <w:rsid w:val="00D1061A"/>
    <w:rsid w:val="00D10A0D"/>
    <w:rsid w:val="00D136D7"/>
    <w:rsid w:val="00D14F5A"/>
    <w:rsid w:val="00D1786A"/>
    <w:rsid w:val="00D20F73"/>
    <w:rsid w:val="00D213FF"/>
    <w:rsid w:val="00D23958"/>
    <w:rsid w:val="00D31C86"/>
    <w:rsid w:val="00D3201B"/>
    <w:rsid w:val="00D33801"/>
    <w:rsid w:val="00D33A1F"/>
    <w:rsid w:val="00D34B6D"/>
    <w:rsid w:val="00D3787E"/>
    <w:rsid w:val="00D413A4"/>
    <w:rsid w:val="00D422A8"/>
    <w:rsid w:val="00D44782"/>
    <w:rsid w:val="00D457EE"/>
    <w:rsid w:val="00D46350"/>
    <w:rsid w:val="00D46987"/>
    <w:rsid w:val="00D51AD8"/>
    <w:rsid w:val="00D55367"/>
    <w:rsid w:val="00D56990"/>
    <w:rsid w:val="00D61A12"/>
    <w:rsid w:val="00D6382F"/>
    <w:rsid w:val="00D651A0"/>
    <w:rsid w:val="00D65768"/>
    <w:rsid w:val="00D67054"/>
    <w:rsid w:val="00D700B9"/>
    <w:rsid w:val="00D7031B"/>
    <w:rsid w:val="00D70728"/>
    <w:rsid w:val="00D807FC"/>
    <w:rsid w:val="00D80C02"/>
    <w:rsid w:val="00D812AE"/>
    <w:rsid w:val="00D83057"/>
    <w:rsid w:val="00D95DA7"/>
    <w:rsid w:val="00D97EDE"/>
    <w:rsid w:val="00DA0E69"/>
    <w:rsid w:val="00DA1851"/>
    <w:rsid w:val="00DA3A90"/>
    <w:rsid w:val="00DB1EBB"/>
    <w:rsid w:val="00DB39C9"/>
    <w:rsid w:val="00DC58EC"/>
    <w:rsid w:val="00DC5BA2"/>
    <w:rsid w:val="00DC63B9"/>
    <w:rsid w:val="00DC6DB1"/>
    <w:rsid w:val="00DD3A2D"/>
    <w:rsid w:val="00DD5C62"/>
    <w:rsid w:val="00DD5CB2"/>
    <w:rsid w:val="00DD6DF4"/>
    <w:rsid w:val="00DD6EDD"/>
    <w:rsid w:val="00DD73B0"/>
    <w:rsid w:val="00DE11BF"/>
    <w:rsid w:val="00DE32AA"/>
    <w:rsid w:val="00DE3C5D"/>
    <w:rsid w:val="00DE4661"/>
    <w:rsid w:val="00DE4856"/>
    <w:rsid w:val="00DE7AF0"/>
    <w:rsid w:val="00DE7B0C"/>
    <w:rsid w:val="00DE7CE9"/>
    <w:rsid w:val="00DF4138"/>
    <w:rsid w:val="00E001F7"/>
    <w:rsid w:val="00E03A07"/>
    <w:rsid w:val="00E05A2A"/>
    <w:rsid w:val="00E15C18"/>
    <w:rsid w:val="00E16C3B"/>
    <w:rsid w:val="00E1793C"/>
    <w:rsid w:val="00E209F5"/>
    <w:rsid w:val="00E20CB9"/>
    <w:rsid w:val="00E21438"/>
    <w:rsid w:val="00E2170C"/>
    <w:rsid w:val="00E21734"/>
    <w:rsid w:val="00E25CB9"/>
    <w:rsid w:val="00E263BF"/>
    <w:rsid w:val="00E26641"/>
    <w:rsid w:val="00E2753A"/>
    <w:rsid w:val="00E31FA4"/>
    <w:rsid w:val="00E32677"/>
    <w:rsid w:val="00E326BB"/>
    <w:rsid w:val="00E32A6C"/>
    <w:rsid w:val="00E333FB"/>
    <w:rsid w:val="00E3408B"/>
    <w:rsid w:val="00E366E8"/>
    <w:rsid w:val="00E44C43"/>
    <w:rsid w:val="00E44C79"/>
    <w:rsid w:val="00E51BC3"/>
    <w:rsid w:val="00E5259D"/>
    <w:rsid w:val="00E533C3"/>
    <w:rsid w:val="00E545EA"/>
    <w:rsid w:val="00E5480C"/>
    <w:rsid w:val="00E61AF1"/>
    <w:rsid w:val="00E623A2"/>
    <w:rsid w:val="00E64963"/>
    <w:rsid w:val="00E64D45"/>
    <w:rsid w:val="00E71AC0"/>
    <w:rsid w:val="00E72FE8"/>
    <w:rsid w:val="00E73146"/>
    <w:rsid w:val="00E73FB6"/>
    <w:rsid w:val="00E75A32"/>
    <w:rsid w:val="00E7603A"/>
    <w:rsid w:val="00E7665D"/>
    <w:rsid w:val="00E76E97"/>
    <w:rsid w:val="00E8329A"/>
    <w:rsid w:val="00E83363"/>
    <w:rsid w:val="00E84278"/>
    <w:rsid w:val="00E84F92"/>
    <w:rsid w:val="00E84FAD"/>
    <w:rsid w:val="00E91D10"/>
    <w:rsid w:val="00E9342A"/>
    <w:rsid w:val="00E94326"/>
    <w:rsid w:val="00E974B4"/>
    <w:rsid w:val="00EA298B"/>
    <w:rsid w:val="00EA39B1"/>
    <w:rsid w:val="00EA3CF9"/>
    <w:rsid w:val="00EA6C8C"/>
    <w:rsid w:val="00EB01E5"/>
    <w:rsid w:val="00EB2887"/>
    <w:rsid w:val="00EB622C"/>
    <w:rsid w:val="00EB638E"/>
    <w:rsid w:val="00EB789E"/>
    <w:rsid w:val="00EC1C5C"/>
    <w:rsid w:val="00EC3E6B"/>
    <w:rsid w:val="00EC5D73"/>
    <w:rsid w:val="00EC651E"/>
    <w:rsid w:val="00ED0ECE"/>
    <w:rsid w:val="00ED3E47"/>
    <w:rsid w:val="00ED45A9"/>
    <w:rsid w:val="00ED64F0"/>
    <w:rsid w:val="00EE6643"/>
    <w:rsid w:val="00EE6FCD"/>
    <w:rsid w:val="00EF02CB"/>
    <w:rsid w:val="00EF0A59"/>
    <w:rsid w:val="00EF1CA6"/>
    <w:rsid w:val="00EF49E9"/>
    <w:rsid w:val="00EF5D25"/>
    <w:rsid w:val="00EF6347"/>
    <w:rsid w:val="00EF7197"/>
    <w:rsid w:val="00F0110E"/>
    <w:rsid w:val="00F07534"/>
    <w:rsid w:val="00F12312"/>
    <w:rsid w:val="00F12CC0"/>
    <w:rsid w:val="00F20B86"/>
    <w:rsid w:val="00F20BE2"/>
    <w:rsid w:val="00F20EBC"/>
    <w:rsid w:val="00F21BB5"/>
    <w:rsid w:val="00F21F07"/>
    <w:rsid w:val="00F25345"/>
    <w:rsid w:val="00F2769F"/>
    <w:rsid w:val="00F3160D"/>
    <w:rsid w:val="00F337C3"/>
    <w:rsid w:val="00F34EED"/>
    <w:rsid w:val="00F374C3"/>
    <w:rsid w:val="00F40B03"/>
    <w:rsid w:val="00F41A75"/>
    <w:rsid w:val="00F43A53"/>
    <w:rsid w:val="00F441A2"/>
    <w:rsid w:val="00F44C03"/>
    <w:rsid w:val="00F46BAB"/>
    <w:rsid w:val="00F46D73"/>
    <w:rsid w:val="00F47736"/>
    <w:rsid w:val="00F511CF"/>
    <w:rsid w:val="00F5268F"/>
    <w:rsid w:val="00F53A82"/>
    <w:rsid w:val="00F54151"/>
    <w:rsid w:val="00F55ED1"/>
    <w:rsid w:val="00F616AA"/>
    <w:rsid w:val="00F61CC7"/>
    <w:rsid w:val="00F636F5"/>
    <w:rsid w:val="00F63949"/>
    <w:rsid w:val="00F63FC1"/>
    <w:rsid w:val="00F64DF5"/>
    <w:rsid w:val="00F6623D"/>
    <w:rsid w:val="00F66FFA"/>
    <w:rsid w:val="00F67B35"/>
    <w:rsid w:val="00F7151A"/>
    <w:rsid w:val="00F7753D"/>
    <w:rsid w:val="00F77FD5"/>
    <w:rsid w:val="00F80EA4"/>
    <w:rsid w:val="00F82DA0"/>
    <w:rsid w:val="00F82E8C"/>
    <w:rsid w:val="00F85226"/>
    <w:rsid w:val="00F87590"/>
    <w:rsid w:val="00F87979"/>
    <w:rsid w:val="00F92FC2"/>
    <w:rsid w:val="00F94206"/>
    <w:rsid w:val="00FA147F"/>
    <w:rsid w:val="00FA1DE3"/>
    <w:rsid w:val="00FA594E"/>
    <w:rsid w:val="00FA68B2"/>
    <w:rsid w:val="00FB1C36"/>
    <w:rsid w:val="00FB4146"/>
    <w:rsid w:val="00FB7779"/>
    <w:rsid w:val="00FC0C98"/>
    <w:rsid w:val="00FC1BE3"/>
    <w:rsid w:val="00FC2137"/>
    <w:rsid w:val="00FC22C3"/>
    <w:rsid w:val="00FC3190"/>
    <w:rsid w:val="00FC52A7"/>
    <w:rsid w:val="00FC6075"/>
    <w:rsid w:val="00FC6AA0"/>
    <w:rsid w:val="00FC6E63"/>
    <w:rsid w:val="00FD0C0C"/>
    <w:rsid w:val="00FD1ADE"/>
    <w:rsid w:val="00FD2ACF"/>
    <w:rsid w:val="00FD43DF"/>
    <w:rsid w:val="00FD7EB2"/>
    <w:rsid w:val="00FE23F0"/>
    <w:rsid w:val="00FE4CF7"/>
    <w:rsid w:val="00FF11A5"/>
    <w:rsid w:val="00FF12C1"/>
    <w:rsid w:val="00FF1DB5"/>
    <w:rsid w:val="00FF2609"/>
    <w:rsid w:val="00FF414B"/>
    <w:rsid w:val="00FF6530"/>
    <w:rsid w:val="00FF7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colormru v:ext="edit" colors="#25416b,#609ed1,#e0dadd"/>
    </o:shapedefaults>
    <o:shapelayout v:ext="edit">
      <o:idmap v:ext="edit" data="1"/>
    </o:shapelayout>
  </w:shapeDefaults>
  <w:doNotEmbedSmartTags/>
  <w:decimalSymbol w:val="."/>
  <w:listSeparator w:val=","/>
  <w14:docId w14:val="12C54A68"/>
  <w14:defaultImageDpi w14:val="300"/>
  <w15:docId w15:val="{0ACDF704-0011-4B87-9413-6F448276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20EBC"/>
    <w:pPr>
      <w:keepNext/>
      <w:keepLines/>
      <w:spacing w:before="240"/>
      <w:outlineLvl w:val="0"/>
    </w:pPr>
    <w:rPr>
      <w:rFonts w:ascii="Book Antiqua" w:eastAsiaTheme="majorEastAsia" w:hAnsi="Book Antiqua" w:cstheme="majorBidi"/>
      <w:b/>
      <w:sz w:val="2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328EC"/>
    <w:rPr>
      <w:rFonts w:ascii="Lucida Grande" w:hAnsi="Lucida Grande"/>
      <w:sz w:val="18"/>
      <w:szCs w:val="18"/>
    </w:rPr>
  </w:style>
  <w:style w:type="table" w:styleId="TableGrid">
    <w:name w:val="Table Grid"/>
    <w:basedOn w:val="TableNormal"/>
    <w:uiPriority w:val="59"/>
    <w:rsid w:val="00941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41190"/>
    <w:pPr>
      <w:tabs>
        <w:tab w:val="center" w:pos="4320"/>
        <w:tab w:val="right" w:pos="8640"/>
      </w:tabs>
    </w:pPr>
  </w:style>
  <w:style w:type="paragraph" w:styleId="Footer">
    <w:name w:val="footer"/>
    <w:basedOn w:val="Normal"/>
    <w:link w:val="FooterChar"/>
    <w:uiPriority w:val="99"/>
    <w:rsid w:val="00941190"/>
    <w:pPr>
      <w:tabs>
        <w:tab w:val="center" w:pos="4320"/>
        <w:tab w:val="right" w:pos="8640"/>
      </w:tabs>
    </w:pPr>
  </w:style>
  <w:style w:type="character" w:styleId="Hyperlink">
    <w:name w:val="Hyperlink"/>
    <w:uiPriority w:val="99"/>
    <w:rsid w:val="00941190"/>
    <w:rPr>
      <w:color w:val="0000FF"/>
      <w:u w:val="single"/>
    </w:rPr>
  </w:style>
  <w:style w:type="character" w:styleId="PageNumber">
    <w:name w:val="page number"/>
    <w:uiPriority w:val="99"/>
    <w:semiHidden/>
    <w:unhideWhenUsed/>
    <w:rsid w:val="004A5472"/>
  </w:style>
  <w:style w:type="character" w:customStyle="1" w:styleId="FooterChar">
    <w:name w:val="Footer Char"/>
    <w:link w:val="Footer"/>
    <w:uiPriority w:val="99"/>
    <w:rsid w:val="00A14D11"/>
    <w:rPr>
      <w:sz w:val="24"/>
      <w:szCs w:val="24"/>
    </w:rPr>
  </w:style>
  <w:style w:type="paragraph" w:customStyle="1" w:styleId="Default">
    <w:name w:val="Default"/>
    <w:rsid w:val="002735DE"/>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unhideWhenUsed/>
    <w:rsid w:val="00971B7D"/>
    <w:rPr>
      <w:sz w:val="20"/>
      <w:szCs w:val="20"/>
    </w:rPr>
  </w:style>
  <w:style w:type="character" w:customStyle="1" w:styleId="FootnoteTextChar">
    <w:name w:val="Footnote Text Char"/>
    <w:basedOn w:val="DefaultParagraphFont"/>
    <w:link w:val="FootnoteText"/>
    <w:uiPriority w:val="99"/>
    <w:rsid w:val="00971B7D"/>
  </w:style>
  <w:style w:type="character" w:styleId="FootnoteReference">
    <w:name w:val="footnote reference"/>
    <w:basedOn w:val="DefaultParagraphFont"/>
    <w:uiPriority w:val="99"/>
    <w:unhideWhenUsed/>
    <w:rsid w:val="00971B7D"/>
    <w:rPr>
      <w:vertAlign w:val="superscript"/>
    </w:rPr>
  </w:style>
  <w:style w:type="paragraph" w:styleId="ListParagraph">
    <w:name w:val="List Paragraph"/>
    <w:aliases w:val="Bullet List"/>
    <w:basedOn w:val="Normal"/>
    <w:link w:val="ListParagraphChar"/>
    <w:uiPriority w:val="34"/>
    <w:qFormat/>
    <w:rsid w:val="00440736"/>
    <w:pPr>
      <w:ind w:left="720"/>
      <w:contextualSpacing/>
    </w:pPr>
  </w:style>
  <w:style w:type="character" w:styleId="CommentReference">
    <w:name w:val="annotation reference"/>
    <w:basedOn w:val="DefaultParagraphFont"/>
    <w:uiPriority w:val="99"/>
    <w:semiHidden/>
    <w:unhideWhenUsed/>
    <w:rsid w:val="003E7D78"/>
    <w:rPr>
      <w:sz w:val="16"/>
      <w:szCs w:val="16"/>
    </w:rPr>
  </w:style>
  <w:style w:type="paragraph" w:styleId="CommentText">
    <w:name w:val="annotation text"/>
    <w:basedOn w:val="Normal"/>
    <w:link w:val="CommentTextChar"/>
    <w:uiPriority w:val="99"/>
    <w:unhideWhenUsed/>
    <w:rsid w:val="003E7D78"/>
    <w:rPr>
      <w:sz w:val="20"/>
      <w:szCs w:val="20"/>
    </w:rPr>
  </w:style>
  <w:style w:type="character" w:customStyle="1" w:styleId="CommentTextChar">
    <w:name w:val="Comment Text Char"/>
    <w:basedOn w:val="DefaultParagraphFont"/>
    <w:link w:val="CommentText"/>
    <w:uiPriority w:val="99"/>
    <w:rsid w:val="003E7D78"/>
  </w:style>
  <w:style w:type="paragraph" w:styleId="CommentSubject">
    <w:name w:val="annotation subject"/>
    <w:basedOn w:val="CommentText"/>
    <w:next w:val="CommentText"/>
    <w:link w:val="CommentSubjectChar"/>
    <w:uiPriority w:val="99"/>
    <w:semiHidden/>
    <w:unhideWhenUsed/>
    <w:rsid w:val="003E7D78"/>
    <w:rPr>
      <w:b/>
      <w:bCs/>
    </w:rPr>
  </w:style>
  <w:style w:type="character" w:customStyle="1" w:styleId="CommentSubjectChar">
    <w:name w:val="Comment Subject Char"/>
    <w:basedOn w:val="CommentTextChar"/>
    <w:link w:val="CommentSubject"/>
    <w:uiPriority w:val="99"/>
    <w:semiHidden/>
    <w:rsid w:val="003E7D78"/>
    <w:rPr>
      <w:b/>
      <w:bCs/>
    </w:rPr>
  </w:style>
  <w:style w:type="table" w:customStyle="1" w:styleId="GridTable2-Accent11">
    <w:name w:val="Grid Table 2 - Accent 11"/>
    <w:basedOn w:val="TableNormal"/>
    <w:uiPriority w:val="47"/>
    <w:rsid w:val="0054406A"/>
    <w:rPr>
      <w:rFonts w:asciiTheme="minorHAnsi" w:eastAsiaTheme="minorHAnsi" w:hAnsiTheme="minorHAnsi" w:cstheme="minorBidi"/>
      <w:sz w:val="22"/>
      <w:szCs w:val="22"/>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50006F"/>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20EBC"/>
    <w:rPr>
      <w:rFonts w:ascii="Book Antiqua" w:eastAsiaTheme="majorEastAsia" w:hAnsi="Book Antiqua" w:cstheme="majorBidi"/>
      <w:b/>
      <w:sz w:val="22"/>
      <w:szCs w:val="32"/>
      <w:u w:val="single"/>
    </w:rPr>
  </w:style>
  <w:style w:type="character" w:customStyle="1" w:styleId="UnresolvedMention1">
    <w:name w:val="Unresolved Mention1"/>
    <w:basedOn w:val="DefaultParagraphFont"/>
    <w:uiPriority w:val="99"/>
    <w:semiHidden/>
    <w:unhideWhenUsed/>
    <w:rsid w:val="00F20EBC"/>
    <w:rPr>
      <w:color w:val="808080"/>
      <w:shd w:val="clear" w:color="auto" w:fill="E6E6E6"/>
    </w:rPr>
  </w:style>
  <w:style w:type="character" w:customStyle="1" w:styleId="BalloonTextChar">
    <w:name w:val="Balloon Text Char"/>
    <w:basedOn w:val="DefaultParagraphFont"/>
    <w:link w:val="BalloonText"/>
    <w:uiPriority w:val="99"/>
    <w:semiHidden/>
    <w:rsid w:val="00082895"/>
    <w:rPr>
      <w:rFonts w:ascii="Lucida Grande" w:hAnsi="Lucida Grande"/>
      <w:sz w:val="18"/>
      <w:szCs w:val="18"/>
    </w:rPr>
  </w:style>
  <w:style w:type="character" w:styleId="FollowedHyperlink">
    <w:name w:val="FollowedHyperlink"/>
    <w:basedOn w:val="DefaultParagraphFont"/>
    <w:uiPriority w:val="99"/>
    <w:semiHidden/>
    <w:unhideWhenUsed/>
    <w:rsid w:val="006E39F5"/>
    <w:rPr>
      <w:color w:val="800080" w:themeColor="followedHyperlink"/>
      <w:u w:val="single"/>
    </w:rPr>
  </w:style>
  <w:style w:type="character" w:customStyle="1" w:styleId="ListParagraphChar">
    <w:name w:val="List Paragraph Char"/>
    <w:aliases w:val="Bullet List Char"/>
    <w:basedOn w:val="DefaultParagraphFont"/>
    <w:link w:val="ListParagraph"/>
    <w:uiPriority w:val="34"/>
    <w:locked/>
    <w:rsid w:val="00A0674B"/>
    <w:rPr>
      <w:sz w:val="24"/>
      <w:szCs w:val="24"/>
    </w:rPr>
  </w:style>
  <w:style w:type="table" w:styleId="GridTable2-Accent1">
    <w:name w:val="Grid Table 2 Accent 1"/>
    <w:basedOn w:val="TableNormal"/>
    <w:uiPriority w:val="47"/>
    <w:rsid w:val="002F2A22"/>
    <w:rPr>
      <w:rFonts w:asciiTheme="minorHAnsi" w:eastAsiaTheme="minorHAnsi" w:hAnsiTheme="minorHAnsi" w:cstheme="minorBidi"/>
      <w:sz w:val="22"/>
      <w:szCs w:val="22"/>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2F2A22"/>
    <w:rPr>
      <w:color w:val="808080"/>
      <w:shd w:val="clear" w:color="auto" w:fill="E6E6E6"/>
    </w:rPr>
  </w:style>
  <w:style w:type="paragraph" w:styleId="Revision">
    <w:name w:val="Revision"/>
    <w:hidden/>
    <w:uiPriority w:val="71"/>
    <w:rsid w:val="008739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60837">
      <w:bodyDiv w:val="1"/>
      <w:marLeft w:val="0"/>
      <w:marRight w:val="0"/>
      <w:marTop w:val="0"/>
      <w:marBottom w:val="0"/>
      <w:divBdr>
        <w:top w:val="none" w:sz="0" w:space="0" w:color="auto"/>
        <w:left w:val="none" w:sz="0" w:space="0" w:color="auto"/>
        <w:bottom w:val="none" w:sz="0" w:space="0" w:color="auto"/>
        <w:right w:val="none" w:sz="0" w:space="0" w:color="auto"/>
      </w:divBdr>
    </w:div>
    <w:div w:id="108086643">
      <w:bodyDiv w:val="1"/>
      <w:marLeft w:val="0"/>
      <w:marRight w:val="0"/>
      <w:marTop w:val="0"/>
      <w:marBottom w:val="0"/>
      <w:divBdr>
        <w:top w:val="none" w:sz="0" w:space="0" w:color="auto"/>
        <w:left w:val="none" w:sz="0" w:space="0" w:color="auto"/>
        <w:bottom w:val="none" w:sz="0" w:space="0" w:color="auto"/>
        <w:right w:val="none" w:sz="0" w:space="0" w:color="auto"/>
      </w:divBdr>
    </w:div>
    <w:div w:id="337856033">
      <w:bodyDiv w:val="1"/>
      <w:marLeft w:val="0"/>
      <w:marRight w:val="0"/>
      <w:marTop w:val="0"/>
      <w:marBottom w:val="0"/>
      <w:divBdr>
        <w:top w:val="none" w:sz="0" w:space="0" w:color="auto"/>
        <w:left w:val="none" w:sz="0" w:space="0" w:color="auto"/>
        <w:bottom w:val="none" w:sz="0" w:space="0" w:color="auto"/>
        <w:right w:val="none" w:sz="0" w:space="0" w:color="auto"/>
      </w:divBdr>
      <w:divsChild>
        <w:div w:id="1003976059">
          <w:marLeft w:val="720"/>
          <w:marRight w:val="0"/>
          <w:marTop w:val="0"/>
          <w:marBottom w:val="240"/>
          <w:divBdr>
            <w:top w:val="none" w:sz="0" w:space="0" w:color="auto"/>
            <w:left w:val="none" w:sz="0" w:space="0" w:color="auto"/>
            <w:bottom w:val="none" w:sz="0" w:space="0" w:color="auto"/>
            <w:right w:val="none" w:sz="0" w:space="0" w:color="auto"/>
          </w:divBdr>
        </w:div>
      </w:divsChild>
    </w:div>
    <w:div w:id="351037289">
      <w:bodyDiv w:val="1"/>
      <w:marLeft w:val="0"/>
      <w:marRight w:val="0"/>
      <w:marTop w:val="0"/>
      <w:marBottom w:val="0"/>
      <w:divBdr>
        <w:top w:val="none" w:sz="0" w:space="0" w:color="auto"/>
        <w:left w:val="none" w:sz="0" w:space="0" w:color="auto"/>
        <w:bottom w:val="none" w:sz="0" w:space="0" w:color="auto"/>
        <w:right w:val="none" w:sz="0" w:space="0" w:color="auto"/>
      </w:divBdr>
    </w:div>
    <w:div w:id="875386305">
      <w:bodyDiv w:val="1"/>
      <w:marLeft w:val="0"/>
      <w:marRight w:val="0"/>
      <w:marTop w:val="0"/>
      <w:marBottom w:val="0"/>
      <w:divBdr>
        <w:top w:val="none" w:sz="0" w:space="0" w:color="auto"/>
        <w:left w:val="none" w:sz="0" w:space="0" w:color="auto"/>
        <w:bottom w:val="none" w:sz="0" w:space="0" w:color="auto"/>
        <w:right w:val="none" w:sz="0" w:space="0" w:color="auto"/>
      </w:divBdr>
    </w:div>
    <w:div w:id="1348796784">
      <w:bodyDiv w:val="1"/>
      <w:marLeft w:val="0"/>
      <w:marRight w:val="0"/>
      <w:marTop w:val="0"/>
      <w:marBottom w:val="0"/>
      <w:divBdr>
        <w:top w:val="none" w:sz="0" w:space="0" w:color="auto"/>
        <w:left w:val="none" w:sz="0" w:space="0" w:color="auto"/>
        <w:bottom w:val="none" w:sz="0" w:space="0" w:color="auto"/>
        <w:right w:val="none" w:sz="0" w:space="0" w:color="auto"/>
      </w:divBdr>
    </w:div>
    <w:div w:id="1408504172">
      <w:bodyDiv w:val="1"/>
      <w:marLeft w:val="0"/>
      <w:marRight w:val="0"/>
      <w:marTop w:val="0"/>
      <w:marBottom w:val="0"/>
      <w:divBdr>
        <w:top w:val="none" w:sz="0" w:space="0" w:color="auto"/>
        <w:left w:val="none" w:sz="0" w:space="0" w:color="auto"/>
        <w:bottom w:val="none" w:sz="0" w:space="0" w:color="auto"/>
        <w:right w:val="none" w:sz="0" w:space="0" w:color="auto"/>
      </w:divBdr>
      <w:divsChild>
        <w:div w:id="1072390177">
          <w:marLeft w:val="1267"/>
          <w:marRight w:val="0"/>
          <w:marTop w:val="0"/>
          <w:marBottom w:val="240"/>
          <w:divBdr>
            <w:top w:val="none" w:sz="0" w:space="0" w:color="auto"/>
            <w:left w:val="none" w:sz="0" w:space="0" w:color="auto"/>
            <w:bottom w:val="none" w:sz="0" w:space="0" w:color="auto"/>
            <w:right w:val="none" w:sz="0" w:space="0" w:color="auto"/>
          </w:divBdr>
        </w:div>
        <w:div w:id="2141337778">
          <w:marLeft w:val="1267"/>
          <w:marRight w:val="0"/>
          <w:marTop w:val="0"/>
          <w:marBottom w:val="240"/>
          <w:divBdr>
            <w:top w:val="none" w:sz="0" w:space="0" w:color="auto"/>
            <w:left w:val="none" w:sz="0" w:space="0" w:color="auto"/>
            <w:bottom w:val="none" w:sz="0" w:space="0" w:color="auto"/>
            <w:right w:val="none" w:sz="0" w:space="0" w:color="auto"/>
          </w:divBdr>
        </w:div>
        <w:div w:id="1814525008">
          <w:marLeft w:val="1267"/>
          <w:marRight w:val="0"/>
          <w:marTop w:val="0"/>
          <w:marBottom w:val="240"/>
          <w:divBdr>
            <w:top w:val="none" w:sz="0" w:space="0" w:color="auto"/>
            <w:left w:val="none" w:sz="0" w:space="0" w:color="auto"/>
            <w:bottom w:val="none" w:sz="0" w:space="0" w:color="auto"/>
            <w:right w:val="none" w:sz="0" w:space="0" w:color="auto"/>
          </w:divBdr>
        </w:div>
      </w:divsChild>
    </w:div>
    <w:div w:id="1667322147">
      <w:bodyDiv w:val="1"/>
      <w:marLeft w:val="0"/>
      <w:marRight w:val="0"/>
      <w:marTop w:val="0"/>
      <w:marBottom w:val="0"/>
      <w:divBdr>
        <w:top w:val="none" w:sz="0" w:space="0" w:color="auto"/>
        <w:left w:val="none" w:sz="0" w:space="0" w:color="auto"/>
        <w:bottom w:val="none" w:sz="0" w:space="0" w:color="auto"/>
        <w:right w:val="none" w:sz="0" w:space="0" w:color="auto"/>
      </w:divBdr>
      <w:divsChild>
        <w:div w:id="2023050385">
          <w:marLeft w:val="605"/>
          <w:marRight w:val="0"/>
          <w:marTop w:val="0"/>
          <w:marBottom w:val="240"/>
          <w:divBdr>
            <w:top w:val="none" w:sz="0" w:space="0" w:color="auto"/>
            <w:left w:val="none" w:sz="0" w:space="0" w:color="auto"/>
            <w:bottom w:val="none" w:sz="0" w:space="0" w:color="auto"/>
            <w:right w:val="none" w:sz="0" w:space="0" w:color="auto"/>
          </w:divBdr>
        </w:div>
      </w:divsChild>
    </w:div>
    <w:div w:id="1938831464">
      <w:bodyDiv w:val="1"/>
      <w:marLeft w:val="0"/>
      <w:marRight w:val="0"/>
      <w:marTop w:val="0"/>
      <w:marBottom w:val="0"/>
      <w:divBdr>
        <w:top w:val="none" w:sz="0" w:space="0" w:color="auto"/>
        <w:left w:val="none" w:sz="0" w:space="0" w:color="auto"/>
        <w:bottom w:val="none" w:sz="0" w:space="0" w:color="auto"/>
        <w:right w:val="none" w:sz="0" w:space="0" w:color="auto"/>
      </w:divBdr>
    </w:div>
    <w:div w:id="197613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qualityforum.org/Measuring_Performance/Scientific_Methods_Panel/Meetings/2018_Scientific_Methods_Panel_Meetings.aspx" TargetMode="External"/><Relationship Id="rId2" Type="http://schemas.openxmlformats.org/officeDocument/2006/relationships/hyperlink" Target="http://mhqp.org" TargetMode="External"/><Relationship Id="rId1" Type="http://schemas.openxmlformats.org/officeDocument/2006/relationships/hyperlink" Target="http://www.ahrq.gov/cahps/surveys-guidance/c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9B95F2EE52B4E9FB130DEE3F78C09" ma:contentTypeVersion="6" ma:contentTypeDescription="Create a new document." ma:contentTypeScope="" ma:versionID="ca0602ea54f9c51bfa1c05d1f8c9206a">
  <xsd:schema xmlns:xsd="http://www.w3.org/2001/XMLSchema" xmlns:xs="http://www.w3.org/2001/XMLSchema" xmlns:p="http://schemas.microsoft.com/office/2006/metadata/properties" xmlns:ns2="d29a8555-db37-4257-91ea-e6d336cdedf2" xmlns:ns3="34dc536f-1af3-405a-935d-0fb3b6674883" targetNamespace="http://schemas.microsoft.com/office/2006/metadata/properties" ma:root="true" ma:fieldsID="dc67b3305e56f01fc9e637268d932d2d" ns2:_="" ns3:_="">
    <xsd:import namespace="d29a8555-db37-4257-91ea-e6d336cdedf2"/>
    <xsd:import namespace="34dc536f-1af3-405a-935d-0fb3b66748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a8555-db37-4257-91ea-e6d336cded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dc536f-1af3-405a-935d-0fb3b66748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29a8555-db37-4257-91ea-e6d336cdedf2">
      <UserInfo>
        <DisplayName>Justine Zayhowski</DisplayName>
        <AccountId>2633</AccountId>
        <AccountType/>
      </UserInfo>
      <UserInfo>
        <DisplayName>Michael Bailit</DisplayName>
        <AccountId>22</AccountId>
        <AccountType/>
      </UserInfo>
      <UserInfo>
        <DisplayName>Cory King</DisplayName>
        <AccountId>58</AccountId>
        <AccountType/>
      </UserInfo>
      <UserInfo>
        <DisplayName>Deepti Kanneganti</DisplayName>
        <AccountId>15</AccountId>
        <AccountType/>
      </UserInfo>
      <UserInfo>
        <DisplayName>Lisa.Ahlgren@state.ma.us</DisplayName>
        <AccountId>3175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ED7E4-66E1-4561-B865-7943D1BF6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a8555-db37-4257-91ea-e6d336cdedf2"/>
    <ds:schemaRef ds:uri="34dc536f-1af3-405a-935d-0fb3b6674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EC608B-EF4D-4A46-9112-D893AB33FFBC}">
  <ds:schemaRefs>
    <ds:schemaRef ds:uri="http://schemas.openxmlformats.org/officeDocument/2006/bibliography"/>
  </ds:schemaRefs>
</ds:datastoreItem>
</file>

<file path=customXml/itemProps3.xml><?xml version="1.0" encoding="utf-8"?>
<ds:datastoreItem xmlns:ds="http://schemas.openxmlformats.org/officeDocument/2006/customXml" ds:itemID="{66605354-9D9D-4FAF-A430-70D566C2E0F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29a8555-db37-4257-91ea-e6d336cdedf2"/>
    <ds:schemaRef ds:uri="http://purl.org/dc/elements/1.1/"/>
    <ds:schemaRef ds:uri="http://schemas.microsoft.com/office/2006/metadata/properties"/>
    <ds:schemaRef ds:uri="34dc536f-1af3-405a-935d-0fb3b6674883"/>
    <ds:schemaRef ds:uri="http://www.w3.org/XML/1998/namespace"/>
    <ds:schemaRef ds:uri="http://purl.org/dc/dcmitype/"/>
  </ds:schemaRefs>
</ds:datastoreItem>
</file>

<file path=customXml/itemProps4.xml><?xml version="1.0" encoding="utf-8"?>
<ds:datastoreItem xmlns:ds="http://schemas.openxmlformats.org/officeDocument/2006/customXml" ds:itemID="{884D1BEF-C7AA-4EEA-A152-AC5CC8647A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2320</Words>
  <Characters>13229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Interactive Design &amp; Illustration</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Deepti Kanneganti</dc:creator>
  <cp:lastModifiedBy>Justine Zayhowski</cp:lastModifiedBy>
  <cp:revision>77</cp:revision>
  <cp:lastPrinted>2015-02-12T17:57:00Z</cp:lastPrinted>
  <dcterms:created xsi:type="dcterms:W3CDTF">2020-07-30T00:59:00Z</dcterms:created>
  <dcterms:modified xsi:type="dcterms:W3CDTF">2020-10-22T15:27:00Z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0x010100F3F9B95F2EE52B4E9FB130DEE3F78C09</vt:lpwstr>
  </property>
  <property fmtid="{D5CDD505-2E9C-101B-9397-08002B2CF9AE}" pid="3" name="AuthorIds_UIVersion_512">
    <vt:lpwstr>2633</vt:lpwstr>
  </property>
  <property fmtid="{D5CDD505-2E9C-101B-9397-08002B2CF9AE}" pid="4" name="AuthorIds_UIVersion_1536">
    <vt:lpwstr>22</vt:lpwstr>
  </property>
</Properties>
</file>