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EF583" w14:textId="7D1B0AFA" w:rsidR="00D631B8" w:rsidRPr="008E0170" w:rsidRDefault="05466C08" w:rsidP="00871E4E">
      <w:pPr>
        <w:rPr>
          <w:b/>
          <w:bCs/>
        </w:rPr>
      </w:pPr>
      <w:r w:rsidRPr="008E0170">
        <w:rPr>
          <w:b/>
          <w:bCs/>
        </w:rPr>
        <w:t>202</w:t>
      </w:r>
      <w:r w:rsidR="00991A6F" w:rsidRPr="008E0170">
        <w:rPr>
          <w:b/>
          <w:bCs/>
        </w:rPr>
        <w:t>2</w:t>
      </w:r>
      <w:r w:rsidRPr="008E0170">
        <w:rPr>
          <w:b/>
          <w:bCs/>
        </w:rPr>
        <w:t xml:space="preserve"> </w:t>
      </w:r>
      <w:r w:rsidR="00744259" w:rsidRPr="008E0170">
        <w:rPr>
          <w:b/>
          <w:bCs/>
        </w:rPr>
        <w:t xml:space="preserve">Massachusetts </w:t>
      </w:r>
      <w:r w:rsidRPr="008E0170">
        <w:rPr>
          <w:b/>
          <w:bCs/>
        </w:rPr>
        <w:t>Integrated HIV, STD, and Viral Hepatitis Surveillance Report</w:t>
      </w:r>
      <w:r w:rsidR="60FC7873" w:rsidRPr="008E0170">
        <w:rPr>
          <w:b/>
          <w:bCs/>
        </w:rPr>
        <w:t xml:space="preserve">, </w:t>
      </w:r>
    </w:p>
    <w:p w14:paraId="170F7EBC" w14:textId="77777777" w:rsidR="00464482" w:rsidRPr="008E0170" w:rsidRDefault="00464482" w:rsidP="00464482">
      <w:pPr>
        <w:spacing w:after="120"/>
        <w:rPr>
          <w:b/>
          <w:bCs/>
        </w:rPr>
      </w:pPr>
      <w:r w:rsidRPr="008E0170">
        <w:rPr>
          <w:b/>
          <w:bCs/>
        </w:rPr>
        <w:t>Accessible Version, optimized for screen reader use</w:t>
      </w:r>
    </w:p>
    <w:p w14:paraId="1F1ABB19" w14:textId="2B8C26E1" w:rsidR="034BCDF2" w:rsidRPr="008E0170" w:rsidRDefault="00464482" w:rsidP="00464482">
      <w:pPr>
        <w:spacing w:after="120"/>
        <w:rPr>
          <w:i/>
          <w:iCs/>
        </w:rPr>
      </w:pPr>
      <w:r w:rsidRPr="008E0170">
        <w:rPr>
          <w:i/>
          <w:iCs/>
        </w:rPr>
        <w:t>Please note that while the content of this report is the same as the pdf version, the format and pagination have been modified significantly to optimize use with screen readers to ensure access for blind or visually impaired audiences.</w:t>
      </w:r>
    </w:p>
    <w:p w14:paraId="78491310" w14:textId="77777777" w:rsidR="00871E4E" w:rsidRPr="008E0170" w:rsidRDefault="00871E4E" w:rsidP="00871E4E">
      <w:pPr>
        <w:rPr>
          <w:szCs w:val="24"/>
        </w:rPr>
      </w:pPr>
      <w:r w:rsidRPr="008E0170">
        <w:rPr>
          <w:szCs w:val="24"/>
        </w:rPr>
        <w:t>Massachusetts Department of Public Health</w:t>
      </w:r>
    </w:p>
    <w:p w14:paraId="266D3467" w14:textId="77777777" w:rsidR="00871E4E" w:rsidRPr="008E0170" w:rsidRDefault="00871E4E" w:rsidP="00871E4E">
      <w:pPr>
        <w:rPr>
          <w:szCs w:val="24"/>
        </w:rPr>
      </w:pPr>
      <w:r w:rsidRPr="008E0170">
        <w:rPr>
          <w:szCs w:val="24"/>
        </w:rPr>
        <w:t>Bureau of Infectious Disease and Laboratory Sciences</w:t>
      </w:r>
    </w:p>
    <w:p w14:paraId="46801EB9" w14:textId="4D7399BC" w:rsidR="00871E4E" w:rsidRPr="008E0170" w:rsidRDefault="00871E4E" w:rsidP="00871E4E">
      <w:pPr>
        <w:spacing w:after="120"/>
        <w:rPr>
          <w:szCs w:val="24"/>
        </w:rPr>
      </w:pPr>
      <w:r w:rsidRPr="008E0170">
        <w:rPr>
          <w:szCs w:val="24"/>
        </w:rPr>
        <w:t>December 202</w:t>
      </w:r>
      <w:r w:rsidR="008E0170" w:rsidRPr="008E0170">
        <w:rPr>
          <w:szCs w:val="24"/>
        </w:rPr>
        <w:t>3</w:t>
      </w:r>
    </w:p>
    <w:p w14:paraId="058ADAF8" w14:textId="207EC2E8" w:rsidR="00871E4E" w:rsidRPr="008E0170" w:rsidRDefault="00871E4E" w:rsidP="00871E4E">
      <w:pPr>
        <w:rPr>
          <w:szCs w:val="24"/>
        </w:rPr>
      </w:pPr>
      <w:r w:rsidRPr="008E0170">
        <w:rPr>
          <w:b/>
          <w:bCs/>
          <w:szCs w:val="24"/>
        </w:rPr>
        <w:t>Suggested citation:</w:t>
      </w:r>
    </w:p>
    <w:p w14:paraId="67FF0EF3" w14:textId="55A17875" w:rsidR="00871E4E" w:rsidRPr="008E0170" w:rsidRDefault="00871E4E" w:rsidP="00871E4E">
      <w:pPr>
        <w:spacing w:after="120"/>
        <w:rPr>
          <w:szCs w:val="24"/>
        </w:rPr>
      </w:pPr>
      <w:r w:rsidRPr="008E0170">
        <w:rPr>
          <w:szCs w:val="24"/>
        </w:rPr>
        <w:t>Massachusetts Department of Public Health, Bureau of Infectious Disease and Laboratory Sciences. 202</w:t>
      </w:r>
      <w:r w:rsidR="008E0170" w:rsidRPr="008E0170">
        <w:rPr>
          <w:szCs w:val="24"/>
        </w:rPr>
        <w:t>2</w:t>
      </w:r>
      <w:r w:rsidRPr="008E0170">
        <w:rPr>
          <w:szCs w:val="24"/>
        </w:rPr>
        <w:t xml:space="preserve"> </w:t>
      </w:r>
      <w:r w:rsidR="00744259" w:rsidRPr="008E0170">
        <w:rPr>
          <w:szCs w:val="24"/>
        </w:rPr>
        <w:t xml:space="preserve">Massachusetts </w:t>
      </w:r>
      <w:r w:rsidRPr="008E0170">
        <w:rPr>
          <w:szCs w:val="24"/>
        </w:rPr>
        <w:t xml:space="preserve">Integrated HIV, STD and Viral Hepatitis Surveillance Report, </w:t>
      </w:r>
      <w:hyperlink r:id="rId11" w:history="1">
        <w:r w:rsidR="008E0170" w:rsidRPr="008E0170">
          <w:rPr>
            <w:rStyle w:val="Hyperlink"/>
            <w:color w:val="3333FF"/>
            <w:szCs w:val="24"/>
          </w:rPr>
          <w:t>https://www.mass.gov/doc/2022-integrated-hiv-std-and-viral-hepatitis-report-pdf/download</w:t>
        </w:r>
      </w:hyperlink>
      <w:r w:rsidR="008E0170" w:rsidRPr="008E0170">
        <w:rPr>
          <w:color w:val="3333FF"/>
          <w:szCs w:val="24"/>
        </w:rPr>
        <w:t xml:space="preserve"> </w:t>
      </w:r>
      <w:r w:rsidRPr="008E0170">
        <w:rPr>
          <w:szCs w:val="24"/>
        </w:rPr>
        <w:t>Published December 202</w:t>
      </w:r>
      <w:r w:rsidR="008E0170" w:rsidRPr="008E0170">
        <w:rPr>
          <w:szCs w:val="24"/>
        </w:rPr>
        <w:t>3</w:t>
      </w:r>
      <w:r w:rsidRPr="008E0170">
        <w:rPr>
          <w:szCs w:val="24"/>
        </w:rPr>
        <w:t>. Accessed [date].</w:t>
      </w:r>
    </w:p>
    <w:p w14:paraId="3EED5D44" w14:textId="5E342CC0" w:rsidR="00871E4E" w:rsidRPr="008E0170" w:rsidRDefault="00871E4E" w:rsidP="00871E4E">
      <w:pPr>
        <w:rPr>
          <w:szCs w:val="24"/>
        </w:rPr>
      </w:pPr>
      <w:r w:rsidRPr="008E0170">
        <w:rPr>
          <w:b/>
          <w:bCs/>
          <w:szCs w:val="24"/>
        </w:rPr>
        <w:t>Bureau of Infectious Disease and Laboratory Sciences</w:t>
      </w:r>
      <w:r w:rsidRPr="008E0170">
        <w:rPr>
          <w:szCs w:val="24"/>
        </w:rPr>
        <w:br/>
      </w:r>
      <w:r w:rsidRPr="008E0170">
        <w:rPr>
          <w:b/>
          <w:bCs/>
          <w:szCs w:val="24"/>
        </w:rPr>
        <w:t>Massachusetts Department of Public Health</w:t>
      </w:r>
    </w:p>
    <w:p w14:paraId="331FBD24" w14:textId="77777777" w:rsidR="00871E4E" w:rsidRPr="008E0170" w:rsidRDefault="00871E4E" w:rsidP="00871E4E">
      <w:pPr>
        <w:rPr>
          <w:szCs w:val="24"/>
        </w:rPr>
      </w:pPr>
      <w:r w:rsidRPr="008E0170">
        <w:rPr>
          <w:b/>
          <w:bCs/>
          <w:szCs w:val="24"/>
        </w:rPr>
        <w:t>Jamaica Plain Campus/State Public Health Laboratory</w:t>
      </w:r>
    </w:p>
    <w:p w14:paraId="63A7D3D6" w14:textId="77777777" w:rsidR="00871E4E" w:rsidRPr="008E0170" w:rsidRDefault="00871E4E" w:rsidP="00871E4E">
      <w:pPr>
        <w:spacing w:after="120"/>
        <w:rPr>
          <w:szCs w:val="24"/>
        </w:rPr>
      </w:pPr>
      <w:r w:rsidRPr="008E0170">
        <w:rPr>
          <w:szCs w:val="24"/>
        </w:rPr>
        <w:t>305 South Street</w:t>
      </w:r>
      <w:r w:rsidRPr="008E0170">
        <w:rPr>
          <w:szCs w:val="24"/>
        </w:rPr>
        <w:br/>
        <w:t>Jamaica Plain, MA 02130</w:t>
      </w:r>
    </w:p>
    <w:p w14:paraId="387696B4" w14:textId="783D2B48" w:rsidR="00871E4E" w:rsidRPr="008E0170" w:rsidRDefault="00871E4E" w:rsidP="00871E4E">
      <w:pPr>
        <w:rPr>
          <w:szCs w:val="24"/>
        </w:rPr>
      </w:pPr>
      <w:r w:rsidRPr="008E0170">
        <w:rPr>
          <w:b/>
          <w:bCs/>
          <w:szCs w:val="24"/>
        </w:rPr>
        <w:t>Questions about this report</w:t>
      </w:r>
    </w:p>
    <w:p w14:paraId="388048B0" w14:textId="77777777" w:rsidR="00871E4E" w:rsidRPr="008E0170" w:rsidRDefault="35267A6C" w:rsidP="00871E4E">
      <w:pPr>
        <w:spacing w:after="120"/>
        <w:rPr>
          <w:szCs w:val="24"/>
        </w:rPr>
      </w:pPr>
      <w:r w:rsidRPr="008E0170">
        <w:t>Tel: (617) 983-6560</w:t>
      </w:r>
    </w:p>
    <w:p w14:paraId="1F04A6D0" w14:textId="26D90B3B" w:rsidR="5B4FBE4D" w:rsidRPr="008E0170" w:rsidRDefault="53600D4D" w:rsidP="76F421E0">
      <w:pPr>
        <w:rPr>
          <w:rFonts w:ascii="Calibri" w:eastAsia="Calibri" w:hAnsi="Calibri" w:cs="Calibri"/>
          <w:b/>
          <w:bCs/>
          <w:lang w:val="en"/>
        </w:rPr>
      </w:pPr>
      <w:r w:rsidRPr="008E0170">
        <w:rPr>
          <w:rFonts w:ascii="Calibri" w:eastAsia="Calibri" w:hAnsi="Calibri" w:cs="Calibri"/>
          <w:b/>
          <w:bCs/>
          <w:lang w:val="en"/>
        </w:rPr>
        <w:t>To reach the Reporting and Partner Services Line</w:t>
      </w:r>
      <w:r w:rsidR="5B4FBE4D" w:rsidRPr="008E0170">
        <w:rPr>
          <w:rStyle w:val="FootnoteReference"/>
          <w:rFonts w:ascii="Calibri" w:eastAsia="Calibri" w:hAnsi="Calibri" w:cs="Calibri"/>
          <w:b/>
          <w:bCs/>
          <w:lang w:val="en"/>
        </w:rPr>
        <w:footnoteReference w:id="2"/>
      </w:r>
    </w:p>
    <w:p w14:paraId="0B3AF08E" w14:textId="104E9A50" w:rsidR="5B4FBE4D" w:rsidRPr="008E0170" w:rsidRDefault="53600D4D" w:rsidP="76F421E0">
      <w:pPr>
        <w:rPr>
          <w:rFonts w:ascii="Calibri" w:eastAsia="Calibri" w:hAnsi="Calibri" w:cs="Calibri"/>
          <w:lang w:val="en"/>
        </w:rPr>
      </w:pPr>
      <w:r w:rsidRPr="008E0170">
        <w:rPr>
          <w:rFonts w:ascii="Calibri" w:eastAsia="Calibri" w:hAnsi="Calibri" w:cs="Calibri"/>
          <w:lang w:val="en"/>
        </w:rPr>
        <w:t>Tel: (617) 983-6999</w:t>
      </w:r>
    </w:p>
    <w:p w14:paraId="4DF536C3" w14:textId="35050592" w:rsidR="6DABE1AC" w:rsidRPr="008E0170" w:rsidRDefault="6DABE1AC" w:rsidP="6DABE1AC">
      <w:pPr>
        <w:rPr>
          <w:rFonts w:ascii="Calibri" w:eastAsia="Calibri" w:hAnsi="Calibri" w:cs="Calibri"/>
          <w:b/>
          <w:bCs/>
          <w:szCs w:val="24"/>
          <w:lang w:val="en"/>
        </w:rPr>
      </w:pPr>
    </w:p>
    <w:p w14:paraId="2C7164DA" w14:textId="77777777" w:rsidR="00871E4E" w:rsidRPr="008E0170" w:rsidRDefault="00871E4E" w:rsidP="00871E4E">
      <w:pPr>
        <w:rPr>
          <w:szCs w:val="24"/>
        </w:rPr>
      </w:pPr>
      <w:r w:rsidRPr="008E0170">
        <w:rPr>
          <w:b/>
          <w:bCs/>
          <w:szCs w:val="24"/>
        </w:rPr>
        <w:t xml:space="preserve">To speak to the on-call epidemiologist </w:t>
      </w:r>
    </w:p>
    <w:p w14:paraId="1536BBAA" w14:textId="77777777" w:rsidR="00871E4E" w:rsidRPr="008E0170" w:rsidRDefault="00871E4E" w:rsidP="00871E4E">
      <w:pPr>
        <w:spacing w:after="120"/>
        <w:rPr>
          <w:szCs w:val="24"/>
        </w:rPr>
      </w:pPr>
      <w:r w:rsidRPr="008E0170">
        <w:rPr>
          <w:szCs w:val="24"/>
        </w:rPr>
        <w:t xml:space="preserve">Tel: (617) 983-6800 </w:t>
      </w:r>
    </w:p>
    <w:p w14:paraId="6FCA32A2" w14:textId="77777777" w:rsidR="00871E4E" w:rsidRPr="008E0170" w:rsidRDefault="00871E4E" w:rsidP="00871E4E">
      <w:pPr>
        <w:rPr>
          <w:szCs w:val="24"/>
        </w:rPr>
      </w:pPr>
      <w:r w:rsidRPr="008E0170">
        <w:rPr>
          <w:b/>
          <w:bCs/>
          <w:szCs w:val="24"/>
        </w:rPr>
        <w:t>Questions about infectious disease reporting</w:t>
      </w:r>
    </w:p>
    <w:p w14:paraId="3B0574CD" w14:textId="77777777" w:rsidR="00871E4E" w:rsidRPr="008E0170" w:rsidRDefault="00871E4E" w:rsidP="00871E4E">
      <w:pPr>
        <w:spacing w:after="120"/>
        <w:rPr>
          <w:szCs w:val="24"/>
        </w:rPr>
      </w:pPr>
      <w:r w:rsidRPr="008E0170">
        <w:rPr>
          <w:szCs w:val="24"/>
        </w:rPr>
        <w:t>Tel: (617) 983-6801</w:t>
      </w:r>
    </w:p>
    <w:p w14:paraId="5B5EB15D" w14:textId="77777777" w:rsidR="00871E4E" w:rsidRPr="008E0170" w:rsidRDefault="00871E4E" w:rsidP="00871E4E">
      <w:pPr>
        <w:rPr>
          <w:szCs w:val="24"/>
        </w:rPr>
      </w:pPr>
      <w:r w:rsidRPr="008E0170">
        <w:rPr>
          <w:b/>
          <w:bCs/>
          <w:szCs w:val="24"/>
        </w:rPr>
        <w:t>Requests for additional data</w:t>
      </w:r>
    </w:p>
    <w:p w14:paraId="5AC73545" w14:textId="77777777" w:rsidR="00871E4E" w:rsidRPr="008E0170" w:rsidRDefault="009479A7" w:rsidP="00871E4E">
      <w:pPr>
        <w:spacing w:after="120"/>
        <w:rPr>
          <w:color w:val="3333FF"/>
          <w:szCs w:val="24"/>
        </w:rPr>
      </w:pPr>
      <w:hyperlink r:id="rId12" w:history="1">
        <w:r w:rsidR="00871E4E" w:rsidRPr="008E0170">
          <w:rPr>
            <w:rStyle w:val="Hyperlink"/>
            <w:color w:val="3333FF"/>
            <w:szCs w:val="24"/>
          </w:rPr>
          <w:t>https://www.mass.gov/lists/infectious-disease-data-reports-and-requests</w:t>
        </w:r>
      </w:hyperlink>
      <w:r w:rsidR="00871E4E" w:rsidRPr="008E0170">
        <w:rPr>
          <w:color w:val="3333FF"/>
          <w:szCs w:val="24"/>
        </w:rPr>
        <w:t xml:space="preserve"> </w:t>
      </w:r>
    </w:p>
    <w:p w14:paraId="275374E8" w14:textId="3F1AF8CA" w:rsidR="00871E4E" w:rsidRPr="008E0170" w:rsidRDefault="00871E4E" w:rsidP="00871E4E">
      <w:pPr>
        <w:rPr>
          <w:szCs w:val="24"/>
        </w:rPr>
      </w:pPr>
      <w:r w:rsidRPr="008E0170">
        <w:rPr>
          <w:b/>
          <w:bCs/>
          <w:szCs w:val="24"/>
        </w:rPr>
        <w:t>Slide set for 202</w:t>
      </w:r>
      <w:r w:rsidR="008E0170" w:rsidRPr="008E0170">
        <w:rPr>
          <w:b/>
          <w:bCs/>
          <w:szCs w:val="24"/>
        </w:rPr>
        <w:t>2</w:t>
      </w:r>
      <w:r w:rsidRPr="008E0170">
        <w:rPr>
          <w:b/>
          <w:bCs/>
          <w:szCs w:val="24"/>
        </w:rPr>
        <w:t xml:space="preserve"> Integrated Report</w:t>
      </w:r>
    </w:p>
    <w:p w14:paraId="47B89DC8" w14:textId="77777777" w:rsidR="00871E4E" w:rsidRPr="008E0170" w:rsidRDefault="009479A7" w:rsidP="00871E4E">
      <w:pPr>
        <w:spacing w:after="120"/>
        <w:rPr>
          <w:color w:val="3333FF"/>
          <w:szCs w:val="24"/>
        </w:rPr>
      </w:pPr>
      <w:hyperlink r:id="rId13" w:history="1">
        <w:r w:rsidR="00871E4E" w:rsidRPr="008E0170">
          <w:rPr>
            <w:rStyle w:val="Hyperlink"/>
            <w:color w:val="3333FF"/>
            <w:szCs w:val="24"/>
          </w:rPr>
          <w:t>https://www.mass.gov/lists/std-data-and-reports</w:t>
        </w:r>
      </w:hyperlink>
    </w:p>
    <w:p w14:paraId="07012742" w14:textId="35050C66" w:rsidR="00A360E9" w:rsidRPr="00EC1AAE" w:rsidRDefault="00871E4E" w:rsidP="00871E4E">
      <w:pPr>
        <w:spacing w:after="120"/>
        <w:rPr>
          <w:color w:val="3333FF"/>
          <w:szCs w:val="24"/>
        </w:rPr>
      </w:pPr>
      <w:r w:rsidRPr="008E0170">
        <w:rPr>
          <w:b/>
          <w:bCs/>
          <w:color w:val="000000" w:themeColor="text1"/>
          <w:szCs w:val="24"/>
        </w:rPr>
        <w:t xml:space="preserve">For additional contact information see </w:t>
      </w:r>
      <w:hyperlink w:anchor="_HIV,_STD,_AND_1" w:history="1">
        <w:r w:rsidR="001A56F5" w:rsidRPr="00042408">
          <w:rPr>
            <w:rStyle w:val="Hyperlink"/>
            <w:color w:val="3333FF"/>
            <w:szCs w:val="24"/>
          </w:rPr>
          <w:t>HIV, STD, and Viral Hepatitis Program Staff Contact Information</w:t>
        </w:r>
      </w:hyperlink>
      <w:r w:rsidR="00A360E9" w:rsidRPr="00042408">
        <w:rPr>
          <w:color w:val="FF0000"/>
          <w:szCs w:val="24"/>
        </w:rPr>
        <w:br w:type="page"/>
      </w:r>
    </w:p>
    <w:p w14:paraId="4153B87F" w14:textId="77777777" w:rsidR="00871E4E" w:rsidRPr="00F716E7" w:rsidRDefault="00871E4E" w:rsidP="00871E4E"/>
    <w:p w14:paraId="47FEE060" w14:textId="4F84FCFB" w:rsidR="00F716E7" w:rsidRPr="00F716E7" w:rsidRDefault="00F716E7" w:rsidP="00871E4E">
      <w:pPr>
        <w:rPr>
          <w:b/>
          <w:bCs/>
        </w:rPr>
      </w:pPr>
      <w:r w:rsidRPr="00F716E7">
        <w:rPr>
          <w:b/>
          <w:bCs/>
        </w:rPr>
        <w:t>ACKNOWLEDGMENTS</w:t>
      </w:r>
    </w:p>
    <w:p w14:paraId="1C408652" w14:textId="77777777" w:rsidR="00F716E7" w:rsidRPr="00F716E7" w:rsidRDefault="00F716E7" w:rsidP="00871E4E"/>
    <w:p w14:paraId="70DA286A" w14:textId="77777777" w:rsidR="000A384E" w:rsidRDefault="000A384E" w:rsidP="000A384E">
      <w:pPr>
        <w:rPr>
          <w:szCs w:val="24"/>
        </w:rPr>
      </w:pPr>
      <w:r>
        <w:rPr>
          <w:szCs w:val="24"/>
        </w:rPr>
        <w:t>We are grateful to healthcare providers and laboratories across the Commonwealth who report HIV, STI, and viral hepatitis diagnoses and corresponding clinical information to the Massachusetts Department of Health (MDPH), Bureau of Infectious Disease and Laboratory Sciences (BIDLS). These reports are essential to perform timely epidemiologic investigations and to inform an effective public health response. We also wish to acknowledge the contributions of the many program staff within BIDLS who collect, manage, maintain, and analyze this information and who reviewed draft sections relevant to their areas of expertise. </w:t>
      </w:r>
    </w:p>
    <w:p w14:paraId="537852DF" w14:textId="77777777" w:rsidR="00F716E7" w:rsidRPr="00F716E7" w:rsidRDefault="00F716E7" w:rsidP="00871E4E"/>
    <w:p w14:paraId="1D7EC278" w14:textId="77777777" w:rsidR="00F716E7" w:rsidRDefault="00F716E7" w:rsidP="00871E4E">
      <w:pPr>
        <w:rPr>
          <w:color w:val="FF0000"/>
        </w:rPr>
      </w:pPr>
    </w:p>
    <w:p w14:paraId="7F7649F0" w14:textId="77777777" w:rsidR="00F716E7" w:rsidRPr="00991A6F" w:rsidRDefault="00F716E7" w:rsidP="00F716E7">
      <w:pPr>
        <w:rPr>
          <w:color w:val="FF0000"/>
        </w:rPr>
        <w:sectPr w:rsidR="00F716E7" w:rsidRPr="00991A6F" w:rsidSect="00E966E3">
          <w:footerReference w:type="default" r:id="rId14"/>
          <w:pgSz w:w="12240" w:h="15840"/>
          <w:pgMar w:top="1440" w:right="1440" w:bottom="1440" w:left="1440" w:header="720" w:footer="720" w:gutter="0"/>
          <w:cols w:space="720"/>
          <w:titlePg/>
          <w:docGrid w:linePitch="360"/>
        </w:sectPr>
      </w:pPr>
    </w:p>
    <w:p w14:paraId="0241CBF8" w14:textId="77FF6B01" w:rsidR="0016095F" w:rsidRPr="00991A6F" w:rsidRDefault="0016095F" w:rsidP="00871E4E">
      <w:pPr>
        <w:rPr>
          <w:color w:val="FF0000"/>
        </w:rPr>
      </w:pPr>
    </w:p>
    <w:sdt>
      <w:sdtPr>
        <w:rPr>
          <w:rFonts w:asciiTheme="minorHAnsi" w:eastAsiaTheme="minorHAnsi" w:hAnsiTheme="minorHAnsi" w:cstheme="minorBidi"/>
          <w:b w:val="0"/>
          <w:color w:val="auto"/>
          <w:sz w:val="24"/>
          <w:szCs w:val="22"/>
        </w:rPr>
        <w:id w:val="1821979046"/>
        <w:docPartObj>
          <w:docPartGallery w:val="Table of Contents"/>
          <w:docPartUnique/>
        </w:docPartObj>
      </w:sdtPr>
      <w:sdtEndPr/>
      <w:sdtContent>
        <w:p w14:paraId="1F5A6DB3" w14:textId="5A7953AE" w:rsidR="00871E4E" w:rsidRPr="00B302F2" w:rsidRDefault="00871E4E">
          <w:pPr>
            <w:pStyle w:val="TOCHeading"/>
          </w:pPr>
          <w:r>
            <w:t>Contents</w:t>
          </w:r>
        </w:p>
        <w:p w14:paraId="1ED44C5E" w14:textId="17FB1D95" w:rsidR="00F72AE2" w:rsidRDefault="00E87AA7">
          <w:pPr>
            <w:pStyle w:val="TOC1"/>
            <w:tabs>
              <w:tab w:val="right" w:leader="dot" w:pos="9350"/>
            </w:tabs>
            <w:rPr>
              <w:rFonts w:eastAsiaTheme="minorEastAsia"/>
              <w:noProof/>
              <w:kern w:val="2"/>
              <w:sz w:val="22"/>
              <w14:ligatures w14:val="standardContextual"/>
            </w:rPr>
          </w:pPr>
          <w:r>
            <w:fldChar w:fldCharType="begin"/>
          </w:r>
          <w:r w:rsidR="00871E4E">
            <w:instrText>TOC \o "1-3" \h \z \u</w:instrText>
          </w:r>
          <w:r>
            <w:fldChar w:fldCharType="separate"/>
          </w:r>
          <w:hyperlink w:anchor="_Toc154057104" w:history="1">
            <w:r w:rsidR="00F72AE2" w:rsidRPr="005F52B3">
              <w:rPr>
                <w:rStyle w:val="Hyperlink"/>
                <w:noProof/>
              </w:rPr>
              <w:t>LIST OF COMMONLY USED ACRONYMS</w:t>
            </w:r>
            <w:r w:rsidR="00F72AE2">
              <w:rPr>
                <w:noProof/>
                <w:webHidden/>
              </w:rPr>
              <w:tab/>
            </w:r>
            <w:r w:rsidR="00F72AE2">
              <w:rPr>
                <w:noProof/>
                <w:webHidden/>
              </w:rPr>
              <w:fldChar w:fldCharType="begin"/>
            </w:r>
            <w:r w:rsidR="00F72AE2">
              <w:rPr>
                <w:noProof/>
                <w:webHidden/>
              </w:rPr>
              <w:instrText xml:space="preserve"> PAGEREF _Toc154057104 \h </w:instrText>
            </w:r>
            <w:r w:rsidR="00F72AE2">
              <w:rPr>
                <w:noProof/>
                <w:webHidden/>
              </w:rPr>
            </w:r>
            <w:r w:rsidR="00F72AE2">
              <w:rPr>
                <w:noProof/>
                <w:webHidden/>
              </w:rPr>
              <w:fldChar w:fldCharType="separate"/>
            </w:r>
            <w:r w:rsidR="00F72AE2">
              <w:rPr>
                <w:noProof/>
                <w:webHidden/>
              </w:rPr>
              <w:t>iv</w:t>
            </w:r>
            <w:r w:rsidR="00F72AE2">
              <w:rPr>
                <w:noProof/>
                <w:webHidden/>
              </w:rPr>
              <w:fldChar w:fldCharType="end"/>
            </w:r>
          </w:hyperlink>
        </w:p>
        <w:p w14:paraId="51828385" w14:textId="3847B9EF" w:rsidR="00F72AE2" w:rsidRDefault="009479A7">
          <w:pPr>
            <w:pStyle w:val="TOC1"/>
            <w:tabs>
              <w:tab w:val="right" w:leader="dot" w:pos="9350"/>
            </w:tabs>
            <w:rPr>
              <w:rFonts w:eastAsiaTheme="minorEastAsia"/>
              <w:noProof/>
              <w:kern w:val="2"/>
              <w:sz w:val="22"/>
              <w14:ligatures w14:val="standardContextual"/>
            </w:rPr>
          </w:pPr>
          <w:hyperlink w:anchor="_Toc154057105" w:history="1">
            <w:r w:rsidR="00F72AE2" w:rsidRPr="005F52B3">
              <w:rPr>
                <w:rStyle w:val="Hyperlink"/>
                <w:noProof/>
              </w:rPr>
              <w:t>KEY HIGHLIGHTS</w:t>
            </w:r>
            <w:r w:rsidR="00F72AE2">
              <w:rPr>
                <w:noProof/>
                <w:webHidden/>
              </w:rPr>
              <w:tab/>
            </w:r>
            <w:r w:rsidR="00F72AE2">
              <w:rPr>
                <w:noProof/>
                <w:webHidden/>
              </w:rPr>
              <w:fldChar w:fldCharType="begin"/>
            </w:r>
            <w:r w:rsidR="00F72AE2">
              <w:rPr>
                <w:noProof/>
                <w:webHidden/>
              </w:rPr>
              <w:instrText xml:space="preserve"> PAGEREF _Toc154057105 \h </w:instrText>
            </w:r>
            <w:r w:rsidR="00F72AE2">
              <w:rPr>
                <w:noProof/>
                <w:webHidden/>
              </w:rPr>
            </w:r>
            <w:r w:rsidR="00F72AE2">
              <w:rPr>
                <w:noProof/>
                <w:webHidden/>
              </w:rPr>
              <w:fldChar w:fldCharType="separate"/>
            </w:r>
            <w:r w:rsidR="00F72AE2">
              <w:rPr>
                <w:noProof/>
                <w:webHidden/>
              </w:rPr>
              <w:t>1</w:t>
            </w:r>
            <w:r w:rsidR="00F72AE2">
              <w:rPr>
                <w:noProof/>
                <w:webHidden/>
              </w:rPr>
              <w:fldChar w:fldCharType="end"/>
            </w:r>
          </w:hyperlink>
        </w:p>
        <w:p w14:paraId="16FC6933" w14:textId="6ACD9418" w:rsidR="00F72AE2" w:rsidRDefault="009479A7">
          <w:pPr>
            <w:pStyle w:val="TOC1"/>
            <w:tabs>
              <w:tab w:val="right" w:leader="dot" w:pos="9350"/>
            </w:tabs>
            <w:rPr>
              <w:rFonts w:eastAsiaTheme="minorEastAsia"/>
              <w:noProof/>
              <w:kern w:val="2"/>
              <w:sz w:val="22"/>
              <w14:ligatures w14:val="standardContextual"/>
            </w:rPr>
          </w:pPr>
          <w:hyperlink w:anchor="_Toc154057106" w:history="1">
            <w:r w:rsidR="00F72AE2" w:rsidRPr="005F52B3">
              <w:rPr>
                <w:rStyle w:val="Hyperlink"/>
                <w:noProof/>
              </w:rPr>
              <w:t>CHLAMYDIA</w:t>
            </w:r>
            <w:r w:rsidR="00F72AE2">
              <w:rPr>
                <w:noProof/>
                <w:webHidden/>
              </w:rPr>
              <w:tab/>
            </w:r>
            <w:r w:rsidR="00F72AE2">
              <w:rPr>
                <w:noProof/>
                <w:webHidden/>
              </w:rPr>
              <w:fldChar w:fldCharType="begin"/>
            </w:r>
            <w:r w:rsidR="00F72AE2">
              <w:rPr>
                <w:noProof/>
                <w:webHidden/>
              </w:rPr>
              <w:instrText xml:space="preserve"> PAGEREF _Toc154057106 \h </w:instrText>
            </w:r>
            <w:r w:rsidR="00F72AE2">
              <w:rPr>
                <w:noProof/>
                <w:webHidden/>
              </w:rPr>
            </w:r>
            <w:r w:rsidR="00F72AE2">
              <w:rPr>
                <w:noProof/>
                <w:webHidden/>
              </w:rPr>
              <w:fldChar w:fldCharType="separate"/>
            </w:r>
            <w:r w:rsidR="00F72AE2">
              <w:rPr>
                <w:noProof/>
                <w:webHidden/>
              </w:rPr>
              <w:t>5</w:t>
            </w:r>
            <w:r w:rsidR="00F72AE2">
              <w:rPr>
                <w:noProof/>
                <w:webHidden/>
              </w:rPr>
              <w:fldChar w:fldCharType="end"/>
            </w:r>
          </w:hyperlink>
        </w:p>
        <w:p w14:paraId="6C5C81DF" w14:textId="32A6F4F3" w:rsidR="00F72AE2" w:rsidRDefault="009479A7">
          <w:pPr>
            <w:pStyle w:val="TOC2"/>
            <w:tabs>
              <w:tab w:val="right" w:leader="dot" w:pos="9350"/>
            </w:tabs>
            <w:rPr>
              <w:rFonts w:eastAsiaTheme="minorEastAsia"/>
              <w:noProof/>
              <w:kern w:val="2"/>
              <w:sz w:val="22"/>
              <w14:ligatures w14:val="standardContextual"/>
            </w:rPr>
          </w:pPr>
          <w:hyperlink w:anchor="_Toc154057107" w:history="1">
            <w:r w:rsidR="00F72AE2" w:rsidRPr="005F52B3">
              <w:rPr>
                <w:rStyle w:val="Hyperlink"/>
                <w:noProof/>
              </w:rPr>
              <w:t>CHLAMYDIA BY GENDER</w:t>
            </w:r>
            <w:r w:rsidR="00F72AE2">
              <w:rPr>
                <w:noProof/>
                <w:webHidden/>
              </w:rPr>
              <w:tab/>
            </w:r>
            <w:r w:rsidR="00F72AE2">
              <w:rPr>
                <w:noProof/>
                <w:webHidden/>
              </w:rPr>
              <w:fldChar w:fldCharType="begin"/>
            </w:r>
            <w:r w:rsidR="00F72AE2">
              <w:rPr>
                <w:noProof/>
                <w:webHidden/>
              </w:rPr>
              <w:instrText xml:space="preserve"> PAGEREF _Toc154057107 \h </w:instrText>
            </w:r>
            <w:r w:rsidR="00F72AE2">
              <w:rPr>
                <w:noProof/>
                <w:webHidden/>
              </w:rPr>
            </w:r>
            <w:r w:rsidR="00F72AE2">
              <w:rPr>
                <w:noProof/>
                <w:webHidden/>
              </w:rPr>
              <w:fldChar w:fldCharType="separate"/>
            </w:r>
            <w:r w:rsidR="00F72AE2">
              <w:rPr>
                <w:noProof/>
                <w:webHidden/>
              </w:rPr>
              <w:t>5</w:t>
            </w:r>
            <w:r w:rsidR="00F72AE2">
              <w:rPr>
                <w:noProof/>
                <w:webHidden/>
              </w:rPr>
              <w:fldChar w:fldCharType="end"/>
            </w:r>
          </w:hyperlink>
        </w:p>
        <w:p w14:paraId="33EF38A1" w14:textId="1B27C89C" w:rsidR="00F72AE2" w:rsidRDefault="009479A7">
          <w:pPr>
            <w:pStyle w:val="TOC2"/>
            <w:tabs>
              <w:tab w:val="right" w:leader="dot" w:pos="9350"/>
            </w:tabs>
            <w:rPr>
              <w:rFonts w:eastAsiaTheme="minorEastAsia"/>
              <w:noProof/>
              <w:kern w:val="2"/>
              <w:sz w:val="22"/>
              <w14:ligatures w14:val="standardContextual"/>
            </w:rPr>
          </w:pPr>
          <w:hyperlink w:anchor="_Toc154057108" w:history="1">
            <w:r w:rsidR="00F72AE2" w:rsidRPr="005F52B3">
              <w:rPr>
                <w:rStyle w:val="Hyperlink"/>
                <w:noProof/>
              </w:rPr>
              <w:t>CHLAMYDIA BY AGE</w:t>
            </w:r>
            <w:r w:rsidR="00F72AE2">
              <w:rPr>
                <w:noProof/>
                <w:webHidden/>
              </w:rPr>
              <w:tab/>
            </w:r>
            <w:r w:rsidR="00F72AE2">
              <w:rPr>
                <w:noProof/>
                <w:webHidden/>
              </w:rPr>
              <w:fldChar w:fldCharType="begin"/>
            </w:r>
            <w:r w:rsidR="00F72AE2">
              <w:rPr>
                <w:noProof/>
                <w:webHidden/>
              </w:rPr>
              <w:instrText xml:space="preserve"> PAGEREF _Toc154057108 \h </w:instrText>
            </w:r>
            <w:r w:rsidR="00F72AE2">
              <w:rPr>
                <w:noProof/>
                <w:webHidden/>
              </w:rPr>
            </w:r>
            <w:r w:rsidR="00F72AE2">
              <w:rPr>
                <w:noProof/>
                <w:webHidden/>
              </w:rPr>
              <w:fldChar w:fldCharType="separate"/>
            </w:r>
            <w:r w:rsidR="00F72AE2">
              <w:rPr>
                <w:noProof/>
                <w:webHidden/>
              </w:rPr>
              <w:t>7</w:t>
            </w:r>
            <w:r w:rsidR="00F72AE2">
              <w:rPr>
                <w:noProof/>
                <w:webHidden/>
              </w:rPr>
              <w:fldChar w:fldCharType="end"/>
            </w:r>
          </w:hyperlink>
        </w:p>
        <w:p w14:paraId="7B5C52A0" w14:textId="70AFBE99" w:rsidR="00F72AE2" w:rsidRDefault="009479A7">
          <w:pPr>
            <w:pStyle w:val="TOC2"/>
            <w:tabs>
              <w:tab w:val="right" w:leader="dot" w:pos="9350"/>
            </w:tabs>
            <w:rPr>
              <w:rFonts w:eastAsiaTheme="minorEastAsia"/>
              <w:noProof/>
              <w:kern w:val="2"/>
              <w:sz w:val="22"/>
              <w14:ligatures w14:val="standardContextual"/>
            </w:rPr>
          </w:pPr>
          <w:hyperlink w:anchor="_Toc154057109" w:history="1">
            <w:r w:rsidR="00F72AE2" w:rsidRPr="005F52B3">
              <w:rPr>
                <w:rStyle w:val="Hyperlink"/>
                <w:noProof/>
              </w:rPr>
              <w:t>CHLAMYDIA BY AVERAGE AGE AND GENDER</w:t>
            </w:r>
            <w:r w:rsidR="00F72AE2">
              <w:rPr>
                <w:noProof/>
                <w:webHidden/>
              </w:rPr>
              <w:tab/>
            </w:r>
            <w:r w:rsidR="00F72AE2">
              <w:rPr>
                <w:noProof/>
                <w:webHidden/>
              </w:rPr>
              <w:fldChar w:fldCharType="begin"/>
            </w:r>
            <w:r w:rsidR="00F72AE2">
              <w:rPr>
                <w:noProof/>
                <w:webHidden/>
              </w:rPr>
              <w:instrText xml:space="preserve"> PAGEREF _Toc154057109 \h </w:instrText>
            </w:r>
            <w:r w:rsidR="00F72AE2">
              <w:rPr>
                <w:noProof/>
                <w:webHidden/>
              </w:rPr>
            </w:r>
            <w:r w:rsidR="00F72AE2">
              <w:rPr>
                <w:noProof/>
                <w:webHidden/>
              </w:rPr>
              <w:fldChar w:fldCharType="separate"/>
            </w:r>
            <w:r w:rsidR="00F72AE2">
              <w:rPr>
                <w:noProof/>
                <w:webHidden/>
              </w:rPr>
              <w:t>8</w:t>
            </w:r>
            <w:r w:rsidR="00F72AE2">
              <w:rPr>
                <w:noProof/>
                <w:webHidden/>
              </w:rPr>
              <w:fldChar w:fldCharType="end"/>
            </w:r>
          </w:hyperlink>
        </w:p>
        <w:p w14:paraId="1FDAB1AC" w14:textId="7E2E2EF5" w:rsidR="00F72AE2" w:rsidRDefault="009479A7">
          <w:pPr>
            <w:pStyle w:val="TOC2"/>
            <w:tabs>
              <w:tab w:val="right" w:leader="dot" w:pos="9350"/>
            </w:tabs>
            <w:rPr>
              <w:rFonts w:eastAsiaTheme="minorEastAsia"/>
              <w:noProof/>
              <w:kern w:val="2"/>
              <w:sz w:val="22"/>
              <w14:ligatures w14:val="standardContextual"/>
            </w:rPr>
          </w:pPr>
          <w:hyperlink w:anchor="_Toc154057110" w:history="1">
            <w:r w:rsidR="00F72AE2" w:rsidRPr="005F52B3">
              <w:rPr>
                <w:rStyle w:val="Hyperlink"/>
                <w:noProof/>
              </w:rPr>
              <w:t>CHLAMYDIA BY CITY/TOWN</w:t>
            </w:r>
            <w:r w:rsidR="00F72AE2">
              <w:rPr>
                <w:noProof/>
                <w:webHidden/>
              </w:rPr>
              <w:tab/>
            </w:r>
            <w:r w:rsidR="00F72AE2">
              <w:rPr>
                <w:noProof/>
                <w:webHidden/>
              </w:rPr>
              <w:fldChar w:fldCharType="begin"/>
            </w:r>
            <w:r w:rsidR="00F72AE2">
              <w:rPr>
                <w:noProof/>
                <w:webHidden/>
              </w:rPr>
              <w:instrText xml:space="preserve"> PAGEREF _Toc154057110 \h </w:instrText>
            </w:r>
            <w:r w:rsidR="00F72AE2">
              <w:rPr>
                <w:noProof/>
                <w:webHidden/>
              </w:rPr>
            </w:r>
            <w:r w:rsidR="00F72AE2">
              <w:rPr>
                <w:noProof/>
                <w:webHidden/>
              </w:rPr>
              <w:fldChar w:fldCharType="separate"/>
            </w:r>
            <w:r w:rsidR="00F72AE2">
              <w:rPr>
                <w:noProof/>
                <w:webHidden/>
              </w:rPr>
              <w:t>9</w:t>
            </w:r>
            <w:r w:rsidR="00F72AE2">
              <w:rPr>
                <w:noProof/>
                <w:webHidden/>
              </w:rPr>
              <w:fldChar w:fldCharType="end"/>
            </w:r>
          </w:hyperlink>
        </w:p>
        <w:p w14:paraId="23DEDC8B" w14:textId="241EC55D" w:rsidR="00F72AE2" w:rsidRDefault="009479A7">
          <w:pPr>
            <w:pStyle w:val="TOC2"/>
            <w:tabs>
              <w:tab w:val="right" w:leader="dot" w:pos="9350"/>
            </w:tabs>
            <w:rPr>
              <w:rFonts w:eastAsiaTheme="minorEastAsia"/>
              <w:noProof/>
              <w:kern w:val="2"/>
              <w:sz w:val="22"/>
              <w14:ligatures w14:val="standardContextual"/>
            </w:rPr>
          </w:pPr>
          <w:hyperlink w:anchor="_Toc154057111" w:history="1">
            <w:r w:rsidR="00F72AE2" w:rsidRPr="005F52B3">
              <w:rPr>
                <w:rStyle w:val="Hyperlink"/>
                <w:noProof/>
              </w:rPr>
              <w:t>SVI AMONG CHLAMYDIA CASES BY CITY/TOWN</w:t>
            </w:r>
            <w:r w:rsidR="00F72AE2">
              <w:rPr>
                <w:noProof/>
                <w:webHidden/>
              </w:rPr>
              <w:tab/>
            </w:r>
            <w:r w:rsidR="00F72AE2">
              <w:rPr>
                <w:noProof/>
                <w:webHidden/>
              </w:rPr>
              <w:fldChar w:fldCharType="begin"/>
            </w:r>
            <w:r w:rsidR="00F72AE2">
              <w:rPr>
                <w:noProof/>
                <w:webHidden/>
              </w:rPr>
              <w:instrText xml:space="preserve"> PAGEREF _Toc154057111 \h </w:instrText>
            </w:r>
            <w:r w:rsidR="00F72AE2">
              <w:rPr>
                <w:noProof/>
                <w:webHidden/>
              </w:rPr>
            </w:r>
            <w:r w:rsidR="00F72AE2">
              <w:rPr>
                <w:noProof/>
                <w:webHidden/>
              </w:rPr>
              <w:fldChar w:fldCharType="separate"/>
            </w:r>
            <w:r w:rsidR="00F72AE2">
              <w:rPr>
                <w:noProof/>
                <w:webHidden/>
              </w:rPr>
              <w:t>11</w:t>
            </w:r>
            <w:r w:rsidR="00F72AE2">
              <w:rPr>
                <w:noProof/>
                <w:webHidden/>
              </w:rPr>
              <w:fldChar w:fldCharType="end"/>
            </w:r>
          </w:hyperlink>
        </w:p>
        <w:p w14:paraId="37BF77CB" w14:textId="66078C73" w:rsidR="00F72AE2" w:rsidRDefault="009479A7">
          <w:pPr>
            <w:pStyle w:val="TOC1"/>
            <w:tabs>
              <w:tab w:val="right" w:leader="dot" w:pos="9350"/>
            </w:tabs>
            <w:rPr>
              <w:rFonts w:eastAsiaTheme="minorEastAsia"/>
              <w:noProof/>
              <w:kern w:val="2"/>
              <w:sz w:val="22"/>
              <w14:ligatures w14:val="standardContextual"/>
            </w:rPr>
          </w:pPr>
          <w:hyperlink w:anchor="_Toc154057112" w:history="1">
            <w:r w:rsidR="00F72AE2" w:rsidRPr="005F52B3">
              <w:rPr>
                <w:rStyle w:val="Hyperlink"/>
                <w:noProof/>
              </w:rPr>
              <w:t>GONORRHEA</w:t>
            </w:r>
            <w:r w:rsidR="00F72AE2">
              <w:rPr>
                <w:noProof/>
                <w:webHidden/>
              </w:rPr>
              <w:tab/>
            </w:r>
            <w:r w:rsidR="00F72AE2">
              <w:rPr>
                <w:noProof/>
                <w:webHidden/>
              </w:rPr>
              <w:fldChar w:fldCharType="begin"/>
            </w:r>
            <w:r w:rsidR="00F72AE2">
              <w:rPr>
                <w:noProof/>
                <w:webHidden/>
              </w:rPr>
              <w:instrText xml:space="preserve"> PAGEREF _Toc154057112 \h </w:instrText>
            </w:r>
            <w:r w:rsidR="00F72AE2">
              <w:rPr>
                <w:noProof/>
                <w:webHidden/>
              </w:rPr>
            </w:r>
            <w:r w:rsidR="00F72AE2">
              <w:rPr>
                <w:noProof/>
                <w:webHidden/>
              </w:rPr>
              <w:fldChar w:fldCharType="separate"/>
            </w:r>
            <w:r w:rsidR="00F72AE2">
              <w:rPr>
                <w:noProof/>
                <w:webHidden/>
              </w:rPr>
              <w:t>13</w:t>
            </w:r>
            <w:r w:rsidR="00F72AE2">
              <w:rPr>
                <w:noProof/>
                <w:webHidden/>
              </w:rPr>
              <w:fldChar w:fldCharType="end"/>
            </w:r>
          </w:hyperlink>
        </w:p>
        <w:p w14:paraId="47638288" w14:textId="69BCB4A1" w:rsidR="00F72AE2" w:rsidRDefault="009479A7">
          <w:pPr>
            <w:pStyle w:val="TOC2"/>
            <w:tabs>
              <w:tab w:val="right" w:leader="dot" w:pos="9350"/>
            </w:tabs>
            <w:rPr>
              <w:rFonts w:eastAsiaTheme="minorEastAsia"/>
              <w:noProof/>
              <w:kern w:val="2"/>
              <w:sz w:val="22"/>
              <w14:ligatures w14:val="standardContextual"/>
            </w:rPr>
          </w:pPr>
          <w:hyperlink w:anchor="_Toc154057113" w:history="1">
            <w:r w:rsidR="00F72AE2" w:rsidRPr="005F52B3">
              <w:rPr>
                <w:rStyle w:val="Hyperlink"/>
                <w:noProof/>
              </w:rPr>
              <w:t>GONORRHEA BY GENDER</w:t>
            </w:r>
            <w:r w:rsidR="00F72AE2">
              <w:rPr>
                <w:noProof/>
                <w:webHidden/>
              </w:rPr>
              <w:tab/>
            </w:r>
            <w:r w:rsidR="00F72AE2">
              <w:rPr>
                <w:noProof/>
                <w:webHidden/>
              </w:rPr>
              <w:fldChar w:fldCharType="begin"/>
            </w:r>
            <w:r w:rsidR="00F72AE2">
              <w:rPr>
                <w:noProof/>
                <w:webHidden/>
              </w:rPr>
              <w:instrText xml:space="preserve"> PAGEREF _Toc154057113 \h </w:instrText>
            </w:r>
            <w:r w:rsidR="00F72AE2">
              <w:rPr>
                <w:noProof/>
                <w:webHidden/>
              </w:rPr>
            </w:r>
            <w:r w:rsidR="00F72AE2">
              <w:rPr>
                <w:noProof/>
                <w:webHidden/>
              </w:rPr>
              <w:fldChar w:fldCharType="separate"/>
            </w:r>
            <w:r w:rsidR="00F72AE2">
              <w:rPr>
                <w:noProof/>
                <w:webHidden/>
              </w:rPr>
              <w:t>13</w:t>
            </w:r>
            <w:r w:rsidR="00F72AE2">
              <w:rPr>
                <w:noProof/>
                <w:webHidden/>
              </w:rPr>
              <w:fldChar w:fldCharType="end"/>
            </w:r>
          </w:hyperlink>
        </w:p>
        <w:p w14:paraId="4F9388CD" w14:textId="32262B3B" w:rsidR="00F72AE2" w:rsidRDefault="009479A7">
          <w:pPr>
            <w:pStyle w:val="TOC2"/>
            <w:tabs>
              <w:tab w:val="right" w:leader="dot" w:pos="9350"/>
            </w:tabs>
            <w:rPr>
              <w:rFonts w:eastAsiaTheme="minorEastAsia"/>
              <w:noProof/>
              <w:kern w:val="2"/>
              <w:sz w:val="22"/>
              <w14:ligatures w14:val="standardContextual"/>
            </w:rPr>
          </w:pPr>
          <w:hyperlink w:anchor="_Toc154057114" w:history="1">
            <w:r w:rsidR="00F72AE2" w:rsidRPr="005F52B3">
              <w:rPr>
                <w:rStyle w:val="Hyperlink"/>
                <w:noProof/>
              </w:rPr>
              <w:t>GONORRHEA BY AGE</w:t>
            </w:r>
            <w:r w:rsidR="00F72AE2">
              <w:rPr>
                <w:noProof/>
                <w:webHidden/>
              </w:rPr>
              <w:tab/>
            </w:r>
            <w:r w:rsidR="00F72AE2">
              <w:rPr>
                <w:noProof/>
                <w:webHidden/>
              </w:rPr>
              <w:fldChar w:fldCharType="begin"/>
            </w:r>
            <w:r w:rsidR="00F72AE2">
              <w:rPr>
                <w:noProof/>
                <w:webHidden/>
              </w:rPr>
              <w:instrText xml:space="preserve"> PAGEREF _Toc154057114 \h </w:instrText>
            </w:r>
            <w:r w:rsidR="00F72AE2">
              <w:rPr>
                <w:noProof/>
                <w:webHidden/>
              </w:rPr>
            </w:r>
            <w:r w:rsidR="00F72AE2">
              <w:rPr>
                <w:noProof/>
                <w:webHidden/>
              </w:rPr>
              <w:fldChar w:fldCharType="separate"/>
            </w:r>
            <w:r w:rsidR="00F72AE2">
              <w:rPr>
                <w:noProof/>
                <w:webHidden/>
              </w:rPr>
              <w:t>15</w:t>
            </w:r>
            <w:r w:rsidR="00F72AE2">
              <w:rPr>
                <w:noProof/>
                <w:webHidden/>
              </w:rPr>
              <w:fldChar w:fldCharType="end"/>
            </w:r>
          </w:hyperlink>
        </w:p>
        <w:p w14:paraId="69F401CD" w14:textId="04A480BC" w:rsidR="00F72AE2" w:rsidRDefault="009479A7">
          <w:pPr>
            <w:pStyle w:val="TOC2"/>
            <w:tabs>
              <w:tab w:val="right" w:leader="dot" w:pos="9350"/>
            </w:tabs>
            <w:rPr>
              <w:rFonts w:eastAsiaTheme="minorEastAsia"/>
              <w:noProof/>
              <w:kern w:val="2"/>
              <w:sz w:val="22"/>
              <w14:ligatures w14:val="standardContextual"/>
            </w:rPr>
          </w:pPr>
          <w:hyperlink w:anchor="_Toc154057115" w:history="1">
            <w:r w:rsidR="00F72AE2" w:rsidRPr="005F52B3">
              <w:rPr>
                <w:rStyle w:val="Hyperlink"/>
                <w:noProof/>
              </w:rPr>
              <w:t>GONORRHEA BY CITY/TOWN</w:t>
            </w:r>
            <w:r w:rsidR="00F72AE2">
              <w:rPr>
                <w:noProof/>
                <w:webHidden/>
              </w:rPr>
              <w:tab/>
            </w:r>
            <w:r w:rsidR="00F72AE2">
              <w:rPr>
                <w:noProof/>
                <w:webHidden/>
              </w:rPr>
              <w:fldChar w:fldCharType="begin"/>
            </w:r>
            <w:r w:rsidR="00F72AE2">
              <w:rPr>
                <w:noProof/>
                <w:webHidden/>
              </w:rPr>
              <w:instrText xml:space="preserve"> PAGEREF _Toc154057115 \h </w:instrText>
            </w:r>
            <w:r w:rsidR="00F72AE2">
              <w:rPr>
                <w:noProof/>
                <w:webHidden/>
              </w:rPr>
            </w:r>
            <w:r w:rsidR="00F72AE2">
              <w:rPr>
                <w:noProof/>
                <w:webHidden/>
              </w:rPr>
              <w:fldChar w:fldCharType="separate"/>
            </w:r>
            <w:r w:rsidR="00F72AE2">
              <w:rPr>
                <w:noProof/>
                <w:webHidden/>
              </w:rPr>
              <w:t>16</w:t>
            </w:r>
            <w:r w:rsidR="00F72AE2">
              <w:rPr>
                <w:noProof/>
                <w:webHidden/>
              </w:rPr>
              <w:fldChar w:fldCharType="end"/>
            </w:r>
          </w:hyperlink>
        </w:p>
        <w:p w14:paraId="50F613CD" w14:textId="4F9A62D3" w:rsidR="00F72AE2" w:rsidRDefault="009479A7">
          <w:pPr>
            <w:pStyle w:val="TOC2"/>
            <w:tabs>
              <w:tab w:val="right" w:leader="dot" w:pos="9350"/>
            </w:tabs>
            <w:rPr>
              <w:rFonts w:eastAsiaTheme="minorEastAsia"/>
              <w:noProof/>
              <w:kern w:val="2"/>
              <w:sz w:val="22"/>
              <w14:ligatures w14:val="standardContextual"/>
            </w:rPr>
          </w:pPr>
          <w:hyperlink w:anchor="_Toc154057116" w:history="1">
            <w:r w:rsidR="00F72AE2" w:rsidRPr="005F52B3">
              <w:rPr>
                <w:rStyle w:val="Hyperlink"/>
                <w:noProof/>
              </w:rPr>
              <w:t>SVI AMONG GONORRHEA CASES BY CITY/TOWN</w:t>
            </w:r>
            <w:r w:rsidR="00F72AE2">
              <w:rPr>
                <w:noProof/>
                <w:webHidden/>
              </w:rPr>
              <w:tab/>
            </w:r>
            <w:r w:rsidR="00F72AE2">
              <w:rPr>
                <w:noProof/>
                <w:webHidden/>
              </w:rPr>
              <w:fldChar w:fldCharType="begin"/>
            </w:r>
            <w:r w:rsidR="00F72AE2">
              <w:rPr>
                <w:noProof/>
                <w:webHidden/>
              </w:rPr>
              <w:instrText xml:space="preserve"> PAGEREF _Toc154057116 \h </w:instrText>
            </w:r>
            <w:r w:rsidR="00F72AE2">
              <w:rPr>
                <w:noProof/>
                <w:webHidden/>
              </w:rPr>
            </w:r>
            <w:r w:rsidR="00F72AE2">
              <w:rPr>
                <w:noProof/>
                <w:webHidden/>
              </w:rPr>
              <w:fldChar w:fldCharType="separate"/>
            </w:r>
            <w:r w:rsidR="00F72AE2">
              <w:rPr>
                <w:noProof/>
                <w:webHidden/>
              </w:rPr>
              <w:t>18</w:t>
            </w:r>
            <w:r w:rsidR="00F72AE2">
              <w:rPr>
                <w:noProof/>
                <w:webHidden/>
              </w:rPr>
              <w:fldChar w:fldCharType="end"/>
            </w:r>
          </w:hyperlink>
        </w:p>
        <w:p w14:paraId="0B6282C2" w14:textId="357E7E55" w:rsidR="00F72AE2" w:rsidRDefault="009479A7">
          <w:pPr>
            <w:pStyle w:val="TOC1"/>
            <w:tabs>
              <w:tab w:val="right" w:leader="dot" w:pos="9350"/>
            </w:tabs>
            <w:rPr>
              <w:rFonts w:eastAsiaTheme="minorEastAsia"/>
              <w:noProof/>
              <w:kern w:val="2"/>
              <w:sz w:val="22"/>
              <w14:ligatures w14:val="standardContextual"/>
            </w:rPr>
          </w:pPr>
          <w:hyperlink w:anchor="_Toc154057117" w:history="1">
            <w:r w:rsidR="00F72AE2" w:rsidRPr="005F52B3">
              <w:rPr>
                <w:rStyle w:val="Hyperlink"/>
                <w:noProof/>
              </w:rPr>
              <w:t>SYPHILIS</w:t>
            </w:r>
            <w:r w:rsidR="00F72AE2">
              <w:rPr>
                <w:noProof/>
                <w:webHidden/>
              </w:rPr>
              <w:tab/>
            </w:r>
            <w:r w:rsidR="00F72AE2">
              <w:rPr>
                <w:noProof/>
                <w:webHidden/>
              </w:rPr>
              <w:fldChar w:fldCharType="begin"/>
            </w:r>
            <w:r w:rsidR="00F72AE2">
              <w:rPr>
                <w:noProof/>
                <w:webHidden/>
              </w:rPr>
              <w:instrText xml:space="preserve"> PAGEREF _Toc154057117 \h </w:instrText>
            </w:r>
            <w:r w:rsidR="00F72AE2">
              <w:rPr>
                <w:noProof/>
                <w:webHidden/>
              </w:rPr>
            </w:r>
            <w:r w:rsidR="00F72AE2">
              <w:rPr>
                <w:noProof/>
                <w:webHidden/>
              </w:rPr>
              <w:fldChar w:fldCharType="separate"/>
            </w:r>
            <w:r w:rsidR="00F72AE2">
              <w:rPr>
                <w:noProof/>
                <w:webHidden/>
              </w:rPr>
              <w:t>19</w:t>
            </w:r>
            <w:r w:rsidR="00F72AE2">
              <w:rPr>
                <w:noProof/>
                <w:webHidden/>
              </w:rPr>
              <w:fldChar w:fldCharType="end"/>
            </w:r>
          </w:hyperlink>
        </w:p>
        <w:p w14:paraId="5D3EF370" w14:textId="1B1B3BD4" w:rsidR="00F72AE2" w:rsidRDefault="009479A7">
          <w:pPr>
            <w:pStyle w:val="TOC2"/>
            <w:tabs>
              <w:tab w:val="right" w:leader="dot" w:pos="9350"/>
            </w:tabs>
            <w:rPr>
              <w:rFonts w:eastAsiaTheme="minorEastAsia"/>
              <w:noProof/>
              <w:kern w:val="2"/>
              <w:sz w:val="22"/>
              <w14:ligatures w14:val="standardContextual"/>
            </w:rPr>
          </w:pPr>
          <w:hyperlink w:anchor="_Toc154057118" w:history="1">
            <w:r w:rsidR="00F72AE2" w:rsidRPr="005F52B3">
              <w:rPr>
                <w:rStyle w:val="Hyperlink"/>
                <w:noProof/>
              </w:rPr>
              <w:t>SYPHILIS BY GENDER</w:t>
            </w:r>
            <w:r w:rsidR="00F72AE2">
              <w:rPr>
                <w:noProof/>
                <w:webHidden/>
              </w:rPr>
              <w:tab/>
            </w:r>
            <w:r w:rsidR="00F72AE2">
              <w:rPr>
                <w:noProof/>
                <w:webHidden/>
              </w:rPr>
              <w:fldChar w:fldCharType="begin"/>
            </w:r>
            <w:r w:rsidR="00F72AE2">
              <w:rPr>
                <w:noProof/>
                <w:webHidden/>
              </w:rPr>
              <w:instrText xml:space="preserve"> PAGEREF _Toc154057118 \h </w:instrText>
            </w:r>
            <w:r w:rsidR="00F72AE2">
              <w:rPr>
                <w:noProof/>
                <w:webHidden/>
              </w:rPr>
            </w:r>
            <w:r w:rsidR="00F72AE2">
              <w:rPr>
                <w:noProof/>
                <w:webHidden/>
              </w:rPr>
              <w:fldChar w:fldCharType="separate"/>
            </w:r>
            <w:r w:rsidR="00F72AE2">
              <w:rPr>
                <w:noProof/>
                <w:webHidden/>
              </w:rPr>
              <w:t>19</w:t>
            </w:r>
            <w:r w:rsidR="00F72AE2">
              <w:rPr>
                <w:noProof/>
                <w:webHidden/>
              </w:rPr>
              <w:fldChar w:fldCharType="end"/>
            </w:r>
          </w:hyperlink>
        </w:p>
        <w:p w14:paraId="530DFAE9" w14:textId="45253456" w:rsidR="00F72AE2" w:rsidRDefault="009479A7">
          <w:pPr>
            <w:pStyle w:val="TOC2"/>
            <w:tabs>
              <w:tab w:val="right" w:leader="dot" w:pos="9350"/>
            </w:tabs>
            <w:rPr>
              <w:rFonts w:eastAsiaTheme="minorEastAsia"/>
              <w:noProof/>
              <w:kern w:val="2"/>
              <w:sz w:val="22"/>
              <w14:ligatures w14:val="standardContextual"/>
            </w:rPr>
          </w:pPr>
          <w:hyperlink w:anchor="_Toc154057119" w:history="1">
            <w:r w:rsidR="00F72AE2" w:rsidRPr="005F52B3">
              <w:rPr>
                <w:rStyle w:val="Hyperlink"/>
                <w:noProof/>
              </w:rPr>
              <w:t>SYPHILIS BY AGE</w:t>
            </w:r>
            <w:r w:rsidR="00F72AE2">
              <w:rPr>
                <w:noProof/>
                <w:webHidden/>
              </w:rPr>
              <w:tab/>
            </w:r>
            <w:r w:rsidR="00F72AE2">
              <w:rPr>
                <w:noProof/>
                <w:webHidden/>
              </w:rPr>
              <w:fldChar w:fldCharType="begin"/>
            </w:r>
            <w:r w:rsidR="00F72AE2">
              <w:rPr>
                <w:noProof/>
                <w:webHidden/>
              </w:rPr>
              <w:instrText xml:space="preserve"> PAGEREF _Toc154057119 \h </w:instrText>
            </w:r>
            <w:r w:rsidR="00F72AE2">
              <w:rPr>
                <w:noProof/>
                <w:webHidden/>
              </w:rPr>
            </w:r>
            <w:r w:rsidR="00F72AE2">
              <w:rPr>
                <w:noProof/>
                <w:webHidden/>
              </w:rPr>
              <w:fldChar w:fldCharType="separate"/>
            </w:r>
            <w:r w:rsidR="00F72AE2">
              <w:rPr>
                <w:noProof/>
                <w:webHidden/>
              </w:rPr>
              <w:t>21</w:t>
            </w:r>
            <w:r w:rsidR="00F72AE2">
              <w:rPr>
                <w:noProof/>
                <w:webHidden/>
              </w:rPr>
              <w:fldChar w:fldCharType="end"/>
            </w:r>
          </w:hyperlink>
        </w:p>
        <w:p w14:paraId="5A5F93B6" w14:textId="6FD790BA" w:rsidR="00F72AE2" w:rsidRDefault="009479A7">
          <w:pPr>
            <w:pStyle w:val="TOC2"/>
            <w:tabs>
              <w:tab w:val="right" w:leader="dot" w:pos="9350"/>
            </w:tabs>
            <w:rPr>
              <w:rFonts w:eastAsiaTheme="minorEastAsia"/>
              <w:noProof/>
              <w:kern w:val="2"/>
              <w:sz w:val="22"/>
              <w14:ligatures w14:val="standardContextual"/>
            </w:rPr>
          </w:pPr>
          <w:hyperlink w:anchor="_Toc154057120" w:history="1">
            <w:r w:rsidR="00F72AE2" w:rsidRPr="005F52B3">
              <w:rPr>
                <w:rStyle w:val="Hyperlink"/>
                <w:noProof/>
              </w:rPr>
              <w:t>SYPHILIS BY CITY/TOWN</w:t>
            </w:r>
            <w:r w:rsidR="00F72AE2">
              <w:rPr>
                <w:noProof/>
                <w:webHidden/>
              </w:rPr>
              <w:tab/>
            </w:r>
            <w:r w:rsidR="00F72AE2">
              <w:rPr>
                <w:noProof/>
                <w:webHidden/>
              </w:rPr>
              <w:fldChar w:fldCharType="begin"/>
            </w:r>
            <w:r w:rsidR="00F72AE2">
              <w:rPr>
                <w:noProof/>
                <w:webHidden/>
              </w:rPr>
              <w:instrText xml:space="preserve"> PAGEREF _Toc154057120 \h </w:instrText>
            </w:r>
            <w:r w:rsidR="00F72AE2">
              <w:rPr>
                <w:noProof/>
                <w:webHidden/>
              </w:rPr>
            </w:r>
            <w:r w:rsidR="00F72AE2">
              <w:rPr>
                <w:noProof/>
                <w:webHidden/>
              </w:rPr>
              <w:fldChar w:fldCharType="separate"/>
            </w:r>
            <w:r w:rsidR="00F72AE2">
              <w:rPr>
                <w:noProof/>
                <w:webHidden/>
              </w:rPr>
              <w:t>22</w:t>
            </w:r>
            <w:r w:rsidR="00F72AE2">
              <w:rPr>
                <w:noProof/>
                <w:webHidden/>
              </w:rPr>
              <w:fldChar w:fldCharType="end"/>
            </w:r>
          </w:hyperlink>
        </w:p>
        <w:p w14:paraId="1FB28982" w14:textId="1686DF28" w:rsidR="00F72AE2" w:rsidRDefault="009479A7">
          <w:pPr>
            <w:pStyle w:val="TOC2"/>
            <w:tabs>
              <w:tab w:val="right" w:leader="dot" w:pos="9350"/>
            </w:tabs>
            <w:rPr>
              <w:rFonts w:eastAsiaTheme="minorEastAsia"/>
              <w:noProof/>
              <w:kern w:val="2"/>
              <w:sz w:val="22"/>
              <w14:ligatures w14:val="standardContextual"/>
            </w:rPr>
          </w:pPr>
          <w:hyperlink w:anchor="_Toc154057121" w:history="1">
            <w:r w:rsidR="00F72AE2" w:rsidRPr="005F52B3">
              <w:rPr>
                <w:rStyle w:val="Hyperlink"/>
                <w:noProof/>
              </w:rPr>
              <w:t>SVI AMONG SYPHILIS CASES BY CITY/TOWN</w:t>
            </w:r>
            <w:r w:rsidR="00F72AE2">
              <w:rPr>
                <w:noProof/>
                <w:webHidden/>
              </w:rPr>
              <w:tab/>
            </w:r>
            <w:r w:rsidR="00F72AE2">
              <w:rPr>
                <w:noProof/>
                <w:webHidden/>
              </w:rPr>
              <w:fldChar w:fldCharType="begin"/>
            </w:r>
            <w:r w:rsidR="00F72AE2">
              <w:rPr>
                <w:noProof/>
                <w:webHidden/>
              </w:rPr>
              <w:instrText xml:space="preserve"> PAGEREF _Toc154057121 \h </w:instrText>
            </w:r>
            <w:r w:rsidR="00F72AE2">
              <w:rPr>
                <w:noProof/>
                <w:webHidden/>
              </w:rPr>
            </w:r>
            <w:r w:rsidR="00F72AE2">
              <w:rPr>
                <w:noProof/>
                <w:webHidden/>
              </w:rPr>
              <w:fldChar w:fldCharType="separate"/>
            </w:r>
            <w:r w:rsidR="00F72AE2">
              <w:rPr>
                <w:noProof/>
                <w:webHidden/>
              </w:rPr>
              <w:t>24</w:t>
            </w:r>
            <w:r w:rsidR="00F72AE2">
              <w:rPr>
                <w:noProof/>
                <w:webHidden/>
              </w:rPr>
              <w:fldChar w:fldCharType="end"/>
            </w:r>
          </w:hyperlink>
        </w:p>
        <w:p w14:paraId="1F51F248" w14:textId="56785D51" w:rsidR="00F72AE2" w:rsidRDefault="009479A7">
          <w:pPr>
            <w:pStyle w:val="TOC1"/>
            <w:tabs>
              <w:tab w:val="right" w:leader="dot" w:pos="9350"/>
            </w:tabs>
            <w:rPr>
              <w:rFonts w:eastAsiaTheme="minorEastAsia"/>
              <w:noProof/>
              <w:kern w:val="2"/>
              <w:sz w:val="22"/>
              <w14:ligatures w14:val="standardContextual"/>
            </w:rPr>
          </w:pPr>
          <w:hyperlink w:anchor="_Toc154057122" w:history="1">
            <w:r w:rsidR="00F72AE2" w:rsidRPr="005F52B3">
              <w:rPr>
                <w:rStyle w:val="Hyperlink"/>
                <w:noProof/>
              </w:rPr>
              <w:t>HIV</w:t>
            </w:r>
            <w:r w:rsidR="00F72AE2">
              <w:rPr>
                <w:noProof/>
                <w:webHidden/>
              </w:rPr>
              <w:tab/>
            </w:r>
            <w:r w:rsidR="00F72AE2">
              <w:rPr>
                <w:noProof/>
                <w:webHidden/>
              </w:rPr>
              <w:fldChar w:fldCharType="begin"/>
            </w:r>
            <w:r w:rsidR="00F72AE2">
              <w:rPr>
                <w:noProof/>
                <w:webHidden/>
              </w:rPr>
              <w:instrText xml:space="preserve"> PAGEREF _Toc154057122 \h </w:instrText>
            </w:r>
            <w:r w:rsidR="00F72AE2">
              <w:rPr>
                <w:noProof/>
                <w:webHidden/>
              </w:rPr>
            </w:r>
            <w:r w:rsidR="00F72AE2">
              <w:rPr>
                <w:noProof/>
                <w:webHidden/>
              </w:rPr>
              <w:fldChar w:fldCharType="separate"/>
            </w:r>
            <w:r w:rsidR="00F72AE2">
              <w:rPr>
                <w:noProof/>
                <w:webHidden/>
              </w:rPr>
              <w:t>25</w:t>
            </w:r>
            <w:r w:rsidR="00F72AE2">
              <w:rPr>
                <w:noProof/>
                <w:webHidden/>
              </w:rPr>
              <w:fldChar w:fldCharType="end"/>
            </w:r>
          </w:hyperlink>
        </w:p>
        <w:p w14:paraId="25C87486" w14:textId="6E592E97" w:rsidR="00F72AE2" w:rsidRDefault="009479A7">
          <w:pPr>
            <w:pStyle w:val="TOC2"/>
            <w:tabs>
              <w:tab w:val="right" w:leader="dot" w:pos="9350"/>
            </w:tabs>
            <w:rPr>
              <w:rFonts w:eastAsiaTheme="minorEastAsia"/>
              <w:noProof/>
              <w:kern w:val="2"/>
              <w:sz w:val="22"/>
              <w14:ligatures w14:val="standardContextual"/>
            </w:rPr>
          </w:pPr>
          <w:hyperlink w:anchor="_Toc154057123" w:history="1">
            <w:r w:rsidR="00F72AE2" w:rsidRPr="005F52B3">
              <w:rPr>
                <w:rStyle w:val="Hyperlink"/>
                <w:noProof/>
              </w:rPr>
              <w:t>HIV PREVALENCE</w:t>
            </w:r>
            <w:r w:rsidR="00F72AE2">
              <w:rPr>
                <w:noProof/>
                <w:webHidden/>
              </w:rPr>
              <w:tab/>
            </w:r>
            <w:r w:rsidR="00F72AE2">
              <w:rPr>
                <w:noProof/>
                <w:webHidden/>
              </w:rPr>
              <w:fldChar w:fldCharType="begin"/>
            </w:r>
            <w:r w:rsidR="00F72AE2">
              <w:rPr>
                <w:noProof/>
                <w:webHidden/>
              </w:rPr>
              <w:instrText xml:space="preserve"> PAGEREF _Toc154057123 \h </w:instrText>
            </w:r>
            <w:r w:rsidR="00F72AE2">
              <w:rPr>
                <w:noProof/>
                <w:webHidden/>
              </w:rPr>
            </w:r>
            <w:r w:rsidR="00F72AE2">
              <w:rPr>
                <w:noProof/>
                <w:webHidden/>
              </w:rPr>
              <w:fldChar w:fldCharType="separate"/>
            </w:r>
            <w:r w:rsidR="00F72AE2">
              <w:rPr>
                <w:noProof/>
                <w:webHidden/>
              </w:rPr>
              <w:t>25</w:t>
            </w:r>
            <w:r w:rsidR="00F72AE2">
              <w:rPr>
                <w:noProof/>
                <w:webHidden/>
              </w:rPr>
              <w:fldChar w:fldCharType="end"/>
            </w:r>
          </w:hyperlink>
        </w:p>
        <w:p w14:paraId="162AED48" w14:textId="6AD5892F" w:rsidR="00F72AE2" w:rsidRDefault="009479A7">
          <w:pPr>
            <w:pStyle w:val="TOC2"/>
            <w:tabs>
              <w:tab w:val="right" w:leader="dot" w:pos="9350"/>
            </w:tabs>
            <w:rPr>
              <w:rFonts w:eastAsiaTheme="minorEastAsia"/>
              <w:noProof/>
              <w:kern w:val="2"/>
              <w:sz w:val="22"/>
              <w14:ligatures w14:val="standardContextual"/>
            </w:rPr>
          </w:pPr>
          <w:hyperlink w:anchor="_Toc154057124" w:history="1">
            <w:r w:rsidR="00F72AE2" w:rsidRPr="005F52B3">
              <w:rPr>
                <w:rStyle w:val="Hyperlink"/>
                <w:noProof/>
              </w:rPr>
              <w:t>DIAGNOSES AND DEATHS FROM ANY CAUSE AMONG PERSONS REPORTED WITH HIV</w:t>
            </w:r>
            <w:r w:rsidR="00F72AE2">
              <w:rPr>
                <w:noProof/>
                <w:webHidden/>
              </w:rPr>
              <w:tab/>
            </w:r>
            <w:r w:rsidR="00F72AE2">
              <w:rPr>
                <w:noProof/>
                <w:webHidden/>
              </w:rPr>
              <w:fldChar w:fldCharType="begin"/>
            </w:r>
            <w:r w:rsidR="00F72AE2">
              <w:rPr>
                <w:noProof/>
                <w:webHidden/>
              </w:rPr>
              <w:instrText xml:space="preserve"> PAGEREF _Toc154057124 \h </w:instrText>
            </w:r>
            <w:r w:rsidR="00F72AE2">
              <w:rPr>
                <w:noProof/>
                <w:webHidden/>
              </w:rPr>
            </w:r>
            <w:r w:rsidR="00F72AE2">
              <w:rPr>
                <w:noProof/>
                <w:webHidden/>
              </w:rPr>
              <w:fldChar w:fldCharType="separate"/>
            </w:r>
            <w:r w:rsidR="00F72AE2">
              <w:rPr>
                <w:noProof/>
                <w:webHidden/>
              </w:rPr>
              <w:t>26</w:t>
            </w:r>
            <w:r w:rsidR="00F72AE2">
              <w:rPr>
                <w:noProof/>
                <w:webHidden/>
              </w:rPr>
              <w:fldChar w:fldCharType="end"/>
            </w:r>
          </w:hyperlink>
        </w:p>
        <w:p w14:paraId="07DDAA44" w14:textId="06EB4B5F" w:rsidR="00F72AE2" w:rsidRDefault="009479A7">
          <w:pPr>
            <w:pStyle w:val="TOC2"/>
            <w:tabs>
              <w:tab w:val="right" w:leader="dot" w:pos="9350"/>
            </w:tabs>
            <w:rPr>
              <w:rFonts w:eastAsiaTheme="minorEastAsia"/>
              <w:noProof/>
              <w:kern w:val="2"/>
              <w:sz w:val="22"/>
              <w14:ligatures w14:val="standardContextual"/>
            </w:rPr>
          </w:pPr>
          <w:hyperlink w:anchor="_Toc154057125" w:history="1">
            <w:r w:rsidR="00F72AE2" w:rsidRPr="005F52B3">
              <w:rPr>
                <w:rStyle w:val="Hyperlink"/>
                <w:noProof/>
              </w:rPr>
              <w:t>HIV DIAGNOSES BY CITY/TOWN</w:t>
            </w:r>
            <w:r w:rsidR="00F72AE2">
              <w:rPr>
                <w:noProof/>
                <w:webHidden/>
              </w:rPr>
              <w:tab/>
            </w:r>
            <w:r w:rsidR="00F72AE2">
              <w:rPr>
                <w:noProof/>
                <w:webHidden/>
              </w:rPr>
              <w:fldChar w:fldCharType="begin"/>
            </w:r>
            <w:r w:rsidR="00F72AE2">
              <w:rPr>
                <w:noProof/>
                <w:webHidden/>
              </w:rPr>
              <w:instrText xml:space="preserve"> PAGEREF _Toc154057125 \h </w:instrText>
            </w:r>
            <w:r w:rsidR="00F72AE2">
              <w:rPr>
                <w:noProof/>
                <w:webHidden/>
              </w:rPr>
            </w:r>
            <w:r w:rsidR="00F72AE2">
              <w:rPr>
                <w:noProof/>
                <w:webHidden/>
              </w:rPr>
              <w:fldChar w:fldCharType="separate"/>
            </w:r>
            <w:r w:rsidR="00F72AE2">
              <w:rPr>
                <w:noProof/>
                <w:webHidden/>
              </w:rPr>
              <w:t>27</w:t>
            </w:r>
            <w:r w:rsidR="00F72AE2">
              <w:rPr>
                <w:noProof/>
                <w:webHidden/>
              </w:rPr>
              <w:fldChar w:fldCharType="end"/>
            </w:r>
          </w:hyperlink>
        </w:p>
        <w:p w14:paraId="5DD9B4A3" w14:textId="45DE004E" w:rsidR="00F72AE2" w:rsidRDefault="009479A7">
          <w:pPr>
            <w:pStyle w:val="TOC2"/>
            <w:tabs>
              <w:tab w:val="right" w:leader="dot" w:pos="9350"/>
            </w:tabs>
            <w:rPr>
              <w:rFonts w:eastAsiaTheme="minorEastAsia"/>
              <w:noProof/>
              <w:kern w:val="2"/>
              <w:sz w:val="22"/>
              <w14:ligatures w14:val="standardContextual"/>
            </w:rPr>
          </w:pPr>
          <w:hyperlink w:anchor="_Toc154057126" w:history="1">
            <w:r w:rsidR="00F72AE2" w:rsidRPr="005F52B3">
              <w:rPr>
                <w:rStyle w:val="Hyperlink"/>
                <w:noProof/>
              </w:rPr>
              <w:t>HIV PREVALENCE BY CITY/TOWN</w:t>
            </w:r>
            <w:r w:rsidR="00F72AE2">
              <w:rPr>
                <w:noProof/>
                <w:webHidden/>
              </w:rPr>
              <w:tab/>
            </w:r>
            <w:r w:rsidR="00F72AE2">
              <w:rPr>
                <w:noProof/>
                <w:webHidden/>
              </w:rPr>
              <w:fldChar w:fldCharType="begin"/>
            </w:r>
            <w:r w:rsidR="00F72AE2">
              <w:rPr>
                <w:noProof/>
                <w:webHidden/>
              </w:rPr>
              <w:instrText xml:space="preserve"> PAGEREF _Toc154057126 \h </w:instrText>
            </w:r>
            <w:r w:rsidR="00F72AE2">
              <w:rPr>
                <w:noProof/>
                <w:webHidden/>
              </w:rPr>
            </w:r>
            <w:r w:rsidR="00F72AE2">
              <w:rPr>
                <w:noProof/>
                <w:webHidden/>
              </w:rPr>
              <w:fldChar w:fldCharType="separate"/>
            </w:r>
            <w:r w:rsidR="00F72AE2">
              <w:rPr>
                <w:noProof/>
                <w:webHidden/>
              </w:rPr>
              <w:t>28</w:t>
            </w:r>
            <w:r w:rsidR="00F72AE2">
              <w:rPr>
                <w:noProof/>
                <w:webHidden/>
              </w:rPr>
              <w:fldChar w:fldCharType="end"/>
            </w:r>
          </w:hyperlink>
        </w:p>
        <w:p w14:paraId="03F3CB6D" w14:textId="2D583B24" w:rsidR="00F72AE2" w:rsidRDefault="009479A7">
          <w:pPr>
            <w:pStyle w:val="TOC2"/>
            <w:tabs>
              <w:tab w:val="right" w:leader="dot" w:pos="9350"/>
            </w:tabs>
            <w:rPr>
              <w:rFonts w:eastAsiaTheme="minorEastAsia"/>
              <w:noProof/>
              <w:kern w:val="2"/>
              <w:sz w:val="22"/>
              <w14:ligatures w14:val="standardContextual"/>
            </w:rPr>
          </w:pPr>
          <w:hyperlink w:anchor="_Toc154057127" w:history="1">
            <w:r w:rsidR="00F72AE2" w:rsidRPr="005F52B3">
              <w:rPr>
                <w:rStyle w:val="Hyperlink"/>
                <w:noProof/>
              </w:rPr>
              <w:t>SVI AMONG HIV DIAGNOSES BY CITY/TOWN</w:t>
            </w:r>
            <w:r w:rsidR="00F72AE2">
              <w:rPr>
                <w:noProof/>
                <w:webHidden/>
              </w:rPr>
              <w:tab/>
            </w:r>
            <w:r w:rsidR="00F72AE2">
              <w:rPr>
                <w:noProof/>
                <w:webHidden/>
              </w:rPr>
              <w:fldChar w:fldCharType="begin"/>
            </w:r>
            <w:r w:rsidR="00F72AE2">
              <w:rPr>
                <w:noProof/>
                <w:webHidden/>
              </w:rPr>
              <w:instrText xml:space="preserve"> PAGEREF _Toc154057127 \h </w:instrText>
            </w:r>
            <w:r w:rsidR="00F72AE2">
              <w:rPr>
                <w:noProof/>
                <w:webHidden/>
              </w:rPr>
            </w:r>
            <w:r w:rsidR="00F72AE2">
              <w:rPr>
                <w:noProof/>
                <w:webHidden/>
              </w:rPr>
              <w:fldChar w:fldCharType="separate"/>
            </w:r>
            <w:r w:rsidR="00F72AE2">
              <w:rPr>
                <w:noProof/>
                <w:webHidden/>
              </w:rPr>
              <w:t>29</w:t>
            </w:r>
            <w:r w:rsidR="00F72AE2">
              <w:rPr>
                <w:noProof/>
                <w:webHidden/>
              </w:rPr>
              <w:fldChar w:fldCharType="end"/>
            </w:r>
          </w:hyperlink>
        </w:p>
        <w:p w14:paraId="3ACFD1E4" w14:textId="3752CB75" w:rsidR="00F72AE2" w:rsidRDefault="009479A7">
          <w:pPr>
            <w:pStyle w:val="TOC2"/>
            <w:tabs>
              <w:tab w:val="right" w:leader="dot" w:pos="9350"/>
            </w:tabs>
            <w:rPr>
              <w:rFonts w:eastAsiaTheme="minorEastAsia"/>
              <w:noProof/>
              <w:kern w:val="2"/>
              <w:sz w:val="22"/>
              <w14:ligatures w14:val="standardContextual"/>
            </w:rPr>
          </w:pPr>
          <w:hyperlink w:anchor="_Toc154057128" w:history="1">
            <w:r w:rsidR="00F72AE2" w:rsidRPr="005F52B3">
              <w:rPr>
                <w:rStyle w:val="Hyperlink"/>
                <w:noProof/>
              </w:rPr>
              <w:t>HIV BY EXPOSURE MODE AND SEX ASSIGNED AT BIRTH</w:t>
            </w:r>
            <w:r w:rsidR="00F72AE2">
              <w:rPr>
                <w:noProof/>
                <w:webHidden/>
              </w:rPr>
              <w:tab/>
            </w:r>
            <w:r w:rsidR="00F72AE2">
              <w:rPr>
                <w:noProof/>
                <w:webHidden/>
              </w:rPr>
              <w:fldChar w:fldCharType="begin"/>
            </w:r>
            <w:r w:rsidR="00F72AE2">
              <w:rPr>
                <w:noProof/>
                <w:webHidden/>
              </w:rPr>
              <w:instrText xml:space="preserve"> PAGEREF _Toc154057128 \h </w:instrText>
            </w:r>
            <w:r w:rsidR="00F72AE2">
              <w:rPr>
                <w:noProof/>
                <w:webHidden/>
              </w:rPr>
            </w:r>
            <w:r w:rsidR="00F72AE2">
              <w:rPr>
                <w:noProof/>
                <w:webHidden/>
              </w:rPr>
              <w:fldChar w:fldCharType="separate"/>
            </w:r>
            <w:r w:rsidR="00F72AE2">
              <w:rPr>
                <w:noProof/>
                <w:webHidden/>
              </w:rPr>
              <w:t>31</w:t>
            </w:r>
            <w:r w:rsidR="00F72AE2">
              <w:rPr>
                <w:noProof/>
                <w:webHidden/>
              </w:rPr>
              <w:fldChar w:fldCharType="end"/>
            </w:r>
          </w:hyperlink>
        </w:p>
        <w:p w14:paraId="51B3E1A2" w14:textId="74042050" w:rsidR="00F72AE2" w:rsidRDefault="009479A7">
          <w:pPr>
            <w:pStyle w:val="TOC2"/>
            <w:tabs>
              <w:tab w:val="right" w:leader="dot" w:pos="9350"/>
            </w:tabs>
            <w:rPr>
              <w:rFonts w:eastAsiaTheme="minorEastAsia"/>
              <w:noProof/>
              <w:kern w:val="2"/>
              <w:sz w:val="22"/>
              <w14:ligatures w14:val="standardContextual"/>
            </w:rPr>
          </w:pPr>
          <w:hyperlink w:anchor="_Toc154057129" w:history="1">
            <w:r w:rsidR="00F72AE2" w:rsidRPr="005F52B3">
              <w:rPr>
                <w:rStyle w:val="Hyperlink"/>
                <w:noProof/>
              </w:rPr>
              <w:t>PERINATAL TRANSMISSION OF HIV</w:t>
            </w:r>
            <w:r w:rsidR="00F72AE2">
              <w:rPr>
                <w:noProof/>
                <w:webHidden/>
              </w:rPr>
              <w:tab/>
            </w:r>
            <w:r w:rsidR="00F72AE2">
              <w:rPr>
                <w:noProof/>
                <w:webHidden/>
              </w:rPr>
              <w:fldChar w:fldCharType="begin"/>
            </w:r>
            <w:r w:rsidR="00F72AE2">
              <w:rPr>
                <w:noProof/>
                <w:webHidden/>
              </w:rPr>
              <w:instrText xml:space="preserve"> PAGEREF _Toc154057129 \h </w:instrText>
            </w:r>
            <w:r w:rsidR="00F72AE2">
              <w:rPr>
                <w:noProof/>
                <w:webHidden/>
              </w:rPr>
            </w:r>
            <w:r w:rsidR="00F72AE2">
              <w:rPr>
                <w:noProof/>
                <w:webHidden/>
              </w:rPr>
              <w:fldChar w:fldCharType="separate"/>
            </w:r>
            <w:r w:rsidR="00F72AE2">
              <w:rPr>
                <w:noProof/>
                <w:webHidden/>
              </w:rPr>
              <w:t>33</w:t>
            </w:r>
            <w:r w:rsidR="00F72AE2">
              <w:rPr>
                <w:noProof/>
                <w:webHidden/>
              </w:rPr>
              <w:fldChar w:fldCharType="end"/>
            </w:r>
          </w:hyperlink>
        </w:p>
        <w:p w14:paraId="7CE3DA77" w14:textId="6F5BC2B2" w:rsidR="00F72AE2" w:rsidRDefault="009479A7">
          <w:pPr>
            <w:pStyle w:val="TOC2"/>
            <w:tabs>
              <w:tab w:val="right" w:leader="dot" w:pos="9350"/>
            </w:tabs>
            <w:rPr>
              <w:rFonts w:eastAsiaTheme="minorEastAsia"/>
              <w:noProof/>
              <w:kern w:val="2"/>
              <w:sz w:val="22"/>
              <w14:ligatures w14:val="standardContextual"/>
            </w:rPr>
          </w:pPr>
          <w:hyperlink w:anchor="_Toc154057130" w:history="1">
            <w:r w:rsidR="00F72AE2" w:rsidRPr="005F52B3">
              <w:rPr>
                <w:rStyle w:val="Hyperlink"/>
                <w:noProof/>
              </w:rPr>
              <w:t>AGE AMONG PERSONS LIVING WITH HIV INFECTION</w:t>
            </w:r>
            <w:r w:rsidR="00F72AE2">
              <w:rPr>
                <w:noProof/>
                <w:webHidden/>
              </w:rPr>
              <w:tab/>
            </w:r>
            <w:r w:rsidR="00F72AE2">
              <w:rPr>
                <w:noProof/>
                <w:webHidden/>
              </w:rPr>
              <w:fldChar w:fldCharType="begin"/>
            </w:r>
            <w:r w:rsidR="00F72AE2">
              <w:rPr>
                <w:noProof/>
                <w:webHidden/>
              </w:rPr>
              <w:instrText xml:space="preserve"> PAGEREF _Toc154057130 \h </w:instrText>
            </w:r>
            <w:r w:rsidR="00F72AE2">
              <w:rPr>
                <w:noProof/>
                <w:webHidden/>
              </w:rPr>
            </w:r>
            <w:r w:rsidR="00F72AE2">
              <w:rPr>
                <w:noProof/>
                <w:webHidden/>
              </w:rPr>
              <w:fldChar w:fldCharType="separate"/>
            </w:r>
            <w:r w:rsidR="00F72AE2">
              <w:rPr>
                <w:noProof/>
                <w:webHidden/>
              </w:rPr>
              <w:t>34</w:t>
            </w:r>
            <w:r w:rsidR="00F72AE2">
              <w:rPr>
                <w:noProof/>
                <w:webHidden/>
              </w:rPr>
              <w:fldChar w:fldCharType="end"/>
            </w:r>
          </w:hyperlink>
        </w:p>
        <w:p w14:paraId="4C410689" w14:textId="2C583FD3" w:rsidR="00F72AE2" w:rsidRDefault="009479A7">
          <w:pPr>
            <w:pStyle w:val="TOC2"/>
            <w:tabs>
              <w:tab w:val="right" w:leader="dot" w:pos="9350"/>
            </w:tabs>
            <w:rPr>
              <w:rFonts w:eastAsiaTheme="minorEastAsia"/>
              <w:noProof/>
              <w:kern w:val="2"/>
              <w:sz w:val="22"/>
              <w14:ligatures w14:val="standardContextual"/>
            </w:rPr>
          </w:pPr>
          <w:hyperlink w:anchor="_Toc154057131" w:history="1">
            <w:r w:rsidR="00F72AE2" w:rsidRPr="005F52B3">
              <w:rPr>
                <w:rStyle w:val="Hyperlink"/>
                <w:noProof/>
              </w:rPr>
              <w:t>SURVIVAL AMONG INDIVIDUALS DIAGNOSED WITH HIV</w:t>
            </w:r>
            <w:r w:rsidR="00F72AE2">
              <w:rPr>
                <w:noProof/>
                <w:webHidden/>
              </w:rPr>
              <w:tab/>
            </w:r>
            <w:r w:rsidR="00F72AE2">
              <w:rPr>
                <w:noProof/>
                <w:webHidden/>
              </w:rPr>
              <w:fldChar w:fldCharType="begin"/>
            </w:r>
            <w:r w:rsidR="00F72AE2">
              <w:rPr>
                <w:noProof/>
                <w:webHidden/>
              </w:rPr>
              <w:instrText xml:space="preserve"> PAGEREF _Toc154057131 \h </w:instrText>
            </w:r>
            <w:r w:rsidR="00F72AE2">
              <w:rPr>
                <w:noProof/>
                <w:webHidden/>
              </w:rPr>
            </w:r>
            <w:r w:rsidR="00F72AE2">
              <w:rPr>
                <w:noProof/>
                <w:webHidden/>
              </w:rPr>
              <w:fldChar w:fldCharType="separate"/>
            </w:r>
            <w:r w:rsidR="00F72AE2">
              <w:rPr>
                <w:noProof/>
                <w:webHidden/>
              </w:rPr>
              <w:t>35</w:t>
            </w:r>
            <w:r w:rsidR="00F72AE2">
              <w:rPr>
                <w:noProof/>
                <w:webHidden/>
              </w:rPr>
              <w:fldChar w:fldCharType="end"/>
            </w:r>
          </w:hyperlink>
        </w:p>
        <w:p w14:paraId="75A4809F" w14:textId="033F27AD" w:rsidR="00F72AE2" w:rsidRDefault="009479A7">
          <w:pPr>
            <w:pStyle w:val="TOC1"/>
            <w:tabs>
              <w:tab w:val="right" w:leader="dot" w:pos="9350"/>
            </w:tabs>
            <w:rPr>
              <w:rFonts w:eastAsiaTheme="minorEastAsia"/>
              <w:noProof/>
              <w:kern w:val="2"/>
              <w:sz w:val="22"/>
              <w14:ligatures w14:val="standardContextual"/>
            </w:rPr>
          </w:pPr>
          <w:hyperlink w:anchor="_Toc154057132" w:history="1">
            <w:r w:rsidR="00F72AE2" w:rsidRPr="005F52B3">
              <w:rPr>
                <w:rStyle w:val="Hyperlink"/>
                <w:noProof/>
              </w:rPr>
              <w:t>VIRAL HEPATITIS</w:t>
            </w:r>
            <w:r w:rsidR="00F72AE2">
              <w:rPr>
                <w:noProof/>
                <w:webHidden/>
              </w:rPr>
              <w:tab/>
            </w:r>
            <w:r w:rsidR="00F72AE2">
              <w:rPr>
                <w:noProof/>
                <w:webHidden/>
              </w:rPr>
              <w:fldChar w:fldCharType="begin"/>
            </w:r>
            <w:r w:rsidR="00F72AE2">
              <w:rPr>
                <w:noProof/>
                <w:webHidden/>
              </w:rPr>
              <w:instrText xml:space="preserve"> PAGEREF _Toc154057132 \h </w:instrText>
            </w:r>
            <w:r w:rsidR="00F72AE2">
              <w:rPr>
                <w:noProof/>
                <w:webHidden/>
              </w:rPr>
            </w:r>
            <w:r w:rsidR="00F72AE2">
              <w:rPr>
                <w:noProof/>
                <w:webHidden/>
              </w:rPr>
              <w:fldChar w:fldCharType="separate"/>
            </w:r>
            <w:r w:rsidR="00F72AE2">
              <w:rPr>
                <w:noProof/>
                <w:webHidden/>
              </w:rPr>
              <w:t>36</w:t>
            </w:r>
            <w:r w:rsidR="00F72AE2">
              <w:rPr>
                <w:noProof/>
                <w:webHidden/>
              </w:rPr>
              <w:fldChar w:fldCharType="end"/>
            </w:r>
          </w:hyperlink>
        </w:p>
        <w:p w14:paraId="42E73F36" w14:textId="5E22BC61" w:rsidR="00F72AE2" w:rsidRDefault="009479A7">
          <w:pPr>
            <w:pStyle w:val="TOC2"/>
            <w:tabs>
              <w:tab w:val="right" w:leader="dot" w:pos="9350"/>
            </w:tabs>
            <w:rPr>
              <w:rFonts w:eastAsiaTheme="minorEastAsia"/>
              <w:noProof/>
              <w:kern w:val="2"/>
              <w:sz w:val="22"/>
              <w14:ligatures w14:val="standardContextual"/>
            </w:rPr>
          </w:pPr>
          <w:hyperlink w:anchor="_Toc154057133" w:history="1">
            <w:r w:rsidR="00F72AE2" w:rsidRPr="005F52B3">
              <w:rPr>
                <w:rStyle w:val="Hyperlink"/>
                <w:noProof/>
              </w:rPr>
              <w:t>HEPATITIS A</w:t>
            </w:r>
            <w:r w:rsidR="00F72AE2">
              <w:rPr>
                <w:noProof/>
                <w:webHidden/>
              </w:rPr>
              <w:tab/>
            </w:r>
            <w:r w:rsidR="00F72AE2">
              <w:rPr>
                <w:noProof/>
                <w:webHidden/>
              </w:rPr>
              <w:fldChar w:fldCharType="begin"/>
            </w:r>
            <w:r w:rsidR="00F72AE2">
              <w:rPr>
                <w:noProof/>
                <w:webHidden/>
              </w:rPr>
              <w:instrText xml:space="preserve"> PAGEREF _Toc154057133 \h </w:instrText>
            </w:r>
            <w:r w:rsidR="00F72AE2">
              <w:rPr>
                <w:noProof/>
                <w:webHidden/>
              </w:rPr>
            </w:r>
            <w:r w:rsidR="00F72AE2">
              <w:rPr>
                <w:noProof/>
                <w:webHidden/>
              </w:rPr>
              <w:fldChar w:fldCharType="separate"/>
            </w:r>
            <w:r w:rsidR="00F72AE2">
              <w:rPr>
                <w:noProof/>
                <w:webHidden/>
              </w:rPr>
              <w:t>36</w:t>
            </w:r>
            <w:r w:rsidR="00F72AE2">
              <w:rPr>
                <w:noProof/>
                <w:webHidden/>
              </w:rPr>
              <w:fldChar w:fldCharType="end"/>
            </w:r>
          </w:hyperlink>
        </w:p>
        <w:p w14:paraId="3C70C060" w14:textId="236A224E" w:rsidR="00F72AE2" w:rsidRDefault="009479A7">
          <w:pPr>
            <w:pStyle w:val="TOC2"/>
            <w:tabs>
              <w:tab w:val="right" w:leader="dot" w:pos="9350"/>
            </w:tabs>
            <w:rPr>
              <w:rFonts w:eastAsiaTheme="minorEastAsia"/>
              <w:noProof/>
              <w:kern w:val="2"/>
              <w:sz w:val="22"/>
              <w14:ligatures w14:val="standardContextual"/>
            </w:rPr>
          </w:pPr>
          <w:hyperlink w:anchor="_Toc154057134" w:history="1">
            <w:r w:rsidR="00F72AE2" w:rsidRPr="005F52B3">
              <w:rPr>
                <w:rStyle w:val="Hyperlink"/>
                <w:noProof/>
              </w:rPr>
              <w:t>HEPATITIS B</w:t>
            </w:r>
            <w:r w:rsidR="00F72AE2">
              <w:rPr>
                <w:noProof/>
                <w:webHidden/>
              </w:rPr>
              <w:tab/>
            </w:r>
            <w:r w:rsidR="00F72AE2">
              <w:rPr>
                <w:noProof/>
                <w:webHidden/>
              </w:rPr>
              <w:fldChar w:fldCharType="begin"/>
            </w:r>
            <w:r w:rsidR="00F72AE2">
              <w:rPr>
                <w:noProof/>
                <w:webHidden/>
              </w:rPr>
              <w:instrText xml:space="preserve"> PAGEREF _Toc154057134 \h </w:instrText>
            </w:r>
            <w:r w:rsidR="00F72AE2">
              <w:rPr>
                <w:noProof/>
                <w:webHidden/>
              </w:rPr>
            </w:r>
            <w:r w:rsidR="00F72AE2">
              <w:rPr>
                <w:noProof/>
                <w:webHidden/>
              </w:rPr>
              <w:fldChar w:fldCharType="separate"/>
            </w:r>
            <w:r w:rsidR="00F72AE2">
              <w:rPr>
                <w:noProof/>
                <w:webHidden/>
              </w:rPr>
              <w:t>38</w:t>
            </w:r>
            <w:r w:rsidR="00F72AE2">
              <w:rPr>
                <w:noProof/>
                <w:webHidden/>
              </w:rPr>
              <w:fldChar w:fldCharType="end"/>
            </w:r>
          </w:hyperlink>
        </w:p>
        <w:p w14:paraId="4C9100D6" w14:textId="435305BD" w:rsidR="00F72AE2" w:rsidRDefault="009479A7">
          <w:pPr>
            <w:pStyle w:val="TOC2"/>
            <w:tabs>
              <w:tab w:val="right" w:leader="dot" w:pos="9350"/>
            </w:tabs>
            <w:rPr>
              <w:rFonts w:eastAsiaTheme="minorEastAsia"/>
              <w:noProof/>
              <w:kern w:val="2"/>
              <w:sz w:val="22"/>
              <w14:ligatures w14:val="standardContextual"/>
            </w:rPr>
          </w:pPr>
          <w:hyperlink w:anchor="_Toc154057135" w:history="1">
            <w:r w:rsidR="00F72AE2" w:rsidRPr="005F52B3">
              <w:rPr>
                <w:rStyle w:val="Hyperlink"/>
                <w:noProof/>
              </w:rPr>
              <w:t>HEPATITIS B BY GENDER</w:t>
            </w:r>
            <w:r w:rsidR="00F72AE2">
              <w:rPr>
                <w:noProof/>
                <w:webHidden/>
              </w:rPr>
              <w:tab/>
            </w:r>
            <w:r w:rsidR="00F72AE2">
              <w:rPr>
                <w:noProof/>
                <w:webHidden/>
              </w:rPr>
              <w:fldChar w:fldCharType="begin"/>
            </w:r>
            <w:r w:rsidR="00F72AE2">
              <w:rPr>
                <w:noProof/>
                <w:webHidden/>
              </w:rPr>
              <w:instrText xml:space="preserve"> PAGEREF _Toc154057135 \h </w:instrText>
            </w:r>
            <w:r w:rsidR="00F72AE2">
              <w:rPr>
                <w:noProof/>
                <w:webHidden/>
              </w:rPr>
            </w:r>
            <w:r w:rsidR="00F72AE2">
              <w:rPr>
                <w:noProof/>
                <w:webHidden/>
              </w:rPr>
              <w:fldChar w:fldCharType="separate"/>
            </w:r>
            <w:r w:rsidR="00F72AE2">
              <w:rPr>
                <w:noProof/>
                <w:webHidden/>
              </w:rPr>
              <w:t>40</w:t>
            </w:r>
            <w:r w:rsidR="00F72AE2">
              <w:rPr>
                <w:noProof/>
                <w:webHidden/>
              </w:rPr>
              <w:fldChar w:fldCharType="end"/>
            </w:r>
          </w:hyperlink>
        </w:p>
        <w:p w14:paraId="71D9E309" w14:textId="27BC9410" w:rsidR="00F72AE2" w:rsidRDefault="009479A7">
          <w:pPr>
            <w:pStyle w:val="TOC1"/>
            <w:tabs>
              <w:tab w:val="right" w:leader="dot" w:pos="9350"/>
            </w:tabs>
            <w:rPr>
              <w:rFonts w:eastAsiaTheme="minorEastAsia"/>
              <w:noProof/>
              <w:kern w:val="2"/>
              <w:sz w:val="22"/>
              <w14:ligatures w14:val="standardContextual"/>
            </w:rPr>
          </w:pPr>
          <w:hyperlink w:anchor="_Toc154057136" w:history="1">
            <w:r w:rsidR="00F72AE2" w:rsidRPr="005F52B3">
              <w:rPr>
                <w:rStyle w:val="Hyperlink"/>
                <w:noProof/>
              </w:rPr>
              <w:t>ACUTE HEPATITIS B</w:t>
            </w:r>
            <w:r w:rsidR="00F72AE2">
              <w:rPr>
                <w:noProof/>
                <w:webHidden/>
              </w:rPr>
              <w:tab/>
            </w:r>
            <w:r w:rsidR="00F72AE2">
              <w:rPr>
                <w:noProof/>
                <w:webHidden/>
              </w:rPr>
              <w:fldChar w:fldCharType="begin"/>
            </w:r>
            <w:r w:rsidR="00F72AE2">
              <w:rPr>
                <w:noProof/>
                <w:webHidden/>
              </w:rPr>
              <w:instrText xml:space="preserve"> PAGEREF _Toc154057136 \h </w:instrText>
            </w:r>
            <w:r w:rsidR="00F72AE2">
              <w:rPr>
                <w:noProof/>
                <w:webHidden/>
              </w:rPr>
            </w:r>
            <w:r w:rsidR="00F72AE2">
              <w:rPr>
                <w:noProof/>
                <w:webHidden/>
              </w:rPr>
              <w:fldChar w:fldCharType="separate"/>
            </w:r>
            <w:r w:rsidR="00F72AE2">
              <w:rPr>
                <w:noProof/>
                <w:webHidden/>
              </w:rPr>
              <w:t>41</w:t>
            </w:r>
            <w:r w:rsidR="00F72AE2">
              <w:rPr>
                <w:noProof/>
                <w:webHidden/>
              </w:rPr>
              <w:fldChar w:fldCharType="end"/>
            </w:r>
          </w:hyperlink>
        </w:p>
        <w:p w14:paraId="4EE7D38B" w14:textId="57D47742" w:rsidR="00F72AE2" w:rsidRDefault="009479A7">
          <w:pPr>
            <w:pStyle w:val="TOC2"/>
            <w:tabs>
              <w:tab w:val="right" w:leader="dot" w:pos="9350"/>
            </w:tabs>
            <w:rPr>
              <w:rFonts w:eastAsiaTheme="minorEastAsia"/>
              <w:noProof/>
              <w:kern w:val="2"/>
              <w:sz w:val="22"/>
              <w14:ligatures w14:val="standardContextual"/>
            </w:rPr>
          </w:pPr>
          <w:hyperlink w:anchor="_Toc154057137" w:history="1">
            <w:r w:rsidR="00F72AE2" w:rsidRPr="005F52B3">
              <w:rPr>
                <w:rStyle w:val="Hyperlink"/>
                <w:noProof/>
              </w:rPr>
              <w:t>HEPATITIS C</w:t>
            </w:r>
            <w:r w:rsidR="00F72AE2">
              <w:rPr>
                <w:noProof/>
                <w:webHidden/>
              </w:rPr>
              <w:tab/>
            </w:r>
            <w:r w:rsidR="00F72AE2">
              <w:rPr>
                <w:noProof/>
                <w:webHidden/>
              </w:rPr>
              <w:fldChar w:fldCharType="begin"/>
            </w:r>
            <w:r w:rsidR="00F72AE2">
              <w:rPr>
                <w:noProof/>
                <w:webHidden/>
              </w:rPr>
              <w:instrText xml:space="preserve"> PAGEREF _Toc154057137 \h </w:instrText>
            </w:r>
            <w:r w:rsidR="00F72AE2">
              <w:rPr>
                <w:noProof/>
                <w:webHidden/>
              </w:rPr>
            </w:r>
            <w:r w:rsidR="00F72AE2">
              <w:rPr>
                <w:noProof/>
                <w:webHidden/>
              </w:rPr>
              <w:fldChar w:fldCharType="separate"/>
            </w:r>
            <w:r w:rsidR="00F72AE2">
              <w:rPr>
                <w:noProof/>
                <w:webHidden/>
              </w:rPr>
              <w:t>42</w:t>
            </w:r>
            <w:r w:rsidR="00F72AE2">
              <w:rPr>
                <w:noProof/>
                <w:webHidden/>
              </w:rPr>
              <w:fldChar w:fldCharType="end"/>
            </w:r>
          </w:hyperlink>
        </w:p>
        <w:p w14:paraId="2EAB5E54" w14:textId="3004C758" w:rsidR="00F72AE2" w:rsidRDefault="009479A7">
          <w:pPr>
            <w:pStyle w:val="TOC1"/>
            <w:tabs>
              <w:tab w:val="right" w:leader="dot" w:pos="9350"/>
            </w:tabs>
            <w:rPr>
              <w:rFonts w:eastAsiaTheme="minorEastAsia"/>
              <w:noProof/>
              <w:kern w:val="2"/>
              <w:sz w:val="22"/>
              <w14:ligatures w14:val="standardContextual"/>
            </w:rPr>
          </w:pPr>
          <w:hyperlink w:anchor="_Toc154057138" w:history="1">
            <w:r w:rsidR="00F72AE2" w:rsidRPr="005F52B3">
              <w:rPr>
                <w:rStyle w:val="Hyperlink"/>
                <w:noProof/>
              </w:rPr>
              <w:t>HEPATITIS C BY GENDER</w:t>
            </w:r>
            <w:r w:rsidR="00F72AE2">
              <w:rPr>
                <w:noProof/>
                <w:webHidden/>
              </w:rPr>
              <w:tab/>
            </w:r>
            <w:r w:rsidR="00F72AE2">
              <w:rPr>
                <w:noProof/>
                <w:webHidden/>
              </w:rPr>
              <w:fldChar w:fldCharType="begin"/>
            </w:r>
            <w:r w:rsidR="00F72AE2">
              <w:rPr>
                <w:noProof/>
                <w:webHidden/>
              </w:rPr>
              <w:instrText xml:space="preserve"> PAGEREF _Toc154057138 \h </w:instrText>
            </w:r>
            <w:r w:rsidR="00F72AE2">
              <w:rPr>
                <w:noProof/>
                <w:webHidden/>
              </w:rPr>
            </w:r>
            <w:r w:rsidR="00F72AE2">
              <w:rPr>
                <w:noProof/>
                <w:webHidden/>
              </w:rPr>
              <w:fldChar w:fldCharType="separate"/>
            </w:r>
            <w:r w:rsidR="00F72AE2">
              <w:rPr>
                <w:noProof/>
                <w:webHidden/>
              </w:rPr>
              <w:t>43</w:t>
            </w:r>
            <w:r w:rsidR="00F72AE2">
              <w:rPr>
                <w:noProof/>
                <w:webHidden/>
              </w:rPr>
              <w:fldChar w:fldCharType="end"/>
            </w:r>
          </w:hyperlink>
        </w:p>
        <w:p w14:paraId="7F4E8664" w14:textId="7F1E5826" w:rsidR="00F72AE2" w:rsidRDefault="009479A7">
          <w:pPr>
            <w:pStyle w:val="TOC2"/>
            <w:tabs>
              <w:tab w:val="right" w:leader="dot" w:pos="9350"/>
            </w:tabs>
            <w:rPr>
              <w:rFonts w:eastAsiaTheme="minorEastAsia"/>
              <w:noProof/>
              <w:kern w:val="2"/>
              <w:sz w:val="22"/>
              <w14:ligatures w14:val="standardContextual"/>
            </w:rPr>
          </w:pPr>
          <w:hyperlink w:anchor="_Toc154057139" w:history="1">
            <w:r w:rsidR="00F72AE2" w:rsidRPr="005F52B3">
              <w:rPr>
                <w:rStyle w:val="Hyperlink"/>
                <w:noProof/>
              </w:rPr>
              <w:t>HEPATITIS C BY AGE</w:t>
            </w:r>
            <w:r w:rsidR="00F72AE2">
              <w:rPr>
                <w:noProof/>
                <w:webHidden/>
              </w:rPr>
              <w:tab/>
            </w:r>
            <w:r w:rsidR="00F72AE2">
              <w:rPr>
                <w:noProof/>
                <w:webHidden/>
              </w:rPr>
              <w:fldChar w:fldCharType="begin"/>
            </w:r>
            <w:r w:rsidR="00F72AE2">
              <w:rPr>
                <w:noProof/>
                <w:webHidden/>
              </w:rPr>
              <w:instrText xml:space="preserve"> PAGEREF _Toc154057139 \h </w:instrText>
            </w:r>
            <w:r w:rsidR="00F72AE2">
              <w:rPr>
                <w:noProof/>
                <w:webHidden/>
              </w:rPr>
            </w:r>
            <w:r w:rsidR="00F72AE2">
              <w:rPr>
                <w:noProof/>
                <w:webHidden/>
              </w:rPr>
              <w:fldChar w:fldCharType="separate"/>
            </w:r>
            <w:r w:rsidR="00F72AE2">
              <w:rPr>
                <w:noProof/>
                <w:webHidden/>
              </w:rPr>
              <w:t>44</w:t>
            </w:r>
            <w:r w:rsidR="00F72AE2">
              <w:rPr>
                <w:noProof/>
                <w:webHidden/>
              </w:rPr>
              <w:fldChar w:fldCharType="end"/>
            </w:r>
          </w:hyperlink>
        </w:p>
        <w:p w14:paraId="0286AE48" w14:textId="3C204E24" w:rsidR="00F72AE2" w:rsidRDefault="009479A7">
          <w:pPr>
            <w:pStyle w:val="TOC2"/>
            <w:tabs>
              <w:tab w:val="right" w:leader="dot" w:pos="9350"/>
            </w:tabs>
            <w:rPr>
              <w:rFonts w:eastAsiaTheme="minorEastAsia"/>
              <w:noProof/>
              <w:kern w:val="2"/>
              <w:sz w:val="22"/>
              <w14:ligatures w14:val="standardContextual"/>
            </w:rPr>
          </w:pPr>
          <w:hyperlink w:anchor="_Toc154057140" w:history="1">
            <w:r w:rsidR="00F72AE2" w:rsidRPr="005F52B3">
              <w:rPr>
                <w:rStyle w:val="Hyperlink"/>
                <w:noProof/>
              </w:rPr>
              <w:t>HEPATITIS C BY AGE AND GENDER</w:t>
            </w:r>
            <w:r w:rsidR="00F72AE2">
              <w:rPr>
                <w:noProof/>
                <w:webHidden/>
              </w:rPr>
              <w:tab/>
            </w:r>
            <w:r w:rsidR="00F72AE2">
              <w:rPr>
                <w:noProof/>
                <w:webHidden/>
              </w:rPr>
              <w:fldChar w:fldCharType="begin"/>
            </w:r>
            <w:r w:rsidR="00F72AE2">
              <w:rPr>
                <w:noProof/>
                <w:webHidden/>
              </w:rPr>
              <w:instrText xml:space="preserve"> PAGEREF _Toc154057140 \h </w:instrText>
            </w:r>
            <w:r w:rsidR="00F72AE2">
              <w:rPr>
                <w:noProof/>
                <w:webHidden/>
              </w:rPr>
            </w:r>
            <w:r w:rsidR="00F72AE2">
              <w:rPr>
                <w:noProof/>
                <w:webHidden/>
              </w:rPr>
              <w:fldChar w:fldCharType="separate"/>
            </w:r>
            <w:r w:rsidR="00F72AE2">
              <w:rPr>
                <w:noProof/>
                <w:webHidden/>
              </w:rPr>
              <w:t>45</w:t>
            </w:r>
            <w:r w:rsidR="00F72AE2">
              <w:rPr>
                <w:noProof/>
                <w:webHidden/>
              </w:rPr>
              <w:fldChar w:fldCharType="end"/>
            </w:r>
          </w:hyperlink>
        </w:p>
        <w:p w14:paraId="03D8AEB1" w14:textId="7B5765D7" w:rsidR="00F72AE2" w:rsidRDefault="009479A7">
          <w:pPr>
            <w:pStyle w:val="TOC1"/>
            <w:tabs>
              <w:tab w:val="right" w:leader="dot" w:pos="9350"/>
            </w:tabs>
            <w:rPr>
              <w:rFonts w:eastAsiaTheme="minorEastAsia"/>
              <w:noProof/>
              <w:kern w:val="2"/>
              <w:sz w:val="22"/>
              <w14:ligatures w14:val="standardContextual"/>
            </w:rPr>
          </w:pPr>
          <w:hyperlink w:anchor="_Toc154057141" w:history="1">
            <w:r w:rsidR="00F72AE2" w:rsidRPr="005F52B3">
              <w:rPr>
                <w:rStyle w:val="Hyperlink"/>
                <w:noProof/>
              </w:rPr>
              <w:t>CO-INFECTIONS-</w:t>
            </w:r>
            <w:r w:rsidR="00F72AE2">
              <w:rPr>
                <w:noProof/>
                <w:webHidden/>
              </w:rPr>
              <w:tab/>
            </w:r>
            <w:r w:rsidR="00F72AE2">
              <w:rPr>
                <w:noProof/>
                <w:webHidden/>
              </w:rPr>
              <w:fldChar w:fldCharType="begin"/>
            </w:r>
            <w:r w:rsidR="00F72AE2">
              <w:rPr>
                <w:noProof/>
                <w:webHidden/>
              </w:rPr>
              <w:instrText xml:space="preserve"> PAGEREF _Toc154057141 \h </w:instrText>
            </w:r>
            <w:r w:rsidR="00F72AE2">
              <w:rPr>
                <w:noProof/>
                <w:webHidden/>
              </w:rPr>
            </w:r>
            <w:r w:rsidR="00F72AE2">
              <w:rPr>
                <w:noProof/>
                <w:webHidden/>
              </w:rPr>
              <w:fldChar w:fldCharType="separate"/>
            </w:r>
            <w:r w:rsidR="00F72AE2">
              <w:rPr>
                <w:noProof/>
                <w:webHidden/>
              </w:rPr>
              <w:t>46</w:t>
            </w:r>
            <w:r w:rsidR="00F72AE2">
              <w:rPr>
                <w:noProof/>
                <w:webHidden/>
              </w:rPr>
              <w:fldChar w:fldCharType="end"/>
            </w:r>
          </w:hyperlink>
        </w:p>
        <w:p w14:paraId="2AB26810" w14:textId="5C802CEF" w:rsidR="00F72AE2" w:rsidRDefault="009479A7">
          <w:pPr>
            <w:pStyle w:val="TOC2"/>
            <w:tabs>
              <w:tab w:val="right" w:leader="dot" w:pos="9350"/>
            </w:tabs>
            <w:rPr>
              <w:rFonts w:eastAsiaTheme="minorEastAsia"/>
              <w:noProof/>
              <w:kern w:val="2"/>
              <w:sz w:val="22"/>
              <w14:ligatures w14:val="standardContextual"/>
            </w:rPr>
          </w:pPr>
          <w:hyperlink w:anchor="_Toc154057142" w:history="1">
            <w:r w:rsidR="00F72AE2" w:rsidRPr="005F52B3">
              <w:rPr>
                <w:rStyle w:val="Hyperlink"/>
                <w:noProof/>
              </w:rPr>
              <w:t>HIV/SYPHILIS</w:t>
            </w:r>
            <w:r w:rsidR="00F72AE2">
              <w:rPr>
                <w:noProof/>
                <w:webHidden/>
              </w:rPr>
              <w:tab/>
            </w:r>
            <w:r w:rsidR="00F72AE2">
              <w:rPr>
                <w:noProof/>
                <w:webHidden/>
              </w:rPr>
              <w:fldChar w:fldCharType="begin"/>
            </w:r>
            <w:r w:rsidR="00F72AE2">
              <w:rPr>
                <w:noProof/>
                <w:webHidden/>
              </w:rPr>
              <w:instrText xml:space="preserve"> PAGEREF _Toc154057142 \h </w:instrText>
            </w:r>
            <w:r w:rsidR="00F72AE2">
              <w:rPr>
                <w:noProof/>
                <w:webHidden/>
              </w:rPr>
            </w:r>
            <w:r w:rsidR="00F72AE2">
              <w:rPr>
                <w:noProof/>
                <w:webHidden/>
              </w:rPr>
              <w:fldChar w:fldCharType="separate"/>
            </w:r>
            <w:r w:rsidR="00F72AE2">
              <w:rPr>
                <w:noProof/>
                <w:webHidden/>
              </w:rPr>
              <w:t>46</w:t>
            </w:r>
            <w:r w:rsidR="00F72AE2">
              <w:rPr>
                <w:noProof/>
                <w:webHidden/>
              </w:rPr>
              <w:fldChar w:fldCharType="end"/>
            </w:r>
          </w:hyperlink>
        </w:p>
        <w:p w14:paraId="194EFB48" w14:textId="009AB4D3" w:rsidR="00F72AE2" w:rsidRDefault="009479A7">
          <w:pPr>
            <w:pStyle w:val="TOC2"/>
            <w:tabs>
              <w:tab w:val="right" w:leader="dot" w:pos="9350"/>
            </w:tabs>
            <w:rPr>
              <w:rFonts w:eastAsiaTheme="minorEastAsia"/>
              <w:noProof/>
              <w:kern w:val="2"/>
              <w:sz w:val="22"/>
              <w14:ligatures w14:val="standardContextual"/>
            </w:rPr>
          </w:pPr>
          <w:hyperlink w:anchor="_Toc154057143" w:history="1">
            <w:r w:rsidR="00F72AE2" w:rsidRPr="005F52B3">
              <w:rPr>
                <w:rStyle w:val="Hyperlink"/>
                <w:noProof/>
              </w:rPr>
              <w:t>HIV/GONORRHEA</w:t>
            </w:r>
            <w:r w:rsidR="00F72AE2">
              <w:rPr>
                <w:noProof/>
                <w:webHidden/>
              </w:rPr>
              <w:tab/>
            </w:r>
            <w:r w:rsidR="00F72AE2">
              <w:rPr>
                <w:noProof/>
                <w:webHidden/>
              </w:rPr>
              <w:fldChar w:fldCharType="begin"/>
            </w:r>
            <w:r w:rsidR="00F72AE2">
              <w:rPr>
                <w:noProof/>
                <w:webHidden/>
              </w:rPr>
              <w:instrText xml:space="preserve"> PAGEREF _Toc154057143 \h </w:instrText>
            </w:r>
            <w:r w:rsidR="00F72AE2">
              <w:rPr>
                <w:noProof/>
                <w:webHidden/>
              </w:rPr>
            </w:r>
            <w:r w:rsidR="00F72AE2">
              <w:rPr>
                <w:noProof/>
                <w:webHidden/>
              </w:rPr>
              <w:fldChar w:fldCharType="separate"/>
            </w:r>
            <w:r w:rsidR="00F72AE2">
              <w:rPr>
                <w:noProof/>
                <w:webHidden/>
              </w:rPr>
              <w:t>47</w:t>
            </w:r>
            <w:r w:rsidR="00F72AE2">
              <w:rPr>
                <w:noProof/>
                <w:webHidden/>
              </w:rPr>
              <w:fldChar w:fldCharType="end"/>
            </w:r>
          </w:hyperlink>
        </w:p>
        <w:p w14:paraId="060ABCB5" w14:textId="6E26CC8A" w:rsidR="00F72AE2" w:rsidRDefault="009479A7">
          <w:pPr>
            <w:pStyle w:val="TOC2"/>
            <w:tabs>
              <w:tab w:val="right" w:leader="dot" w:pos="9350"/>
            </w:tabs>
            <w:rPr>
              <w:rFonts w:eastAsiaTheme="minorEastAsia"/>
              <w:noProof/>
              <w:kern w:val="2"/>
              <w:sz w:val="22"/>
              <w14:ligatures w14:val="standardContextual"/>
            </w:rPr>
          </w:pPr>
          <w:hyperlink w:anchor="_Toc154057144" w:history="1">
            <w:r w:rsidR="00F72AE2" w:rsidRPr="005F52B3">
              <w:rPr>
                <w:rStyle w:val="Hyperlink"/>
                <w:noProof/>
              </w:rPr>
              <w:t>HIV/HEPATITIS C</w:t>
            </w:r>
            <w:r w:rsidR="00F72AE2">
              <w:rPr>
                <w:noProof/>
                <w:webHidden/>
              </w:rPr>
              <w:tab/>
            </w:r>
            <w:r w:rsidR="00F72AE2">
              <w:rPr>
                <w:noProof/>
                <w:webHidden/>
              </w:rPr>
              <w:fldChar w:fldCharType="begin"/>
            </w:r>
            <w:r w:rsidR="00F72AE2">
              <w:rPr>
                <w:noProof/>
                <w:webHidden/>
              </w:rPr>
              <w:instrText xml:space="preserve"> PAGEREF _Toc154057144 \h </w:instrText>
            </w:r>
            <w:r w:rsidR="00F72AE2">
              <w:rPr>
                <w:noProof/>
                <w:webHidden/>
              </w:rPr>
            </w:r>
            <w:r w:rsidR="00F72AE2">
              <w:rPr>
                <w:noProof/>
                <w:webHidden/>
              </w:rPr>
              <w:fldChar w:fldCharType="separate"/>
            </w:r>
            <w:r w:rsidR="00F72AE2">
              <w:rPr>
                <w:noProof/>
                <w:webHidden/>
              </w:rPr>
              <w:t>48</w:t>
            </w:r>
            <w:r w:rsidR="00F72AE2">
              <w:rPr>
                <w:noProof/>
                <w:webHidden/>
              </w:rPr>
              <w:fldChar w:fldCharType="end"/>
            </w:r>
          </w:hyperlink>
        </w:p>
        <w:p w14:paraId="64F628C8" w14:textId="79258587" w:rsidR="00F72AE2" w:rsidRDefault="009479A7">
          <w:pPr>
            <w:pStyle w:val="TOC2"/>
            <w:tabs>
              <w:tab w:val="right" w:leader="dot" w:pos="9350"/>
            </w:tabs>
            <w:rPr>
              <w:rFonts w:eastAsiaTheme="minorEastAsia"/>
              <w:noProof/>
              <w:kern w:val="2"/>
              <w:sz w:val="22"/>
              <w14:ligatures w14:val="standardContextual"/>
            </w:rPr>
          </w:pPr>
          <w:hyperlink w:anchor="_Toc154057145" w:history="1">
            <w:r w:rsidR="00F72AE2" w:rsidRPr="005F52B3">
              <w:rPr>
                <w:rStyle w:val="Hyperlink"/>
                <w:noProof/>
              </w:rPr>
              <w:t>HIV/HEPATITIS C CO-INFECTIONS BY DEMOGRAPHICS</w:t>
            </w:r>
            <w:r w:rsidR="00F72AE2">
              <w:rPr>
                <w:noProof/>
                <w:webHidden/>
              </w:rPr>
              <w:tab/>
            </w:r>
            <w:r w:rsidR="00F72AE2">
              <w:rPr>
                <w:noProof/>
                <w:webHidden/>
              </w:rPr>
              <w:fldChar w:fldCharType="begin"/>
            </w:r>
            <w:r w:rsidR="00F72AE2">
              <w:rPr>
                <w:noProof/>
                <w:webHidden/>
              </w:rPr>
              <w:instrText xml:space="preserve"> PAGEREF _Toc154057145 \h </w:instrText>
            </w:r>
            <w:r w:rsidR="00F72AE2">
              <w:rPr>
                <w:noProof/>
                <w:webHidden/>
              </w:rPr>
            </w:r>
            <w:r w:rsidR="00F72AE2">
              <w:rPr>
                <w:noProof/>
                <w:webHidden/>
              </w:rPr>
              <w:fldChar w:fldCharType="separate"/>
            </w:r>
            <w:r w:rsidR="00F72AE2">
              <w:rPr>
                <w:noProof/>
                <w:webHidden/>
              </w:rPr>
              <w:t>49</w:t>
            </w:r>
            <w:r w:rsidR="00F72AE2">
              <w:rPr>
                <w:noProof/>
                <w:webHidden/>
              </w:rPr>
              <w:fldChar w:fldCharType="end"/>
            </w:r>
          </w:hyperlink>
        </w:p>
        <w:p w14:paraId="52876B9E" w14:textId="51AA91DD" w:rsidR="00F72AE2" w:rsidRDefault="009479A7">
          <w:pPr>
            <w:pStyle w:val="TOC2"/>
            <w:tabs>
              <w:tab w:val="right" w:leader="dot" w:pos="9350"/>
            </w:tabs>
            <w:rPr>
              <w:rFonts w:eastAsiaTheme="minorEastAsia"/>
              <w:noProof/>
              <w:kern w:val="2"/>
              <w:sz w:val="22"/>
              <w14:ligatures w14:val="standardContextual"/>
            </w:rPr>
          </w:pPr>
          <w:hyperlink w:anchor="_Toc154057146" w:history="1">
            <w:r w:rsidR="00F72AE2" w:rsidRPr="005F52B3">
              <w:rPr>
                <w:rStyle w:val="Hyperlink"/>
                <w:noProof/>
              </w:rPr>
              <w:t>HIV/HEPATITIS C – PERCENTAGE CO-INFECTED</w:t>
            </w:r>
            <w:r w:rsidR="00F72AE2">
              <w:rPr>
                <w:noProof/>
                <w:webHidden/>
              </w:rPr>
              <w:tab/>
            </w:r>
            <w:r w:rsidR="00F72AE2">
              <w:rPr>
                <w:noProof/>
                <w:webHidden/>
              </w:rPr>
              <w:fldChar w:fldCharType="begin"/>
            </w:r>
            <w:r w:rsidR="00F72AE2">
              <w:rPr>
                <w:noProof/>
                <w:webHidden/>
              </w:rPr>
              <w:instrText xml:space="preserve"> PAGEREF _Toc154057146 \h </w:instrText>
            </w:r>
            <w:r w:rsidR="00F72AE2">
              <w:rPr>
                <w:noProof/>
                <w:webHidden/>
              </w:rPr>
            </w:r>
            <w:r w:rsidR="00F72AE2">
              <w:rPr>
                <w:noProof/>
                <w:webHidden/>
              </w:rPr>
              <w:fldChar w:fldCharType="separate"/>
            </w:r>
            <w:r w:rsidR="00F72AE2">
              <w:rPr>
                <w:noProof/>
                <w:webHidden/>
              </w:rPr>
              <w:t>51</w:t>
            </w:r>
            <w:r w:rsidR="00F72AE2">
              <w:rPr>
                <w:noProof/>
                <w:webHidden/>
              </w:rPr>
              <w:fldChar w:fldCharType="end"/>
            </w:r>
          </w:hyperlink>
        </w:p>
        <w:p w14:paraId="30385E39" w14:textId="64695542" w:rsidR="00F72AE2" w:rsidRDefault="009479A7">
          <w:pPr>
            <w:pStyle w:val="TOC1"/>
            <w:tabs>
              <w:tab w:val="right" w:leader="dot" w:pos="9350"/>
            </w:tabs>
            <w:rPr>
              <w:rFonts w:eastAsiaTheme="minorEastAsia"/>
              <w:noProof/>
              <w:kern w:val="2"/>
              <w:sz w:val="22"/>
              <w14:ligatures w14:val="standardContextual"/>
            </w:rPr>
          </w:pPr>
          <w:hyperlink w:anchor="_Toc154057147" w:history="1">
            <w:r w:rsidR="00F72AE2" w:rsidRPr="005F52B3">
              <w:rPr>
                <w:rStyle w:val="Hyperlink"/>
                <w:noProof/>
              </w:rPr>
              <w:t>SPECIFIC POPULATIONS- ADOLESCENTS AND YOUNG ADULTS</w:t>
            </w:r>
            <w:r w:rsidR="00F72AE2">
              <w:rPr>
                <w:noProof/>
                <w:webHidden/>
              </w:rPr>
              <w:tab/>
            </w:r>
            <w:r w:rsidR="00F72AE2">
              <w:rPr>
                <w:noProof/>
                <w:webHidden/>
              </w:rPr>
              <w:fldChar w:fldCharType="begin"/>
            </w:r>
            <w:r w:rsidR="00F72AE2">
              <w:rPr>
                <w:noProof/>
                <w:webHidden/>
              </w:rPr>
              <w:instrText xml:space="preserve"> PAGEREF _Toc154057147 \h </w:instrText>
            </w:r>
            <w:r w:rsidR="00F72AE2">
              <w:rPr>
                <w:noProof/>
                <w:webHidden/>
              </w:rPr>
            </w:r>
            <w:r w:rsidR="00F72AE2">
              <w:rPr>
                <w:noProof/>
                <w:webHidden/>
              </w:rPr>
              <w:fldChar w:fldCharType="separate"/>
            </w:r>
            <w:r w:rsidR="00F72AE2">
              <w:rPr>
                <w:noProof/>
                <w:webHidden/>
              </w:rPr>
              <w:t>52</w:t>
            </w:r>
            <w:r w:rsidR="00F72AE2">
              <w:rPr>
                <w:noProof/>
                <w:webHidden/>
              </w:rPr>
              <w:fldChar w:fldCharType="end"/>
            </w:r>
          </w:hyperlink>
        </w:p>
        <w:p w14:paraId="7D8371AB" w14:textId="60016A2E" w:rsidR="00F72AE2" w:rsidRDefault="009479A7">
          <w:pPr>
            <w:pStyle w:val="TOC2"/>
            <w:tabs>
              <w:tab w:val="right" w:leader="dot" w:pos="9350"/>
            </w:tabs>
            <w:rPr>
              <w:rFonts w:eastAsiaTheme="minorEastAsia"/>
              <w:noProof/>
              <w:kern w:val="2"/>
              <w:sz w:val="22"/>
              <w14:ligatures w14:val="standardContextual"/>
            </w:rPr>
          </w:pPr>
          <w:hyperlink w:anchor="_Toc154057148" w:history="1">
            <w:r w:rsidR="00F72AE2" w:rsidRPr="005F52B3">
              <w:rPr>
                <w:rStyle w:val="Hyperlink"/>
                <w:noProof/>
              </w:rPr>
              <w:t>STD DIAGNOSES BY AGE</w:t>
            </w:r>
            <w:r w:rsidR="00F72AE2">
              <w:rPr>
                <w:noProof/>
                <w:webHidden/>
              </w:rPr>
              <w:tab/>
            </w:r>
            <w:r w:rsidR="00F72AE2">
              <w:rPr>
                <w:noProof/>
                <w:webHidden/>
              </w:rPr>
              <w:fldChar w:fldCharType="begin"/>
            </w:r>
            <w:r w:rsidR="00F72AE2">
              <w:rPr>
                <w:noProof/>
                <w:webHidden/>
              </w:rPr>
              <w:instrText xml:space="preserve"> PAGEREF _Toc154057148 \h </w:instrText>
            </w:r>
            <w:r w:rsidR="00F72AE2">
              <w:rPr>
                <w:noProof/>
                <w:webHidden/>
              </w:rPr>
            </w:r>
            <w:r w:rsidR="00F72AE2">
              <w:rPr>
                <w:noProof/>
                <w:webHidden/>
              </w:rPr>
              <w:fldChar w:fldCharType="separate"/>
            </w:r>
            <w:r w:rsidR="00F72AE2">
              <w:rPr>
                <w:noProof/>
                <w:webHidden/>
              </w:rPr>
              <w:t>52</w:t>
            </w:r>
            <w:r w:rsidR="00F72AE2">
              <w:rPr>
                <w:noProof/>
                <w:webHidden/>
              </w:rPr>
              <w:fldChar w:fldCharType="end"/>
            </w:r>
          </w:hyperlink>
        </w:p>
        <w:p w14:paraId="36AC9978" w14:textId="7683C68E" w:rsidR="00F72AE2" w:rsidRDefault="009479A7">
          <w:pPr>
            <w:pStyle w:val="TOC2"/>
            <w:tabs>
              <w:tab w:val="right" w:leader="dot" w:pos="9350"/>
            </w:tabs>
            <w:rPr>
              <w:rFonts w:eastAsiaTheme="minorEastAsia"/>
              <w:noProof/>
              <w:kern w:val="2"/>
              <w:sz w:val="22"/>
              <w14:ligatures w14:val="standardContextual"/>
            </w:rPr>
          </w:pPr>
          <w:hyperlink w:anchor="_Toc154057149" w:history="1">
            <w:r w:rsidR="00F72AE2" w:rsidRPr="005F52B3">
              <w:rPr>
                <w:rStyle w:val="Hyperlink"/>
                <w:noProof/>
              </w:rPr>
              <w:t>STD DIAGNOSES BY AGE AND GENDER</w:t>
            </w:r>
            <w:r w:rsidR="00F72AE2">
              <w:rPr>
                <w:noProof/>
                <w:webHidden/>
              </w:rPr>
              <w:tab/>
            </w:r>
            <w:r w:rsidR="00F72AE2">
              <w:rPr>
                <w:noProof/>
                <w:webHidden/>
              </w:rPr>
              <w:fldChar w:fldCharType="begin"/>
            </w:r>
            <w:r w:rsidR="00F72AE2">
              <w:rPr>
                <w:noProof/>
                <w:webHidden/>
              </w:rPr>
              <w:instrText xml:space="preserve"> PAGEREF _Toc154057149 \h </w:instrText>
            </w:r>
            <w:r w:rsidR="00F72AE2">
              <w:rPr>
                <w:noProof/>
                <w:webHidden/>
              </w:rPr>
            </w:r>
            <w:r w:rsidR="00F72AE2">
              <w:rPr>
                <w:noProof/>
                <w:webHidden/>
              </w:rPr>
              <w:fldChar w:fldCharType="separate"/>
            </w:r>
            <w:r w:rsidR="00F72AE2">
              <w:rPr>
                <w:noProof/>
                <w:webHidden/>
              </w:rPr>
              <w:t>53</w:t>
            </w:r>
            <w:r w:rsidR="00F72AE2">
              <w:rPr>
                <w:noProof/>
                <w:webHidden/>
              </w:rPr>
              <w:fldChar w:fldCharType="end"/>
            </w:r>
          </w:hyperlink>
        </w:p>
        <w:p w14:paraId="16885D40" w14:textId="26C43704" w:rsidR="00F72AE2" w:rsidRDefault="009479A7">
          <w:pPr>
            <w:pStyle w:val="TOC2"/>
            <w:tabs>
              <w:tab w:val="right" w:leader="dot" w:pos="9350"/>
            </w:tabs>
            <w:rPr>
              <w:rFonts w:eastAsiaTheme="minorEastAsia"/>
              <w:noProof/>
              <w:kern w:val="2"/>
              <w:sz w:val="22"/>
              <w14:ligatures w14:val="standardContextual"/>
            </w:rPr>
          </w:pPr>
          <w:hyperlink w:anchor="_Toc154057150" w:history="1">
            <w:r w:rsidR="00F72AE2" w:rsidRPr="005F52B3">
              <w:rPr>
                <w:rStyle w:val="Hyperlink"/>
                <w:noProof/>
              </w:rPr>
              <w:t>HIV DIAGNOSES BY RACE/ETHNICITY AND EXPOSURE MODE</w:t>
            </w:r>
            <w:r w:rsidR="00F72AE2">
              <w:rPr>
                <w:noProof/>
                <w:webHidden/>
              </w:rPr>
              <w:tab/>
            </w:r>
            <w:r w:rsidR="00F72AE2">
              <w:rPr>
                <w:noProof/>
                <w:webHidden/>
              </w:rPr>
              <w:fldChar w:fldCharType="begin"/>
            </w:r>
            <w:r w:rsidR="00F72AE2">
              <w:rPr>
                <w:noProof/>
                <w:webHidden/>
              </w:rPr>
              <w:instrText xml:space="preserve"> PAGEREF _Toc154057150 \h </w:instrText>
            </w:r>
            <w:r w:rsidR="00F72AE2">
              <w:rPr>
                <w:noProof/>
                <w:webHidden/>
              </w:rPr>
            </w:r>
            <w:r w:rsidR="00F72AE2">
              <w:rPr>
                <w:noProof/>
                <w:webHidden/>
              </w:rPr>
              <w:fldChar w:fldCharType="separate"/>
            </w:r>
            <w:r w:rsidR="00F72AE2">
              <w:rPr>
                <w:noProof/>
                <w:webHidden/>
              </w:rPr>
              <w:t>54</w:t>
            </w:r>
            <w:r w:rsidR="00F72AE2">
              <w:rPr>
                <w:noProof/>
                <w:webHidden/>
              </w:rPr>
              <w:fldChar w:fldCharType="end"/>
            </w:r>
          </w:hyperlink>
        </w:p>
        <w:p w14:paraId="086E0CC3" w14:textId="6981A7B8" w:rsidR="00F72AE2" w:rsidRDefault="009479A7">
          <w:pPr>
            <w:pStyle w:val="TOC2"/>
            <w:tabs>
              <w:tab w:val="right" w:leader="dot" w:pos="9350"/>
            </w:tabs>
            <w:rPr>
              <w:rFonts w:eastAsiaTheme="minorEastAsia"/>
              <w:noProof/>
              <w:kern w:val="2"/>
              <w:sz w:val="22"/>
              <w14:ligatures w14:val="standardContextual"/>
            </w:rPr>
          </w:pPr>
          <w:hyperlink w:anchor="_Toc154057151" w:history="1">
            <w:r w:rsidR="00F72AE2" w:rsidRPr="005F52B3">
              <w:rPr>
                <w:rStyle w:val="Hyperlink"/>
                <w:noProof/>
              </w:rPr>
              <w:t>HEPATITIS C BY AGE AND GENDER</w:t>
            </w:r>
            <w:r w:rsidR="00F72AE2">
              <w:rPr>
                <w:noProof/>
                <w:webHidden/>
              </w:rPr>
              <w:tab/>
            </w:r>
            <w:r w:rsidR="00F72AE2">
              <w:rPr>
                <w:noProof/>
                <w:webHidden/>
              </w:rPr>
              <w:fldChar w:fldCharType="begin"/>
            </w:r>
            <w:r w:rsidR="00F72AE2">
              <w:rPr>
                <w:noProof/>
                <w:webHidden/>
              </w:rPr>
              <w:instrText xml:space="preserve"> PAGEREF _Toc154057151 \h </w:instrText>
            </w:r>
            <w:r w:rsidR="00F72AE2">
              <w:rPr>
                <w:noProof/>
                <w:webHidden/>
              </w:rPr>
            </w:r>
            <w:r w:rsidR="00F72AE2">
              <w:rPr>
                <w:noProof/>
                <w:webHidden/>
              </w:rPr>
              <w:fldChar w:fldCharType="separate"/>
            </w:r>
            <w:r w:rsidR="00F72AE2">
              <w:rPr>
                <w:noProof/>
                <w:webHidden/>
              </w:rPr>
              <w:t>55</w:t>
            </w:r>
            <w:r w:rsidR="00F72AE2">
              <w:rPr>
                <w:noProof/>
                <w:webHidden/>
              </w:rPr>
              <w:fldChar w:fldCharType="end"/>
            </w:r>
          </w:hyperlink>
        </w:p>
        <w:p w14:paraId="00EC4446" w14:textId="166B4217" w:rsidR="00F72AE2" w:rsidRDefault="009479A7">
          <w:pPr>
            <w:pStyle w:val="TOC2"/>
            <w:tabs>
              <w:tab w:val="right" w:leader="dot" w:pos="9350"/>
            </w:tabs>
            <w:rPr>
              <w:rFonts w:eastAsiaTheme="minorEastAsia"/>
              <w:noProof/>
              <w:kern w:val="2"/>
              <w:sz w:val="22"/>
              <w14:ligatures w14:val="standardContextual"/>
            </w:rPr>
          </w:pPr>
          <w:hyperlink w:anchor="_Toc154057152" w:history="1">
            <w:r w:rsidR="00F72AE2" w:rsidRPr="005F52B3">
              <w:rPr>
                <w:rStyle w:val="Hyperlink"/>
                <w:noProof/>
              </w:rPr>
              <w:t>MASSACHUSETTS YOUTH RISK BEHAVIOR SURVEY</w:t>
            </w:r>
            <w:r w:rsidR="00F72AE2">
              <w:rPr>
                <w:noProof/>
                <w:webHidden/>
              </w:rPr>
              <w:tab/>
            </w:r>
            <w:r w:rsidR="00F72AE2">
              <w:rPr>
                <w:noProof/>
                <w:webHidden/>
              </w:rPr>
              <w:fldChar w:fldCharType="begin"/>
            </w:r>
            <w:r w:rsidR="00F72AE2">
              <w:rPr>
                <w:noProof/>
                <w:webHidden/>
              </w:rPr>
              <w:instrText xml:space="preserve"> PAGEREF _Toc154057152 \h </w:instrText>
            </w:r>
            <w:r w:rsidR="00F72AE2">
              <w:rPr>
                <w:noProof/>
                <w:webHidden/>
              </w:rPr>
            </w:r>
            <w:r w:rsidR="00F72AE2">
              <w:rPr>
                <w:noProof/>
                <w:webHidden/>
              </w:rPr>
              <w:fldChar w:fldCharType="separate"/>
            </w:r>
            <w:r w:rsidR="00F72AE2">
              <w:rPr>
                <w:noProof/>
                <w:webHidden/>
              </w:rPr>
              <w:t>57</w:t>
            </w:r>
            <w:r w:rsidR="00F72AE2">
              <w:rPr>
                <w:noProof/>
                <w:webHidden/>
              </w:rPr>
              <w:fldChar w:fldCharType="end"/>
            </w:r>
          </w:hyperlink>
        </w:p>
        <w:p w14:paraId="0303E416" w14:textId="041CE80D" w:rsidR="00F72AE2" w:rsidRDefault="009479A7">
          <w:pPr>
            <w:pStyle w:val="TOC1"/>
            <w:tabs>
              <w:tab w:val="right" w:leader="dot" w:pos="9350"/>
            </w:tabs>
            <w:rPr>
              <w:rFonts w:eastAsiaTheme="minorEastAsia"/>
              <w:noProof/>
              <w:kern w:val="2"/>
              <w:sz w:val="22"/>
              <w14:ligatures w14:val="standardContextual"/>
            </w:rPr>
          </w:pPr>
          <w:hyperlink w:anchor="_Toc154057153" w:history="1">
            <w:r w:rsidR="00F72AE2" w:rsidRPr="005F52B3">
              <w:rPr>
                <w:rStyle w:val="Hyperlink"/>
                <w:noProof/>
              </w:rPr>
              <w:t>SPECIFIC POPULATIONS - MEN WHO HAVE SEX WITH MEN</w:t>
            </w:r>
            <w:r w:rsidR="00F72AE2">
              <w:rPr>
                <w:noProof/>
                <w:webHidden/>
              </w:rPr>
              <w:tab/>
            </w:r>
            <w:r w:rsidR="00F72AE2">
              <w:rPr>
                <w:noProof/>
                <w:webHidden/>
              </w:rPr>
              <w:fldChar w:fldCharType="begin"/>
            </w:r>
            <w:r w:rsidR="00F72AE2">
              <w:rPr>
                <w:noProof/>
                <w:webHidden/>
              </w:rPr>
              <w:instrText xml:space="preserve"> PAGEREF _Toc154057153 \h </w:instrText>
            </w:r>
            <w:r w:rsidR="00F72AE2">
              <w:rPr>
                <w:noProof/>
                <w:webHidden/>
              </w:rPr>
            </w:r>
            <w:r w:rsidR="00F72AE2">
              <w:rPr>
                <w:noProof/>
                <w:webHidden/>
              </w:rPr>
              <w:fldChar w:fldCharType="separate"/>
            </w:r>
            <w:r w:rsidR="00F72AE2">
              <w:rPr>
                <w:noProof/>
                <w:webHidden/>
              </w:rPr>
              <w:t>58</w:t>
            </w:r>
            <w:r w:rsidR="00F72AE2">
              <w:rPr>
                <w:noProof/>
                <w:webHidden/>
              </w:rPr>
              <w:fldChar w:fldCharType="end"/>
            </w:r>
          </w:hyperlink>
        </w:p>
        <w:p w14:paraId="4751CB60" w14:textId="04957091" w:rsidR="00F72AE2" w:rsidRDefault="009479A7">
          <w:pPr>
            <w:pStyle w:val="TOC2"/>
            <w:tabs>
              <w:tab w:val="right" w:leader="dot" w:pos="9350"/>
            </w:tabs>
            <w:rPr>
              <w:rFonts w:eastAsiaTheme="minorEastAsia"/>
              <w:noProof/>
              <w:kern w:val="2"/>
              <w:sz w:val="22"/>
              <w14:ligatures w14:val="standardContextual"/>
            </w:rPr>
          </w:pPr>
          <w:hyperlink w:anchor="_Toc154057154" w:history="1">
            <w:r w:rsidR="00F72AE2" w:rsidRPr="005F52B3">
              <w:rPr>
                <w:rStyle w:val="Hyperlink"/>
                <w:noProof/>
              </w:rPr>
              <w:t>HIV DIAGNOSIS RATE PER 100,000</w:t>
            </w:r>
            <w:r w:rsidR="00F72AE2">
              <w:rPr>
                <w:noProof/>
                <w:webHidden/>
              </w:rPr>
              <w:tab/>
            </w:r>
            <w:r w:rsidR="00F72AE2">
              <w:rPr>
                <w:noProof/>
                <w:webHidden/>
              </w:rPr>
              <w:fldChar w:fldCharType="begin"/>
            </w:r>
            <w:r w:rsidR="00F72AE2">
              <w:rPr>
                <w:noProof/>
                <w:webHidden/>
              </w:rPr>
              <w:instrText xml:space="preserve"> PAGEREF _Toc154057154 \h </w:instrText>
            </w:r>
            <w:r w:rsidR="00F72AE2">
              <w:rPr>
                <w:noProof/>
                <w:webHidden/>
              </w:rPr>
            </w:r>
            <w:r w:rsidR="00F72AE2">
              <w:rPr>
                <w:noProof/>
                <w:webHidden/>
              </w:rPr>
              <w:fldChar w:fldCharType="separate"/>
            </w:r>
            <w:r w:rsidR="00F72AE2">
              <w:rPr>
                <w:noProof/>
                <w:webHidden/>
              </w:rPr>
              <w:t>58</w:t>
            </w:r>
            <w:r w:rsidR="00F72AE2">
              <w:rPr>
                <w:noProof/>
                <w:webHidden/>
              </w:rPr>
              <w:fldChar w:fldCharType="end"/>
            </w:r>
          </w:hyperlink>
        </w:p>
        <w:p w14:paraId="27F40DBC" w14:textId="0FAA30AA" w:rsidR="00F72AE2" w:rsidRDefault="009479A7">
          <w:pPr>
            <w:pStyle w:val="TOC2"/>
            <w:tabs>
              <w:tab w:val="right" w:leader="dot" w:pos="9350"/>
            </w:tabs>
            <w:rPr>
              <w:rFonts w:eastAsiaTheme="minorEastAsia"/>
              <w:noProof/>
              <w:kern w:val="2"/>
              <w:sz w:val="22"/>
              <w14:ligatures w14:val="standardContextual"/>
            </w:rPr>
          </w:pPr>
          <w:hyperlink w:anchor="_Toc154057155" w:history="1">
            <w:r w:rsidR="00F72AE2" w:rsidRPr="005F52B3">
              <w:rPr>
                <w:rStyle w:val="Hyperlink"/>
                <w:noProof/>
              </w:rPr>
              <w:t>MSM – SYPHILIS RATE PER 100,000</w:t>
            </w:r>
            <w:r w:rsidR="00F72AE2">
              <w:rPr>
                <w:noProof/>
                <w:webHidden/>
              </w:rPr>
              <w:tab/>
            </w:r>
            <w:r w:rsidR="00F72AE2">
              <w:rPr>
                <w:noProof/>
                <w:webHidden/>
              </w:rPr>
              <w:fldChar w:fldCharType="begin"/>
            </w:r>
            <w:r w:rsidR="00F72AE2">
              <w:rPr>
                <w:noProof/>
                <w:webHidden/>
              </w:rPr>
              <w:instrText xml:space="preserve"> PAGEREF _Toc154057155 \h </w:instrText>
            </w:r>
            <w:r w:rsidR="00F72AE2">
              <w:rPr>
                <w:noProof/>
                <w:webHidden/>
              </w:rPr>
            </w:r>
            <w:r w:rsidR="00F72AE2">
              <w:rPr>
                <w:noProof/>
                <w:webHidden/>
              </w:rPr>
              <w:fldChar w:fldCharType="separate"/>
            </w:r>
            <w:r w:rsidR="00F72AE2">
              <w:rPr>
                <w:noProof/>
                <w:webHidden/>
              </w:rPr>
              <w:t>59</w:t>
            </w:r>
            <w:r w:rsidR="00F72AE2">
              <w:rPr>
                <w:noProof/>
                <w:webHidden/>
              </w:rPr>
              <w:fldChar w:fldCharType="end"/>
            </w:r>
          </w:hyperlink>
        </w:p>
        <w:p w14:paraId="58BFA715" w14:textId="3F4F7CB7" w:rsidR="00F72AE2" w:rsidRDefault="009479A7">
          <w:pPr>
            <w:pStyle w:val="TOC2"/>
            <w:tabs>
              <w:tab w:val="right" w:leader="dot" w:pos="9350"/>
            </w:tabs>
            <w:rPr>
              <w:rFonts w:eastAsiaTheme="minorEastAsia"/>
              <w:noProof/>
              <w:kern w:val="2"/>
              <w:sz w:val="22"/>
              <w14:ligatures w14:val="standardContextual"/>
            </w:rPr>
          </w:pPr>
          <w:hyperlink w:anchor="_Toc154057156" w:history="1">
            <w:r w:rsidR="00F72AE2" w:rsidRPr="005F52B3">
              <w:rPr>
                <w:rStyle w:val="Hyperlink"/>
                <w:noProof/>
              </w:rPr>
              <w:t>MSM – SYPHILIS/HIV CO-INFECTION</w:t>
            </w:r>
            <w:r w:rsidR="00F72AE2">
              <w:rPr>
                <w:noProof/>
                <w:webHidden/>
              </w:rPr>
              <w:tab/>
            </w:r>
            <w:r w:rsidR="00F72AE2">
              <w:rPr>
                <w:noProof/>
                <w:webHidden/>
              </w:rPr>
              <w:fldChar w:fldCharType="begin"/>
            </w:r>
            <w:r w:rsidR="00F72AE2">
              <w:rPr>
                <w:noProof/>
                <w:webHidden/>
              </w:rPr>
              <w:instrText xml:space="preserve"> PAGEREF _Toc154057156 \h </w:instrText>
            </w:r>
            <w:r w:rsidR="00F72AE2">
              <w:rPr>
                <w:noProof/>
                <w:webHidden/>
              </w:rPr>
            </w:r>
            <w:r w:rsidR="00F72AE2">
              <w:rPr>
                <w:noProof/>
                <w:webHidden/>
              </w:rPr>
              <w:fldChar w:fldCharType="separate"/>
            </w:r>
            <w:r w:rsidR="00F72AE2">
              <w:rPr>
                <w:noProof/>
                <w:webHidden/>
              </w:rPr>
              <w:t>60</w:t>
            </w:r>
            <w:r w:rsidR="00F72AE2">
              <w:rPr>
                <w:noProof/>
                <w:webHidden/>
              </w:rPr>
              <w:fldChar w:fldCharType="end"/>
            </w:r>
          </w:hyperlink>
        </w:p>
        <w:p w14:paraId="4B79BCE6" w14:textId="16C552E2" w:rsidR="00F72AE2" w:rsidRDefault="009479A7">
          <w:pPr>
            <w:pStyle w:val="TOC2"/>
            <w:tabs>
              <w:tab w:val="right" w:leader="dot" w:pos="9350"/>
            </w:tabs>
            <w:rPr>
              <w:rFonts w:eastAsiaTheme="minorEastAsia"/>
              <w:noProof/>
              <w:kern w:val="2"/>
              <w:sz w:val="22"/>
              <w14:ligatures w14:val="standardContextual"/>
            </w:rPr>
          </w:pPr>
          <w:hyperlink w:anchor="_Toc154057157" w:history="1">
            <w:r w:rsidR="00F72AE2" w:rsidRPr="005F52B3">
              <w:rPr>
                <w:rStyle w:val="Hyperlink"/>
                <w:noProof/>
              </w:rPr>
              <w:t>MSM - SYPHILIS BY COUNTY</w:t>
            </w:r>
            <w:r w:rsidR="00F72AE2">
              <w:rPr>
                <w:noProof/>
                <w:webHidden/>
              </w:rPr>
              <w:tab/>
            </w:r>
            <w:r w:rsidR="00F72AE2">
              <w:rPr>
                <w:noProof/>
                <w:webHidden/>
              </w:rPr>
              <w:fldChar w:fldCharType="begin"/>
            </w:r>
            <w:r w:rsidR="00F72AE2">
              <w:rPr>
                <w:noProof/>
                <w:webHidden/>
              </w:rPr>
              <w:instrText xml:space="preserve"> PAGEREF _Toc154057157 \h </w:instrText>
            </w:r>
            <w:r w:rsidR="00F72AE2">
              <w:rPr>
                <w:noProof/>
                <w:webHidden/>
              </w:rPr>
            </w:r>
            <w:r w:rsidR="00F72AE2">
              <w:rPr>
                <w:noProof/>
                <w:webHidden/>
              </w:rPr>
              <w:fldChar w:fldCharType="separate"/>
            </w:r>
            <w:r w:rsidR="00F72AE2">
              <w:rPr>
                <w:noProof/>
                <w:webHidden/>
              </w:rPr>
              <w:t>61</w:t>
            </w:r>
            <w:r w:rsidR="00F72AE2">
              <w:rPr>
                <w:noProof/>
                <w:webHidden/>
              </w:rPr>
              <w:fldChar w:fldCharType="end"/>
            </w:r>
          </w:hyperlink>
        </w:p>
        <w:p w14:paraId="1850AF74" w14:textId="7F616326" w:rsidR="00F72AE2" w:rsidRDefault="009479A7">
          <w:pPr>
            <w:pStyle w:val="TOC2"/>
            <w:tabs>
              <w:tab w:val="right" w:leader="dot" w:pos="9350"/>
            </w:tabs>
            <w:rPr>
              <w:rFonts w:eastAsiaTheme="minorEastAsia"/>
              <w:noProof/>
              <w:kern w:val="2"/>
              <w:sz w:val="22"/>
              <w14:ligatures w14:val="standardContextual"/>
            </w:rPr>
          </w:pPr>
          <w:hyperlink w:anchor="_Toc154057158" w:history="1">
            <w:r w:rsidR="00F72AE2" w:rsidRPr="005F52B3">
              <w:rPr>
                <w:rStyle w:val="Hyperlink"/>
                <w:noProof/>
              </w:rPr>
              <w:t>MSM – RECENT HIV DIAGNOSES</w:t>
            </w:r>
            <w:r w:rsidR="00F72AE2">
              <w:rPr>
                <w:noProof/>
                <w:webHidden/>
              </w:rPr>
              <w:tab/>
            </w:r>
            <w:r w:rsidR="00F72AE2">
              <w:rPr>
                <w:noProof/>
                <w:webHidden/>
              </w:rPr>
              <w:fldChar w:fldCharType="begin"/>
            </w:r>
            <w:r w:rsidR="00F72AE2">
              <w:rPr>
                <w:noProof/>
                <w:webHidden/>
              </w:rPr>
              <w:instrText xml:space="preserve"> PAGEREF _Toc154057158 \h </w:instrText>
            </w:r>
            <w:r w:rsidR="00F72AE2">
              <w:rPr>
                <w:noProof/>
                <w:webHidden/>
              </w:rPr>
            </w:r>
            <w:r w:rsidR="00F72AE2">
              <w:rPr>
                <w:noProof/>
                <w:webHidden/>
              </w:rPr>
              <w:fldChar w:fldCharType="separate"/>
            </w:r>
            <w:r w:rsidR="00F72AE2">
              <w:rPr>
                <w:noProof/>
                <w:webHidden/>
              </w:rPr>
              <w:t>62</w:t>
            </w:r>
            <w:r w:rsidR="00F72AE2">
              <w:rPr>
                <w:noProof/>
                <w:webHidden/>
              </w:rPr>
              <w:fldChar w:fldCharType="end"/>
            </w:r>
          </w:hyperlink>
        </w:p>
        <w:p w14:paraId="6A67BE32" w14:textId="6DB99BA7" w:rsidR="00F72AE2" w:rsidRDefault="009479A7">
          <w:pPr>
            <w:pStyle w:val="TOC2"/>
            <w:tabs>
              <w:tab w:val="right" w:leader="dot" w:pos="9350"/>
            </w:tabs>
            <w:rPr>
              <w:rFonts w:eastAsiaTheme="minorEastAsia"/>
              <w:noProof/>
              <w:kern w:val="2"/>
              <w:sz w:val="22"/>
              <w14:ligatures w14:val="standardContextual"/>
            </w:rPr>
          </w:pPr>
          <w:hyperlink w:anchor="_Toc154057159" w:history="1">
            <w:r w:rsidR="00F72AE2" w:rsidRPr="005F52B3">
              <w:rPr>
                <w:rStyle w:val="Hyperlink"/>
                <w:noProof/>
              </w:rPr>
              <w:t>MSM – SYPHILIS CASES</w:t>
            </w:r>
            <w:r w:rsidR="00F72AE2">
              <w:rPr>
                <w:noProof/>
                <w:webHidden/>
              </w:rPr>
              <w:tab/>
            </w:r>
            <w:r w:rsidR="00F72AE2">
              <w:rPr>
                <w:noProof/>
                <w:webHidden/>
              </w:rPr>
              <w:fldChar w:fldCharType="begin"/>
            </w:r>
            <w:r w:rsidR="00F72AE2">
              <w:rPr>
                <w:noProof/>
                <w:webHidden/>
              </w:rPr>
              <w:instrText xml:space="preserve"> PAGEREF _Toc154057159 \h </w:instrText>
            </w:r>
            <w:r w:rsidR="00F72AE2">
              <w:rPr>
                <w:noProof/>
                <w:webHidden/>
              </w:rPr>
            </w:r>
            <w:r w:rsidR="00F72AE2">
              <w:rPr>
                <w:noProof/>
                <w:webHidden/>
              </w:rPr>
              <w:fldChar w:fldCharType="separate"/>
            </w:r>
            <w:r w:rsidR="00F72AE2">
              <w:rPr>
                <w:noProof/>
                <w:webHidden/>
              </w:rPr>
              <w:t>63</w:t>
            </w:r>
            <w:r w:rsidR="00F72AE2">
              <w:rPr>
                <w:noProof/>
                <w:webHidden/>
              </w:rPr>
              <w:fldChar w:fldCharType="end"/>
            </w:r>
          </w:hyperlink>
        </w:p>
        <w:p w14:paraId="28F861D3" w14:textId="472B7286" w:rsidR="00F72AE2" w:rsidRDefault="009479A7">
          <w:pPr>
            <w:pStyle w:val="TOC2"/>
            <w:tabs>
              <w:tab w:val="right" w:leader="dot" w:pos="9350"/>
            </w:tabs>
            <w:rPr>
              <w:rFonts w:eastAsiaTheme="minorEastAsia"/>
              <w:noProof/>
              <w:kern w:val="2"/>
              <w:sz w:val="22"/>
              <w14:ligatures w14:val="standardContextual"/>
            </w:rPr>
          </w:pPr>
          <w:hyperlink w:anchor="_Toc154057160" w:history="1">
            <w:r w:rsidR="00F72AE2" w:rsidRPr="005F52B3">
              <w:rPr>
                <w:rStyle w:val="Hyperlink"/>
                <w:noProof/>
              </w:rPr>
              <w:t>TRENDS IN HIV EXPOSURE MODE AMONG MALES</w:t>
            </w:r>
            <w:r w:rsidR="00F72AE2">
              <w:rPr>
                <w:noProof/>
                <w:webHidden/>
              </w:rPr>
              <w:tab/>
            </w:r>
            <w:r w:rsidR="00F72AE2">
              <w:rPr>
                <w:noProof/>
                <w:webHidden/>
              </w:rPr>
              <w:fldChar w:fldCharType="begin"/>
            </w:r>
            <w:r w:rsidR="00F72AE2">
              <w:rPr>
                <w:noProof/>
                <w:webHidden/>
              </w:rPr>
              <w:instrText xml:space="preserve"> PAGEREF _Toc154057160 \h </w:instrText>
            </w:r>
            <w:r w:rsidR="00F72AE2">
              <w:rPr>
                <w:noProof/>
                <w:webHidden/>
              </w:rPr>
            </w:r>
            <w:r w:rsidR="00F72AE2">
              <w:rPr>
                <w:noProof/>
                <w:webHidden/>
              </w:rPr>
              <w:fldChar w:fldCharType="separate"/>
            </w:r>
            <w:r w:rsidR="00F72AE2">
              <w:rPr>
                <w:noProof/>
                <w:webHidden/>
              </w:rPr>
              <w:t>64</w:t>
            </w:r>
            <w:r w:rsidR="00F72AE2">
              <w:rPr>
                <w:noProof/>
                <w:webHidden/>
              </w:rPr>
              <w:fldChar w:fldCharType="end"/>
            </w:r>
          </w:hyperlink>
        </w:p>
        <w:p w14:paraId="5BCDB770" w14:textId="0B37067C" w:rsidR="00F72AE2" w:rsidRDefault="009479A7">
          <w:pPr>
            <w:pStyle w:val="TOC1"/>
            <w:tabs>
              <w:tab w:val="right" w:leader="dot" w:pos="9350"/>
            </w:tabs>
            <w:rPr>
              <w:rFonts w:eastAsiaTheme="minorEastAsia"/>
              <w:noProof/>
              <w:kern w:val="2"/>
              <w:sz w:val="22"/>
              <w14:ligatures w14:val="standardContextual"/>
            </w:rPr>
          </w:pPr>
          <w:hyperlink w:anchor="_Toc154057161" w:history="1">
            <w:r w:rsidR="00F72AE2" w:rsidRPr="005F52B3">
              <w:rPr>
                <w:rStyle w:val="Hyperlink"/>
                <w:noProof/>
              </w:rPr>
              <w:t>SPECIFIC POPULATIONS – PERSONS WHO INJECT DRUGS</w:t>
            </w:r>
            <w:r w:rsidR="00F72AE2">
              <w:rPr>
                <w:noProof/>
                <w:webHidden/>
              </w:rPr>
              <w:tab/>
            </w:r>
            <w:r w:rsidR="00F72AE2">
              <w:rPr>
                <w:noProof/>
                <w:webHidden/>
              </w:rPr>
              <w:fldChar w:fldCharType="begin"/>
            </w:r>
            <w:r w:rsidR="00F72AE2">
              <w:rPr>
                <w:noProof/>
                <w:webHidden/>
              </w:rPr>
              <w:instrText xml:space="preserve"> PAGEREF _Toc154057161 \h </w:instrText>
            </w:r>
            <w:r w:rsidR="00F72AE2">
              <w:rPr>
                <w:noProof/>
                <w:webHidden/>
              </w:rPr>
            </w:r>
            <w:r w:rsidR="00F72AE2">
              <w:rPr>
                <w:noProof/>
                <w:webHidden/>
              </w:rPr>
              <w:fldChar w:fldCharType="separate"/>
            </w:r>
            <w:r w:rsidR="00F72AE2">
              <w:rPr>
                <w:noProof/>
                <w:webHidden/>
              </w:rPr>
              <w:t>65</w:t>
            </w:r>
            <w:r w:rsidR="00F72AE2">
              <w:rPr>
                <w:noProof/>
                <w:webHidden/>
              </w:rPr>
              <w:fldChar w:fldCharType="end"/>
            </w:r>
          </w:hyperlink>
        </w:p>
        <w:p w14:paraId="7E033114" w14:textId="2C27E5FB" w:rsidR="00F72AE2" w:rsidRDefault="009479A7">
          <w:pPr>
            <w:pStyle w:val="TOC2"/>
            <w:tabs>
              <w:tab w:val="right" w:leader="dot" w:pos="9350"/>
            </w:tabs>
            <w:rPr>
              <w:rFonts w:eastAsiaTheme="minorEastAsia"/>
              <w:noProof/>
              <w:kern w:val="2"/>
              <w:sz w:val="22"/>
              <w14:ligatures w14:val="standardContextual"/>
            </w:rPr>
          </w:pPr>
          <w:hyperlink w:anchor="_Toc154057162" w:history="1">
            <w:r w:rsidR="00F72AE2" w:rsidRPr="005F52B3">
              <w:rPr>
                <w:rStyle w:val="Hyperlink"/>
                <w:noProof/>
              </w:rPr>
              <w:t>PERSONS WHO INJECT DRUGS – RECENT HIV DIAGNOSES</w:t>
            </w:r>
            <w:r w:rsidR="00F72AE2">
              <w:rPr>
                <w:noProof/>
                <w:webHidden/>
              </w:rPr>
              <w:tab/>
            </w:r>
            <w:r w:rsidR="00F72AE2">
              <w:rPr>
                <w:noProof/>
                <w:webHidden/>
              </w:rPr>
              <w:fldChar w:fldCharType="begin"/>
            </w:r>
            <w:r w:rsidR="00F72AE2">
              <w:rPr>
                <w:noProof/>
                <w:webHidden/>
              </w:rPr>
              <w:instrText xml:space="preserve"> PAGEREF _Toc154057162 \h </w:instrText>
            </w:r>
            <w:r w:rsidR="00F72AE2">
              <w:rPr>
                <w:noProof/>
                <w:webHidden/>
              </w:rPr>
            </w:r>
            <w:r w:rsidR="00F72AE2">
              <w:rPr>
                <w:noProof/>
                <w:webHidden/>
              </w:rPr>
              <w:fldChar w:fldCharType="separate"/>
            </w:r>
            <w:r w:rsidR="00F72AE2">
              <w:rPr>
                <w:noProof/>
                <w:webHidden/>
              </w:rPr>
              <w:t>66</w:t>
            </w:r>
            <w:r w:rsidR="00F72AE2">
              <w:rPr>
                <w:noProof/>
                <w:webHidden/>
              </w:rPr>
              <w:fldChar w:fldCharType="end"/>
            </w:r>
          </w:hyperlink>
        </w:p>
        <w:p w14:paraId="5B7ED3F6" w14:textId="2DE2464A" w:rsidR="00F72AE2" w:rsidRDefault="009479A7">
          <w:pPr>
            <w:pStyle w:val="TOC2"/>
            <w:tabs>
              <w:tab w:val="right" w:leader="dot" w:pos="9350"/>
            </w:tabs>
            <w:rPr>
              <w:rFonts w:eastAsiaTheme="minorEastAsia"/>
              <w:noProof/>
              <w:kern w:val="2"/>
              <w:sz w:val="22"/>
              <w14:ligatures w14:val="standardContextual"/>
            </w:rPr>
          </w:pPr>
          <w:hyperlink w:anchor="_Toc154057163" w:history="1">
            <w:r w:rsidR="00F72AE2" w:rsidRPr="005F52B3">
              <w:rPr>
                <w:rStyle w:val="Hyperlink"/>
                <w:noProof/>
              </w:rPr>
              <w:t>DEATHS FROM ANY CAUSE AMONG INDIVIDUALS REPORTED WITH HIV BY EXPOSURE MODE</w:t>
            </w:r>
            <w:r w:rsidR="00F72AE2">
              <w:rPr>
                <w:noProof/>
                <w:webHidden/>
              </w:rPr>
              <w:tab/>
            </w:r>
            <w:r w:rsidR="00F72AE2">
              <w:rPr>
                <w:noProof/>
                <w:webHidden/>
              </w:rPr>
              <w:fldChar w:fldCharType="begin"/>
            </w:r>
            <w:r w:rsidR="00F72AE2">
              <w:rPr>
                <w:noProof/>
                <w:webHidden/>
              </w:rPr>
              <w:instrText xml:space="preserve"> PAGEREF _Toc154057163 \h </w:instrText>
            </w:r>
            <w:r w:rsidR="00F72AE2">
              <w:rPr>
                <w:noProof/>
                <w:webHidden/>
              </w:rPr>
            </w:r>
            <w:r w:rsidR="00F72AE2">
              <w:rPr>
                <w:noProof/>
                <w:webHidden/>
              </w:rPr>
              <w:fldChar w:fldCharType="separate"/>
            </w:r>
            <w:r w:rsidR="00F72AE2">
              <w:rPr>
                <w:noProof/>
                <w:webHidden/>
              </w:rPr>
              <w:t>67</w:t>
            </w:r>
            <w:r w:rsidR="00F72AE2">
              <w:rPr>
                <w:noProof/>
                <w:webHidden/>
              </w:rPr>
              <w:fldChar w:fldCharType="end"/>
            </w:r>
          </w:hyperlink>
        </w:p>
        <w:p w14:paraId="2B965C69" w14:textId="502B44AE" w:rsidR="00F72AE2" w:rsidRDefault="009479A7">
          <w:pPr>
            <w:pStyle w:val="TOC1"/>
            <w:tabs>
              <w:tab w:val="right" w:leader="dot" w:pos="9350"/>
            </w:tabs>
            <w:rPr>
              <w:rFonts w:eastAsiaTheme="minorEastAsia"/>
              <w:noProof/>
              <w:kern w:val="2"/>
              <w:sz w:val="22"/>
              <w14:ligatures w14:val="standardContextual"/>
            </w:rPr>
          </w:pPr>
          <w:hyperlink w:anchor="_Toc154057164" w:history="1">
            <w:r w:rsidR="00F72AE2" w:rsidRPr="005F52B3">
              <w:rPr>
                <w:rStyle w:val="Hyperlink"/>
                <w:noProof/>
              </w:rPr>
              <w:t>SPECIFIC POPULATIONS – RACIAL/ETHNIC MINORITIES</w:t>
            </w:r>
            <w:r w:rsidR="00F72AE2">
              <w:rPr>
                <w:noProof/>
                <w:webHidden/>
              </w:rPr>
              <w:tab/>
            </w:r>
            <w:r w:rsidR="00F72AE2">
              <w:rPr>
                <w:noProof/>
                <w:webHidden/>
              </w:rPr>
              <w:fldChar w:fldCharType="begin"/>
            </w:r>
            <w:r w:rsidR="00F72AE2">
              <w:rPr>
                <w:noProof/>
                <w:webHidden/>
              </w:rPr>
              <w:instrText xml:space="preserve"> PAGEREF _Toc154057164 \h </w:instrText>
            </w:r>
            <w:r w:rsidR="00F72AE2">
              <w:rPr>
                <w:noProof/>
                <w:webHidden/>
              </w:rPr>
            </w:r>
            <w:r w:rsidR="00F72AE2">
              <w:rPr>
                <w:noProof/>
                <w:webHidden/>
              </w:rPr>
              <w:fldChar w:fldCharType="separate"/>
            </w:r>
            <w:r w:rsidR="00F72AE2">
              <w:rPr>
                <w:noProof/>
                <w:webHidden/>
              </w:rPr>
              <w:t>68</w:t>
            </w:r>
            <w:r w:rsidR="00F72AE2">
              <w:rPr>
                <w:noProof/>
                <w:webHidden/>
              </w:rPr>
              <w:fldChar w:fldCharType="end"/>
            </w:r>
          </w:hyperlink>
        </w:p>
        <w:p w14:paraId="4263EC08" w14:textId="0B5AA5DB" w:rsidR="00F72AE2" w:rsidRDefault="009479A7">
          <w:pPr>
            <w:pStyle w:val="TOC2"/>
            <w:tabs>
              <w:tab w:val="right" w:leader="dot" w:pos="9350"/>
            </w:tabs>
            <w:rPr>
              <w:rFonts w:eastAsiaTheme="minorEastAsia"/>
              <w:noProof/>
              <w:kern w:val="2"/>
              <w:sz w:val="22"/>
              <w14:ligatures w14:val="standardContextual"/>
            </w:rPr>
          </w:pPr>
          <w:hyperlink w:anchor="_Toc154057165" w:history="1">
            <w:r w:rsidR="00F72AE2" w:rsidRPr="005F52B3">
              <w:rPr>
                <w:rStyle w:val="Hyperlink"/>
                <w:noProof/>
              </w:rPr>
              <w:t>SYPHILIS BY RACE/ETHNICITY</w:t>
            </w:r>
            <w:r w:rsidR="00F72AE2">
              <w:rPr>
                <w:noProof/>
                <w:webHidden/>
              </w:rPr>
              <w:tab/>
            </w:r>
            <w:r w:rsidR="00F72AE2">
              <w:rPr>
                <w:noProof/>
                <w:webHidden/>
              </w:rPr>
              <w:fldChar w:fldCharType="begin"/>
            </w:r>
            <w:r w:rsidR="00F72AE2">
              <w:rPr>
                <w:noProof/>
                <w:webHidden/>
              </w:rPr>
              <w:instrText xml:space="preserve"> PAGEREF _Toc154057165 \h </w:instrText>
            </w:r>
            <w:r w:rsidR="00F72AE2">
              <w:rPr>
                <w:noProof/>
                <w:webHidden/>
              </w:rPr>
            </w:r>
            <w:r w:rsidR="00F72AE2">
              <w:rPr>
                <w:noProof/>
                <w:webHidden/>
              </w:rPr>
              <w:fldChar w:fldCharType="separate"/>
            </w:r>
            <w:r w:rsidR="00F72AE2">
              <w:rPr>
                <w:noProof/>
                <w:webHidden/>
              </w:rPr>
              <w:t>69</w:t>
            </w:r>
            <w:r w:rsidR="00F72AE2">
              <w:rPr>
                <w:noProof/>
                <w:webHidden/>
              </w:rPr>
              <w:fldChar w:fldCharType="end"/>
            </w:r>
          </w:hyperlink>
        </w:p>
        <w:p w14:paraId="0E62B81D" w14:textId="0A2039B9" w:rsidR="00F72AE2" w:rsidRDefault="009479A7">
          <w:pPr>
            <w:pStyle w:val="TOC2"/>
            <w:tabs>
              <w:tab w:val="right" w:leader="dot" w:pos="9350"/>
            </w:tabs>
            <w:rPr>
              <w:rFonts w:eastAsiaTheme="minorEastAsia"/>
              <w:noProof/>
              <w:kern w:val="2"/>
              <w:sz w:val="22"/>
              <w14:ligatures w14:val="standardContextual"/>
            </w:rPr>
          </w:pPr>
          <w:hyperlink w:anchor="_Toc154057166" w:history="1">
            <w:r w:rsidR="00F72AE2" w:rsidRPr="005F52B3">
              <w:rPr>
                <w:rStyle w:val="Hyperlink"/>
                <w:noProof/>
              </w:rPr>
              <w:t>HIV BY RACE/ETHNICITY</w:t>
            </w:r>
            <w:r w:rsidR="00F72AE2">
              <w:rPr>
                <w:noProof/>
                <w:webHidden/>
              </w:rPr>
              <w:tab/>
            </w:r>
            <w:r w:rsidR="00F72AE2">
              <w:rPr>
                <w:noProof/>
                <w:webHidden/>
              </w:rPr>
              <w:fldChar w:fldCharType="begin"/>
            </w:r>
            <w:r w:rsidR="00F72AE2">
              <w:rPr>
                <w:noProof/>
                <w:webHidden/>
              </w:rPr>
              <w:instrText xml:space="preserve"> PAGEREF _Toc154057166 \h </w:instrText>
            </w:r>
            <w:r w:rsidR="00F72AE2">
              <w:rPr>
                <w:noProof/>
                <w:webHidden/>
              </w:rPr>
            </w:r>
            <w:r w:rsidR="00F72AE2">
              <w:rPr>
                <w:noProof/>
                <w:webHidden/>
              </w:rPr>
              <w:fldChar w:fldCharType="separate"/>
            </w:r>
            <w:r w:rsidR="00F72AE2">
              <w:rPr>
                <w:noProof/>
                <w:webHidden/>
              </w:rPr>
              <w:t>70</w:t>
            </w:r>
            <w:r w:rsidR="00F72AE2">
              <w:rPr>
                <w:noProof/>
                <w:webHidden/>
              </w:rPr>
              <w:fldChar w:fldCharType="end"/>
            </w:r>
          </w:hyperlink>
        </w:p>
        <w:p w14:paraId="7C3DF5C4" w14:textId="1B76A324" w:rsidR="00F72AE2" w:rsidRDefault="009479A7">
          <w:pPr>
            <w:pStyle w:val="TOC1"/>
            <w:tabs>
              <w:tab w:val="right" w:leader="dot" w:pos="9350"/>
            </w:tabs>
            <w:rPr>
              <w:rFonts w:eastAsiaTheme="minorEastAsia"/>
              <w:noProof/>
              <w:kern w:val="2"/>
              <w:sz w:val="22"/>
              <w14:ligatures w14:val="standardContextual"/>
            </w:rPr>
          </w:pPr>
          <w:hyperlink w:anchor="_Toc154057167" w:history="1">
            <w:r w:rsidR="00F72AE2" w:rsidRPr="005F52B3">
              <w:rPr>
                <w:rStyle w:val="Hyperlink"/>
                <w:noProof/>
              </w:rPr>
              <w:t>SPECIFIC POPULATIONS - WOMEN AND INFANTS</w:t>
            </w:r>
            <w:r w:rsidR="00F72AE2">
              <w:rPr>
                <w:noProof/>
                <w:webHidden/>
              </w:rPr>
              <w:tab/>
            </w:r>
            <w:r w:rsidR="00F72AE2">
              <w:rPr>
                <w:noProof/>
                <w:webHidden/>
              </w:rPr>
              <w:fldChar w:fldCharType="begin"/>
            </w:r>
            <w:r w:rsidR="00F72AE2">
              <w:rPr>
                <w:noProof/>
                <w:webHidden/>
              </w:rPr>
              <w:instrText xml:space="preserve"> PAGEREF _Toc154057167 \h </w:instrText>
            </w:r>
            <w:r w:rsidR="00F72AE2">
              <w:rPr>
                <w:noProof/>
                <w:webHidden/>
              </w:rPr>
            </w:r>
            <w:r w:rsidR="00F72AE2">
              <w:rPr>
                <w:noProof/>
                <w:webHidden/>
              </w:rPr>
              <w:fldChar w:fldCharType="separate"/>
            </w:r>
            <w:r w:rsidR="00F72AE2">
              <w:rPr>
                <w:noProof/>
                <w:webHidden/>
              </w:rPr>
              <w:t>71</w:t>
            </w:r>
            <w:r w:rsidR="00F72AE2">
              <w:rPr>
                <w:noProof/>
                <w:webHidden/>
              </w:rPr>
              <w:fldChar w:fldCharType="end"/>
            </w:r>
          </w:hyperlink>
        </w:p>
        <w:p w14:paraId="700A5A1C" w14:textId="12C6F09F" w:rsidR="00F72AE2" w:rsidRDefault="009479A7">
          <w:pPr>
            <w:pStyle w:val="TOC2"/>
            <w:tabs>
              <w:tab w:val="right" w:leader="dot" w:pos="9350"/>
            </w:tabs>
            <w:rPr>
              <w:rFonts w:eastAsiaTheme="minorEastAsia"/>
              <w:noProof/>
              <w:kern w:val="2"/>
              <w:sz w:val="22"/>
              <w14:ligatures w14:val="standardContextual"/>
            </w:rPr>
          </w:pPr>
          <w:hyperlink w:anchor="_Toc154057168" w:history="1">
            <w:r w:rsidR="00F72AE2" w:rsidRPr="005F52B3">
              <w:rPr>
                <w:rStyle w:val="Hyperlink"/>
                <w:noProof/>
              </w:rPr>
              <w:t>WOMEN AND INFANTS – CONGENITAL SYPHILIS</w:t>
            </w:r>
            <w:r w:rsidR="00F72AE2">
              <w:rPr>
                <w:noProof/>
                <w:webHidden/>
              </w:rPr>
              <w:tab/>
            </w:r>
            <w:r w:rsidR="00F72AE2">
              <w:rPr>
                <w:noProof/>
                <w:webHidden/>
              </w:rPr>
              <w:fldChar w:fldCharType="begin"/>
            </w:r>
            <w:r w:rsidR="00F72AE2">
              <w:rPr>
                <w:noProof/>
                <w:webHidden/>
              </w:rPr>
              <w:instrText xml:space="preserve"> PAGEREF _Toc154057168 \h </w:instrText>
            </w:r>
            <w:r w:rsidR="00F72AE2">
              <w:rPr>
                <w:noProof/>
                <w:webHidden/>
              </w:rPr>
            </w:r>
            <w:r w:rsidR="00F72AE2">
              <w:rPr>
                <w:noProof/>
                <w:webHidden/>
              </w:rPr>
              <w:fldChar w:fldCharType="separate"/>
            </w:r>
            <w:r w:rsidR="00F72AE2">
              <w:rPr>
                <w:noProof/>
                <w:webHidden/>
              </w:rPr>
              <w:t>73</w:t>
            </w:r>
            <w:r w:rsidR="00F72AE2">
              <w:rPr>
                <w:noProof/>
                <w:webHidden/>
              </w:rPr>
              <w:fldChar w:fldCharType="end"/>
            </w:r>
          </w:hyperlink>
        </w:p>
        <w:p w14:paraId="582FD264" w14:textId="57A3CC0E" w:rsidR="00F72AE2" w:rsidRDefault="009479A7">
          <w:pPr>
            <w:pStyle w:val="TOC2"/>
            <w:tabs>
              <w:tab w:val="right" w:leader="dot" w:pos="9350"/>
            </w:tabs>
            <w:rPr>
              <w:rFonts w:eastAsiaTheme="minorEastAsia"/>
              <w:noProof/>
              <w:kern w:val="2"/>
              <w:sz w:val="22"/>
              <w14:ligatures w14:val="standardContextual"/>
            </w:rPr>
          </w:pPr>
          <w:hyperlink w:anchor="_Toc154057169" w:history="1">
            <w:r w:rsidR="00F72AE2" w:rsidRPr="005F52B3">
              <w:rPr>
                <w:rStyle w:val="Hyperlink"/>
                <w:noProof/>
              </w:rPr>
              <w:t>WOMEN - RECENT HIV DIAGNOSES</w:t>
            </w:r>
            <w:r w:rsidR="00F72AE2">
              <w:rPr>
                <w:noProof/>
                <w:webHidden/>
              </w:rPr>
              <w:tab/>
            </w:r>
            <w:r w:rsidR="00F72AE2">
              <w:rPr>
                <w:noProof/>
                <w:webHidden/>
              </w:rPr>
              <w:fldChar w:fldCharType="begin"/>
            </w:r>
            <w:r w:rsidR="00F72AE2">
              <w:rPr>
                <w:noProof/>
                <w:webHidden/>
              </w:rPr>
              <w:instrText xml:space="preserve"> PAGEREF _Toc154057169 \h </w:instrText>
            </w:r>
            <w:r w:rsidR="00F72AE2">
              <w:rPr>
                <w:noProof/>
                <w:webHidden/>
              </w:rPr>
            </w:r>
            <w:r w:rsidR="00F72AE2">
              <w:rPr>
                <w:noProof/>
                <w:webHidden/>
              </w:rPr>
              <w:fldChar w:fldCharType="separate"/>
            </w:r>
            <w:r w:rsidR="00F72AE2">
              <w:rPr>
                <w:noProof/>
                <w:webHidden/>
              </w:rPr>
              <w:t>75</w:t>
            </w:r>
            <w:r w:rsidR="00F72AE2">
              <w:rPr>
                <w:noProof/>
                <w:webHidden/>
              </w:rPr>
              <w:fldChar w:fldCharType="end"/>
            </w:r>
          </w:hyperlink>
        </w:p>
        <w:p w14:paraId="3DA727A9" w14:textId="2F8BBCC2" w:rsidR="00F72AE2" w:rsidRDefault="009479A7">
          <w:pPr>
            <w:pStyle w:val="TOC1"/>
            <w:tabs>
              <w:tab w:val="right" w:leader="dot" w:pos="9350"/>
            </w:tabs>
            <w:rPr>
              <w:rFonts w:eastAsiaTheme="minorEastAsia"/>
              <w:noProof/>
              <w:kern w:val="2"/>
              <w:sz w:val="22"/>
              <w14:ligatures w14:val="standardContextual"/>
            </w:rPr>
          </w:pPr>
          <w:hyperlink w:anchor="_Toc154057170" w:history="1">
            <w:r w:rsidR="00F72AE2" w:rsidRPr="005F52B3">
              <w:rPr>
                <w:rStyle w:val="Hyperlink"/>
                <w:noProof/>
              </w:rPr>
              <w:t>SPECIFIC POPULATIONS – OLDER INDIVIDUALS</w:t>
            </w:r>
            <w:r w:rsidR="00F72AE2">
              <w:rPr>
                <w:noProof/>
                <w:webHidden/>
              </w:rPr>
              <w:tab/>
            </w:r>
            <w:r w:rsidR="00F72AE2">
              <w:rPr>
                <w:noProof/>
                <w:webHidden/>
              </w:rPr>
              <w:fldChar w:fldCharType="begin"/>
            </w:r>
            <w:r w:rsidR="00F72AE2">
              <w:rPr>
                <w:noProof/>
                <w:webHidden/>
              </w:rPr>
              <w:instrText xml:space="preserve"> PAGEREF _Toc154057170 \h </w:instrText>
            </w:r>
            <w:r w:rsidR="00F72AE2">
              <w:rPr>
                <w:noProof/>
                <w:webHidden/>
              </w:rPr>
            </w:r>
            <w:r w:rsidR="00F72AE2">
              <w:rPr>
                <w:noProof/>
                <w:webHidden/>
              </w:rPr>
              <w:fldChar w:fldCharType="separate"/>
            </w:r>
            <w:r w:rsidR="00F72AE2">
              <w:rPr>
                <w:noProof/>
                <w:webHidden/>
              </w:rPr>
              <w:t>76</w:t>
            </w:r>
            <w:r w:rsidR="00F72AE2">
              <w:rPr>
                <w:noProof/>
                <w:webHidden/>
              </w:rPr>
              <w:fldChar w:fldCharType="end"/>
            </w:r>
          </w:hyperlink>
        </w:p>
        <w:p w14:paraId="50A9565C" w14:textId="1EF4266A" w:rsidR="00F72AE2" w:rsidRDefault="009479A7">
          <w:pPr>
            <w:pStyle w:val="TOC2"/>
            <w:tabs>
              <w:tab w:val="right" w:leader="dot" w:pos="9350"/>
            </w:tabs>
            <w:rPr>
              <w:rFonts w:eastAsiaTheme="minorEastAsia"/>
              <w:noProof/>
              <w:kern w:val="2"/>
              <w:sz w:val="22"/>
              <w14:ligatures w14:val="standardContextual"/>
            </w:rPr>
          </w:pPr>
          <w:hyperlink w:anchor="_Toc154057171" w:history="1">
            <w:r w:rsidR="00F72AE2" w:rsidRPr="005F52B3">
              <w:rPr>
                <w:rStyle w:val="Hyperlink"/>
                <w:noProof/>
              </w:rPr>
              <w:t>STD DIAGNOSES BY AGE</w:t>
            </w:r>
            <w:r w:rsidR="00F72AE2">
              <w:rPr>
                <w:noProof/>
                <w:webHidden/>
              </w:rPr>
              <w:tab/>
            </w:r>
            <w:r w:rsidR="00F72AE2">
              <w:rPr>
                <w:noProof/>
                <w:webHidden/>
              </w:rPr>
              <w:fldChar w:fldCharType="begin"/>
            </w:r>
            <w:r w:rsidR="00F72AE2">
              <w:rPr>
                <w:noProof/>
                <w:webHidden/>
              </w:rPr>
              <w:instrText xml:space="preserve"> PAGEREF _Toc154057171 \h </w:instrText>
            </w:r>
            <w:r w:rsidR="00F72AE2">
              <w:rPr>
                <w:noProof/>
                <w:webHidden/>
              </w:rPr>
            </w:r>
            <w:r w:rsidR="00F72AE2">
              <w:rPr>
                <w:noProof/>
                <w:webHidden/>
              </w:rPr>
              <w:fldChar w:fldCharType="separate"/>
            </w:r>
            <w:r w:rsidR="00F72AE2">
              <w:rPr>
                <w:noProof/>
                <w:webHidden/>
              </w:rPr>
              <w:t>76</w:t>
            </w:r>
            <w:r w:rsidR="00F72AE2">
              <w:rPr>
                <w:noProof/>
                <w:webHidden/>
              </w:rPr>
              <w:fldChar w:fldCharType="end"/>
            </w:r>
          </w:hyperlink>
        </w:p>
        <w:p w14:paraId="0B62EAB5" w14:textId="2FA04F44" w:rsidR="00F72AE2" w:rsidRDefault="009479A7">
          <w:pPr>
            <w:pStyle w:val="TOC2"/>
            <w:tabs>
              <w:tab w:val="right" w:leader="dot" w:pos="9350"/>
            </w:tabs>
            <w:rPr>
              <w:rFonts w:eastAsiaTheme="minorEastAsia"/>
              <w:noProof/>
              <w:kern w:val="2"/>
              <w:sz w:val="22"/>
              <w14:ligatures w14:val="standardContextual"/>
            </w:rPr>
          </w:pPr>
          <w:hyperlink w:anchor="_Toc154057172" w:history="1">
            <w:r w:rsidR="00F72AE2" w:rsidRPr="005F52B3">
              <w:rPr>
                <w:rStyle w:val="Hyperlink"/>
                <w:noProof/>
              </w:rPr>
              <w:t>STD DIAGNOSES BY AGE AND GENDER</w:t>
            </w:r>
            <w:r w:rsidR="00F72AE2">
              <w:rPr>
                <w:noProof/>
                <w:webHidden/>
              </w:rPr>
              <w:tab/>
            </w:r>
            <w:r w:rsidR="00F72AE2">
              <w:rPr>
                <w:noProof/>
                <w:webHidden/>
              </w:rPr>
              <w:fldChar w:fldCharType="begin"/>
            </w:r>
            <w:r w:rsidR="00F72AE2">
              <w:rPr>
                <w:noProof/>
                <w:webHidden/>
              </w:rPr>
              <w:instrText xml:space="preserve"> PAGEREF _Toc154057172 \h </w:instrText>
            </w:r>
            <w:r w:rsidR="00F72AE2">
              <w:rPr>
                <w:noProof/>
                <w:webHidden/>
              </w:rPr>
            </w:r>
            <w:r w:rsidR="00F72AE2">
              <w:rPr>
                <w:noProof/>
                <w:webHidden/>
              </w:rPr>
              <w:fldChar w:fldCharType="separate"/>
            </w:r>
            <w:r w:rsidR="00F72AE2">
              <w:rPr>
                <w:noProof/>
                <w:webHidden/>
              </w:rPr>
              <w:t>77</w:t>
            </w:r>
            <w:r w:rsidR="00F72AE2">
              <w:rPr>
                <w:noProof/>
                <w:webHidden/>
              </w:rPr>
              <w:fldChar w:fldCharType="end"/>
            </w:r>
          </w:hyperlink>
        </w:p>
        <w:p w14:paraId="6CD2C8B7" w14:textId="0F5FEC9D" w:rsidR="00F72AE2" w:rsidRDefault="009479A7">
          <w:pPr>
            <w:pStyle w:val="TOC2"/>
            <w:tabs>
              <w:tab w:val="right" w:leader="dot" w:pos="9350"/>
            </w:tabs>
            <w:rPr>
              <w:rFonts w:eastAsiaTheme="minorEastAsia"/>
              <w:noProof/>
              <w:kern w:val="2"/>
              <w:sz w:val="22"/>
              <w14:ligatures w14:val="standardContextual"/>
            </w:rPr>
          </w:pPr>
          <w:hyperlink w:anchor="_Toc154057173" w:history="1">
            <w:r w:rsidR="00F72AE2" w:rsidRPr="005F52B3">
              <w:rPr>
                <w:rStyle w:val="Hyperlink"/>
                <w:noProof/>
              </w:rPr>
              <w:t>SYPHILIS BY AGE, GENDER, RACE/ETHNICITY, AND RISK</w:t>
            </w:r>
            <w:r w:rsidR="00F72AE2">
              <w:rPr>
                <w:noProof/>
                <w:webHidden/>
              </w:rPr>
              <w:tab/>
            </w:r>
            <w:r w:rsidR="00F72AE2">
              <w:rPr>
                <w:noProof/>
                <w:webHidden/>
              </w:rPr>
              <w:fldChar w:fldCharType="begin"/>
            </w:r>
            <w:r w:rsidR="00F72AE2">
              <w:rPr>
                <w:noProof/>
                <w:webHidden/>
              </w:rPr>
              <w:instrText xml:space="preserve"> PAGEREF _Toc154057173 \h </w:instrText>
            </w:r>
            <w:r w:rsidR="00F72AE2">
              <w:rPr>
                <w:noProof/>
                <w:webHidden/>
              </w:rPr>
            </w:r>
            <w:r w:rsidR="00F72AE2">
              <w:rPr>
                <w:noProof/>
                <w:webHidden/>
              </w:rPr>
              <w:fldChar w:fldCharType="separate"/>
            </w:r>
            <w:r w:rsidR="00F72AE2">
              <w:rPr>
                <w:noProof/>
                <w:webHidden/>
              </w:rPr>
              <w:t>78</w:t>
            </w:r>
            <w:r w:rsidR="00F72AE2">
              <w:rPr>
                <w:noProof/>
                <w:webHidden/>
              </w:rPr>
              <w:fldChar w:fldCharType="end"/>
            </w:r>
          </w:hyperlink>
        </w:p>
        <w:p w14:paraId="6D6AFFB3" w14:textId="22DFB4E4" w:rsidR="00F72AE2" w:rsidRDefault="009479A7">
          <w:pPr>
            <w:pStyle w:val="TOC2"/>
            <w:tabs>
              <w:tab w:val="right" w:leader="dot" w:pos="9350"/>
            </w:tabs>
            <w:rPr>
              <w:rFonts w:eastAsiaTheme="minorEastAsia"/>
              <w:noProof/>
              <w:kern w:val="2"/>
              <w:sz w:val="22"/>
              <w14:ligatures w14:val="standardContextual"/>
            </w:rPr>
          </w:pPr>
          <w:hyperlink w:anchor="_Toc154057174" w:history="1">
            <w:r w:rsidR="00F72AE2" w:rsidRPr="005F52B3">
              <w:rPr>
                <w:rStyle w:val="Hyperlink"/>
                <w:noProof/>
              </w:rPr>
              <w:t>OLDER INDIVIDUALS LIVING WITH HIV INFECTION</w:t>
            </w:r>
            <w:r w:rsidR="00F72AE2">
              <w:rPr>
                <w:noProof/>
                <w:webHidden/>
              </w:rPr>
              <w:tab/>
            </w:r>
            <w:r w:rsidR="00F72AE2">
              <w:rPr>
                <w:noProof/>
                <w:webHidden/>
              </w:rPr>
              <w:fldChar w:fldCharType="begin"/>
            </w:r>
            <w:r w:rsidR="00F72AE2">
              <w:rPr>
                <w:noProof/>
                <w:webHidden/>
              </w:rPr>
              <w:instrText xml:space="preserve"> PAGEREF _Toc154057174 \h </w:instrText>
            </w:r>
            <w:r w:rsidR="00F72AE2">
              <w:rPr>
                <w:noProof/>
                <w:webHidden/>
              </w:rPr>
            </w:r>
            <w:r w:rsidR="00F72AE2">
              <w:rPr>
                <w:noProof/>
                <w:webHidden/>
              </w:rPr>
              <w:fldChar w:fldCharType="separate"/>
            </w:r>
            <w:r w:rsidR="00F72AE2">
              <w:rPr>
                <w:noProof/>
                <w:webHidden/>
              </w:rPr>
              <w:t>79</w:t>
            </w:r>
            <w:r w:rsidR="00F72AE2">
              <w:rPr>
                <w:noProof/>
                <w:webHidden/>
              </w:rPr>
              <w:fldChar w:fldCharType="end"/>
            </w:r>
          </w:hyperlink>
        </w:p>
        <w:p w14:paraId="3CE07388" w14:textId="19E1E8D0" w:rsidR="00F72AE2" w:rsidRDefault="009479A7">
          <w:pPr>
            <w:pStyle w:val="TOC2"/>
            <w:tabs>
              <w:tab w:val="right" w:leader="dot" w:pos="9350"/>
            </w:tabs>
            <w:rPr>
              <w:rFonts w:eastAsiaTheme="minorEastAsia"/>
              <w:noProof/>
              <w:kern w:val="2"/>
              <w:sz w:val="22"/>
              <w14:ligatures w14:val="standardContextual"/>
            </w:rPr>
          </w:pPr>
          <w:hyperlink w:anchor="_Toc154057175" w:history="1">
            <w:r w:rsidR="00F72AE2" w:rsidRPr="005F52B3">
              <w:rPr>
                <w:rStyle w:val="Hyperlink"/>
                <w:noProof/>
              </w:rPr>
              <w:t>OLDER INDIVIDUALS RECENTLY DIAGNOSED WITH HIV INFECTION</w:t>
            </w:r>
            <w:r w:rsidR="00F72AE2">
              <w:rPr>
                <w:noProof/>
                <w:webHidden/>
              </w:rPr>
              <w:tab/>
            </w:r>
            <w:r w:rsidR="00F72AE2">
              <w:rPr>
                <w:noProof/>
                <w:webHidden/>
              </w:rPr>
              <w:fldChar w:fldCharType="begin"/>
            </w:r>
            <w:r w:rsidR="00F72AE2">
              <w:rPr>
                <w:noProof/>
                <w:webHidden/>
              </w:rPr>
              <w:instrText xml:space="preserve"> PAGEREF _Toc154057175 \h </w:instrText>
            </w:r>
            <w:r w:rsidR="00F72AE2">
              <w:rPr>
                <w:noProof/>
                <w:webHidden/>
              </w:rPr>
            </w:r>
            <w:r w:rsidR="00F72AE2">
              <w:rPr>
                <w:noProof/>
                <w:webHidden/>
              </w:rPr>
              <w:fldChar w:fldCharType="separate"/>
            </w:r>
            <w:r w:rsidR="00F72AE2">
              <w:rPr>
                <w:noProof/>
                <w:webHidden/>
              </w:rPr>
              <w:t>83</w:t>
            </w:r>
            <w:r w:rsidR="00F72AE2">
              <w:rPr>
                <w:noProof/>
                <w:webHidden/>
              </w:rPr>
              <w:fldChar w:fldCharType="end"/>
            </w:r>
          </w:hyperlink>
        </w:p>
        <w:p w14:paraId="09BD0BD7" w14:textId="360EF191" w:rsidR="00F72AE2" w:rsidRDefault="009479A7">
          <w:pPr>
            <w:pStyle w:val="TOC1"/>
            <w:tabs>
              <w:tab w:val="right" w:leader="dot" w:pos="9350"/>
            </w:tabs>
            <w:rPr>
              <w:rFonts w:eastAsiaTheme="minorEastAsia"/>
              <w:noProof/>
              <w:kern w:val="2"/>
              <w:sz w:val="22"/>
              <w14:ligatures w14:val="standardContextual"/>
            </w:rPr>
          </w:pPr>
          <w:hyperlink w:anchor="_Toc154057176" w:history="1">
            <w:r w:rsidR="00F72AE2" w:rsidRPr="005F52B3">
              <w:rPr>
                <w:rStyle w:val="Hyperlink"/>
                <w:noProof/>
              </w:rPr>
              <w:t>STRENGTHS AND LIMITATIONS OF DATA</w:t>
            </w:r>
            <w:r w:rsidR="00F72AE2">
              <w:rPr>
                <w:noProof/>
                <w:webHidden/>
              </w:rPr>
              <w:tab/>
            </w:r>
            <w:r w:rsidR="00F72AE2">
              <w:rPr>
                <w:noProof/>
                <w:webHidden/>
              </w:rPr>
              <w:fldChar w:fldCharType="begin"/>
            </w:r>
            <w:r w:rsidR="00F72AE2">
              <w:rPr>
                <w:noProof/>
                <w:webHidden/>
              </w:rPr>
              <w:instrText xml:space="preserve"> PAGEREF _Toc154057176 \h </w:instrText>
            </w:r>
            <w:r w:rsidR="00F72AE2">
              <w:rPr>
                <w:noProof/>
                <w:webHidden/>
              </w:rPr>
            </w:r>
            <w:r w:rsidR="00F72AE2">
              <w:rPr>
                <w:noProof/>
                <w:webHidden/>
              </w:rPr>
              <w:fldChar w:fldCharType="separate"/>
            </w:r>
            <w:r w:rsidR="00F72AE2">
              <w:rPr>
                <w:noProof/>
                <w:webHidden/>
              </w:rPr>
              <w:t>85</w:t>
            </w:r>
            <w:r w:rsidR="00F72AE2">
              <w:rPr>
                <w:noProof/>
                <w:webHidden/>
              </w:rPr>
              <w:fldChar w:fldCharType="end"/>
            </w:r>
          </w:hyperlink>
        </w:p>
        <w:p w14:paraId="347BEC02" w14:textId="2E89A79D" w:rsidR="00F72AE2" w:rsidRDefault="009479A7">
          <w:pPr>
            <w:pStyle w:val="TOC1"/>
            <w:tabs>
              <w:tab w:val="right" w:leader="dot" w:pos="9350"/>
            </w:tabs>
            <w:rPr>
              <w:rFonts w:eastAsiaTheme="minorEastAsia"/>
              <w:noProof/>
              <w:kern w:val="2"/>
              <w:sz w:val="22"/>
              <w14:ligatures w14:val="standardContextual"/>
            </w:rPr>
          </w:pPr>
          <w:hyperlink w:anchor="_Toc154057177" w:history="1">
            <w:r w:rsidR="00F72AE2" w:rsidRPr="005F52B3">
              <w:rPr>
                <w:rStyle w:val="Hyperlink"/>
                <w:noProof/>
              </w:rPr>
              <w:t>INTERPRETING HIV, STD, AND VIRAL HEPATITIS DATA</w:t>
            </w:r>
            <w:r w:rsidR="00F72AE2">
              <w:rPr>
                <w:noProof/>
                <w:webHidden/>
              </w:rPr>
              <w:tab/>
            </w:r>
            <w:r w:rsidR="00F72AE2">
              <w:rPr>
                <w:noProof/>
                <w:webHidden/>
              </w:rPr>
              <w:fldChar w:fldCharType="begin"/>
            </w:r>
            <w:r w:rsidR="00F72AE2">
              <w:rPr>
                <w:noProof/>
                <w:webHidden/>
              </w:rPr>
              <w:instrText xml:space="preserve"> PAGEREF _Toc154057177 \h </w:instrText>
            </w:r>
            <w:r w:rsidR="00F72AE2">
              <w:rPr>
                <w:noProof/>
                <w:webHidden/>
              </w:rPr>
            </w:r>
            <w:r w:rsidR="00F72AE2">
              <w:rPr>
                <w:noProof/>
                <w:webHidden/>
              </w:rPr>
              <w:fldChar w:fldCharType="separate"/>
            </w:r>
            <w:r w:rsidR="00F72AE2">
              <w:rPr>
                <w:noProof/>
                <w:webHidden/>
              </w:rPr>
              <w:t>87</w:t>
            </w:r>
            <w:r w:rsidR="00F72AE2">
              <w:rPr>
                <w:noProof/>
                <w:webHidden/>
              </w:rPr>
              <w:fldChar w:fldCharType="end"/>
            </w:r>
          </w:hyperlink>
        </w:p>
        <w:p w14:paraId="1119C559" w14:textId="3D00093B" w:rsidR="00F72AE2" w:rsidRDefault="009479A7">
          <w:pPr>
            <w:pStyle w:val="TOC1"/>
            <w:tabs>
              <w:tab w:val="right" w:leader="dot" w:pos="9350"/>
            </w:tabs>
            <w:rPr>
              <w:rFonts w:eastAsiaTheme="minorEastAsia"/>
              <w:noProof/>
              <w:kern w:val="2"/>
              <w:sz w:val="22"/>
              <w14:ligatures w14:val="standardContextual"/>
            </w:rPr>
          </w:pPr>
          <w:hyperlink w:anchor="_Toc154057178" w:history="1">
            <w:r w:rsidR="00F72AE2" w:rsidRPr="005F52B3">
              <w:rPr>
                <w:rStyle w:val="Hyperlink"/>
                <w:noProof/>
              </w:rPr>
              <w:t>HIV, STD, AND VIRAL HEPATITIS CASE CLASSIFICATIONS</w:t>
            </w:r>
            <w:r w:rsidR="00F72AE2">
              <w:rPr>
                <w:noProof/>
                <w:webHidden/>
              </w:rPr>
              <w:tab/>
            </w:r>
            <w:r w:rsidR="00F72AE2">
              <w:rPr>
                <w:noProof/>
                <w:webHidden/>
              </w:rPr>
              <w:fldChar w:fldCharType="begin"/>
            </w:r>
            <w:r w:rsidR="00F72AE2">
              <w:rPr>
                <w:noProof/>
                <w:webHidden/>
              </w:rPr>
              <w:instrText xml:space="preserve"> PAGEREF _Toc154057178 \h </w:instrText>
            </w:r>
            <w:r w:rsidR="00F72AE2">
              <w:rPr>
                <w:noProof/>
                <w:webHidden/>
              </w:rPr>
            </w:r>
            <w:r w:rsidR="00F72AE2">
              <w:rPr>
                <w:noProof/>
                <w:webHidden/>
              </w:rPr>
              <w:fldChar w:fldCharType="separate"/>
            </w:r>
            <w:r w:rsidR="00F72AE2">
              <w:rPr>
                <w:noProof/>
                <w:webHidden/>
              </w:rPr>
              <w:t>89</w:t>
            </w:r>
            <w:r w:rsidR="00F72AE2">
              <w:rPr>
                <w:noProof/>
                <w:webHidden/>
              </w:rPr>
              <w:fldChar w:fldCharType="end"/>
            </w:r>
          </w:hyperlink>
        </w:p>
        <w:p w14:paraId="24B498C9" w14:textId="504601BA" w:rsidR="00F72AE2" w:rsidRDefault="009479A7">
          <w:pPr>
            <w:pStyle w:val="TOC2"/>
            <w:tabs>
              <w:tab w:val="right" w:leader="dot" w:pos="9350"/>
            </w:tabs>
            <w:rPr>
              <w:rFonts w:eastAsiaTheme="minorEastAsia"/>
              <w:noProof/>
              <w:kern w:val="2"/>
              <w:sz w:val="22"/>
              <w14:ligatures w14:val="standardContextual"/>
            </w:rPr>
          </w:pPr>
          <w:hyperlink w:anchor="_Toc154057179" w:history="1">
            <w:r w:rsidR="00F72AE2" w:rsidRPr="005F52B3">
              <w:rPr>
                <w:rStyle w:val="Hyperlink"/>
                <w:noProof/>
              </w:rPr>
              <w:t>HIV infection</w:t>
            </w:r>
            <w:r w:rsidR="00F72AE2">
              <w:rPr>
                <w:noProof/>
                <w:webHidden/>
              </w:rPr>
              <w:tab/>
            </w:r>
            <w:r w:rsidR="00F72AE2">
              <w:rPr>
                <w:noProof/>
                <w:webHidden/>
              </w:rPr>
              <w:fldChar w:fldCharType="begin"/>
            </w:r>
            <w:r w:rsidR="00F72AE2">
              <w:rPr>
                <w:noProof/>
                <w:webHidden/>
              </w:rPr>
              <w:instrText xml:space="preserve"> PAGEREF _Toc154057179 \h </w:instrText>
            </w:r>
            <w:r w:rsidR="00F72AE2">
              <w:rPr>
                <w:noProof/>
                <w:webHidden/>
              </w:rPr>
            </w:r>
            <w:r w:rsidR="00F72AE2">
              <w:rPr>
                <w:noProof/>
                <w:webHidden/>
              </w:rPr>
              <w:fldChar w:fldCharType="separate"/>
            </w:r>
            <w:r w:rsidR="00F72AE2">
              <w:rPr>
                <w:noProof/>
                <w:webHidden/>
              </w:rPr>
              <w:t>89</w:t>
            </w:r>
            <w:r w:rsidR="00F72AE2">
              <w:rPr>
                <w:noProof/>
                <w:webHidden/>
              </w:rPr>
              <w:fldChar w:fldCharType="end"/>
            </w:r>
          </w:hyperlink>
        </w:p>
        <w:p w14:paraId="3F562C5D" w14:textId="13EB9EB8" w:rsidR="00F72AE2" w:rsidRDefault="009479A7">
          <w:pPr>
            <w:pStyle w:val="TOC2"/>
            <w:tabs>
              <w:tab w:val="right" w:leader="dot" w:pos="9350"/>
            </w:tabs>
            <w:rPr>
              <w:rFonts w:eastAsiaTheme="minorEastAsia"/>
              <w:noProof/>
              <w:kern w:val="2"/>
              <w:sz w:val="22"/>
              <w14:ligatures w14:val="standardContextual"/>
            </w:rPr>
          </w:pPr>
          <w:hyperlink w:anchor="_Toc154057180" w:history="1">
            <w:r w:rsidR="00F72AE2" w:rsidRPr="005F52B3">
              <w:rPr>
                <w:rStyle w:val="Hyperlink"/>
                <w:noProof/>
              </w:rPr>
              <w:t>Sexually transmitted diseases (STD)</w:t>
            </w:r>
            <w:r w:rsidR="00F72AE2">
              <w:rPr>
                <w:noProof/>
                <w:webHidden/>
              </w:rPr>
              <w:tab/>
            </w:r>
            <w:r w:rsidR="00F72AE2">
              <w:rPr>
                <w:noProof/>
                <w:webHidden/>
              </w:rPr>
              <w:fldChar w:fldCharType="begin"/>
            </w:r>
            <w:r w:rsidR="00F72AE2">
              <w:rPr>
                <w:noProof/>
                <w:webHidden/>
              </w:rPr>
              <w:instrText xml:space="preserve"> PAGEREF _Toc154057180 \h </w:instrText>
            </w:r>
            <w:r w:rsidR="00F72AE2">
              <w:rPr>
                <w:noProof/>
                <w:webHidden/>
              </w:rPr>
            </w:r>
            <w:r w:rsidR="00F72AE2">
              <w:rPr>
                <w:noProof/>
                <w:webHidden/>
              </w:rPr>
              <w:fldChar w:fldCharType="separate"/>
            </w:r>
            <w:r w:rsidR="00F72AE2">
              <w:rPr>
                <w:noProof/>
                <w:webHidden/>
              </w:rPr>
              <w:t>89</w:t>
            </w:r>
            <w:r w:rsidR="00F72AE2">
              <w:rPr>
                <w:noProof/>
                <w:webHidden/>
              </w:rPr>
              <w:fldChar w:fldCharType="end"/>
            </w:r>
          </w:hyperlink>
        </w:p>
        <w:p w14:paraId="67F0C15A" w14:textId="57980623" w:rsidR="00F72AE2" w:rsidRDefault="009479A7">
          <w:pPr>
            <w:pStyle w:val="TOC2"/>
            <w:tabs>
              <w:tab w:val="right" w:leader="dot" w:pos="9350"/>
            </w:tabs>
            <w:rPr>
              <w:rFonts w:eastAsiaTheme="minorEastAsia"/>
              <w:noProof/>
              <w:kern w:val="2"/>
              <w:sz w:val="22"/>
              <w14:ligatures w14:val="standardContextual"/>
            </w:rPr>
          </w:pPr>
          <w:hyperlink w:anchor="_Toc154057181" w:history="1">
            <w:r w:rsidR="00F72AE2" w:rsidRPr="005F52B3">
              <w:rPr>
                <w:rStyle w:val="Hyperlink"/>
                <w:noProof/>
              </w:rPr>
              <w:t>Viral Hepatitis</w:t>
            </w:r>
            <w:r w:rsidR="00F72AE2">
              <w:rPr>
                <w:noProof/>
                <w:webHidden/>
              </w:rPr>
              <w:tab/>
            </w:r>
            <w:r w:rsidR="00F72AE2">
              <w:rPr>
                <w:noProof/>
                <w:webHidden/>
              </w:rPr>
              <w:fldChar w:fldCharType="begin"/>
            </w:r>
            <w:r w:rsidR="00F72AE2">
              <w:rPr>
                <w:noProof/>
                <w:webHidden/>
              </w:rPr>
              <w:instrText xml:space="preserve"> PAGEREF _Toc154057181 \h </w:instrText>
            </w:r>
            <w:r w:rsidR="00F72AE2">
              <w:rPr>
                <w:noProof/>
                <w:webHidden/>
              </w:rPr>
            </w:r>
            <w:r w:rsidR="00F72AE2">
              <w:rPr>
                <w:noProof/>
                <w:webHidden/>
              </w:rPr>
              <w:fldChar w:fldCharType="separate"/>
            </w:r>
            <w:r w:rsidR="00F72AE2">
              <w:rPr>
                <w:noProof/>
                <w:webHidden/>
              </w:rPr>
              <w:t>98</w:t>
            </w:r>
            <w:r w:rsidR="00F72AE2">
              <w:rPr>
                <w:noProof/>
                <w:webHidden/>
              </w:rPr>
              <w:fldChar w:fldCharType="end"/>
            </w:r>
          </w:hyperlink>
        </w:p>
        <w:p w14:paraId="1A36842C" w14:textId="099D7B96" w:rsidR="00F72AE2" w:rsidRDefault="009479A7">
          <w:pPr>
            <w:pStyle w:val="TOC1"/>
            <w:tabs>
              <w:tab w:val="right" w:leader="dot" w:pos="9350"/>
            </w:tabs>
            <w:rPr>
              <w:rFonts w:eastAsiaTheme="minorEastAsia"/>
              <w:noProof/>
              <w:kern w:val="2"/>
              <w:sz w:val="22"/>
              <w14:ligatures w14:val="standardContextual"/>
            </w:rPr>
          </w:pPr>
          <w:hyperlink w:anchor="_Toc154057182" w:history="1">
            <w:r w:rsidR="00F72AE2" w:rsidRPr="005F52B3">
              <w:rPr>
                <w:rStyle w:val="Hyperlink"/>
                <w:noProof/>
              </w:rPr>
              <w:t>HIV, STD, AND VIRAL HEPATITIS PROGRAM STAFF CONTACT INFORMATION</w:t>
            </w:r>
            <w:r w:rsidR="00F72AE2">
              <w:rPr>
                <w:noProof/>
                <w:webHidden/>
              </w:rPr>
              <w:tab/>
            </w:r>
            <w:r w:rsidR="00F72AE2">
              <w:rPr>
                <w:noProof/>
                <w:webHidden/>
              </w:rPr>
              <w:fldChar w:fldCharType="begin"/>
            </w:r>
            <w:r w:rsidR="00F72AE2">
              <w:rPr>
                <w:noProof/>
                <w:webHidden/>
              </w:rPr>
              <w:instrText xml:space="preserve"> PAGEREF _Toc154057182 \h </w:instrText>
            </w:r>
            <w:r w:rsidR="00F72AE2">
              <w:rPr>
                <w:noProof/>
                <w:webHidden/>
              </w:rPr>
            </w:r>
            <w:r w:rsidR="00F72AE2">
              <w:rPr>
                <w:noProof/>
                <w:webHidden/>
              </w:rPr>
              <w:fldChar w:fldCharType="separate"/>
            </w:r>
            <w:r w:rsidR="00F72AE2">
              <w:rPr>
                <w:noProof/>
                <w:webHidden/>
              </w:rPr>
              <w:t>106</w:t>
            </w:r>
            <w:r w:rsidR="00F72AE2">
              <w:rPr>
                <w:noProof/>
                <w:webHidden/>
              </w:rPr>
              <w:fldChar w:fldCharType="end"/>
            </w:r>
          </w:hyperlink>
        </w:p>
        <w:p w14:paraId="387943BB" w14:textId="7C044EB6" w:rsidR="00F72AE2" w:rsidRDefault="009479A7">
          <w:pPr>
            <w:pStyle w:val="TOC1"/>
            <w:tabs>
              <w:tab w:val="right" w:leader="dot" w:pos="9350"/>
            </w:tabs>
            <w:rPr>
              <w:rFonts w:eastAsiaTheme="minorEastAsia"/>
              <w:noProof/>
              <w:kern w:val="2"/>
              <w:sz w:val="22"/>
              <w14:ligatures w14:val="standardContextual"/>
            </w:rPr>
          </w:pPr>
          <w:hyperlink w:anchor="_Toc154057183" w:history="1">
            <w:r w:rsidR="00F72AE2" w:rsidRPr="005F52B3">
              <w:rPr>
                <w:rStyle w:val="Hyperlink"/>
                <w:noProof/>
              </w:rPr>
              <w:t>HIV, STD, AND VIRAL HEPATITIS RESOURCES</w:t>
            </w:r>
            <w:r w:rsidR="00F72AE2">
              <w:rPr>
                <w:noProof/>
                <w:webHidden/>
              </w:rPr>
              <w:tab/>
            </w:r>
            <w:r w:rsidR="00F72AE2">
              <w:rPr>
                <w:noProof/>
                <w:webHidden/>
              </w:rPr>
              <w:fldChar w:fldCharType="begin"/>
            </w:r>
            <w:r w:rsidR="00F72AE2">
              <w:rPr>
                <w:noProof/>
                <w:webHidden/>
              </w:rPr>
              <w:instrText xml:space="preserve"> PAGEREF _Toc154057183 \h </w:instrText>
            </w:r>
            <w:r w:rsidR="00F72AE2">
              <w:rPr>
                <w:noProof/>
                <w:webHidden/>
              </w:rPr>
            </w:r>
            <w:r w:rsidR="00F72AE2">
              <w:rPr>
                <w:noProof/>
                <w:webHidden/>
              </w:rPr>
              <w:fldChar w:fldCharType="separate"/>
            </w:r>
            <w:r w:rsidR="00F72AE2">
              <w:rPr>
                <w:noProof/>
                <w:webHidden/>
              </w:rPr>
              <w:t>108</w:t>
            </w:r>
            <w:r w:rsidR="00F72AE2">
              <w:rPr>
                <w:noProof/>
                <w:webHidden/>
              </w:rPr>
              <w:fldChar w:fldCharType="end"/>
            </w:r>
          </w:hyperlink>
        </w:p>
        <w:p w14:paraId="46D414F7" w14:textId="1F283C2B" w:rsidR="004D18A7" w:rsidRDefault="00E87AA7" w:rsidP="00F345D5">
          <w:pPr>
            <w:pStyle w:val="TOC1"/>
            <w:tabs>
              <w:tab w:val="right" w:leader="dot" w:pos="9360"/>
            </w:tabs>
            <w:rPr>
              <w:rStyle w:val="Hyperlink"/>
              <w:noProof/>
              <w:kern w:val="2"/>
              <w14:ligatures w14:val="standardContextual"/>
            </w:rPr>
          </w:pPr>
          <w:r>
            <w:fldChar w:fldCharType="end"/>
          </w:r>
        </w:p>
      </w:sdtContent>
    </w:sdt>
    <w:p w14:paraId="6B2F1E74" w14:textId="43344327" w:rsidR="00871E4E" w:rsidRPr="00B302F2" w:rsidRDefault="00871E4E"/>
    <w:p w14:paraId="0A33B801" w14:textId="77777777" w:rsidR="00871E4E" w:rsidRDefault="00871E4E" w:rsidP="00871E4E">
      <w:pPr>
        <w:rPr>
          <w:color w:val="FF0000"/>
        </w:rPr>
      </w:pPr>
    </w:p>
    <w:p w14:paraId="2D761CC6" w14:textId="77777777" w:rsidR="005F5E23" w:rsidRDefault="005F5E23" w:rsidP="005F5E23">
      <w:pPr>
        <w:rPr>
          <w:color w:val="FF0000"/>
        </w:rPr>
      </w:pPr>
    </w:p>
    <w:p w14:paraId="6445CB76" w14:textId="77777777" w:rsidR="005F5E23" w:rsidRDefault="005F5E23" w:rsidP="005F5E23">
      <w:pPr>
        <w:rPr>
          <w:color w:val="FF0000"/>
        </w:rPr>
      </w:pPr>
    </w:p>
    <w:p w14:paraId="14FEBC26" w14:textId="77777777" w:rsidR="005F5E23" w:rsidRPr="00F345D5" w:rsidRDefault="005F5E23" w:rsidP="005F5E23">
      <w:pPr>
        <w:sectPr w:rsidR="005F5E23" w:rsidRPr="00F345D5" w:rsidSect="00E966E3">
          <w:headerReference w:type="default" r:id="rId15"/>
          <w:headerReference w:type="first" r:id="rId16"/>
          <w:footerReference w:type="first" r:id="rId17"/>
          <w:pgSz w:w="12240" w:h="15840"/>
          <w:pgMar w:top="1440" w:right="1440" w:bottom="1440" w:left="1440" w:header="720" w:footer="720" w:gutter="0"/>
          <w:pgNumType w:fmt="lowerRoman" w:start="1"/>
          <w:cols w:space="720"/>
          <w:docGrid w:linePitch="360"/>
        </w:sectPr>
      </w:pPr>
    </w:p>
    <w:p w14:paraId="1CB8F815" w14:textId="4E3C0F84" w:rsidR="00871E4E" w:rsidRPr="00B302F2" w:rsidRDefault="009C34B0" w:rsidP="38A4F72D">
      <w:pPr>
        <w:pStyle w:val="Heading1"/>
        <w:rPr>
          <w:b w:val="0"/>
        </w:rPr>
      </w:pPr>
      <w:bookmarkStart w:id="0" w:name="_Toc154057104"/>
      <w:r>
        <w:lastRenderedPageBreak/>
        <w:t>LIST OF COMMONLY USED ACRONYMS</w:t>
      </w:r>
      <w:bookmarkEnd w:id="0"/>
    </w:p>
    <w:p w14:paraId="6FB943EE" w14:textId="0BA2DE44" w:rsidR="009C34B0" w:rsidRPr="00B302F2" w:rsidRDefault="009C34B0" w:rsidP="00DA05FE">
      <w:pPr>
        <w:spacing w:after="120"/>
        <w:rPr>
          <w:szCs w:val="24"/>
        </w:rPr>
      </w:pPr>
      <w:r w:rsidRPr="00B302F2">
        <w:rPr>
          <w:b/>
          <w:bCs/>
          <w:szCs w:val="24"/>
        </w:rPr>
        <w:t>AFAB</w:t>
      </w:r>
      <w:r w:rsidRPr="00B302F2">
        <w:rPr>
          <w:b/>
          <w:bCs/>
          <w:szCs w:val="24"/>
        </w:rPr>
        <w:tab/>
      </w:r>
      <w:r w:rsidRPr="00B302F2">
        <w:rPr>
          <w:b/>
          <w:bCs/>
          <w:szCs w:val="24"/>
        </w:rPr>
        <w:tab/>
      </w:r>
      <w:r w:rsidRPr="00B302F2">
        <w:rPr>
          <w:szCs w:val="24"/>
        </w:rPr>
        <w:t>Assigned Female at Birth</w:t>
      </w:r>
    </w:p>
    <w:p w14:paraId="316FE63E" w14:textId="77777777" w:rsidR="009C34B0" w:rsidRPr="00B302F2" w:rsidRDefault="009C34B0" w:rsidP="00DA05FE">
      <w:pPr>
        <w:spacing w:after="120"/>
        <w:rPr>
          <w:szCs w:val="24"/>
        </w:rPr>
      </w:pPr>
      <w:r w:rsidRPr="00B302F2">
        <w:rPr>
          <w:b/>
          <w:bCs/>
          <w:szCs w:val="24"/>
        </w:rPr>
        <w:t>AI/AN</w:t>
      </w:r>
      <w:r w:rsidRPr="00B302F2">
        <w:rPr>
          <w:b/>
          <w:bCs/>
          <w:szCs w:val="24"/>
        </w:rPr>
        <w:tab/>
      </w:r>
      <w:r w:rsidRPr="00B302F2">
        <w:rPr>
          <w:b/>
          <w:bCs/>
          <w:szCs w:val="24"/>
        </w:rPr>
        <w:tab/>
      </w:r>
      <w:r w:rsidRPr="00B302F2">
        <w:rPr>
          <w:szCs w:val="24"/>
        </w:rPr>
        <w:t>American Indian/Alaska Native</w:t>
      </w:r>
    </w:p>
    <w:p w14:paraId="2CE097D7" w14:textId="77777777" w:rsidR="009C34B0" w:rsidRPr="00B302F2" w:rsidRDefault="009C34B0" w:rsidP="00DA05FE">
      <w:pPr>
        <w:spacing w:after="120"/>
        <w:rPr>
          <w:szCs w:val="24"/>
        </w:rPr>
      </w:pPr>
      <w:r w:rsidRPr="00B302F2">
        <w:rPr>
          <w:b/>
          <w:bCs/>
          <w:szCs w:val="24"/>
        </w:rPr>
        <w:t>AIDS</w:t>
      </w:r>
      <w:r w:rsidRPr="00B302F2">
        <w:rPr>
          <w:szCs w:val="24"/>
        </w:rPr>
        <w:t xml:space="preserve">  </w:t>
      </w:r>
      <w:r w:rsidRPr="00B302F2">
        <w:rPr>
          <w:szCs w:val="24"/>
        </w:rPr>
        <w:tab/>
      </w:r>
      <w:r w:rsidRPr="00B302F2">
        <w:rPr>
          <w:szCs w:val="24"/>
        </w:rPr>
        <w:tab/>
        <w:t>Acquired Immunodeficiency Syndrome</w:t>
      </w:r>
    </w:p>
    <w:p w14:paraId="3F2DD93D" w14:textId="77777777" w:rsidR="009C34B0" w:rsidRPr="00B302F2" w:rsidRDefault="009C34B0" w:rsidP="00DA05FE">
      <w:pPr>
        <w:spacing w:after="120"/>
        <w:rPr>
          <w:szCs w:val="24"/>
        </w:rPr>
      </w:pPr>
      <w:r w:rsidRPr="00B302F2">
        <w:rPr>
          <w:b/>
          <w:bCs/>
          <w:szCs w:val="24"/>
        </w:rPr>
        <w:t>AMAB</w:t>
      </w:r>
      <w:r w:rsidRPr="00B302F2">
        <w:rPr>
          <w:b/>
          <w:bCs/>
          <w:szCs w:val="24"/>
        </w:rPr>
        <w:tab/>
      </w:r>
      <w:r w:rsidRPr="00B302F2">
        <w:rPr>
          <w:b/>
          <w:bCs/>
          <w:szCs w:val="24"/>
        </w:rPr>
        <w:tab/>
      </w:r>
      <w:r w:rsidRPr="00B302F2">
        <w:rPr>
          <w:szCs w:val="24"/>
        </w:rPr>
        <w:t>Assigned Male at Birth</w:t>
      </w:r>
    </w:p>
    <w:p w14:paraId="5CF3D399" w14:textId="19A1E541" w:rsidR="009C34B0" w:rsidRPr="00B302F2" w:rsidRDefault="009C34B0" w:rsidP="00DA05FE">
      <w:pPr>
        <w:spacing w:after="120"/>
        <w:rPr>
          <w:szCs w:val="24"/>
        </w:rPr>
      </w:pPr>
      <w:r w:rsidRPr="00B302F2">
        <w:rPr>
          <w:b/>
          <w:bCs/>
          <w:szCs w:val="24"/>
        </w:rPr>
        <w:t>API</w:t>
      </w:r>
      <w:r w:rsidRPr="00B302F2">
        <w:rPr>
          <w:szCs w:val="24"/>
        </w:rPr>
        <w:tab/>
      </w:r>
      <w:r w:rsidRPr="00B302F2">
        <w:rPr>
          <w:szCs w:val="24"/>
        </w:rPr>
        <w:tab/>
        <w:t>Asian/Pacific Islander</w:t>
      </w:r>
    </w:p>
    <w:p w14:paraId="110977A4" w14:textId="77777777" w:rsidR="009C34B0" w:rsidRPr="00B302F2" w:rsidRDefault="009C34B0" w:rsidP="00DA05FE">
      <w:pPr>
        <w:spacing w:after="120"/>
        <w:rPr>
          <w:szCs w:val="24"/>
        </w:rPr>
      </w:pPr>
      <w:r w:rsidRPr="00B302F2">
        <w:rPr>
          <w:b/>
          <w:bCs/>
          <w:szCs w:val="24"/>
        </w:rPr>
        <w:t>BIDLS</w:t>
      </w:r>
      <w:r w:rsidRPr="00B302F2">
        <w:rPr>
          <w:b/>
          <w:bCs/>
          <w:szCs w:val="24"/>
        </w:rPr>
        <w:tab/>
      </w:r>
      <w:r w:rsidRPr="00B302F2">
        <w:rPr>
          <w:b/>
          <w:bCs/>
          <w:szCs w:val="24"/>
        </w:rPr>
        <w:tab/>
      </w:r>
      <w:r w:rsidRPr="00B302F2">
        <w:rPr>
          <w:szCs w:val="24"/>
        </w:rPr>
        <w:t>Bureau of Infectious Disease and Laboratory Sciences</w:t>
      </w:r>
    </w:p>
    <w:p w14:paraId="333F8700" w14:textId="77777777" w:rsidR="009C34B0" w:rsidRPr="00B302F2" w:rsidRDefault="009C34B0" w:rsidP="00DA05FE">
      <w:pPr>
        <w:spacing w:after="120"/>
        <w:rPr>
          <w:szCs w:val="24"/>
        </w:rPr>
      </w:pPr>
      <w:r w:rsidRPr="00B302F2">
        <w:rPr>
          <w:b/>
          <w:bCs/>
          <w:szCs w:val="24"/>
        </w:rPr>
        <w:t>BRFSS</w:t>
      </w:r>
      <w:r w:rsidRPr="00B302F2">
        <w:rPr>
          <w:szCs w:val="24"/>
        </w:rPr>
        <w:tab/>
      </w:r>
      <w:r w:rsidRPr="00B302F2">
        <w:rPr>
          <w:szCs w:val="24"/>
        </w:rPr>
        <w:tab/>
        <w:t>Behavioral Risk Factor Surveillance System</w:t>
      </w:r>
    </w:p>
    <w:p w14:paraId="272ADC39" w14:textId="72E49DE4" w:rsidR="009C34B0" w:rsidRPr="00B302F2" w:rsidRDefault="009C34B0" w:rsidP="00DA05FE">
      <w:pPr>
        <w:spacing w:after="120"/>
        <w:rPr>
          <w:szCs w:val="24"/>
        </w:rPr>
      </w:pPr>
      <w:r w:rsidRPr="00B302F2">
        <w:rPr>
          <w:b/>
          <w:bCs/>
          <w:szCs w:val="24"/>
        </w:rPr>
        <w:t>CDC</w:t>
      </w:r>
      <w:r w:rsidRPr="00B302F2">
        <w:rPr>
          <w:b/>
          <w:bCs/>
          <w:szCs w:val="24"/>
        </w:rPr>
        <w:tab/>
      </w:r>
      <w:r w:rsidRPr="00B302F2">
        <w:rPr>
          <w:b/>
          <w:bCs/>
          <w:szCs w:val="24"/>
        </w:rPr>
        <w:tab/>
      </w:r>
      <w:r w:rsidRPr="00B302F2">
        <w:rPr>
          <w:szCs w:val="24"/>
        </w:rPr>
        <w:t>Centers for Disease Control and Prevention</w:t>
      </w:r>
    </w:p>
    <w:p w14:paraId="324F4CA7" w14:textId="478A2545" w:rsidR="009C34B0" w:rsidRPr="00B302F2" w:rsidRDefault="009C34B0" w:rsidP="00DA05FE">
      <w:pPr>
        <w:spacing w:after="120"/>
        <w:rPr>
          <w:szCs w:val="24"/>
        </w:rPr>
      </w:pPr>
      <w:r w:rsidRPr="00B302F2">
        <w:rPr>
          <w:b/>
          <w:bCs/>
          <w:szCs w:val="24"/>
        </w:rPr>
        <w:t>CI</w:t>
      </w:r>
      <w:r w:rsidRPr="00B302F2">
        <w:rPr>
          <w:b/>
          <w:bCs/>
          <w:szCs w:val="24"/>
        </w:rPr>
        <w:tab/>
      </w:r>
      <w:r w:rsidRPr="00B302F2">
        <w:rPr>
          <w:b/>
          <w:bCs/>
          <w:szCs w:val="24"/>
        </w:rPr>
        <w:tab/>
      </w:r>
      <w:r w:rsidRPr="00B302F2">
        <w:rPr>
          <w:szCs w:val="24"/>
        </w:rPr>
        <w:t>Confidence Interval</w:t>
      </w:r>
    </w:p>
    <w:p w14:paraId="204FF12A" w14:textId="461A4DE5" w:rsidR="00CB4612" w:rsidRPr="00B302F2" w:rsidRDefault="00CB4612" w:rsidP="00DA05FE">
      <w:pPr>
        <w:spacing w:after="120"/>
        <w:rPr>
          <w:b/>
          <w:bCs/>
          <w:szCs w:val="24"/>
        </w:rPr>
      </w:pPr>
      <w:r w:rsidRPr="00B302F2">
        <w:rPr>
          <w:b/>
          <w:bCs/>
          <w:szCs w:val="24"/>
        </w:rPr>
        <w:t>COVID-19</w:t>
      </w:r>
      <w:r w:rsidRPr="00B302F2">
        <w:rPr>
          <w:b/>
          <w:bCs/>
          <w:szCs w:val="24"/>
        </w:rPr>
        <w:tab/>
      </w:r>
      <w:r w:rsidRPr="00B302F2">
        <w:rPr>
          <w:szCs w:val="24"/>
        </w:rPr>
        <w:t>Coronavirus Disease 2019</w:t>
      </w:r>
    </w:p>
    <w:p w14:paraId="273C6342" w14:textId="580DB119" w:rsidR="009C34B0" w:rsidRPr="00B302F2" w:rsidRDefault="009C34B0" w:rsidP="00DA05FE">
      <w:pPr>
        <w:spacing w:after="120"/>
        <w:rPr>
          <w:szCs w:val="24"/>
        </w:rPr>
      </w:pPr>
      <w:r w:rsidRPr="00B302F2">
        <w:rPr>
          <w:b/>
          <w:bCs/>
          <w:szCs w:val="24"/>
        </w:rPr>
        <w:t>DOE</w:t>
      </w:r>
      <w:r w:rsidRPr="00B302F2">
        <w:rPr>
          <w:b/>
          <w:bCs/>
          <w:szCs w:val="24"/>
        </w:rPr>
        <w:tab/>
      </w:r>
      <w:r w:rsidRPr="00B302F2">
        <w:rPr>
          <w:b/>
          <w:bCs/>
          <w:szCs w:val="24"/>
        </w:rPr>
        <w:tab/>
      </w:r>
      <w:r w:rsidRPr="00B302F2">
        <w:rPr>
          <w:szCs w:val="24"/>
        </w:rPr>
        <w:t>Department of Education</w:t>
      </w:r>
    </w:p>
    <w:p w14:paraId="52B8A47B" w14:textId="278F9270" w:rsidR="009C34B0" w:rsidRPr="00B302F2" w:rsidRDefault="009C34B0" w:rsidP="00DA05FE">
      <w:pPr>
        <w:spacing w:after="120"/>
        <w:rPr>
          <w:szCs w:val="24"/>
        </w:rPr>
      </w:pPr>
      <w:r w:rsidRPr="00B302F2">
        <w:rPr>
          <w:b/>
          <w:bCs/>
          <w:szCs w:val="24"/>
        </w:rPr>
        <w:t>HAV</w:t>
      </w:r>
      <w:r w:rsidRPr="00B302F2">
        <w:rPr>
          <w:b/>
          <w:bCs/>
          <w:szCs w:val="24"/>
        </w:rPr>
        <w:tab/>
      </w:r>
      <w:r w:rsidRPr="00B302F2">
        <w:rPr>
          <w:b/>
          <w:bCs/>
          <w:szCs w:val="24"/>
        </w:rPr>
        <w:tab/>
      </w:r>
      <w:r w:rsidRPr="00B302F2">
        <w:rPr>
          <w:szCs w:val="24"/>
        </w:rPr>
        <w:t>Hepatitis A Virus</w:t>
      </w:r>
    </w:p>
    <w:p w14:paraId="108AE3CB" w14:textId="49F19B98" w:rsidR="009C34B0" w:rsidRPr="00B302F2" w:rsidRDefault="009C34B0" w:rsidP="00DA05FE">
      <w:pPr>
        <w:spacing w:after="120"/>
        <w:rPr>
          <w:szCs w:val="24"/>
        </w:rPr>
      </w:pPr>
      <w:r w:rsidRPr="00B302F2">
        <w:rPr>
          <w:b/>
          <w:bCs/>
          <w:szCs w:val="24"/>
        </w:rPr>
        <w:t>HBV</w:t>
      </w:r>
      <w:r w:rsidRPr="00B302F2">
        <w:rPr>
          <w:b/>
          <w:bCs/>
          <w:szCs w:val="24"/>
        </w:rPr>
        <w:tab/>
      </w:r>
      <w:r w:rsidRPr="00B302F2">
        <w:rPr>
          <w:b/>
          <w:bCs/>
          <w:szCs w:val="24"/>
        </w:rPr>
        <w:tab/>
      </w:r>
      <w:r w:rsidRPr="00B302F2">
        <w:rPr>
          <w:szCs w:val="24"/>
        </w:rPr>
        <w:t>Hepatitis B Virus</w:t>
      </w:r>
    </w:p>
    <w:p w14:paraId="3B51A5CF" w14:textId="54EAE5F1" w:rsidR="009C34B0" w:rsidRPr="00B302F2" w:rsidRDefault="009C34B0" w:rsidP="00DA05FE">
      <w:pPr>
        <w:spacing w:after="120"/>
        <w:rPr>
          <w:szCs w:val="24"/>
        </w:rPr>
      </w:pPr>
      <w:r w:rsidRPr="00B302F2">
        <w:rPr>
          <w:b/>
          <w:bCs/>
          <w:szCs w:val="24"/>
        </w:rPr>
        <w:t>HCV</w:t>
      </w:r>
      <w:r w:rsidRPr="00B302F2">
        <w:rPr>
          <w:b/>
          <w:bCs/>
          <w:szCs w:val="24"/>
        </w:rPr>
        <w:tab/>
      </w:r>
      <w:r w:rsidRPr="00B302F2">
        <w:rPr>
          <w:b/>
          <w:bCs/>
          <w:szCs w:val="24"/>
        </w:rPr>
        <w:tab/>
      </w:r>
      <w:r w:rsidRPr="00B302F2">
        <w:rPr>
          <w:szCs w:val="24"/>
        </w:rPr>
        <w:t>Hepatitis C Virus</w:t>
      </w:r>
    </w:p>
    <w:p w14:paraId="4652BF7B" w14:textId="77777777" w:rsidR="009C34B0" w:rsidRPr="00B302F2" w:rsidRDefault="009C34B0" w:rsidP="00DA05FE">
      <w:pPr>
        <w:spacing w:after="120"/>
        <w:rPr>
          <w:szCs w:val="24"/>
        </w:rPr>
      </w:pPr>
      <w:r w:rsidRPr="00B302F2">
        <w:rPr>
          <w:b/>
          <w:bCs/>
          <w:szCs w:val="24"/>
        </w:rPr>
        <w:t xml:space="preserve">HIV </w:t>
      </w:r>
      <w:r w:rsidRPr="00B302F2">
        <w:rPr>
          <w:szCs w:val="24"/>
        </w:rPr>
        <w:t xml:space="preserve">   </w:t>
      </w:r>
      <w:r w:rsidRPr="00B302F2">
        <w:rPr>
          <w:szCs w:val="24"/>
        </w:rPr>
        <w:tab/>
      </w:r>
      <w:r w:rsidRPr="00B302F2">
        <w:rPr>
          <w:szCs w:val="24"/>
        </w:rPr>
        <w:tab/>
        <w:t>Human Immunodeficiency Virus</w:t>
      </w:r>
    </w:p>
    <w:p w14:paraId="6F889DE2" w14:textId="52843294" w:rsidR="009C34B0" w:rsidRPr="00B302F2" w:rsidRDefault="009C34B0" w:rsidP="00DA05FE">
      <w:pPr>
        <w:spacing w:after="120"/>
        <w:rPr>
          <w:szCs w:val="24"/>
        </w:rPr>
      </w:pPr>
      <w:r w:rsidRPr="00B302F2">
        <w:rPr>
          <w:b/>
          <w:bCs/>
          <w:szCs w:val="24"/>
        </w:rPr>
        <w:t>HSR</w:t>
      </w:r>
      <w:r w:rsidRPr="00B302F2">
        <w:rPr>
          <w:b/>
          <w:bCs/>
          <w:szCs w:val="24"/>
        </w:rPr>
        <w:tab/>
      </w:r>
      <w:r w:rsidRPr="00B302F2">
        <w:rPr>
          <w:b/>
          <w:bCs/>
          <w:szCs w:val="24"/>
        </w:rPr>
        <w:tab/>
      </w:r>
      <w:r w:rsidRPr="00B302F2">
        <w:rPr>
          <w:szCs w:val="24"/>
        </w:rPr>
        <w:t>Health Service Region</w:t>
      </w:r>
    </w:p>
    <w:p w14:paraId="671DDCE3" w14:textId="77777777" w:rsidR="009C34B0" w:rsidRPr="00B302F2" w:rsidRDefault="009C34B0" w:rsidP="00DA05FE">
      <w:pPr>
        <w:spacing w:after="120"/>
        <w:rPr>
          <w:szCs w:val="24"/>
        </w:rPr>
      </w:pPr>
      <w:r w:rsidRPr="00B302F2">
        <w:rPr>
          <w:b/>
          <w:bCs/>
          <w:szCs w:val="24"/>
        </w:rPr>
        <w:t>HTSX</w:t>
      </w:r>
      <w:r w:rsidRPr="00B302F2">
        <w:rPr>
          <w:szCs w:val="24"/>
        </w:rPr>
        <w:tab/>
      </w:r>
      <w:r w:rsidRPr="00B302F2">
        <w:rPr>
          <w:szCs w:val="24"/>
        </w:rPr>
        <w:tab/>
        <w:t>Heterosexual Sex</w:t>
      </w:r>
    </w:p>
    <w:p w14:paraId="7FAFDEFB" w14:textId="3495446A" w:rsidR="009C34B0" w:rsidRPr="00B302F2" w:rsidRDefault="009C34B0" w:rsidP="00DA05FE">
      <w:pPr>
        <w:spacing w:after="120"/>
        <w:rPr>
          <w:szCs w:val="24"/>
        </w:rPr>
      </w:pPr>
      <w:r w:rsidRPr="00B302F2">
        <w:rPr>
          <w:b/>
          <w:bCs/>
          <w:szCs w:val="24"/>
        </w:rPr>
        <w:t>IDU</w:t>
      </w:r>
      <w:r w:rsidRPr="00B302F2">
        <w:rPr>
          <w:szCs w:val="24"/>
        </w:rPr>
        <w:t xml:space="preserve"> </w:t>
      </w:r>
      <w:r w:rsidRPr="00B302F2">
        <w:rPr>
          <w:szCs w:val="24"/>
        </w:rPr>
        <w:tab/>
      </w:r>
      <w:r w:rsidRPr="00B302F2">
        <w:rPr>
          <w:szCs w:val="24"/>
        </w:rPr>
        <w:tab/>
        <w:t>Injection Drug Use</w:t>
      </w:r>
    </w:p>
    <w:p w14:paraId="190A4051" w14:textId="5D6E5885" w:rsidR="009C34B0" w:rsidRPr="00B302F2" w:rsidRDefault="009C34B0" w:rsidP="00DA05FE">
      <w:pPr>
        <w:spacing w:after="120"/>
        <w:rPr>
          <w:szCs w:val="24"/>
        </w:rPr>
      </w:pPr>
      <w:r w:rsidRPr="00B302F2">
        <w:rPr>
          <w:b/>
          <w:bCs/>
          <w:szCs w:val="24"/>
        </w:rPr>
        <w:t xml:space="preserve">MDPH </w:t>
      </w:r>
      <w:r w:rsidRPr="00B302F2">
        <w:rPr>
          <w:szCs w:val="24"/>
        </w:rPr>
        <w:t xml:space="preserve"> </w:t>
      </w:r>
      <w:r w:rsidRPr="00B302F2">
        <w:rPr>
          <w:szCs w:val="24"/>
        </w:rPr>
        <w:tab/>
        <w:t>Massachusetts Department of Public Health</w:t>
      </w:r>
    </w:p>
    <w:p w14:paraId="39522417" w14:textId="2BF3AFDA" w:rsidR="009C34B0" w:rsidRPr="00B302F2" w:rsidRDefault="009C34B0" w:rsidP="00DA05FE">
      <w:pPr>
        <w:spacing w:after="120"/>
        <w:rPr>
          <w:szCs w:val="24"/>
        </w:rPr>
      </w:pPr>
      <w:r w:rsidRPr="00B302F2">
        <w:rPr>
          <w:b/>
          <w:bCs/>
          <w:szCs w:val="24"/>
        </w:rPr>
        <w:t>MSM</w:t>
      </w:r>
      <w:r w:rsidRPr="00B302F2">
        <w:rPr>
          <w:szCs w:val="24"/>
        </w:rPr>
        <w:tab/>
      </w:r>
      <w:r w:rsidRPr="00B302F2">
        <w:rPr>
          <w:szCs w:val="24"/>
        </w:rPr>
        <w:tab/>
        <w:t xml:space="preserve">Male-to-Male Sex </w:t>
      </w:r>
      <w:r w:rsidR="003939E3" w:rsidRPr="00B302F2">
        <w:rPr>
          <w:szCs w:val="24"/>
        </w:rPr>
        <w:t>or</w:t>
      </w:r>
      <w:r w:rsidRPr="00B302F2">
        <w:rPr>
          <w:szCs w:val="24"/>
        </w:rPr>
        <w:t xml:space="preserve"> Men Who Have Sex with Men</w:t>
      </w:r>
    </w:p>
    <w:p w14:paraId="1F3F56D5" w14:textId="6D46C121" w:rsidR="009C34B0" w:rsidRPr="00B302F2" w:rsidRDefault="009C34B0" w:rsidP="00DA05FE">
      <w:pPr>
        <w:spacing w:after="120"/>
        <w:rPr>
          <w:szCs w:val="24"/>
        </w:rPr>
      </w:pPr>
      <w:r w:rsidRPr="00B302F2">
        <w:rPr>
          <w:b/>
          <w:bCs/>
          <w:szCs w:val="24"/>
        </w:rPr>
        <w:t>N</w:t>
      </w:r>
      <w:r w:rsidRPr="00B302F2">
        <w:rPr>
          <w:b/>
          <w:bCs/>
          <w:szCs w:val="24"/>
        </w:rPr>
        <w:tab/>
      </w:r>
      <w:r w:rsidRPr="00B302F2">
        <w:rPr>
          <w:b/>
          <w:bCs/>
          <w:szCs w:val="24"/>
        </w:rPr>
        <w:tab/>
      </w:r>
      <w:r w:rsidRPr="00B302F2">
        <w:rPr>
          <w:szCs w:val="24"/>
        </w:rPr>
        <w:t>Number</w:t>
      </w:r>
    </w:p>
    <w:p w14:paraId="5BF2E000" w14:textId="4E6BEE85" w:rsidR="009C34B0" w:rsidRPr="00B302F2" w:rsidRDefault="2860F462" w:rsidP="034544F5">
      <w:pPr>
        <w:spacing w:after="120"/>
      </w:pPr>
      <w:r w:rsidRPr="2F702A1B">
        <w:rPr>
          <w:b/>
          <w:bCs/>
        </w:rPr>
        <w:t>NH</w:t>
      </w:r>
      <w:r w:rsidR="009C34B0">
        <w:tab/>
      </w:r>
      <w:r w:rsidR="009C34B0">
        <w:tab/>
      </w:r>
      <w:r>
        <w:t>Non-Hispanic</w:t>
      </w:r>
    </w:p>
    <w:p w14:paraId="0F8849CD" w14:textId="1DAA54F0" w:rsidR="009C34B0" w:rsidRPr="00B302F2" w:rsidRDefault="009C34B0" w:rsidP="00DA05FE">
      <w:pPr>
        <w:spacing w:after="120"/>
        <w:rPr>
          <w:szCs w:val="24"/>
        </w:rPr>
      </w:pPr>
      <w:r w:rsidRPr="00B302F2">
        <w:rPr>
          <w:b/>
          <w:bCs/>
          <w:szCs w:val="24"/>
        </w:rPr>
        <w:t>NIR</w:t>
      </w:r>
      <w:r w:rsidRPr="00B302F2">
        <w:rPr>
          <w:b/>
          <w:bCs/>
          <w:szCs w:val="24"/>
        </w:rPr>
        <w:tab/>
      </w:r>
      <w:r w:rsidRPr="00B302F2">
        <w:rPr>
          <w:b/>
          <w:bCs/>
          <w:szCs w:val="24"/>
        </w:rPr>
        <w:tab/>
      </w:r>
      <w:r w:rsidRPr="00B302F2">
        <w:rPr>
          <w:szCs w:val="24"/>
        </w:rPr>
        <w:t>No Identified Risk</w:t>
      </w:r>
    </w:p>
    <w:p w14:paraId="7A84033A" w14:textId="77777777" w:rsidR="009C34B0" w:rsidRPr="00B302F2" w:rsidRDefault="009C34B0" w:rsidP="00DA05FE">
      <w:pPr>
        <w:spacing w:after="120"/>
        <w:rPr>
          <w:szCs w:val="24"/>
        </w:rPr>
      </w:pPr>
      <w:r w:rsidRPr="00B302F2">
        <w:rPr>
          <w:b/>
          <w:bCs/>
          <w:szCs w:val="24"/>
        </w:rPr>
        <w:t>PLWH</w:t>
      </w:r>
      <w:r w:rsidRPr="00B302F2">
        <w:rPr>
          <w:b/>
          <w:bCs/>
          <w:szCs w:val="24"/>
        </w:rPr>
        <w:tab/>
      </w:r>
      <w:r w:rsidRPr="00B302F2">
        <w:rPr>
          <w:b/>
          <w:bCs/>
          <w:szCs w:val="24"/>
        </w:rPr>
        <w:tab/>
      </w:r>
      <w:r w:rsidRPr="00B302F2">
        <w:rPr>
          <w:szCs w:val="24"/>
        </w:rPr>
        <w:t>Persons Living with HIV Infection</w:t>
      </w:r>
    </w:p>
    <w:p w14:paraId="357CCC65" w14:textId="77777777" w:rsidR="009C34B0" w:rsidRPr="00B302F2" w:rsidRDefault="009C34B0" w:rsidP="00DA05FE">
      <w:pPr>
        <w:spacing w:after="120"/>
        <w:rPr>
          <w:szCs w:val="24"/>
        </w:rPr>
      </w:pPr>
      <w:r w:rsidRPr="00B302F2">
        <w:rPr>
          <w:b/>
          <w:bCs/>
          <w:szCs w:val="24"/>
        </w:rPr>
        <w:t>Pres. HTSX</w:t>
      </w:r>
      <w:r w:rsidRPr="00B302F2">
        <w:rPr>
          <w:szCs w:val="24"/>
        </w:rPr>
        <w:tab/>
        <w:t>Presumed Heterosexual Sex</w:t>
      </w:r>
    </w:p>
    <w:p w14:paraId="0FBA1024" w14:textId="2A892EE4" w:rsidR="009C34B0" w:rsidRPr="00B302F2" w:rsidRDefault="009C34B0" w:rsidP="00DA05FE">
      <w:pPr>
        <w:spacing w:after="120"/>
        <w:rPr>
          <w:szCs w:val="24"/>
        </w:rPr>
      </w:pPr>
      <w:r w:rsidRPr="00B302F2">
        <w:rPr>
          <w:b/>
          <w:bCs/>
          <w:szCs w:val="24"/>
        </w:rPr>
        <w:t xml:space="preserve">PR/USD </w:t>
      </w:r>
      <w:r w:rsidRPr="00B302F2">
        <w:rPr>
          <w:b/>
          <w:bCs/>
          <w:szCs w:val="24"/>
        </w:rPr>
        <w:tab/>
      </w:r>
      <w:r w:rsidRPr="00B302F2">
        <w:rPr>
          <w:szCs w:val="24"/>
        </w:rPr>
        <w:t>Puerto Rico/United States Dependency</w:t>
      </w:r>
    </w:p>
    <w:p w14:paraId="7009F98F" w14:textId="77777777" w:rsidR="009C34B0" w:rsidRPr="00B302F2" w:rsidRDefault="009C34B0" w:rsidP="00DA05FE">
      <w:pPr>
        <w:spacing w:after="120"/>
        <w:rPr>
          <w:szCs w:val="24"/>
        </w:rPr>
      </w:pPr>
      <w:r w:rsidRPr="00B302F2">
        <w:rPr>
          <w:b/>
          <w:bCs/>
          <w:szCs w:val="24"/>
        </w:rPr>
        <w:t>PWID</w:t>
      </w:r>
      <w:r w:rsidRPr="00B302F2">
        <w:rPr>
          <w:szCs w:val="24"/>
        </w:rPr>
        <w:tab/>
      </w:r>
      <w:r w:rsidRPr="00B302F2">
        <w:rPr>
          <w:szCs w:val="24"/>
        </w:rPr>
        <w:tab/>
        <w:t>Persons Who Inject Drugs</w:t>
      </w:r>
    </w:p>
    <w:p w14:paraId="49B7E3E7" w14:textId="6BD8A10A" w:rsidR="009C34B0" w:rsidRPr="00B302F2" w:rsidRDefault="009C34B0" w:rsidP="00DA05FE">
      <w:pPr>
        <w:spacing w:after="120"/>
        <w:rPr>
          <w:szCs w:val="24"/>
        </w:rPr>
      </w:pPr>
      <w:r w:rsidRPr="00B302F2">
        <w:rPr>
          <w:b/>
          <w:bCs/>
          <w:szCs w:val="24"/>
        </w:rPr>
        <w:t>STD</w:t>
      </w:r>
      <w:r w:rsidRPr="00B302F2">
        <w:rPr>
          <w:szCs w:val="24"/>
        </w:rPr>
        <w:tab/>
      </w:r>
      <w:r w:rsidRPr="00B302F2">
        <w:rPr>
          <w:szCs w:val="24"/>
        </w:rPr>
        <w:tab/>
        <w:t>Sexually Transmitted Disease</w:t>
      </w:r>
    </w:p>
    <w:p w14:paraId="2012CE53" w14:textId="44DBD0CF" w:rsidR="00625EF8" w:rsidRPr="00B302F2" w:rsidRDefault="009C34B0" w:rsidP="00DA05FE">
      <w:pPr>
        <w:spacing w:after="120"/>
        <w:rPr>
          <w:szCs w:val="24"/>
        </w:rPr>
        <w:sectPr w:rsidR="00625EF8" w:rsidRPr="00B302F2" w:rsidSect="00E966E3">
          <w:headerReference w:type="default" r:id="rId18"/>
          <w:headerReference w:type="first" r:id="rId19"/>
          <w:footerReference w:type="first" r:id="rId20"/>
          <w:pgSz w:w="12240" w:h="15840"/>
          <w:pgMar w:top="1080" w:right="1080" w:bottom="1080" w:left="1080" w:header="720" w:footer="720" w:gutter="0"/>
          <w:pgNumType w:fmt="lowerRoman"/>
          <w:cols w:space="720"/>
          <w:docGrid w:linePitch="360"/>
        </w:sectPr>
      </w:pPr>
      <w:r w:rsidRPr="00B302F2">
        <w:rPr>
          <w:b/>
          <w:bCs/>
          <w:szCs w:val="24"/>
        </w:rPr>
        <w:t>STI</w:t>
      </w:r>
      <w:r w:rsidRPr="00B302F2">
        <w:rPr>
          <w:szCs w:val="24"/>
        </w:rPr>
        <w:tab/>
      </w:r>
      <w:r w:rsidRPr="00B302F2">
        <w:rPr>
          <w:szCs w:val="24"/>
        </w:rPr>
        <w:tab/>
        <w:t>Sexually Transmitted Infectio</w:t>
      </w:r>
      <w:r w:rsidR="00815AD8" w:rsidRPr="00B302F2">
        <w:rPr>
          <w:szCs w:val="24"/>
        </w:rPr>
        <w:t>n</w:t>
      </w:r>
    </w:p>
    <w:p w14:paraId="2EAEDF9F" w14:textId="1E8B6315" w:rsidR="009C34B0" w:rsidRPr="00B302F2" w:rsidRDefault="00625EF8" w:rsidP="38A4F72D">
      <w:pPr>
        <w:pStyle w:val="Heading1"/>
        <w:rPr>
          <w:b w:val="0"/>
        </w:rPr>
      </w:pPr>
      <w:bookmarkStart w:id="1" w:name="_Toc154057105"/>
      <w:r>
        <w:lastRenderedPageBreak/>
        <w:t>KEY HIGHLIGHTS</w:t>
      </w:r>
      <w:bookmarkEnd w:id="1"/>
    </w:p>
    <w:p w14:paraId="258963C9" w14:textId="7A563C4B" w:rsidR="00DF0095" w:rsidRPr="00256F80" w:rsidRDefault="00DF0095" w:rsidP="00DA05FE">
      <w:pPr>
        <w:spacing w:after="120"/>
        <w:rPr>
          <w:szCs w:val="24"/>
        </w:rPr>
      </w:pPr>
      <w:r w:rsidRPr="00256F80">
        <w:rPr>
          <w:szCs w:val="24"/>
        </w:rPr>
        <w:t>The 202</w:t>
      </w:r>
      <w:r w:rsidR="00256F80" w:rsidRPr="00256F80">
        <w:rPr>
          <w:szCs w:val="24"/>
        </w:rPr>
        <w:t>2</w:t>
      </w:r>
      <w:r w:rsidRPr="00256F80">
        <w:rPr>
          <w:szCs w:val="24"/>
        </w:rPr>
        <w:t xml:space="preserve"> Integrated HIV, STD, and Viral Hepatitis Surveillance Report provides data on infections reported to the Massachusetts Department of Public Health (MDPH), Bureau of Infectious Disease and Laboratory Sciences by healthcare providers and laboratories per regulation (105 CMR 300.000). This report focuses on a subset of these diseases: </w:t>
      </w:r>
    </w:p>
    <w:p w14:paraId="22C5E705" w14:textId="77777777" w:rsidR="00DF0095" w:rsidRPr="00256F80" w:rsidRDefault="00DF0095" w:rsidP="00046DDD">
      <w:pPr>
        <w:numPr>
          <w:ilvl w:val="0"/>
          <w:numId w:val="1"/>
        </w:numPr>
        <w:rPr>
          <w:szCs w:val="24"/>
        </w:rPr>
      </w:pPr>
      <w:r w:rsidRPr="00256F80">
        <w:rPr>
          <w:szCs w:val="24"/>
        </w:rPr>
        <w:t>Chlamydia</w:t>
      </w:r>
    </w:p>
    <w:p w14:paraId="1D3C6BDB" w14:textId="77777777" w:rsidR="00DF0095" w:rsidRPr="00256F80" w:rsidRDefault="00DF0095" w:rsidP="00046DDD">
      <w:pPr>
        <w:numPr>
          <w:ilvl w:val="0"/>
          <w:numId w:val="1"/>
        </w:numPr>
        <w:rPr>
          <w:szCs w:val="24"/>
        </w:rPr>
      </w:pPr>
      <w:r w:rsidRPr="00256F80">
        <w:rPr>
          <w:szCs w:val="24"/>
        </w:rPr>
        <w:t>Gonorrhea</w:t>
      </w:r>
    </w:p>
    <w:p w14:paraId="32027D83" w14:textId="77777777" w:rsidR="00DF0095" w:rsidRPr="00256F80" w:rsidRDefault="00DF0095" w:rsidP="00046DDD">
      <w:pPr>
        <w:numPr>
          <w:ilvl w:val="0"/>
          <w:numId w:val="1"/>
        </w:numPr>
        <w:rPr>
          <w:szCs w:val="24"/>
        </w:rPr>
      </w:pPr>
      <w:r w:rsidRPr="00256F80">
        <w:rPr>
          <w:szCs w:val="24"/>
        </w:rPr>
        <w:t>Syphilis</w:t>
      </w:r>
    </w:p>
    <w:p w14:paraId="2495D2F9" w14:textId="77777777" w:rsidR="00DF0095" w:rsidRPr="00256F80" w:rsidRDefault="00DF0095" w:rsidP="00046DDD">
      <w:pPr>
        <w:numPr>
          <w:ilvl w:val="0"/>
          <w:numId w:val="1"/>
        </w:numPr>
        <w:rPr>
          <w:szCs w:val="24"/>
        </w:rPr>
      </w:pPr>
      <w:r w:rsidRPr="00256F80">
        <w:rPr>
          <w:szCs w:val="24"/>
        </w:rPr>
        <w:t>HIV</w:t>
      </w:r>
    </w:p>
    <w:p w14:paraId="22CB5FC5" w14:textId="77777777" w:rsidR="00DF0095" w:rsidRPr="00256F80" w:rsidRDefault="00DF0095" w:rsidP="00046DDD">
      <w:pPr>
        <w:numPr>
          <w:ilvl w:val="0"/>
          <w:numId w:val="1"/>
        </w:numPr>
        <w:spacing w:after="120"/>
        <w:rPr>
          <w:szCs w:val="24"/>
        </w:rPr>
      </w:pPr>
      <w:r w:rsidRPr="00256F80">
        <w:rPr>
          <w:szCs w:val="24"/>
        </w:rPr>
        <w:t>Hepatitis A, B and C</w:t>
      </w:r>
    </w:p>
    <w:p w14:paraId="6F25BCB7" w14:textId="77777777" w:rsidR="00DF0095" w:rsidRPr="00256F80" w:rsidRDefault="00DF0095" w:rsidP="00DA05FE">
      <w:pPr>
        <w:spacing w:after="120"/>
        <w:rPr>
          <w:szCs w:val="24"/>
        </w:rPr>
      </w:pPr>
      <w:r w:rsidRPr="00256F80">
        <w:rPr>
          <w:szCs w:val="24"/>
        </w:rPr>
        <w:t>The intended audience for this annual surveillance report includes the clinicians and laboratory professionals who report cases, community organizations, local public health departments, advocates, policymakers, and researchers who are interested in the health of Massachusetts residents.</w:t>
      </w:r>
    </w:p>
    <w:p w14:paraId="15C5A282" w14:textId="0AA3CFC6" w:rsidR="00DF0095" w:rsidRPr="00256F80" w:rsidRDefault="00DF0095" w:rsidP="00DA05FE">
      <w:pPr>
        <w:spacing w:after="120"/>
        <w:rPr>
          <w:szCs w:val="24"/>
        </w:rPr>
      </w:pPr>
      <w:r w:rsidRPr="00256F80">
        <w:rPr>
          <w:b/>
          <w:bCs/>
          <w:szCs w:val="24"/>
        </w:rPr>
        <w:t xml:space="preserve">Key </w:t>
      </w:r>
      <w:r w:rsidR="00B92518">
        <w:rPr>
          <w:b/>
          <w:bCs/>
          <w:szCs w:val="24"/>
        </w:rPr>
        <w:t>H</w:t>
      </w:r>
      <w:r w:rsidRPr="00256F80">
        <w:rPr>
          <w:b/>
          <w:bCs/>
          <w:szCs w:val="24"/>
        </w:rPr>
        <w:t>ighlights in 202</w:t>
      </w:r>
      <w:r w:rsidR="00256F80" w:rsidRPr="00256F80">
        <w:rPr>
          <w:b/>
          <w:bCs/>
          <w:szCs w:val="24"/>
        </w:rPr>
        <w:t>2</w:t>
      </w:r>
      <w:r w:rsidRPr="00256F80">
        <w:rPr>
          <w:b/>
          <w:bCs/>
          <w:szCs w:val="24"/>
        </w:rPr>
        <w:t xml:space="preserve"> </w:t>
      </w:r>
    </w:p>
    <w:p w14:paraId="59F8099A" w14:textId="53380210" w:rsidR="00DF0095" w:rsidRPr="00256F80" w:rsidRDefault="14E9AFA0" w:rsidP="0048788D">
      <w:pPr>
        <w:spacing w:after="120"/>
        <w:rPr>
          <w:szCs w:val="24"/>
        </w:rPr>
      </w:pPr>
      <w:r w:rsidRPr="00256F80">
        <w:t>The coronavirus disease 2019 (COVID-19) pandemic has had a large impact on the screening, treatment, and surveillance of other infectious diseases in 2020 and 2021. Nationally, the Centers for Disease Control and Prevention (CDC) observed a sharp decline in reported STD cases from March-April 2020, compared to March-April 2019.</w:t>
      </w:r>
      <w:r w:rsidR="005A43F9" w:rsidRPr="00256F80">
        <w:rPr>
          <w:rStyle w:val="FootnoteReference"/>
        </w:rPr>
        <w:footnoteReference w:id="3"/>
      </w:r>
      <w:r w:rsidRPr="00256F80">
        <w:t xml:space="preserve"> Three factors were cited as likely contributing to the initial decrease in reported cases: </w:t>
      </w:r>
    </w:p>
    <w:p w14:paraId="1B953183" w14:textId="77777777" w:rsidR="00DF0095" w:rsidRPr="00256F80" w:rsidRDefault="00DF0095" w:rsidP="00222D42">
      <w:pPr>
        <w:numPr>
          <w:ilvl w:val="0"/>
          <w:numId w:val="2"/>
        </w:numPr>
        <w:rPr>
          <w:szCs w:val="24"/>
        </w:rPr>
      </w:pPr>
      <w:r w:rsidRPr="00256F80">
        <w:rPr>
          <w:szCs w:val="24"/>
        </w:rPr>
        <w:t>Reduced screening – many health care clinics limited in-person visits to symptomatic cases or closed down</w:t>
      </w:r>
    </w:p>
    <w:p w14:paraId="45993CE4" w14:textId="77777777" w:rsidR="00DF0095" w:rsidRPr="00256F80" w:rsidRDefault="00DF0095" w:rsidP="00222D42">
      <w:pPr>
        <w:numPr>
          <w:ilvl w:val="0"/>
          <w:numId w:val="2"/>
        </w:numPr>
        <w:rPr>
          <w:szCs w:val="24"/>
        </w:rPr>
      </w:pPr>
      <w:r w:rsidRPr="00256F80">
        <w:rPr>
          <w:szCs w:val="24"/>
        </w:rPr>
        <w:t>Limited resources – many state and local health department STD staff were redirected from routine STD responsibilities to COVID-19 activities, which affected STD tracking capacity and reporting</w:t>
      </w:r>
    </w:p>
    <w:p w14:paraId="22C1C98D" w14:textId="7A592680" w:rsidR="00DF0095" w:rsidRPr="00256F80" w:rsidRDefault="00DF0095" w:rsidP="0048788D">
      <w:pPr>
        <w:numPr>
          <w:ilvl w:val="0"/>
          <w:numId w:val="2"/>
        </w:numPr>
        <w:spacing w:after="120"/>
        <w:rPr>
          <w:szCs w:val="24"/>
        </w:rPr>
      </w:pPr>
      <w:r w:rsidRPr="00256F80">
        <w:rPr>
          <w:szCs w:val="24"/>
        </w:rPr>
        <w:t xml:space="preserve">Social distancing measures – intended to reduce COVID-19 spread, </w:t>
      </w:r>
      <w:r w:rsidR="001245E4">
        <w:rPr>
          <w:szCs w:val="24"/>
        </w:rPr>
        <w:t xml:space="preserve">they </w:t>
      </w:r>
      <w:r w:rsidRPr="00256F80">
        <w:rPr>
          <w:szCs w:val="24"/>
        </w:rPr>
        <w:t>may have influenced sexual behaviors and reduced STD transmission.</w:t>
      </w:r>
      <w:r w:rsidRPr="00256F80">
        <w:rPr>
          <w:szCs w:val="24"/>
          <w:vertAlign w:val="superscript"/>
        </w:rPr>
        <w:t xml:space="preserve"> </w:t>
      </w:r>
    </w:p>
    <w:p w14:paraId="6DDF8643" w14:textId="218065C6" w:rsidR="00A5099A" w:rsidRPr="00256F80" w:rsidRDefault="00702358" w:rsidP="00DA05FE">
      <w:pPr>
        <w:spacing w:after="120"/>
        <w:rPr>
          <w:szCs w:val="24"/>
        </w:rPr>
      </w:pPr>
      <w:r w:rsidRPr="00256F80">
        <w:rPr>
          <w:szCs w:val="24"/>
        </w:rPr>
        <w:t>A</w:t>
      </w:r>
      <w:r w:rsidR="00142B31" w:rsidRPr="00256F80">
        <w:rPr>
          <w:szCs w:val="24"/>
        </w:rPr>
        <w:t>fter the</w:t>
      </w:r>
      <w:r w:rsidRPr="00256F80">
        <w:rPr>
          <w:szCs w:val="24"/>
        </w:rPr>
        <w:t xml:space="preserve"> initial decrease</w:t>
      </w:r>
      <w:r w:rsidR="00142B31" w:rsidRPr="00256F80">
        <w:rPr>
          <w:szCs w:val="24"/>
        </w:rPr>
        <w:t xml:space="preserve"> in 2020</w:t>
      </w:r>
      <w:r w:rsidRPr="00256F80">
        <w:rPr>
          <w:szCs w:val="24"/>
        </w:rPr>
        <w:t xml:space="preserve">, </w:t>
      </w:r>
      <w:r w:rsidR="003F78DE" w:rsidRPr="00256F80">
        <w:rPr>
          <w:szCs w:val="24"/>
        </w:rPr>
        <w:t>an increase across STD</w:t>
      </w:r>
      <w:r w:rsidR="00A5099A" w:rsidRPr="00256F80">
        <w:rPr>
          <w:szCs w:val="24"/>
        </w:rPr>
        <w:t>s</w:t>
      </w:r>
      <w:r w:rsidR="003F78DE" w:rsidRPr="00256F80">
        <w:rPr>
          <w:szCs w:val="24"/>
        </w:rPr>
        <w:t xml:space="preserve"> was observed nationally</w:t>
      </w:r>
      <w:r w:rsidR="003F78DE" w:rsidRPr="00256F80">
        <w:rPr>
          <w:rStyle w:val="FootnoteReference"/>
          <w:szCs w:val="24"/>
        </w:rPr>
        <w:footnoteReference w:id="4"/>
      </w:r>
      <w:r w:rsidR="003F78DE" w:rsidRPr="00256F80">
        <w:rPr>
          <w:szCs w:val="24"/>
        </w:rPr>
        <w:t xml:space="preserve"> and in the Commonwealth in 2021</w:t>
      </w:r>
      <w:r w:rsidR="00256F80" w:rsidRPr="00256F80">
        <w:rPr>
          <w:szCs w:val="24"/>
        </w:rPr>
        <w:t xml:space="preserve"> and 2022</w:t>
      </w:r>
      <w:r w:rsidR="003F78DE" w:rsidRPr="00256F80">
        <w:rPr>
          <w:szCs w:val="24"/>
        </w:rPr>
        <w:t xml:space="preserve">. </w:t>
      </w:r>
      <w:r w:rsidR="00A5099A" w:rsidRPr="00256F80">
        <w:rPr>
          <w:szCs w:val="24"/>
        </w:rPr>
        <w:t>Possible factors contributing to an increase in reported cases include:</w:t>
      </w:r>
    </w:p>
    <w:p w14:paraId="30DB04AD" w14:textId="21030CFF" w:rsidR="00A5099A" w:rsidRPr="00256F80" w:rsidRDefault="00A5099A" w:rsidP="00D72E10">
      <w:pPr>
        <w:numPr>
          <w:ilvl w:val="0"/>
          <w:numId w:val="2"/>
        </w:numPr>
        <w:rPr>
          <w:szCs w:val="24"/>
        </w:rPr>
      </w:pPr>
      <w:r w:rsidRPr="00256F80">
        <w:rPr>
          <w:szCs w:val="24"/>
        </w:rPr>
        <w:t>I</w:t>
      </w:r>
      <w:r w:rsidR="00702358" w:rsidRPr="00256F80">
        <w:rPr>
          <w:szCs w:val="24"/>
        </w:rPr>
        <w:t>ncrease</w:t>
      </w:r>
      <w:r w:rsidRPr="00256F80">
        <w:rPr>
          <w:szCs w:val="24"/>
        </w:rPr>
        <w:t>d</w:t>
      </w:r>
      <w:r w:rsidR="00702358" w:rsidRPr="00256F80">
        <w:rPr>
          <w:szCs w:val="24"/>
        </w:rPr>
        <w:t xml:space="preserve"> service utilization a</w:t>
      </w:r>
      <w:r w:rsidRPr="00256F80">
        <w:rPr>
          <w:szCs w:val="24"/>
        </w:rPr>
        <w:t>fter</w:t>
      </w:r>
      <w:r w:rsidR="00702358" w:rsidRPr="00256F80">
        <w:rPr>
          <w:szCs w:val="24"/>
        </w:rPr>
        <w:t xml:space="preserve"> health care clinics re-opened</w:t>
      </w:r>
    </w:p>
    <w:p w14:paraId="0FFD6880" w14:textId="179E99BB" w:rsidR="00A5099A" w:rsidRPr="00256F80" w:rsidRDefault="00A5099A" w:rsidP="00D72E10">
      <w:pPr>
        <w:numPr>
          <w:ilvl w:val="0"/>
          <w:numId w:val="2"/>
        </w:numPr>
        <w:rPr>
          <w:szCs w:val="24"/>
        </w:rPr>
      </w:pPr>
      <w:r w:rsidRPr="00256F80">
        <w:rPr>
          <w:szCs w:val="24"/>
        </w:rPr>
        <w:t>C</w:t>
      </w:r>
      <w:r w:rsidR="00702358" w:rsidRPr="00256F80">
        <w:rPr>
          <w:szCs w:val="24"/>
        </w:rPr>
        <w:t xml:space="preserve">ontinued </w:t>
      </w:r>
      <w:r w:rsidR="00236415">
        <w:rPr>
          <w:szCs w:val="24"/>
        </w:rPr>
        <w:t>direction</w:t>
      </w:r>
      <w:r w:rsidR="00702358" w:rsidRPr="00256F80">
        <w:rPr>
          <w:szCs w:val="24"/>
        </w:rPr>
        <w:t xml:space="preserve"> </w:t>
      </w:r>
      <w:r w:rsidRPr="00256F80">
        <w:rPr>
          <w:szCs w:val="24"/>
        </w:rPr>
        <w:t xml:space="preserve">of </w:t>
      </w:r>
      <w:r w:rsidR="00702358" w:rsidRPr="00256F80">
        <w:rPr>
          <w:szCs w:val="24"/>
        </w:rPr>
        <w:t>services to patients most likely to be infected, increasing the number of cases identif</w:t>
      </w:r>
      <w:r w:rsidRPr="00256F80">
        <w:rPr>
          <w:szCs w:val="24"/>
        </w:rPr>
        <w:t xml:space="preserve">ied </w:t>
      </w:r>
    </w:p>
    <w:p w14:paraId="38C86C77" w14:textId="3793909A" w:rsidR="002B2910" w:rsidRPr="00256F80" w:rsidRDefault="00A5099A" w:rsidP="00854E59">
      <w:pPr>
        <w:numPr>
          <w:ilvl w:val="0"/>
          <w:numId w:val="2"/>
        </w:numPr>
        <w:spacing w:after="120"/>
        <w:rPr>
          <w:b/>
          <w:bCs/>
          <w:szCs w:val="24"/>
        </w:rPr>
      </w:pPr>
      <w:r w:rsidRPr="00256F80">
        <w:rPr>
          <w:szCs w:val="24"/>
        </w:rPr>
        <w:t>H</w:t>
      </w:r>
      <w:r w:rsidR="00702358" w:rsidRPr="00256F80">
        <w:rPr>
          <w:szCs w:val="24"/>
        </w:rPr>
        <w:t>igher disease transmission</w:t>
      </w:r>
      <w:r w:rsidRPr="00256F80">
        <w:rPr>
          <w:szCs w:val="24"/>
        </w:rPr>
        <w:t xml:space="preserve"> - </w:t>
      </w:r>
      <w:r w:rsidR="00702358" w:rsidRPr="00256F80">
        <w:rPr>
          <w:szCs w:val="24"/>
        </w:rPr>
        <w:t xml:space="preserve">due to reduced access to care, those with an STD may have had their infections longer, providing more opportunities to transmit infection to their sexual </w:t>
      </w:r>
      <w:r w:rsidR="00702358" w:rsidRPr="00256F80">
        <w:rPr>
          <w:szCs w:val="24"/>
        </w:rPr>
        <w:lastRenderedPageBreak/>
        <w:t>partners</w:t>
      </w:r>
      <w:r w:rsidR="003F78DE" w:rsidRPr="00256F80">
        <w:rPr>
          <w:szCs w:val="24"/>
        </w:rPr>
        <w:t xml:space="preserve">. </w:t>
      </w:r>
      <w:r w:rsidR="00702358" w:rsidRPr="00256F80">
        <w:rPr>
          <w:szCs w:val="24"/>
        </w:rPr>
        <w:t>Additionally, following the initial shelter-in-place orders, sexual behaviors may have changed, including frequency of new sexual partners, leading to spread in sexual networks.</w:t>
      </w:r>
      <w:r w:rsidR="00702358" w:rsidRPr="00256F80">
        <w:rPr>
          <w:rStyle w:val="FootnoteReference"/>
          <w:szCs w:val="24"/>
        </w:rPr>
        <w:footnoteReference w:id="5"/>
      </w:r>
    </w:p>
    <w:p w14:paraId="7F5DEE13" w14:textId="3AC849E8" w:rsidR="00DF0095" w:rsidRPr="00256F80" w:rsidRDefault="00E21ABB" w:rsidP="00DA05FE">
      <w:pPr>
        <w:spacing w:after="120"/>
      </w:pPr>
      <w:r>
        <w:t xml:space="preserve">Although the official </w:t>
      </w:r>
      <w:r w:rsidRPr="00E21ABB">
        <w:t xml:space="preserve">COVID-19 </w:t>
      </w:r>
      <w:r>
        <w:t xml:space="preserve">states of emergency are declared over, the effects of the pandemic </w:t>
      </w:r>
      <w:r w:rsidR="3695AA07">
        <w:t xml:space="preserve">continue to </w:t>
      </w:r>
      <w:r>
        <w:t>impact</w:t>
      </w:r>
      <w:r w:rsidR="3695AA07">
        <w:t xml:space="preserve"> public health</w:t>
      </w:r>
      <w:r w:rsidR="00DF0095">
        <w:t xml:space="preserve">; its full effect on case detection and reporting and efforts to control the spread of infectious disease in the Commonwealth has yet to be determined. </w:t>
      </w:r>
      <w:r w:rsidR="00256F80">
        <w:t>As such, please interpret infectious disease data from 2020 to 2022 with caution.</w:t>
      </w:r>
    </w:p>
    <w:p w14:paraId="51835686" w14:textId="701C5F53" w:rsidR="00DF0095" w:rsidRPr="00256F80" w:rsidRDefault="37661314" w:rsidP="79913B0A">
      <w:pPr>
        <w:spacing w:after="120"/>
        <w:rPr>
          <w:b/>
          <w:bCs/>
          <w:i/>
          <w:iCs/>
        </w:rPr>
      </w:pPr>
      <w:r w:rsidRPr="00256F80">
        <w:rPr>
          <w:b/>
          <w:bCs/>
          <w:i/>
          <w:iCs/>
        </w:rPr>
        <w:t xml:space="preserve">Chlamydia, </w:t>
      </w:r>
      <w:r w:rsidR="00807EA3">
        <w:rPr>
          <w:b/>
          <w:bCs/>
          <w:i/>
          <w:iCs/>
        </w:rPr>
        <w:t>G</w:t>
      </w:r>
      <w:r w:rsidRPr="00256F80">
        <w:rPr>
          <w:b/>
          <w:bCs/>
          <w:i/>
          <w:iCs/>
        </w:rPr>
        <w:t xml:space="preserve">onorrhea, and </w:t>
      </w:r>
      <w:r w:rsidR="00807EA3">
        <w:rPr>
          <w:b/>
          <w:bCs/>
          <w:i/>
          <w:iCs/>
        </w:rPr>
        <w:t>S</w:t>
      </w:r>
      <w:r w:rsidRPr="00256F80">
        <w:rPr>
          <w:b/>
          <w:bCs/>
          <w:i/>
          <w:iCs/>
        </w:rPr>
        <w:t>yphilis:</w:t>
      </w:r>
    </w:p>
    <w:p w14:paraId="369B23D4" w14:textId="3AA169FF" w:rsidR="00DF0095" w:rsidRPr="00066245" w:rsidRDefault="00066245" w:rsidP="69F1B494">
      <w:pPr>
        <w:numPr>
          <w:ilvl w:val="0"/>
          <w:numId w:val="3"/>
        </w:numPr>
        <w:spacing w:after="120"/>
      </w:pPr>
      <w:r w:rsidRPr="00066245">
        <w:t>Chlamydia continues to be the most frequently reported STI, with over 28,000 cases reported in 2022</w:t>
      </w:r>
      <w:r w:rsidR="2DEE516F" w:rsidRPr="00066245">
        <w:t>.</w:t>
      </w:r>
      <w:r w:rsidR="005A43F9" w:rsidRPr="00066245">
        <w:rPr>
          <w:rStyle w:val="FootnoteReference"/>
        </w:rPr>
        <w:footnoteReference w:id="6"/>
      </w:r>
    </w:p>
    <w:p w14:paraId="7E7FC54A" w14:textId="12116B04" w:rsidR="00066245" w:rsidRPr="00066245" w:rsidRDefault="6B2D85E8" w:rsidP="00066245">
      <w:pPr>
        <w:numPr>
          <w:ilvl w:val="0"/>
          <w:numId w:val="3"/>
        </w:numPr>
        <w:spacing w:after="120"/>
        <w:rPr>
          <w:rFonts w:ascii="Calibri" w:eastAsia="Calibri" w:hAnsi="Calibri" w:cs="Calibri"/>
        </w:rPr>
      </w:pPr>
      <w:r w:rsidRPr="2F702A1B">
        <w:rPr>
          <w:rFonts w:ascii="Calibri" w:eastAsia="Calibri" w:hAnsi="Calibri" w:cs="Calibri"/>
        </w:rPr>
        <w:t xml:space="preserve">The total number of reported chlamydia cases increased by 33% from 23,789 in 2013 to </w:t>
      </w:r>
      <w:r w:rsidR="248EE923" w:rsidRPr="2F702A1B">
        <w:rPr>
          <w:rFonts w:ascii="Calibri" w:eastAsia="Calibri" w:hAnsi="Calibri" w:cs="Calibri"/>
        </w:rPr>
        <w:t xml:space="preserve">a ten-year peak of </w:t>
      </w:r>
      <w:r w:rsidRPr="2F702A1B">
        <w:rPr>
          <w:rFonts w:ascii="Calibri" w:eastAsia="Calibri" w:hAnsi="Calibri" w:cs="Calibri"/>
        </w:rPr>
        <w:t>31,634 in 2019</w:t>
      </w:r>
      <w:r w:rsidR="3977AE06" w:rsidRPr="2F702A1B">
        <w:rPr>
          <w:rFonts w:ascii="Calibri" w:eastAsia="Calibri" w:hAnsi="Calibri" w:cs="Calibri"/>
        </w:rPr>
        <w:t>.</w:t>
      </w:r>
      <w:r w:rsidR="0A47F220" w:rsidRPr="2F702A1B">
        <w:rPr>
          <w:rFonts w:ascii="Calibri" w:eastAsia="Calibri" w:hAnsi="Calibri" w:cs="Calibri"/>
        </w:rPr>
        <w:t xml:space="preserve">With </w:t>
      </w:r>
      <w:r w:rsidRPr="2F702A1B">
        <w:rPr>
          <w:rFonts w:ascii="Calibri" w:eastAsia="Calibri" w:hAnsi="Calibri" w:cs="Calibri"/>
        </w:rPr>
        <w:t xml:space="preserve">28,384 </w:t>
      </w:r>
      <w:r w:rsidR="39FE78E5" w:rsidRPr="2F702A1B">
        <w:rPr>
          <w:rFonts w:ascii="Calibri" w:eastAsia="Calibri" w:hAnsi="Calibri" w:cs="Calibri"/>
        </w:rPr>
        <w:t xml:space="preserve">cases </w:t>
      </w:r>
      <w:r w:rsidR="19BD1B6B" w:rsidRPr="2F702A1B">
        <w:rPr>
          <w:rFonts w:ascii="Calibri" w:eastAsia="Calibri" w:hAnsi="Calibri" w:cs="Calibri"/>
        </w:rPr>
        <w:t xml:space="preserve">reported </w:t>
      </w:r>
      <w:r w:rsidRPr="2F702A1B">
        <w:rPr>
          <w:rFonts w:ascii="Calibri" w:eastAsia="Calibri" w:hAnsi="Calibri" w:cs="Calibri"/>
        </w:rPr>
        <w:t>in 2022</w:t>
      </w:r>
      <w:r w:rsidR="7759D2A4" w:rsidRPr="2F702A1B">
        <w:rPr>
          <w:rFonts w:ascii="Calibri" w:eastAsia="Calibri" w:hAnsi="Calibri" w:cs="Calibri"/>
        </w:rPr>
        <w:t xml:space="preserve">, chlamydia incidence </w:t>
      </w:r>
      <w:r w:rsidR="2BE87A53" w:rsidRPr="2F702A1B">
        <w:rPr>
          <w:rFonts w:ascii="Calibri" w:eastAsia="Calibri" w:hAnsi="Calibri" w:cs="Calibri"/>
        </w:rPr>
        <w:t xml:space="preserve">has </w:t>
      </w:r>
      <w:r w:rsidR="44394F2E" w:rsidRPr="2F702A1B">
        <w:rPr>
          <w:rFonts w:ascii="Calibri" w:eastAsia="Calibri" w:hAnsi="Calibri" w:cs="Calibri"/>
        </w:rPr>
        <w:t xml:space="preserve">not </w:t>
      </w:r>
      <w:r w:rsidR="2BE87A53" w:rsidRPr="2F702A1B">
        <w:rPr>
          <w:rFonts w:ascii="Calibri" w:eastAsia="Calibri" w:hAnsi="Calibri" w:cs="Calibri"/>
        </w:rPr>
        <w:t xml:space="preserve">yet </w:t>
      </w:r>
      <w:r w:rsidR="5DC764CC" w:rsidRPr="2F702A1B">
        <w:rPr>
          <w:rFonts w:ascii="Calibri" w:eastAsia="Calibri" w:hAnsi="Calibri" w:cs="Calibri"/>
        </w:rPr>
        <w:t xml:space="preserve">returned </w:t>
      </w:r>
      <w:r w:rsidR="2BE87A53" w:rsidRPr="2F702A1B">
        <w:rPr>
          <w:rFonts w:ascii="Calibri" w:eastAsia="Calibri" w:hAnsi="Calibri" w:cs="Calibri"/>
        </w:rPr>
        <w:t xml:space="preserve">to </w:t>
      </w:r>
      <w:r w:rsidR="63EB24CA" w:rsidRPr="2F702A1B">
        <w:rPr>
          <w:rFonts w:ascii="Calibri" w:eastAsia="Calibri" w:hAnsi="Calibri" w:cs="Calibri"/>
        </w:rPr>
        <w:t>pre-COVID levels.</w:t>
      </w:r>
    </w:p>
    <w:p w14:paraId="06C0AD1C" w14:textId="77777777" w:rsidR="00066245" w:rsidRPr="00066245" w:rsidRDefault="00066245" w:rsidP="00066245">
      <w:pPr>
        <w:numPr>
          <w:ilvl w:val="0"/>
          <w:numId w:val="3"/>
        </w:numPr>
        <w:spacing w:after="120"/>
        <w:rPr>
          <w:rFonts w:ascii="Calibri" w:eastAsia="Calibri" w:hAnsi="Calibri" w:cs="Calibri"/>
        </w:rPr>
      </w:pPr>
      <w:r w:rsidRPr="00066245">
        <w:rPr>
          <w:rFonts w:ascii="Calibri" w:eastAsia="Calibri" w:hAnsi="Calibri" w:cs="Calibri"/>
        </w:rPr>
        <w:t>The overall average age of laboratory-confirmed chlamydia cases in Massachusetts increased from 24.1 years in 2013 to 26.3 years in 2022. This marks the fourth year that the average age has exceeded the CDC recommended screening age range of under 25 years for sexually active women.</w:t>
      </w:r>
    </w:p>
    <w:p w14:paraId="28BDBD27" w14:textId="77777777" w:rsidR="00066245" w:rsidRPr="00066245" w:rsidRDefault="00066245" w:rsidP="00066245">
      <w:pPr>
        <w:numPr>
          <w:ilvl w:val="0"/>
          <w:numId w:val="3"/>
        </w:numPr>
        <w:spacing w:after="120"/>
        <w:rPr>
          <w:rFonts w:ascii="Calibri" w:eastAsia="Calibri" w:hAnsi="Calibri" w:cs="Calibri"/>
        </w:rPr>
      </w:pPr>
      <w:r w:rsidRPr="00066245">
        <w:rPr>
          <w:rFonts w:ascii="Calibri" w:eastAsia="Calibri" w:hAnsi="Calibri" w:cs="Calibri"/>
        </w:rPr>
        <w:t>After a sharp 57% increase from 2016 (N=4,638) to 2017 (N=7,293), gonorrhea incidence remained relatively stable through 2020, and then increased 11% in 2021 (N=8,099) and an additional 13% in 2022 (N=9,129).</w:t>
      </w:r>
    </w:p>
    <w:p w14:paraId="2C2419B4" w14:textId="6E4BCB39" w:rsidR="003E6DB6" w:rsidRPr="00066245" w:rsidRDefault="210388BD" w:rsidP="00066245">
      <w:pPr>
        <w:numPr>
          <w:ilvl w:val="0"/>
          <w:numId w:val="3"/>
        </w:numPr>
        <w:spacing w:after="120"/>
      </w:pPr>
      <w:r w:rsidRPr="00066245">
        <w:rPr>
          <w:rFonts w:ascii="Calibri" w:eastAsia="Calibri" w:hAnsi="Calibri" w:cs="Calibri"/>
        </w:rPr>
        <w:t xml:space="preserve">The number of confirmed gonorrhea cases reported among males far exceeds cases reported among females. In 2022, 6,196 gonorrhea cases were reported among males, compared to 2,861 among females, </w:t>
      </w:r>
      <w:r w:rsidR="1B07B9CE" w:rsidRPr="00066245">
        <w:rPr>
          <w:rFonts w:ascii="Calibri" w:eastAsia="Calibri" w:hAnsi="Calibri" w:cs="Calibri"/>
        </w:rPr>
        <w:t xml:space="preserve">and </w:t>
      </w:r>
      <w:r w:rsidRPr="00066245">
        <w:rPr>
          <w:rFonts w:ascii="Calibri" w:eastAsia="Calibri" w:hAnsi="Calibri" w:cs="Calibri"/>
        </w:rPr>
        <w:t>6</w:t>
      </w:r>
      <w:r w:rsidR="29F8B0F7" w:rsidRPr="00066245">
        <w:rPr>
          <w:rFonts w:ascii="Calibri" w:eastAsia="Calibri" w:hAnsi="Calibri" w:cs="Calibri"/>
        </w:rPr>
        <w:t>8</w:t>
      </w:r>
      <w:r w:rsidRPr="00066245">
        <w:rPr>
          <w:rFonts w:ascii="Calibri" w:eastAsia="Calibri" w:hAnsi="Calibri" w:cs="Calibri"/>
        </w:rPr>
        <w:t xml:space="preserve"> among individuals of transgender experience </w:t>
      </w:r>
      <w:r w:rsidR="2A5382D5" w:rsidRPr="00066245">
        <w:rPr>
          <w:rFonts w:ascii="Calibri" w:eastAsia="Calibri" w:hAnsi="Calibri" w:cs="Calibri"/>
        </w:rPr>
        <w:t>and/</w:t>
      </w:r>
      <w:r w:rsidR="7AC8F510" w:rsidRPr="00066245">
        <w:rPr>
          <w:rFonts w:ascii="Calibri" w:eastAsia="Calibri" w:hAnsi="Calibri" w:cs="Calibri"/>
        </w:rPr>
        <w:t xml:space="preserve">or </w:t>
      </w:r>
      <w:r w:rsidRPr="00066245">
        <w:rPr>
          <w:rFonts w:ascii="Calibri" w:eastAsia="Calibri" w:hAnsi="Calibri" w:cs="Calibri"/>
        </w:rPr>
        <w:t>nonbinary individuals</w:t>
      </w:r>
      <w:r w:rsidR="197D4E88" w:rsidRPr="00066245">
        <w:t>.</w:t>
      </w:r>
      <w:r w:rsidR="00AA0382" w:rsidRPr="00066245">
        <w:rPr>
          <w:rStyle w:val="FootnoteReference"/>
        </w:rPr>
        <w:footnoteReference w:id="7"/>
      </w:r>
    </w:p>
    <w:p w14:paraId="209C719B" w14:textId="77777777" w:rsidR="0028027F" w:rsidRPr="0028027F" w:rsidRDefault="0028027F" w:rsidP="0028027F">
      <w:pPr>
        <w:numPr>
          <w:ilvl w:val="0"/>
          <w:numId w:val="3"/>
        </w:numPr>
        <w:spacing w:after="120"/>
      </w:pPr>
      <w:r w:rsidRPr="0028027F">
        <w:t>The number of infectious syphilis cases (primary, secondary, and early non-primary non-secondary syphilis) increased to a ten-year high of 1,244 in 2019, decreased slightly to 1,159 in 2020, and then increased to a new high of 1,593 in 2022. Although cases among females have risen over the past decade, infectious syphilis continues to disproportionately affect males, reflecting an ongoing epidemic among men who have sex with men (MSM).</w:t>
      </w:r>
    </w:p>
    <w:p w14:paraId="2CBF196E" w14:textId="77777777" w:rsidR="0028027F" w:rsidRPr="0028027F" w:rsidRDefault="0028027F" w:rsidP="0028027F">
      <w:pPr>
        <w:numPr>
          <w:ilvl w:val="0"/>
          <w:numId w:val="3"/>
        </w:numPr>
        <w:spacing w:after="120"/>
      </w:pPr>
      <w:r w:rsidRPr="0028027F">
        <w:t>Among the 49 states reporting in 2021, Massachusetts ranked 38th in chlamydia incidence rate and 40th in gonorrhea incidence rate.</w:t>
      </w:r>
    </w:p>
    <w:p w14:paraId="11D49A41" w14:textId="6CC02EEF" w:rsidR="5D2C30E5" w:rsidRPr="0028027F" w:rsidRDefault="209A8FF2" w:rsidP="0028027F">
      <w:pPr>
        <w:numPr>
          <w:ilvl w:val="0"/>
          <w:numId w:val="3"/>
        </w:numPr>
        <w:spacing w:after="120"/>
      </w:pPr>
      <w:r w:rsidRPr="0028027F">
        <w:t>Massachusetts ranked 33rd in primary and secondary syphilis incidence rate in 2021 among the 49 states reporting syphilis incidence in 2021</w:t>
      </w:r>
      <w:r>
        <w:t>.</w:t>
      </w:r>
      <w:r w:rsidR="5D2C30E5" w:rsidRPr="0028027F">
        <w:rPr>
          <w:vertAlign w:val="superscript"/>
        </w:rPr>
        <w:footnoteReference w:id="8"/>
      </w:r>
      <w:r w:rsidR="2EF1E3D7" w:rsidRPr="0028027F">
        <w:t xml:space="preserve"> </w:t>
      </w:r>
    </w:p>
    <w:p w14:paraId="567B3ED0" w14:textId="5E8F50F3" w:rsidR="003E6DB6" w:rsidRPr="001536A7" w:rsidRDefault="003E6DB6" w:rsidP="00DA05FE">
      <w:pPr>
        <w:spacing w:after="120"/>
        <w:rPr>
          <w:szCs w:val="24"/>
        </w:rPr>
      </w:pPr>
      <w:r w:rsidRPr="001536A7">
        <w:rPr>
          <w:b/>
          <w:bCs/>
          <w:i/>
          <w:iCs/>
          <w:szCs w:val="24"/>
        </w:rPr>
        <w:lastRenderedPageBreak/>
        <w:t>HIV:</w:t>
      </w:r>
    </w:p>
    <w:p w14:paraId="512599C9" w14:textId="270F0D10" w:rsidR="003E6DB6" w:rsidRPr="001536A7" w:rsidRDefault="001536A7" w:rsidP="6DABE1AC">
      <w:pPr>
        <w:numPr>
          <w:ilvl w:val="0"/>
          <w:numId w:val="3"/>
        </w:numPr>
        <w:spacing w:after="120"/>
      </w:pPr>
      <w:r w:rsidRPr="001536A7">
        <w:t>The number of persons living with HIV infection (PLWH) in Massachusetts increased by 11% from 21,347 at the end of 2013 to 23,597 at the end of 2022</w:t>
      </w:r>
      <w:r w:rsidR="0AA7831B" w:rsidRPr="001536A7">
        <w:t>.</w:t>
      </w:r>
      <w:r w:rsidR="00AA0382" w:rsidRPr="001536A7">
        <w:rPr>
          <w:rStyle w:val="FootnoteReference"/>
        </w:rPr>
        <w:footnoteReference w:id="9"/>
      </w:r>
      <w:r w:rsidRPr="001536A7">
        <w:rPr>
          <w:vertAlign w:val="superscript"/>
        </w:rPr>
        <w:t>,</w:t>
      </w:r>
      <w:r w:rsidRPr="001536A7">
        <w:rPr>
          <w:rStyle w:val="FootnoteReference"/>
        </w:rPr>
        <w:footnoteReference w:id="10"/>
      </w:r>
    </w:p>
    <w:p w14:paraId="60DF4BDD" w14:textId="77777777" w:rsidR="001536A7" w:rsidRPr="001536A7" w:rsidRDefault="001536A7" w:rsidP="001536A7">
      <w:pPr>
        <w:numPr>
          <w:ilvl w:val="0"/>
          <w:numId w:val="3"/>
        </w:numPr>
        <w:spacing w:after="120"/>
      </w:pPr>
      <w:r w:rsidRPr="001536A7">
        <w:t>Because of effective HIV treatment, people diagnosed with HIV infection are living longer, healthier lives. Survival of individuals diagnosed with HIV infection has increased over time. In the earliest cohort of HIV infection diagnoses (1988–1992), estimated survival at five years after HIV infection diagnosis was 50%, compared to 95% in the three most recent cohorts (2018–2022, 2013–2017, and 2008–2012).</w:t>
      </w:r>
    </w:p>
    <w:p w14:paraId="17E3FD38" w14:textId="77777777" w:rsidR="001536A7" w:rsidRPr="001536A7" w:rsidRDefault="001536A7" w:rsidP="001536A7">
      <w:pPr>
        <w:numPr>
          <w:ilvl w:val="0"/>
          <w:numId w:val="3"/>
        </w:numPr>
        <w:spacing w:after="120"/>
      </w:pPr>
      <w:r w:rsidRPr="001536A7">
        <w:t>After decreasing from 690 diagnoses in 2013 to approximately 640 diagnoses per year from 2014 to 2018 (five-year average = 637), the number of new HIV infection diagnoses declined to 537 in 2019. In 2020, the number of new HIV infection diagnoses further declined to 437 and then remained at this lower level in 2021 and 2022, when there were 449 and 444 diagnoses, respectively. However, caution should be used in the interpretation of this decline due to the impact of COVID-19 on access to HIV testing and care services, and case surveillance activities.</w:t>
      </w:r>
    </w:p>
    <w:p w14:paraId="689C4C62" w14:textId="77777777" w:rsidR="001536A7" w:rsidRPr="001536A7" w:rsidRDefault="001536A7" w:rsidP="001536A7">
      <w:pPr>
        <w:numPr>
          <w:ilvl w:val="0"/>
          <w:numId w:val="3"/>
        </w:numPr>
        <w:spacing w:after="120"/>
      </w:pPr>
      <w:r w:rsidRPr="001536A7">
        <w:t xml:space="preserve">The number of deaths due to any cause among individuals reported with HIV increased by 29% from 276 in 2013 to 355 in 2022. </w:t>
      </w:r>
    </w:p>
    <w:p w14:paraId="73F2938A" w14:textId="61AAB645" w:rsidR="003E6DB6" w:rsidRPr="001536A7" w:rsidRDefault="001536A7" w:rsidP="001536A7">
      <w:pPr>
        <w:numPr>
          <w:ilvl w:val="0"/>
          <w:numId w:val="3"/>
        </w:numPr>
        <w:spacing w:after="120"/>
      </w:pPr>
      <w:r w:rsidRPr="001536A7">
        <w:t xml:space="preserve">There were large disparities in age-adjusted HIV diagnosis rates by race/ethnicity: the average annual age-adjusted HIV diagnosis rates for 2020 to 2022 among black (non-Hispanic) individuals (29.7 per 100,000) and Hispanic/Latinx individuals (13.4 per 100,000) were nine and four times that of white (non-Hispanic) individuals (3.4 per 100,000), respectively. </w:t>
      </w:r>
      <w:r w:rsidR="2F3B4386" w:rsidRPr="001536A7">
        <w:t xml:space="preserve"> </w:t>
      </w:r>
    </w:p>
    <w:p w14:paraId="293BC552" w14:textId="77777777" w:rsidR="001536A7" w:rsidRPr="001536A7" w:rsidRDefault="001536A7" w:rsidP="001536A7">
      <w:pPr>
        <w:numPr>
          <w:ilvl w:val="0"/>
          <w:numId w:val="3"/>
        </w:numPr>
        <w:spacing w:after="120"/>
      </w:pPr>
      <w:r w:rsidRPr="001536A7">
        <w:t>Male-to-male sex (MSM) remained the predominant exposure mode among individuals diagnosed with HIV infection from 2013 to 2022. Those reported with no identified risk (NIR) comprised the second largest exposure mode group, accounting for 26% of recent HIV infection diagnoses and consisting predominantly of individuals AMAB (69%), individuals born outside the US (58%), and individuals of black (non-Hispanic) (50%) and Hispanic/Latinx (24%) ethnicity.</w:t>
      </w:r>
    </w:p>
    <w:p w14:paraId="66EF0BEE" w14:textId="6198BCA1" w:rsidR="00AA0382" w:rsidRPr="00F7494C" w:rsidRDefault="000A11D9" w:rsidP="000A11D9">
      <w:pPr>
        <w:pStyle w:val="ListParagraph"/>
        <w:numPr>
          <w:ilvl w:val="0"/>
          <w:numId w:val="3"/>
        </w:numPr>
        <w:spacing w:after="120"/>
      </w:pPr>
      <w:r>
        <w:t>The total statewide number of reported cases with IDU as the primary exposure mode increased from 58 in 2019 to 81 in 2021. The increase was primarily due to</w:t>
      </w:r>
      <w:r w:rsidR="4BF79BD1" w:rsidRPr="00F7494C">
        <w:t xml:space="preserve"> a cluster of HIV infection identified in </w:t>
      </w:r>
      <w:r>
        <w:t xml:space="preserve">early 2019 in </w:t>
      </w:r>
      <w:r w:rsidR="4BF79BD1" w:rsidRPr="00F7494C">
        <w:t>Boston among PWID who were experiencing or had experienced recent homelessness. Following a</w:t>
      </w:r>
      <w:r>
        <w:t xml:space="preserve"> tailored</w:t>
      </w:r>
      <w:r w:rsidR="4BF79BD1" w:rsidRPr="00F7494C">
        <w:t xml:space="preserve"> public health response, the number of HIV infection diagnoses attributed to IDU decreased by 46% to 44 in 2022. As of December 31, 2022, a total of 188 cases diagnosed since November 2018 have been investigated and identified as part of the Boston cluster. As it is an active cluster of concern, additional cases will continue to be investigated and added. Emerging trends among those newly diagnosed in the </w:t>
      </w:r>
      <w:r w:rsidR="4BF79BD1" w:rsidRPr="00F7494C">
        <w:lastRenderedPageBreak/>
        <w:t>Boston cluster (N=23 cases diagnosed in 2022) include an increase in polysubstance and methamphetamine use</w:t>
      </w:r>
      <w:r w:rsidR="696ED302" w:rsidRPr="000A11D9">
        <w:rPr>
          <w:i/>
          <w:iCs/>
        </w:rPr>
        <w:t>.</w:t>
      </w:r>
      <w:r w:rsidR="005A5442" w:rsidRPr="00F7494C">
        <w:rPr>
          <w:rStyle w:val="FootnoteReference"/>
        </w:rPr>
        <w:footnoteReference w:id="11"/>
      </w:r>
    </w:p>
    <w:p w14:paraId="35C33124" w14:textId="77777777" w:rsidR="005438E9" w:rsidRPr="00F7494C" w:rsidRDefault="005438E9" w:rsidP="00DA05FE">
      <w:pPr>
        <w:spacing w:after="120"/>
        <w:rPr>
          <w:szCs w:val="24"/>
        </w:rPr>
      </w:pPr>
      <w:r w:rsidRPr="00F7494C">
        <w:rPr>
          <w:b/>
          <w:bCs/>
          <w:i/>
          <w:iCs/>
          <w:szCs w:val="24"/>
        </w:rPr>
        <w:t>Hepatitis A, B, and C:</w:t>
      </w:r>
    </w:p>
    <w:p w14:paraId="1C40FBBC" w14:textId="60003716" w:rsidR="005438E9" w:rsidRPr="00F7494C" w:rsidRDefault="7BA5E64A" w:rsidP="3405EFDC">
      <w:pPr>
        <w:numPr>
          <w:ilvl w:val="0"/>
          <w:numId w:val="3"/>
        </w:numPr>
        <w:spacing w:after="120"/>
      </w:pPr>
      <w:r w:rsidRPr="00F7494C">
        <w:t>Between 2018 and 2020,</w:t>
      </w:r>
      <w:r w:rsidR="00F7494C" w:rsidRPr="00F7494C">
        <w:rPr>
          <w:rStyle w:val="FootnoteReference"/>
        </w:rPr>
        <w:footnoteReference w:id="12"/>
      </w:r>
      <w:r w:rsidR="00F7494C" w:rsidRPr="00F7494C">
        <w:t xml:space="preserve"> </w:t>
      </w:r>
      <w:r w:rsidRPr="00F7494C">
        <w:t xml:space="preserve">MDPH and local health departments investigated an outbreak of hepatitis A. The populations most affected by the outbreak were those with recent homelessness or unstable housing, and/or substance use disorder. Since spring of 2020, case counts have decreased to a pre-outbreak baseline, and very few cases have been reported among the populations most affected </w:t>
      </w:r>
      <w:r w:rsidR="1E519FD6" w:rsidRPr="00F7494C">
        <w:t>during</w:t>
      </w:r>
      <w:r w:rsidRPr="00F7494C">
        <w:t xml:space="preserve"> the outbreak.</w:t>
      </w:r>
      <w:r w:rsidR="00AD68B8" w:rsidRPr="00F7494C">
        <w:t xml:space="preserve"> </w:t>
      </w:r>
    </w:p>
    <w:p w14:paraId="68EB88AD" w14:textId="77777777" w:rsidR="00F7494C" w:rsidRPr="00F7494C" w:rsidRDefault="00F7494C" w:rsidP="00F7494C">
      <w:pPr>
        <w:numPr>
          <w:ilvl w:val="0"/>
          <w:numId w:val="3"/>
        </w:numPr>
        <w:spacing w:after="120"/>
      </w:pPr>
      <w:r w:rsidRPr="00F7494C">
        <w:t>From 2013 to 2022, an average of 1,720 cases of confirmed and probable chronic hepatitis B virus (HBV) infection were reported each year (with a low of 1,179 in 2020 and a high of 1,980 in 2017). Changes in testing behaviors and travel due to the COVID-19 pandemic likely influenced the number of reported cases and may contribute to the decrease in 2020, followed by the rebound in 2021 and 2022.</w:t>
      </w:r>
    </w:p>
    <w:p w14:paraId="2EE7538E" w14:textId="77777777" w:rsidR="00F7494C" w:rsidRPr="00F7494C" w:rsidRDefault="00F7494C" w:rsidP="00F7494C">
      <w:pPr>
        <w:numPr>
          <w:ilvl w:val="0"/>
          <w:numId w:val="3"/>
        </w:numPr>
        <w:spacing w:after="120"/>
      </w:pPr>
      <w:r w:rsidRPr="00F7494C">
        <w:t xml:space="preserve">The total number of confirmed </w:t>
      </w:r>
      <w:r w:rsidRPr="00F345D5">
        <w:t>acute</w:t>
      </w:r>
      <w:r w:rsidRPr="00F7494C">
        <w:t xml:space="preserve"> HBV cases reported has decreased between 2017 (53 cases) and 2022 (21 cases).</w:t>
      </w:r>
    </w:p>
    <w:p w14:paraId="7B7D27FA" w14:textId="61248EF7" w:rsidR="00F7494C" w:rsidRPr="00F7494C" w:rsidRDefault="00F7494C" w:rsidP="00F7494C">
      <w:pPr>
        <w:numPr>
          <w:ilvl w:val="0"/>
          <w:numId w:val="3"/>
        </w:numPr>
        <w:spacing w:after="120"/>
      </w:pPr>
      <w:r w:rsidRPr="00F7494C">
        <w:t xml:space="preserve">In 2022, 2,859 confirmed and probable cases of </w:t>
      </w:r>
      <w:r w:rsidR="00677BF3">
        <w:t>h</w:t>
      </w:r>
      <w:r w:rsidRPr="00F7494C">
        <w:t>epatitis C (HCV) were reported. Most reported cases are chronically infected and MDPH currently estimates that there are over 250,000 persons living with HCV infection in Massachusetts.</w:t>
      </w:r>
    </w:p>
    <w:p w14:paraId="0B73A745" w14:textId="1774FB44" w:rsidR="00F7494C" w:rsidRPr="00F7494C" w:rsidRDefault="00BC7657" w:rsidP="00F7494C">
      <w:pPr>
        <w:numPr>
          <w:ilvl w:val="0"/>
          <w:numId w:val="3"/>
        </w:numPr>
        <w:spacing w:after="120"/>
      </w:pPr>
      <w:r>
        <w:t xml:space="preserve">The </w:t>
      </w:r>
      <w:r w:rsidR="004E75C6">
        <w:t>majority of HCV cases reported in 2022 were among</w:t>
      </w:r>
      <w:r w:rsidR="00F7494C" w:rsidRPr="00F7494C">
        <w:t xml:space="preserve"> young adults (age 20–</w:t>
      </w:r>
      <w:r w:rsidR="009947A6">
        <w:t>3</w:t>
      </w:r>
      <w:r w:rsidR="00F7494C" w:rsidRPr="00F7494C">
        <w:t>9 years), reflecting ongoing transmission among young people who inject drugs.</w:t>
      </w:r>
    </w:p>
    <w:p w14:paraId="4331D579" w14:textId="6CC6CECC" w:rsidR="00CA0176" w:rsidRPr="00991A6F" w:rsidRDefault="00CA0176" w:rsidP="00DA05FE">
      <w:pPr>
        <w:spacing w:after="120"/>
        <w:ind w:left="360"/>
        <w:rPr>
          <w:color w:val="FF0000"/>
          <w:szCs w:val="24"/>
        </w:rPr>
      </w:pPr>
      <w:r w:rsidRPr="00991A6F">
        <w:rPr>
          <w:color w:val="FF0000"/>
          <w:szCs w:val="24"/>
        </w:rPr>
        <w:br w:type="page"/>
      </w:r>
    </w:p>
    <w:p w14:paraId="11EFC394" w14:textId="77777777" w:rsidR="00B4275E" w:rsidRPr="00171016" w:rsidRDefault="000B438F" w:rsidP="38A4F72D">
      <w:pPr>
        <w:pStyle w:val="Heading1"/>
        <w:rPr>
          <w:b w:val="0"/>
        </w:rPr>
      </w:pPr>
      <w:bookmarkStart w:id="2" w:name="_Toc154057106"/>
      <w:r>
        <w:lastRenderedPageBreak/>
        <w:t>CHLAMYDIA</w:t>
      </w:r>
      <w:bookmarkEnd w:id="2"/>
      <w:r>
        <w:t xml:space="preserve"> </w:t>
      </w:r>
    </w:p>
    <w:p w14:paraId="5F5CE6BB" w14:textId="7567D127" w:rsidR="003F2176" w:rsidRPr="00171016" w:rsidRDefault="00B4275E" w:rsidP="0048788D">
      <w:pPr>
        <w:pStyle w:val="Heading2"/>
      </w:pPr>
      <w:bookmarkStart w:id="3" w:name="_Toc154057107"/>
      <w:r>
        <w:t xml:space="preserve">CHLAMYDIA </w:t>
      </w:r>
      <w:r w:rsidR="000B438F">
        <w:t>BY GENDER</w:t>
      </w:r>
      <w:bookmarkEnd w:id="3"/>
    </w:p>
    <w:p w14:paraId="0DDE8EA5" w14:textId="210DB523" w:rsidR="00171016" w:rsidRPr="00171016" w:rsidRDefault="00171016" w:rsidP="00171016">
      <w:r>
        <w:t xml:space="preserve">Chlamydia is the </w:t>
      </w:r>
      <w:r w:rsidR="21177FFF">
        <w:t>most reported</w:t>
      </w:r>
      <w:r>
        <w:t xml:space="preserve"> </w:t>
      </w:r>
      <w:r w:rsidR="00E21ABB">
        <w:t>sexually transmitted infection</w:t>
      </w:r>
      <w:r>
        <w:t xml:space="preserve"> in Massachusetts and nationally. Chlamydia is a bacterial sexually transmitted infection (STI) that can be spread through vaginal, anal, or oral sexual contact with an infected partner and from pregnant person to child during birth. While most people with chlamydia usually have no signs or symptoms, some may experience dysuria; vaginal, penile, or anal discharge; or irregular bleeding. Chlamydia is easily treated, but repeated infections are common. Women are at great risk of complications of repeated infections. For more information, see</w:t>
      </w:r>
      <w:r w:rsidRPr="388E5C6E">
        <w:rPr>
          <w:u w:val="single"/>
        </w:rPr>
        <w:t xml:space="preserve"> </w:t>
      </w:r>
      <w:hyperlink r:id="rId21">
        <w:r w:rsidRPr="388E5C6E">
          <w:rPr>
            <w:rStyle w:val="Hyperlink"/>
            <w:color w:val="3333FF"/>
          </w:rPr>
          <w:t>https://www.cdc.gov/std/chlamydia/stdfact-chlamydia-detailed.htm</w:t>
        </w:r>
      </w:hyperlink>
      <w:r>
        <w:t>.</w:t>
      </w:r>
    </w:p>
    <w:p w14:paraId="241ABD0B" w14:textId="77777777" w:rsidR="00171016" w:rsidRDefault="00171016" w:rsidP="00351B81">
      <w:pPr>
        <w:rPr>
          <w:b/>
          <w:bCs/>
          <w:color w:val="FF0000"/>
          <w:szCs w:val="24"/>
        </w:rPr>
      </w:pPr>
    </w:p>
    <w:p w14:paraId="75C26234" w14:textId="43C0499B" w:rsidR="00351B81" w:rsidRPr="00171016" w:rsidRDefault="00351B81" w:rsidP="00351B81">
      <w:r w:rsidRPr="7017D928">
        <w:rPr>
          <w:b/>
          <w:bCs/>
        </w:rPr>
        <w:t xml:space="preserve">Figure 1. </w:t>
      </w:r>
      <w:r>
        <w:t xml:space="preserve">Number of laboratory-confirmed chlamydia cases reported by gender, Massachusetts </w:t>
      </w:r>
      <w:r w:rsidR="00171016">
        <w:t>2013–2022</w:t>
      </w:r>
    </w:p>
    <w:p w14:paraId="05EF6530" w14:textId="0B054E78" w:rsidR="00351B81" w:rsidRPr="00991A6F" w:rsidRDefault="00351B81" w:rsidP="7017D928">
      <w:pPr>
        <w:rPr>
          <w:color w:val="FF0000"/>
        </w:rPr>
      </w:pPr>
    </w:p>
    <w:p w14:paraId="23A93D85" w14:textId="59926950" w:rsidR="7017D928" w:rsidRDefault="7017D928" w:rsidP="7017D928">
      <w:pPr>
        <w:spacing w:after="120"/>
        <w:rPr>
          <w:sz w:val="20"/>
          <w:szCs w:val="20"/>
        </w:rPr>
      </w:pPr>
    </w:p>
    <w:p w14:paraId="671929B2" w14:textId="28ED849D" w:rsidR="7DC562EA" w:rsidRDefault="7DC562EA" w:rsidP="7017D928">
      <w:pPr>
        <w:spacing w:after="120"/>
      </w:pPr>
      <w:r>
        <w:rPr>
          <w:noProof/>
        </w:rPr>
        <w:drawing>
          <wp:inline distT="0" distB="0" distL="0" distR="0" wp14:anchorId="7F128B04" wp14:editId="54CBE57E">
            <wp:extent cx="4861560" cy="3565144"/>
            <wp:effectExtent l="0" t="0" r="0" b="0"/>
            <wp:docPr id="2144282856" name="Picture 2144282856" descr="The figure is a trendline graph displaying the annual number of chlamydia cases for four groups (male gender, female gender, transgender/non-binary, and Statewide total) for each year from 2013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82856" name="Picture 2144282856" descr="The figure is a trendline graph displaying the annual number of chlamydia cases for four groups (male gender, female gender, transgender/non-binary, and Statewide total) for each year from 2013 to 2022.&#10;"/>
                    <pic:cNvPicPr/>
                  </pic:nvPicPr>
                  <pic:blipFill>
                    <a:blip r:embed="rId22">
                      <a:extLst>
                        <a:ext uri="{28A0092B-C50C-407E-A947-70E740481C1C}">
                          <a14:useLocalDpi xmlns:a14="http://schemas.microsoft.com/office/drawing/2010/main" val="0"/>
                        </a:ext>
                      </a:extLst>
                    </a:blip>
                    <a:stretch>
                      <a:fillRect/>
                    </a:stretch>
                  </pic:blipFill>
                  <pic:spPr>
                    <a:xfrm>
                      <a:off x="0" y="0"/>
                      <a:ext cx="4863468" cy="3566543"/>
                    </a:xfrm>
                    <a:prstGeom prst="rect">
                      <a:avLst/>
                    </a:prstGeom>
                  </pic:spPr>
                </pic:pic>
              </a:graphicData>
            </a:graphic>
          </wp:inline>
        </w:drawing>
      </w:r>
    </w:p>
    <w:p w14:paraId="25B35BCB" w14:textId="77777777" w:rsidR="00FF5953" w:rsidRPr="00FF5953" w:rsidRDefault="00FF5953" w:rsidP="00FF5953">
      <w:pPr>
        <w:spacing w:after="120"/>
        <w:rPr>
          <w:sz w:val="20"/>
          <w:szCs w:val="20"/>
        </w:rPr>
      </w:pPr>
      <w:r w:rsidRPr="00FF5953">
        <w:rPr>
          <w:sz w:val="20"/>
          <w:szCs w:val="20"/>
        </w:rPr>
        <w:t xml:space="preserve">Note: Cases with no gender reported (2013–2022: N=422) are included in the statewide total but are not depicted in Figure 1 separately due to small numbers. </w:t>
      </w:r>
    </w:p>
    <w:p w14:paraId="6CD537A9" w14:textId="77777777" w:rsidR="00FF5953" w:rsidRPr="00FF5953" w:rsidRDefault="00FF5953" w:rsidP="00FF5953">
      <w:pPr>
        <w:spacing w:after="120"/>
        <w:rPr>
          <w:sz w:val="20"/>
          <w:szCs w:val="20"/>
        </w:rPr>
      </w:pPr>
      <w:r w:rsidRPr="00FF5953">
        <w:rPr>
          <w:sz w:val="20"/>
          <w:szCs w:val="20"/>
        </w:rPr>
        <w:t>Data Source: Bureau of Infectious Disease and Laboratory Sciences, data are current as of 7/21/2023 and subject to change.</w:t>
      </w:r>
    </w:p>
    <w:p w14:paraId="692B8657" w14:textId="0429A37D" w:rsidR="00FF5953" w:rsidRDefault="00FF5953" w:rsidP="0048788D">
      <w:pPr>
        <w:spacing w:after="120"/>
        <w:rPr>
          <w:color w:val="FF0000"/>
          <w:szCs w:val="24"/>
        </w:rPr>
      </w:pPr>
      <w:r>
        <w:rPr>
          <w:color w:val="FF0000"/>
          <w:szCs w:val="24"/>
        </w:rPr>
        <w:br w:type="page"/>
      </w:r>
    </w:p>
    <w:p w14:paraId="225D7C6A" w14:textId="404ACD7B" w:rsidR="00FB12BF" w:rsidRPr="00FF5953" w:rsidRDefault="00FF5953" w:rsidP="00353EEC">
      <w:pPr>
        <w:numPr>
          <w:ilvl w:val="0"/>
          <w:numId w:val="4"/>
        </w:numPr>
        <w:spacing w:after="120"/>
      </w:pPr>
      <w:r w:rsidRPr="00FF5953">
        <w:lastRenderedPageBreak/>
        <w:t>The total number of reported chlamydia cases increased by 33% from 23,789 in 2013 to 31,634 in 2019, decreased to 24,705 in 2020, and then increased to 26,912 in 2021 and 28,384 in 2022</w:t>
      </w:r>
      <w:r w:rsidR="7DF2B084" w:rsidRPr="00FF5953">
        <w:t>.</w:t>
      </w:r>
      <w:r w:rsidR="00FB12BF" w:rsidRPr="00FF5953">
        <w:rPr>
          <w:rStyle w:val="FootnoteReference"/>
        </w:rPr>
        <w:footnoteReference w:id="13"/>
      </w:r>
      <w:r w:rsidR="7DF2B084" w:rsidRPr="00FF5953">
        <w:t xml:space="preserve"> A decrease in reported chlamydia cases in 2020, followed by an increase in 2021</w:t>
      </w:r>
      <w:r w:rsidR="00BB7979" w:rsidRPr="00FF5953">
        <w:t xml:space="preserve"> </w:t>
      </w:r>
      <w:r w:rsidR="7DF2B084" w:rsidRPr="00FF5953">
        <w:t>was also observed nationally.</w:t>
      </w:r>
      <w:r w:rsidR="00FB12BF" w:rsidRPr="00FF5953">
        <w:rPr>
          <w:rStyle w:val="FootnoteReference"/>
        </w:rPr>
        <w:footnoteReference w:id="14"/>
      </w:r>
      <w:r w:rsidR="7DF2B084" w:rsidRPr="00FF5953">
        <w:t xml:space="preserve"> Case reporting could have been affected by a state of emergency that was declared in Massachusetts from March 10, 2020 until June 15, 2021 during which MDPH directed all hospitals and ambulatory surgical centers to postpone or cancel any nonessential elective procedures</w:t>
      </w:r>
      <w:r w:rsidR="10B484A9" w:rsidRPr="00FF5953">
        <w:t xml:space="preserve"> </w:t>
      </w:r>
      <w:r w:rsidR="10B484A9" w:rsidRPr="00FF6766">
        <w:rPr>
          <w:rFonts w:ascii="Calibri" w:eastAsia="Calibri" w:hAnsi="Calibri" w:cs="Calibri"/>
          <w:color w:val="333333"/>
          <w:szCs w:val="24"/>
        </w:rPr>
        <w:t>and limit in-person outpatient clinical encounters</w:t>
      </w:r>
      <w:r w:rsidR="7DF2B084" w:rsidRPr="00FF5953">
        <w:t>.</w:t>
      </w:r>
      <w:r w:rsidR="00F0008F" w:rsidRPr="00FF5953">
        <w:rPr>
          <w:rStyle w:val="FootnoteReference"/>
        </w:rPr>
        <w:footnoteReference w:id="15"/>
      </w:r>
      <w:r w:rsidR="7E1FBC06" w:rsidRPr="388E5C6E">
        <w:rPr>
          <w:rStyle w:val="FootnoteReference"/>
        </w:rPr>
        <w:t xml:space="preserve"> </w:t>
      </w:r>
      <w:r w:rsidR="7DF2B084">
        <w:t xml:space="preserve"> </w:t>
      </w:r>
    </w:p>
    <w:p w14:paraId="26EA07C6" w14:textId="77777777" w:rsidR="0099245F" w:rsidRPr="0099245F" w:rsidRDefault="0099245F" w:rsidP="00353EEC">
      <w:pPr>
        <w:numPr>
          <w:ilvl w:val="0"/>
          <w:numId w:val="4"/>
        </w:numPr>
        <w:spacing w:after="120"/>
      </w:pPr>
      <w:r w:rsidRPr="0099245F">
        <w:t xml:space="preserve">Each year from 2013 to 2022, approximately twice as many chlamydia cases were reported among females as among males. In 2022, the ratio of female-to-male chlamydia cases was 1.6 (1.6 = 17,351/10,925). </w:t>
      </w:r>
    </w:p>
    <w:p w14:paraId="7B38FEA2" w14:textId="3FCFACD8" w:rsidR="0099245F" w:rsidRPr="0099245F" w:rsidRDefault="21CF421F" w:rsidP="0099245F">
      <w:pPr>
        <w:numPr>
          <w:ilvl w:val="0"/>
          <w:numId w:val="4"/>
        </w:numPr>
      </w:pPr>
      <w:r>
        <w:t>In 2022, 7</w:t>
      </w:r>
      <w:r w:rsidR="533211CF">
        <w:t>8</w:t>
      </w:r>
      <w:r>
        <w:t xml:space="preserve"> chlamydia cases were reported among individuals of transgender experience and</w:t>
      </w:r>
      <w:r w:rsidR="3009B35F">
        <w:t>/or</w:t>
      </w:r>
      <w:r>
        <w:t xml:space="preserve"> individuals who are nonbinary. Please note reported numbers among individuals of transgender experience and individuals who are nonbinary are likely to be underestimates as there may be underreporting or misreporting of gender due to the absence of appropriate collection of gender options (e.g., individuals who are genderqueer, pangender, gender fluid, androgynous, etc.).</w:t>
      </w:r>
    </w:p>
    <w:p w14:paraId="712C164A" w14:textId="5D3F0CBE" w:rsidR="00B4275E" w:rsidRPr="00991A6F" w:rsidRDefault="00B4275E" w:rsidP="00351B81">
      <w:pPr>
        <w:rPr>
          <w:color w:val="FF0000"/>
          <w:szCs w:val="24"/>
        </w:rPr>
      </w:pPr>
      <w:r w:rsidRPr="00991A6F">
        <w:rPr>
          <w:color w:val="FF0000"/>
          <w:szCs w:val="24"/>
        </w:rPr>
        <w:br w:type="page"/>
      </w:r>
    </w:p>
    <w:p w14:paraId="0C00266F" w14:textId="5F0396A6" w:rsidR="00E966E3" w:rsidRPr="00402F20" w:rsidRDefault="00905ED7" w:rsidP="00905ED7">
      <w:pPr>
        <w:pStyle w:val="Heading2"/>
      </w:pPr>
      <w:bookmarkStart w:id="4" w:name="_Toc154057108"/>
      <w:r>
        <w:lastRenderedPageBreak/>
        <w:t>CHLAMYDIA BY AGE</w:t>
      </w:r>
      <w:bookmarkEnd w:id="4"/>
    </w:p>
    <w:p w14:paraId="2D4E1824" w14:textId="68971717" w:rsidR="00905ED7" w:rsidRPr="00353EEC" w:rsidRDefault="00905ED7" w:rsidP="00905ED7">
      <w:pPr>
        <w:rPr>
          <w:szCs w:val="24"/>
        </w:rPr>
      </w:pPr>
      <w:r w:rsidRPr="00353EEC">
        <w:rPr>
          <w:b/>
          <w:bCs/>
          <w:szCs w:val="24"/>
        </w:rPr>
        <w:t xml:space="preserve">Figure 2. </w:t>
      </w:r>
      <w:r w:rsidRPr="00353EEC">
        <w:rPr>
          <w:szCs w:val="24"/>
        </w:rPr>
        <w:t xml:space="preserve">Number of laboratory-confirmed chlamydia cases reported by age group (years), Massachusetts </w:t>
      </w:r>
      <w:r w:rsidR="00171016" w:rsidRPr="00353EEC">
        <w:rPr>
          <w:szCs w:val="24"/>
        </w:rPr>
        <w:t>2013–2022</w:t>
      </w:r>
    </w:p>
    <w:p w14:paraId="0E8B53A8" w14:textId="4FBE556F" w:rsidR="00E966E3" w:rsidRPr="00991A6F" w:rsidRDefault="00353EEC" w:rsidP="00351B81">
      <w:pPr>
        <w:rPr>
          <w:color w:val="FF0000"/>
          <w:szCs w:val="24"/>
        </w:rPr>
      </w:pPr>
      <w:r>
        <w:rPr>
          <w:noProof/>
          <w:color w:val="FF0000"/>
          <w:szCs w:val="24"/>
        </w:rPr>
        <w:drawing>
          <wp:inline distT="0" distB="0" distL="0" distR="0" wp14:anchorId="46F8DE01" wp14:editId="0C3E4A93">
            <wp:extent cx="5341620" cy="4169478"/>
            <wp:effectExtent l="0" t="0" r="0" b="0"/>
            <wp:docPr id="2036166707" name="Picture 2036166707" descr="Figure 2. Number of laboratory-confirmed chlamydia cases reported by age group (years), Massachusetts 2013-2022&#10;The figure is a stacked bar chart displaying the annual number of chlamydia cases for seven age groups (&lt;15, 15-19, 20-24, 25-29, 30-39, 40-49, and 50+) for each year from 2013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66707" name="Picture 2" descr="Figure 2. Number of laboratory-confirmed chlamydia cases reported by age group (years), Massachusetts 2013-2022&#10;The figure is a stacked bar chart displaying the annual number of chlamydia cases for seven age groups (&lt;15, 15-19, 20-24, 25-29, 30-39, 40-49, and 50+) for each year from 2013 to 20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1270" cy="4192621"/>
                    </a:xfrm>
                    <a:prstGeom prst="rect">
                      <a:avLst/>
                    </a:prstGeom>
                    <a:noFill/>
                  </pic:spPr>
                </pic:pic>
              </a:graphicData>
            </a:graphic>
          </wp:inline>
        </w:drawing>
      </w:r>
    </w:p>
    <w:p w14:paraId="51815A46" w14:textId="77777777" w:rsidR="00A25951" w:rsidRPr="00A25951" w:rsidRDefault="00A25951" w:rsidP="00A25951">
      <w:pPr>
        <w:rPr>
          <w:sz w:val="20"/>
          <w:szCs w:val="20"/>
        </w:rPr>
      </w:pPr>
      <w:r w:rsidRPr="00A25951">
        <w:rPr>
          <w:sz w:val="20"/>
          <w:szCs w:val="20"/>
        </w:rPr>
        <w:t>Note: Cases with no age reported (2013–2022: N=139) are not included in this figure</w:t>
      </w:r>
    </w:p>
    <w:p w14:paraId="4F09B2A7" w14:textId="6A712225" w:rsidR="00E966E3" w:rsidRPr="00A25951" w:rsidRDefault="00A25951" w:rsidP="00A25951">
      <w:pPr>
        <w:rPr>
          <w:sz w:val="20"/>
          <w:szCs w:val="20"/>
        </w:rPr>
      </w:pPr>
      <w:r w:rsidRPr="00A25951">
        <w:rPr>
          <w:sz w:val="20"/>
          <w:szCs w:val="20"/>
        </w:rPr>
        <w:t>Data Source: Bureau of Infectious Disease and Laboratory Sciences, data are current as of 7/21/2023 and subject to change</w:t>
      </w:r>
      <w:r w:rsidR="0000348A" w:rsidRPr="00A25951">
        <w:rPr>
          <w:sz w:val="20"/>
          <w:szCs w:val="20"/>
        </w:rPr>
        <w:t>.</w:t>
      </w:r>
    </w:p>
    <w:p w14:paraId="1C742B8A" w14:textId="1F0C253C" w:rsidR="00E966E3" w:rsidRPr="00991A6F" w:rsidRDefault="00E966E3" w:rsidP="00351B81">
      <w:pPr>
        <w:rPr>
          <w:color w:val="FF0000"/>
          <w:szCs w:val="24"/>
        </w:rPr>
      </w:pPr>
    </w:p>
    <w:p w14:paraId="66602DA0" w14:textId="1D328D80" w:rsidR="0000348A" w:rsidRPr="0095267C" w:rsidRDefault="00A25951">
      <w:pPr>
        <w:pStyle w:val="spaced6"/>
      </w:pPr>
      <w:r w:rsidRPr="0095267C">
        <w:t>Each year from 2013 to 2022, the greatest number of chlamydia cases was reported among 20–24 year-olds, followed by 15–19 year-olds, except for 2021. In 2021, the greatest number of chlamydia cases was still reported among 20–24 year-olds (N=10,370), but it was followed by 25–29 year-olds (N=6,203).</w:t>
      </w:r>
      <w:r w:rsidR="003D5936" w:rsidRPr="0095267C">
        <w:rPr>
          <w:rStyle w:val="FootnoteReference"/>
        </w:rPr>
        <w:footnoteReference w:id="16"/>
      </w:r>
      <w:r w:rsidR="3138C36C" w:rsidRPr="0095267C">
        <w:t xml:space="preserve"> </w:t>
      </w:r>
    </w:p>
    <w:p w14:paraId="2FFD3CE0" w14:textId="6E8F5229" w:rsidR="003D5936" w:rsidRPr="0008565D" w:rsidRDefault="5535742B" w:rsidP="00351B81">
      <w:pPr>
        <w:pStyle w:val="spaced6"/>
      </w:pPr>
      <w:r w:rsidRPr="0008565D">
        <w:t>T</w:t>
      </w:r>
      <w:r w:rsidR="67CC6DE2" w:rsidRPr="0008565D">
        <w:t>he number of chlamydia cases reported among 15–19 year-olds decreased by 33% from 2020 to 2021</w:t>
      </w:r>
      <w:r w:rsidR="453D7F24">
        <w:t xml:space="preserve"> and then rebounded in 2022</w:t>
      </w:r>
      <w:r w:rsidR="054FD621" w:rsidRPr="0008565D">
        <w:t xml:space="preserve"> </w:t>
      </w:r>
      <w:r w:rsidR="04EF8041" w:rsidRPr="0008565D">
        <w:t>increasing by 67% compared to 2021.</w:t>
      </w:r>
      <w:r w:rsidR="451072E0">
        <w:t xml:space="preserve"> Because a similar decrease was not seen in older age groups, this decrease should be interpreted with caution due to the decrease in routine care and STD screening experienced during the COVID-19 pandemic. In April of 2020, CDC made recommendations to defer routine screening visits until after the emergency response was over to minimize reductions in STD care and treatment.</w:t>
      </w:r>
      <w:r w:rsidR="5E53795B" w:rsidRPr="2F702A1B">
        <w:rPr>
          <w:rStyle w:val="FootnoteReference"/>
        </w:rPr>
        <w:footnoteReference w:id="17"/>
      </w:r>
      <w:r w:rsidR="003D5936" w:rsidRPr="0008565D">
        <w:br w:type="page"/>
      </w:r>
    </w:p>
    <w:p w14:paraId="5A3626A5" w14:textId="5496BB02" w:rsidR="0000348A" w:rsidRPr="00D33B8C" w:rsidRDefault="003D5936" w:rsidP="38A4F72D">
      <w:pPr>
        <w:pStyle w:val="Heading2"/>
      </w:pPr>
      <w:bookmarkStart w:id="5" w:name="_Toc154057109"/>
      <w:r>
        <w:lastRenderedPageBreak/>
        <w:t>CHLAMYDIA BY AVERAGE AGE AND GENDER</w:t>
      </w:r>
      <w:bookmarkEnd w:id="5"/>
    </w:p>
    <w:p w14:paraId="3C0764B1" w14:textId="61BFFF6C" w:rsidR="006B419D" w:rsidRPr="00D33B8C" w:rsidRDefault="03E3F3A8" w:rsidP="76F421E0">
      <w:pPr>
        <w:spacing w:after="120"/>
        <w:rPr>
          <w:rFonts w:ascii="Calibri" w:eastAsia="Calibri" w:hAnsi="Calibri" w:cs="Calibri"/>
          <w:vertAlign w:val="superscript"/>
        </w:rPr>
      </w:pPr>
      <w:r w:rsidRPr="00D33B8C">
        <w:rPr>
          <w:rFonts w:ascii="Calibri" w:eastAsia="Calibri" w:hAnsi="Calibri" w:cs="Calibri"/>
        </w:rPr>
        <w:t xml:space="preserve">In 2021, the United States Preventive Services Task Force and the CDC recommended screening for chlamydia in sexually active women </w:t>
      </w:r>
      <w:r w:rsidR="00C50B2F" w:rsidRPr="00D33B8C">
        <w:rPr>
          <w:rFonts w:ascii="Calibri" w:eastAsia="Calibri" w:hAnsi="Calibri" w:cs="Calibri"/>
        </w:rPr>
        <w:t>under 25 years of age</w:t>
      </w:r>
      <w:r w:rsidRPr="00D33B8C">
        <w:rPr>
          <w:rFonts w:ascii="Calibri" w:eastAsia="Calibri" w:hAnsi="Calibri" w:cs="Calibri"/>
        </w:rPr>
        <w:t>, and in older women at increased risk for infection.</w:t>
      </w:r>
      <w:r w:rsidR="00F73920" w:rsidRPr="00D33B8C">
        <w:rPr>
          <w:rStyle w:val="FootnoteReference"/>
          <w:rFonts w:ascii="Calibri" w:eastAsia="Calibri" w:hAnsi="Calibri" w:cs="Calibri"/>
          <w:szCs w:val="24"/>
        </w:rPr>
        <w:footnoteReference w:id="18"/>
      </w:r>
      <w:r w:rsidR="0A66CEE3" w:rsidRPr="00D33B8C">
        <w:rPr>
          <w:rFonts w:ascii="Calibri" w:eastAsia="Calibri" w:hAnsi="Calibri" w:cs="Calibri"/>
        </w:rPr>
        <w:t xml:space="preserve"> </w:t>
      </w:r>
      <w:r w:rsidRPr="00D33B8C">
        <w:rPr>
          <w:rFonts w:ascii="Calibri" w:eastAsia="Calibri" w:hAnsi="Calibri" w:cs="Calibri"/>
        </w:rPr>
        <w:t>Screening of sexually active young men is also recommended in higher prevalence clinical settings such as adolescent clinics, correctional facilities, and STD clinics, and among men who have sex with men.</w:t>
      </w:r>
      <w:r w:rsidR="00156145" w:rsidRPr="00D33B8C">
        <w:rPr>
          <w:rStyle w:val="FootnoteReference"/>
          <w:rFonts w:ascii="Calibri" w:eastAsia="Calibri" w:hAnsi="Calibri" w:cs="Calibri"/>
          <w:szCs w:val="24"/>
        </w:rPr>
        <w:footnoteReference w:id="19"/>
      </w:r>
    </w:p>
    <w:p w14:paraId="3B5C627D" w14:textId="77F71206" w:rsidR="00401015" w:rsidRPr="00D33B8C" w:rsidRDefault="40759AA0" w:rsidP="2AF4F12E">
      <w:r w:rsidRPr="00D33B8C">
        <w:rPr>
          <w:b/>
          <w:bCs/>
        </w:rPr>
        <w:t xml:space="preserve">Figure 3. </w:t>
      </w:r>
      <w:r w:rsidRPr="00D33B8C">
        <w:t xml:space="preserve">Average age of laboratory-confirmed chlamydia cases reported by female and male gender, Massachusetts </w:t>
      </w:r>
      <w:r w:rsidR="00171016" w:rsidRPr="00D33B8C">
        <w:t>2013–2022</w:t>
      </w:r>
    </w:p>
    <w:p w14:paraId="16F47291" w14:textId="48A9A6F3" w:rsidR="006B419D" w:rsidRPr="00991A6F" w:rsidRDefault="00D33B8C" w:rsidP="006B419D">
      <w:pPr>
        <w:rPr>
          <w:color w:val="FF0000"/>
          <w:szCs w:val="24"/>
        </w:rPr>
      </w:pPr>
      <w:r>
        <w:rPr>
          <w:noProof/>
          <w:color w:val="FF0000"/>
          <w:szCs w:val="24"/>
        </w:rPr>
        <w:drawing>
          <wp:inline distT="0" distB="0" distL="0" distR="0" wp14:anchorId="48CB4FB2" wp14:editId="4212F473">
            <wp:extent cx="5455920" cy="3123121"/>
            <wp:effectExtent l="0" t="0" r="0" b="0"/>
            <wp:docPr id="261604621" name="Picture 261604621" descr="Figure 3. Average age of laboratory-confirmed chlamydia cases reported by female and male gender, Massachusetts 2013–2022&#10;The figure is a bar chart displaying the trend in the average age of reported chlamydia cases from 2013 to 2022 for male gender, female gender and the statewide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4621" name="Picture 3" descr="Figure 3. Average age of laboratory-confirmed chlamydia cases reported by female and male gender, Massachusetts 2013–2022&#10;The figure is a bar chart displaying the trend in the average age of reported chlamydia cases from 2013 to 2022 for male gender, female gender and the statewide total.&#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197" cy="3145604"/>
                    </a:xfrm>
                    <a:prstGeom prst="rect">
                      <a:avLst/>
                    </a:prstGeom>
                    <a:noFill/>
                  </pic:spPr>
                </pic:pic>
              </a:graphicData>
            </a:graphic>
          </wp:inline>
        </w:drawing>
      </w:r>
    </w:p>
    <w:p w14:paraId="70C7092D" w14:textId="77777777" w:rsidR="00D33B8C" w:rsidRPr="00D33B8C" w:rsidRDefault="00D33B8C" w:rsidP="00D33B8C">
      <w:pPr>
        <w:pStyle w:val="spaced6"/>
        <w:numPr>
          <w:ilvl w:val="0"/>
          <w:numId w:val="0"/>
        </w:numPr>
        <w:rPr>
          <w:sz w:val="20"/>
          <w:szCs w:val="20"/>
        </w:rPr>
      </w:pPr>
      <w:r w:rsidRPr="00D33B8C">
        <w:rPr>
          <w:sz w:val="20"/>
          <w:szCs w:val="20"/>
        </w:rPr>
        <w:t>Note: Cases with no age reported (2013–2022: N=139) are not included in this analysis and cases reported as transgender, nonbinary, or missing gender (2013–2022: N=827) are included in the statewide total but not presented separately due to small numbers.</w:t>
      </w:r>
    </w:p>
    <w:p w14:paraId="1EB7F64A" w14:textId="03782909" w:rsidR="00D33B8C" w:rsidRPr="00D33B8C" w:rsidRDefault="00D33B8C" w:rsidP="00D33B8C">
      <w:pPr>
        <w:pStyle w:val="spaced6"/>
        <w:numPr>
          <w:ilvl w:val="0"/>
          <w:numId w:val="0"/>
        </w:numPr>
        <w:rPr>
          <w:sz w:val="20"/>
          <w:szCs w:val="20"/>
        </w:rPr>
      </w:pPr>
      <w:r w:rsidRPr="00D33B8C">
        <w:rPr>
          <w:sz w:val="20"/>
          <w:szCs w:val="20"/>
        </w:rPr>
        <w:t>Data Source: Bureau of Infectious Disease and Laboratory Sciences, data are current as of 7/21/2023 and subject to change</w:t>
      </w:r>
      <w:r w:rsidR="00B1580A">
        <w:rPr>
          <w:sz w:val="20"/>
          <w:szCs w:val="20"/>
        </w:rPr>
        <w:t>.</w:t>
      </w:r>
    </w:p>
    <w:p w14:paraId="350F5F19" w14:textId="19AABCC9" w:rsidR="00401015" w:rsidRPr="00D33B8C" w:rsidRDefault="00D33B8C">
      <w:pPr>
        <w:pStyle w:val="spaced6"/>
      </w:pPr>
      <w:r w:rsidRPr="00D33B8C">
        <w:t>The overall average age of laboratory-confirmed chlamydia cases in Massachusetts increased from 24.1 years in 2013 to 26.3 years in 2022.</w:t>
      </w:r>
      <w:r w:rsidR="00401015" w:rsidRPr="00D33B8C">
        <w:rPr>
          <w:rStyle w:val="FootnoteReference"/>
        </w:rPr>
        <w:footnoteReference w:id="20"/>
      </w:r>
    </w:p>
    <w:p w14:paraId="29C008F7" w14:textId="21FDD2D4" w:rsidR="006D0167" w:rsidRPr="007523A8" w:rsidRDefault="00D33B8C" w:rsidP="007523A8">
      <w:pPr>
        <w:pStyle w:val="spaced6"/>
      </w:pPr>
      <w:r w:rsidRPr="00D33B8C">
        <w:t xml:space="preserve">The increase in average age appeared to be driven mostly by male chlamydia cases. From 2013 to 2022, the proportion of chlamydia cases among males increased from 32% to 38% (See Figure 1, page </w:t>
      </w:r>
      <w:r>
        <w:t>5</w:t>
      </w:r>
      <w:r w:rsidRPr="00D33B8C">
        <w:t>). Additionally, the increase in average age of chlamydia cases reported among males was greater than the increase among females. From 2013 to 2022, the average age of chlamydia cases reported among males increased by 2.7 years compared to an increase of 1.7 years among females.</w:t>
      </w:r>
      <w:r w:rsidR="00401015" w:rsidRPr="007523A8">
        <w:rPr>
          <w:color w:val="FF0000"/>
        </w:rPr>
        <w:br w:type="page"/>
      </w:r>
    </w:p>
    <w:p w14:paraId="259FDE71" w14:textId="63D5B420" w:rsidR="00401015" w:rsidRPr="003933D5" w:rsidRDefault="006D0167" w:rsidP="006D0167">
      <w:pPr>
        <w:pStyle w:val="Heading2"/>
      </w:pPr>
      <w:bookmarkStart w:id="6" w:name="_Toc154057110"/>
      <w:r>
        <w:lastRenderedPageBreak/>
        <w:t>CHLAMYDIA BY CITY/TOWN</w:t>
      </w:r>
      <w:bookmarkEnd w:id="6"/>
    </w:p>
    <w:p w14:paraId="7DC296BC" w14:textId="2B6EA130" w:rsidR="006D0167" w:rsidRPr="00FE0CB0" w:rsidRDefault="720E86D3" w:rsidP="006D0167">
      <w:r w:rsidRPr="00FE0CB0">
        <w:rPr>
          <w:b/>
          <w:bCs/>
        </w:rPr>
        <w:t>Figure 4.</w:t>
      </w:r>
      <w:r w:rsidRPr="00FE0CB0">
        <w:t xml:space="preserve"> Incidence rate of confirmed chlamydia cases per 100,000 population reported by city/town, Massachusetts 202</w:t>
      </w:r>
      <w:r w:rsidR="7532D37B">
        <w:t>2</w:t>
      </w:r>
    </w:p>
    <w:p w14:paraId="119EF408" w14:textId="56B02A57" w:rsidR="006D0167" w:rsidRPr="00991A6F" w:rsidRDefault="006D0167" w:rsidP="6A573781"/>
    <w:p w14:paraId="6BD5360B" w14:textId="690E2BE4" w:rsidR="2D712249" w:rsidRDefault="63434DAD" w:rsidP="37677DE6">
      <w:r>
        <w:rPr>
          <w:noProof/>
        </w:rPr>
        <w:drawing>
          <wp:inline distT="0" distB="0" distL="0" distR="0" wp14:anchorId="7DD61B21" wp14:editId="2649AA08">
            <wp:extent cx="5233737" cy="3314700"/>
            <wp:effectExtent l="0" t="0" r="5080" b="0"/>
            <wp:docPr id="1165483312" name="Picture 1165483312" descr="The figure is a rate map of Massachusetts displaying the incidence rate of chlamydia cases per 100,000 population by city/town. Cities and towns are in one of seven categories: no reported cases, less than or equal to 99 per 100,000, 100 – 149 per 100,000, 150 - 249 per 100,000, 250 - 599 per 100,000, or 600 - 999 per 100,000 and greater than or equal to 100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3312" name="Picture 1165483312" descr="The figure is a rate map of Massachusetts displaying the incidence rate of chlamydia cases per 100,000 population by city/town. Cities and towns are in one of seven categories: no reported cases, less than or equal to 99 per 100,000, 100 – 149 per 100,000, 150 - 249 per 100,000, 250 - 599 per 100,000, or 600 - 999 per 100,000 and greater than or equal to 1000 per 100,000.&#10;"/>
                    <pic:cNvPicPr/>
                  </pic:nvPicPr>
                  <pic:blipFill>
                    <a:blip r:embed="rId25">
                      <a:extLst>
                        <a:ext uri="{28A0092B-C50C-407E-A947-70E740481C1C}">
                          <a14:useLocalDpi xmlns:a14="http://schemas.microsoft.com/office/drawing/2010/main" val="0"/>
                        </a:ext>
                      </a:extLst>
                    </a:blip>
                    <a:stretch>
                      <a:fillRect/>
                    </a:stretch>
                  </pic:blipFill>
                  <pic:spPr>
                    <a:xfrm>
                      <a:off x="0" y="0"/>
                      <a:ext cx="5235047" cy="3315530"/>
                    </a:xfrm>
                    <a:prstGeom prst="rect">
                      <a:avLst/>
                    </a:prstGeom>
                  </pic:spPr>
                </pic:pic>
              </a:graphicData>
            </a:graphic>
          </wp:inline>
        </w:drawing>
      </w:r>
    </w:p>
    <w:p w14:paraId="4BDF70C0" w14:textId="42BAE8AE" w:rsidR="2F702A1B" w:rsidRDefault="2F702A1B" w:rsidP="37677DE6"/>
    <w:p w14:paraId="0AA02863" w14:textId="2DEC4388" w:rsidR="00F40598" w:rsidRPr="00FE0CB0" w:rsidRDefault="5FCD0CD4" w:rsidP="2F702A1B">
      <w:pPr>
        <w:rPr>
          <w:sz w:val="20"/>
          <w:szCs w:val="20"/>
        </w:rPr>
      </w:pPr>
      <w:r w:rsidRPr="00F345D5">
        <w:rPr>
          <w:sz w:val="20"/>
          <w:szCs w:val="20"/>
          <w:vertAlign w:val="superscript"/>
        </w:rPr>
        <w:t>1</w:t>
      </w:r>
      <w:r w:rsidRPr="2F702A1B">
        <w:rPr>
          <w:sz w:val="20"/>
          <w:szCs w:val="20"/>
        </w:rPr>
        <w:t xml:space="preserve"> Population based on University of Massachusetts Donahue Institute Estimates. </w:t>
      </w:r>
    </w:p>
    <w:p w14:paraId="51EF53FB" w14:textId="718632B0" w:rsidR="00F40598" w:rsidRPr="00FE0CB0" w:rsidRDefault="02B5D624" w:rsidP="00F40598">
      <w:pPr>
        <w:rPr>
          <w:sz w:val="20"/>
          <w:szCs w:val="20"/>
        </w:rPr>
      </w:pPr>
      <w:r w:rsidRPr="2F702A1B">
        <w:rPr>
          <w:sz w:val="20"/>
          <w:szCs w:val="20"/>
        </w:rPr>
        <w:t>Note: regional data include individuals tested in a correctional facility.</w:t>
      </w:r>
    </w:p>
    <w:p w14:paraId="77BB8B8A" w14:textId="2CE2F3C6" w:rsidR="188F8DC4" w:rsidRDefault="188F8DC4" w:rsidP="2F702A1B">
      <w:pPr>
        <w:rPr>
          <w:sz w:val="20"/>
          <w:szCs w:val="20"/>
        </w:rPr>
      </w:pPr>
      <w:r w:rsidRPr="2F702A1B">
        <w:rPr>
          <w:sz w:val="20"/>
          <w:szCs w:val="20"/>
        </w:rPr>
        <w:t>There are no city/towns with &lt;10 cases of chlamydia that fall within the top two rate categories (≥600 cases per 100,00).</w:t>
      </w:r>
    </w:p>
    <w:p w14:paraId="6575ABBC" w14:textId="33CB02D4" w:rsidR="00F40598" w:rsidRPr="00FE0CB0" w:rsidRDefault="02B5D624" w:rsidP="00F40598">
      <w:pPr>
        <w:rPr>
          <w:sz w:val="20"/>
          <w:szCs w:val="20"/>
        </w:rPr>
      </w:pPr>
      <w:r w:rsidRPr="2F702A1B">
        <w:rPr>
          <w:sz w:val="20"/>
          <w:szCs w:val="20"/>
        </w:rPr>
        <w:t xml:space="preserve">Data Source: Bureau of Infectious Disease and Laboratory Sciences, data are current as of </w:t>
      </w:r>
      <w:r w:rsidR="00794545" w:rsidRPr="2F702A1B">
        <w:rPr>
          <w:sz w:val="20"/>
          <w:szCs w:val="20"/>
        </w:rPr>
        <w:t>7/</w:t>
      </w:r>
      <w:r w:rsidR="19FF8A54" w:rsidRPr="2F702A1B">
        <w:rPr>
          <w:sz w:val="20"/>
          <w:szCs w:val="20"/>
        </w:rPr>
        <w:t>18</w:t>
      </w:r>
      <w:r w:rsidR="00794545" w:rsidRPr="2F702A1B">
        <w:rPr>
          <w:sz w:val="20"/>
          <w:szCs w:val="20"/>
        </w:rPr>
        <w:t>/2023</w:t>
      </w:r>
      <w:r w:rsidRPr="2F702A1B">
        <w:rPr>
          <w:sz w:val="20"/>
          <w:szCs w:val="20"/>
        </w:rPr>
        <w:t xml:space="preserve"> and subject to change</w:t>
      </w:r>
      <w:r w:rsidR="00B1580A">
        <w:rPr>
          <w:sz w:val="20"/>
          <w:szCs w:val="20"/>
        </w:rPr>
        <w:t>.</w:t>
      </w:r>
    </w:p>
    <w:p w14:paraId="433B0D95" w14:textId="3029A325" w:rsidR="00F40598" w:rsidRPr="00FE0CB0" w:rsidRDefault="00F40598" w:rsidP="006B419D">
      <w:pPr>
        <w:rPr>
          <w:sz w:val="12"/>
          <w:szCs w:val="12"/>
        </w:rPr>
      </w:pPr>
    </w:p>
    <w:p w14:paraId="1687B233" w14:textId="0BB0CCA7" w:rsidR="00F40598" w:rsidRPr="00FE0CB0" w:rsidRDefault="5A00C039">
      <w:pPr>
        <w:pStyle w:val="spaced6"/>
      </w:pPr>
      <w:r w:rsidRPr="00FE0CB0">
        <w:t>In 202</w:t>
      </w:r>
      <w:r w:rsidR="5C6BB944" w:rsidRPr="00FE0CB0">
        <w:t>2</w:t>
      </w:r>
      <w:r w:rsidRPr="00FE0CB0">
        <w:t>,</w:t>
      </w:r>
      <w:r w:rsidR="00865514" w:rsidRPr="00FE0CB0">
        <w:rPr>
          <w:rStyle w:val="FootnoteReference"/>
        </w:rPr>
        <w:footnoteReference w:id="21"/>
      </w:r>
      <w:r w:rsidRPr="00FE0CB0">
        <w:t xml:space="preserve"> the statewide chlamydia incidence rate of </w:t>
      </w:r>
      <w:r w:rsidR="62EB817D" w:rsidRPr="00FE0CB0">
        <w:t>403.8</w:t>
      </w:r>
      <w:r w:rsidRPr="00FE0CB0">
        <w:t xml:space="preserve"> per 100,000 population was lower than the </w:t>
      </w:r>
      <w:r w:rsidR="1AFB34FE" w:rsidRPr="00FE0CB0">
        <w:t xml:space="preserve">2021 </w:t>
      </w:r>
      <w:r w:rsidRPr="00FE0CB0">
        <w:t>national rate of 49</w:t>
      </w:r>
      <w:r w:rsidR="6992453E" w:rsidRPr="00FE0CB0">
        <w:t>5.5</w:t>
      </w:r>
      <w:r w:rsidRPr="00FE0CB0">
        <w:t xml:space="preserve"> per 100,000.</w:t>
      </w:r>
      <w:r w:rsidR="00865514" w:rsidRPr="00FE0CB0">
        <w:rPr>
          <w:rStyle w:val="FootnoteReference"/>
        </w:rPr>
        <w:footnoteReference w:id="22"/>
      </w:r>
    </w:p>
    <w:p w14:paraId="6ECC01DA" w14:textId="04CD4685" w:rsidR="00F40598" w:rsidRPr="00FE0CB0" w:rsidRDefault="450F1952">
      <w:pPr>
        <w:pStyle w:val="spaced6"/>
        <w:numPr>
          <w:ilvl w:val="1"/>
          <w:numId w:val="4"/>
        </w:numPr>
      </w:pPr>
      <w:r w:rsidRPr="00FE0CB0">
        <w:t xml:space="preserve">Massachusetts ranked </w:t>
      </w:r>
      <w:r w:rsidR="26C5C85C" w:rsidRPr="00FE0CB0">
        <w:t>38</w:t>
      </w:r>
      <w:r w:rsidR="26C5C85C" w:rsidRPr="2F702A1B">
        <w:rPr>
          <w:vertAlign w:val="superscript"/>
        </w:rPr>
        <w:t>th</w:t>
      </w:r>
      <w:r w:rsidR="26C5C85C" w:rsidRPr="00FE0CB0">
        <w:t xml:space="preserve"> </w:t>
      </w:r>
      <w:r w:rsidRPr="00FE0CB0">
        <w:t xml:space="preserve">in chlamydia incidence rate among the </w:t>
      </w:r>
      <w:r w:rsidR="224E3643" w:rsidRPr="00FE0CB0">
        <w:t>49</w:t>
      </w:r>
      <w:r w:rsidRPr="00FE0CB0">
        <w:t xml:space="preserve"> states </w:t>
      </w:r>
      <w:r w:rsidR="05714CEA" w:rsidRPr="00FE0CB0">
        <w:t xml:space="preserve">reporting chlamydia incidence </w:t>
      </w:r>
      <w:r w:rsidRPr="00FE0CB0">
        <w:t>in 202</w:t>
      </w:r>
      <w:r w:rsidR="499C7B2A" w:rsidRPr="00FE0CB0">
        <w:t>1</w:t>
      </w:r>
      <w:r w:rsidR="0063712D">
        <w:t>, the last year for which these national data are publicly available</w:t>
      </w:r>
      <w:r w:rsidRPr="00FE0CB0">
        <w:t>.</w:t>
      </w:r>
      <w:r w:rsidR="00663153" w:rsidRPr="00FE0CB0">
        <w:rPr>
          <w:rStyle w:val="FootnoteReference"/>
        </w:rPr>
        <w:footnoteReference w:id="23"/>
      </w:r>
    </w:p>
    <w:p w14:paraId="236FF24C" w14:textId="3346157F" w:rsidR="00F40598" w:rsidRPr="00FE0CB0" w:rsidRDefault="141DB424">
      <w:pPr>
        <w:pStyle w:val="spaced6"/>
      </w:pPr>
      <w:r w:rsidRPr="00FE0CB0">
        <w:t xml:space="preserve">Chlamydia cases continue to be reported throughout Massachusetts, with concentrations in </w:t>
      </w:r>
      <w:r w:rsidR="55181ED0" w:rsidRPr="00FE0CB0">
        <w:t>the most populated cities</w:t>
      </w:r>
      <w:r w:rsidRPr="00FE0CB0">
        <w:t>.</w:t>
      </w:r>
    </w:p>
    <w:p w14:paraId="18AF08E1" w14:textId="2ED2FB26" w:rsidR="00F40598" w:rsidRPr="00FE0CB0" w:rsidRDefault="5A00C039">
      <w:pPr>
        <w:pStyle w:val="spaced6"/>
      </w:pPr>
      <w:r w:rsidRPr="00FE0CB0">
        <w:lastRenderedPageBreak/>
        <w:t>The five cities</w:t>
      </w:r>
      <w:r w:rsidR="00663153" w:rsidRPr="00FE0CB0">
        <w:rPr>
          <w:rStyle w:val="FootnoteReference"/>
        </w:rPr>
        <w:footnoteReference w:id="24"/>
      </w:r>
      <w:r w:rsidRPr="00FE0CB0">
        <w:t xml:space="preserve"> with the highest chlamydia incidence rates in 202</w:t>
      </w:r>
      <w:r w:rsidR="2F796F69" w:rsidRPr="00FE0CB0">
        <w:t>2</w:t>
      </w:r>
      <w:r w:rsidR="00B73C75" w:rsidRPr="00FE0CB0">
        <w:rPr>
          <w:rStyle w:val="FootnoteReference"/>
        </w:rPr>
        <w:footnoteReference w:id="25"/>
      </w:r>
      <w:r w:rsidRPr="00FE0CB0">
        <w:t xml:space="preserve"> were Provincetown (2,</w:t>
      </w:r>
      <w:r w:rsidR="34888070" w:rsidRPr="00FE0CB0">
        <w:t>074.2</w:t>
      </w:r>
      <w:r w:rsidRPr="00FE0CB0">
        <w:t xml:space="preserve"> per 100,000),</w:t>
      </w:r>
      <w:r w:rsidR="00663153" w:rsidRPr="00FE0CB0">
        <w:rPr>
          <w:rStyle w:val="FootnoteReference"/>
        </w:rPr>
        <w:footnoteReference w:id="26"/>
      </w:r>
      <w:r w:rsidRPr="00FE0CB0">
        <w:t xml:space="preserve"> Brockton (1,</w:t>
      </w:r>
      <w:r w:rsidR="657E8A5D" w:rsidRPr="00FE0CB0">
        <w:t>130.2</w:t>
      </w:r>
      <w:r w:rsidRPr="00FE0CB0">
        <w:t xml:space="preserve"> per 100,000), Lawrence (1,08</w:t>
      </w:r>
      <w:r w:rsidR="26DA3082" w:rsidRPr="00FE0CB0">
        <w:t>8.1</w:t>
      </w:r>
      <w:r w:rsidRPr="00FE0CB0">
        <w:t xml:space="preserve"> per 100,000), Springfield (9</w:t>
      </w:r>
      <w:r w:rsidR="461303EC" w:rsidRPr="00FE0CB0">
        <w:t>72.9</w:t>
      </w:r>
      <w:r w:rsidRPr="00FE0CB0">
        <w:t xml:space="preserve"> per 100,000), and </w:t>
      </w:r>
      <w:r w:rsidR="6E1E549A" w:rsidRPr="00FE0CB0">
        <w:t>Boston</w:t>
      </w:r>
      <w:r w:rsidRPr="00FE0CB0">
        <w:t xml:space="preserve"> (</w:t>
      </w:r>
      <w:r w:rsidR="398E425F" w:rsidRPr="00FE0CB0">
        <w:t>879.9</w:t>
      </w:r>
      <w:r w:rsidRPr="00FE0CB0">
        <w:t xml:space="preserve"> per 100,000).</w:t>
      </w:r>
    </w:p>
    <w:p w14:paraId="63618611" w14:textId="550D874A" w:rsidR="003933D5" w:rsidRPr="003933D5" w:rsidRDefault="00E42FFA" w:rsidP="003933D5">
      <w:pPr>
        <w:pStyle w:val="Heading2"/>
      </w:pPr>
      <w:r w:rsidRPr="7017D928">
        <w:rPr>
          <w:color w:val="FF0000"/>
        </w:rPr>
        <w:br w:type="page"/>
      </w:r>
      <w:bookmarkStart w:id="7" w:name="_Toc154057111"/>
      <w:r w:rsidR="549C4AF9">
        <w:lastRenderedPageBreak/>
        <w:t>SVI AMONG CHLAMYDIA CASES BY CITY/TOWN</w:t>
      </w:r>
      <w:bookmarkEnd w:id="7"/>
    </w:p>
    <w:p w14:paraId="297397A0" w14:textId="139F5434" w:rsidR="003933D5" w:rsidRPr="003933D5" w:rsidRDefault="003933D5" w:rsidP="7017D928">
      <w:pPr>
        <w:rPr>
          <w:rStyle w:val="FootnoteReference"/>
          <w:vertAlign w:val="baseline"/>
        </w:rPr>
      </w:pPr>
      <w:r w:rsidRPr="7017D928">
        <w:t>The social vulnerability index (SVI)</w:t>
      </w:r>
      <w:r w:rsidR="00DA3473" w:rsidRPr="7017D928">
        <w:rPr>
          <w:rStyle w:val="FootnoteReference"/>
        </w:rPr>
        <w:footnoteReference w:id="27"/>
      </w:r>
      <w:r w:rsidRPr="7017D928">
        <w:t xml:space="preserve"> is a tool to identify socially vulnerable communities that was created by CDC and the Agency for Toxic Substances and Disease Registry (ATSDR). The CDC/ATSDR SVI uses U.S. Census data to determine the social vulnerability of every census tract. The SVI ranks each tract on 16 social factors, including poverty, lack of vehicle access, and crowded housing, and groups them into four related themes: socioeconomic status, household characteristics, racial and ethnic minority status, and housing type/transportation. Each census tract receives a separate ranking for each of the four themes, as well as an overall ranking. Originally developed to incorporate social determinants of health into emergency response and recovery efforts for environmental and natural disasters, more recently, higher SVI has been linked to higher HIV</w:t>
      </w:r>
      <w:r w:rsidR="00DA3473" w:rsidRPr="7017D928">
        <w:rPr>
          <w:rStyle w:val="FootnoteReference"/>
        </w:rPr>
        <w:footnoteReference w:id="28"/>
      </w:r>
      <w:r w:rsidRPr="7017D928">
        <w:t xml:space="preserve"> and STD</w:t>
      </w:r>
      <w:r w:rsidR="00DA3473" w:rsidRPr="7017D928">
        <w:rPr>
          <w:rStyle w:val="FootnoteReference"/>
        </w:rPr>
        <w:footnoteReference w:id="29"/>
      </w:r>
      <w:r w:rsidRPr="7017D928">
        <w:t xml:space="preserve"> diagnosis rates, COVID-19 mortality, and lower COVID-19 vaccination coverage.</w:t>
      </w:r>
      <w:r w:rsidR="00DA3473" w:rsidRPr="7017D928">
        <w:rPr>
          <w:rStyle w:val="FootnoteReference"/>
        </w:rPr>
        <w:footnoteReference w:id="30"/>
      </w:r>
      <w:r w:rsidR="4346AFE6" w:rsidRPr="7017D928">
        <w:rPr>
          <w:rStyle w:val="FootnoteReference"/>
        </w:rPr>
        <w:t xml:space="preserve"> </w:t>
      </w:r>
      <w:r w:rsidR="54EDDCAC" w:rsidRPr="7017D928">
        <w:rPr>
          <w:rStyle w:val="FootnoteReference"/>
          <w:vertAlign w:val="baseline"/>
        </w:rPr>
        <w:t>As such, the</w:t>
      </w:r>
      <w:r w:rsidR="4346AFE6" w:rsidRPr="7017D928">
        <w:rPr>
          <w:rStyle w:val="FootnoteReference"/>
          <w:vertAlign w:val="baseline"/>
        </w:rPr>
        <w:t xml:space="preserve"> </w:t>
      </w:r>
      <w:r w:rsidR="5BC33BBA" w:rsidRPr="7017D928">
        <w:rPr>
          <w:rStyle w:val="FootnoteReference"/>
          <w:vertAlign w:val="baseline"/>
        </w:rPr>
        <w:t>following maps of</w:t>
      </w:r>
      <w:r w:rsidR="4346AFE6" w:rsidRPr="7017D928">
        <w:rPr>
          <w:rStyle w:val="FootnoteReference"/>
          <w:vertAlign w:val="baseline"/>
        </w:rPr>
        <w:t xml:space="preserve"> SVI by city/town</w:t>
      </w:r>
      <w:r w:rsidR="32071B6C" w:rsidRPr="7017D928">
        <w:rPr>
          <w:rStyle w:val="FootnoteReference"/>
          <w:vertAlign w:val="baseline"/>
        </w:rPr>
        <w:t xml:space="preserve"> in Massachusetts</w:t>
      </w:r>
      <w:r w:rsidR="400517C9" w:rsidRPr="7017D928">
        <w:rPr>
          <w:rStyle w:val="FootnoteReference"/>
          <w:vertAlign w:val="baseline"/>
        </w:rPr>
        <w:t xml:space="preserve"> are provided as a comparison </w:t>
      </w:r>
      <w:r w:rsidR="7F26FEBE" w:rsidRPr="7017D928">
        <w:rPr>
          <w:rStyle w:val="FootnoteReference"/>
          <w:vertAlign w:val="baseline"/>
        </w:rPr>
        <w:t>to the maps of HIV and STD diagnosis rates by city/town.</w:t>
      </w:r>
      <w:r w:rsidR="4346AFE6" w:rsidRPr="7017D928">
        <w:rPr>
          <w:rStyle w:val="FootnoteReference"/>
          <w:vertAlign w:val="baseline"/>
        </w:rPr>
        <w:t xml:space="preserve"> </w:t>
      </w:r>
    </w:p>
    <w:p w14:paraId="53538EFB" w14:textId="77777777" w:rsidR="00D438FE" w:rsidRPr="00D438FE" w:rsidRDefault="00D438FE" w:rsidP="00D438FE">
      <w:pPr>
        <w:rPr>
          <w:b/>
          <w:bCs/>
          <w:szCs w:val="24"/>
        </w:rPr>
      </w:pPr>
    </w:p>
    <w:p w14:paraId="732B14A2" w14:textId="64826092" w:rsidR="00D438FE" w:rsidRPr="00D438FE" w:rsidRDefault="00D438FE" w:rsidP="00D438FE">
      <w:pPr>
        <w:rPr>
          <w:szCs w:val="24"/>
        </w:rPr>
      </w:pPr>
      <w:r w:rsidRPr="00D438FE">
        <w:rPr>
          <w:b/>
          <w:bCs/>
          <w:szCs w:val="24"/>
        </w:rPr>
        <w:t xml:space="preserve">Figure </w:t>
      </w:r>
      <w:r w:rsidR="00B25E9C">
        <w:rPr>
          <w:b/>
          <w:bCs/>
          <w:szCs w:val="24"/>
        </w:rPr>
        <w:t>5</w:t>
      </w:r>
      <w:r w:rsidRPr="00D438FE">
        <w:rPr>
          <w:b/>
          <w:bCs/>
          <w:szCs w:val="24"/>
        </w:rPr>
        <w:t xml:space="preserve">. </w:t>
      </w:r>
      <w:r w:rsidRPr="00D438FE">
        <w:rPr>
          <w:szCs w:val="24"/>
        </w:rPr>
        <w:t>Median overall Social Vulnerability Index (SVI) by city/town for confirmed chlamydia cases, Massachusetts 2022</w:t>
      </w:r>
    </w:p>
    <w:p w14:paraId="2F1CA1CC" w14:textId="2085C7BF" w:rsidR="003933D5" w:rsidRPr="00D438FE" w:rsidRDefault="00D438FE" w:rsidP="006B419D">
      <w:r>
        <w:rPr>
          <w:noProof/>
        </w:rPr>
        <w:drawing>
          <wp:inline distT="0" distB="0" distL="0" distR="0" wp14:anchorId="087A90FC" wp14:editId="5D0BCA3B">
            <wp:extent cx="5161598" cy="3785331"/>
            <wp:effectExtent l="0" t="0" r="0" b="0"/>
            <wp:docPr id="1071653205" name="Picture 1071653205" descr="The figure is a map of Massachusetts displaying the Median overall Social Vulnerability Index (SVI) by city/town. The SVI index ranges from 00.00 to 1.00, with increasing darkness in blue color indicating higher SVI index. Cities with no reported cases are marked with cross-hat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161598" cy="3785331"/>
                    </a:xfrm>
                    <a:prstGeom prst="rect">
                      <a:avLst/>
                    </a:prstGeom>
                  </pic:spPr>
                </pic:pic>
              </a:graphicData>
            </a:graphic>
          </wp:inline>
        </w:drawing>
      </w:r>
    </w:p>
    <w:p w14:paraId="33862489" w14:textId="6EF9B339" w:rsidR="00D438FE" w:rsidRPr="00D438FE" w:rsidRDefault="51D36A4A" w:rsidP="00D438FE">
      <w:pPr>
        <w:rPr>
          <w:sz w:val="18"/>
          <w:szCs w:val="18"/>
        </w:rPr>
      </w:pPr>
      <w:r w:rsidRPr="4B61FEBB">
        <w:rPr>
          <w:sz w:val="18"/>
          <w:szCs w:val="18"/>
        </w:rPr>
        <w:lastRenderedPageBreak/>
        <w:t>Note: Census tract level overall SVI values for 2020 were obtained from the CDC/Agency for Toxic Substance and Disease Registry and assigned to all cases based on their street address at diagnosis</w:t>
      </w:r>
      <w:r w:rsidR="581AFBB0" w:rsidRPr="4B61FEBB">
        <w:rPr>
          <w:sz w:val="18"/>
          <w:szCs w:val="18"/>
        </w:rPr>
        <w:t>, 950 cases were excluded from this analysis bec</w:t>
      </w:r>
      <w:r w:rsidR="3AA7D608" w:rsidRPr="4B61FEBB">
        <w:rPr>
          <w:sz w:val="18"/>
          <w:szCs w:val="18"/>
        </w:rPr>
        <w:t>ause address was unknown or the</w:t>
      </w:r>
      <w:r w:rsidR="6AB71A7A" w:rsidRPr="4B61FEBB">
        <w:rPr>
          <w:sz w:val="18"/>
          <w:szCs w:val="18"/>
        </w:rPr>
        <w:t xml:space="preserve"> individuals</w:t>
      </w:r>
      <w:r w:rsidR="3AA7D608" w:rsidRPr="4B61FEBB">
        <w:rPr>
          <w:sz w:val="18"/>
          <w:szCs w:val="18"/>
        </w:rPr>
        <w:t xml:space="preserve"> were homeless</w:t>
      </w:r>
      <w:r w:rsidRPr="4B61FEBB">
        <w:rPr>
          <w:sz w:val="18"/>
          <w:szCs w:val="18"/>
        </w:rPr>
        <w:t>. City/Town level median is calculated from the median SVI score for that city/town among gonorrhea cases. Values range from 0 to 1, with higher values implying greater social vulnerability. Map should be interpreted with caution as it displays median SVI scores for cities/towns with one or more cases.</w:t>
      </w:r>
    </w:p>
    <w:p w14:paraId="3C346593" w14:textId="5F155B0E" w:rsidR="00D438FE" w:rsidRPr="00D438FE" w:rsidRDefault="00D438FE" w:rsidP="00D438FE">
      <w:pPr>
        <w:rPr>
          <w:sz w:val="18"/>
          <w:szCs w:val="18"/>
        </w:rPr>
      </w:pPr>
      <w:r w:rsidRPr="00D438FE">
        <w:rPr>
          <w:sz w:val="18"/>
          <w:szCs w:val="18"/>
        </w:rPr>
        <w:t xml:space="preserve">Data Sources: CDC/Agency for Toxic Substance and Disease, Bureau of Infectious Disease and Laboratory Sciences, data are current as of 7/21/2023 and subject to </w:t>
      </w:r>
      <w:r w:rsidR="009B3356" w:rsidRPr="00D438FE">
        <w:rPr>
          <w:sz w:val="18"/>
          <w:szCs w:val="18"/>
        </w:rPr>
        <w:t>change.</w:t>
      </w:r>
    </w:p>
    <w:p w14:paraId="59B09D81" w14:textId="77777777" w:rsidR="00D438FE" w:rsidRPr="00D438FE" w:rsidRDefault="00D438FE" w:rsidP="006B419D">
      <w:pPr>
        <w:rPr>
          <w:szCs w:val="24"/>
        </w:rPr>
      </w:pPr>
    </w:p>
    <w:p w14:paraId="6F0C0929" w14:textId="57D77026" w:rsidR="00D438FE" w:rsidRPr="00D438FE" w:rsidRDefault="51D36A4A" w:rsidP="00D438FE">
      <w:pPr>
        <w:numPr>
          <w:ilvl w:val="0"/>
          <w:numId w:val="55"/>
        </w:numPr>
        <w:spacing w:after="120"/>
      </w:pPr>
      <w:r w:rsidRPr="53F41526">
        <w:t>In 2022,</w:t>
      </w:r>
      <w:r w:rsidRPr="00D438FE">
        <w:rPr>
          <w:rStyle w:val="FootnoteReference"/>
          <w:color w:val="FF0000"/>
        </w:rPr>
        <w:t xml:space="preserve"> </w:t>
      </w:r>
      <w:r w:rsidR="00D438FE" w:rsidRPr="00D438FE">
        <w:rPr>
          <w:rStyle w:val="FootnoteReference"/>
        </w:rPr>
        <w:footnoteReference w:id="31"/>
      </w:r>
      <w:r w:rsidRPr="53F41526">
        <w:t xml:space="preserve"> the median SVI score among confirmed chlamydia cases in Massachusetts was 0.744</w:t>
      </w:r>
      <w:r w:rsidR="16656493" w:rsidRPr="53F41526">
        <w:t>, which would be categorized as moderately highly vulnerable</w:t>
      </w:r>
      <w:r w:rsidRPr="53F41526">
        <w:t>.</w:t>
      </w:r>
    </w:p>
    <w:p w14:paraId="3BC86321" w14:textId="2CBAC765" w:rsidR="00D438FE" w:rsidRPr="00D438FE" w:rsidRDefault="51D36A4A" w:rsidP="00D438FE">
      <w:pPr>
        <w:numPr>
          <w:ilvl w:val="0"/>
          <w:numId w:val="55"/>
        </w:numPr>
      </w:pPr>
      <w:r>
        <w:t>The five cities with the highest SVI scores</w:t>
      </w:r>
      <w:r w:rsidR="69211517">
        <w:t xml:space="preserve"> </w:t>
      </w:r>
      <w:r w:rsidR="001A0F6A" w:rsidRPr="001A0F6A">
        <w:t>(i.e., the most highly vulnerable)</w:t>
      </w:r>
      <w:r>
        <w:t xml:space="preserve"> among confirmed chlamydia cases in 2022 were Lawrence (0.936), Holyoke (0.927), Chelsea (0.892), Springfield (0.889), and Lynn (0.870).</w:t>
      </w:r>
    </w:p>
    <w:p w14:paraId="0B1A4B6F" w14:textId="4CE7B24D" w:rsidR="00E42FFA" w:rsidRPr="00DA42E9" w:rsidRDefault="003933D5" w:rsidP="006B419D">
      <w:pPr>
        <w:numPr>
          <w:ilvl w:val="0"/>
          <w:numId w:val="55"/>
        </w:numPr>
        <w:spacing w:after="120"/>
        <w:rPr>
          <w:color w:val="FF0000"/>
          <w:szCs w:val="24"/>
        </w:rPr>
      </w:pPr>
      <w:r>
        <w:rPr>
          <w:color w:val="FF0000"/>
          <w:szCs w:val="24"/>
        </w:rPr>
        <w:br w:type="page"/>
      </w:r>
    </w:p>
    <w:p w14:paraId="0B9A9539" w14:textId="5A043289" w:rsidR="00F40598" w:rsidRPr="00DA42E9" w:rsidRDefault="00E42FFA" w:rsidP="38A4F72D">
      <w:pPr>
        <w:pStyle w:val="Heading1"/>
        <w:rPr>
          <w:b w:val="0"/>
        </w:rPr>
      </w:pPr>
      <w:bookmarkStart w:id="8" w:name="_Toc154057112"/>
      <w:r>
        <w:lastRenderedPageBreak/>
        <w:t>GONORRHEA</w:t>
      </w:r>
      <w:bookmarkEnd w:id="8"/>
    </w:p>
    <w:p w14:paraId="6E13A7C7" w14:textId="090384E4" w:rsidR="00E42FFA" w:rsidRPr="00DA42E9" w:rsidRDefault="00E42FFA" w:rsidP="38A4F72D">
      <w:pPr>
        <w:pStyle w:val="Heading2"/>
      </w:pPr>
      <w:bookmarkStart w:id="9" w:name="_Toc154057113"/>
      <w:r>
        <w:t>GONORRHEA BY GENDER</w:t>
      </w:r>
      <w:bookmarkEnd w:id="9"/>
    </w:p>
    <w:p w14:paraId="4A9FB31F" w14:textId="1DBC34B0" w:rsidR="005C6590" w:rsidRPr="00B25E9C" w:rsidRDefault="005C6590" w:rsidP="7017D928">
      <w:pPr>
        <w:rPr>
          <w:color w:val="3333FF"/>
        </w:rPr>
      </w:pPr>
      <w:r>
        <w:t xml:space="preserve">Gonorrhea is a common bacterial STI. It can be spread through vaginal, anal, or oral sexual contact with an infected partner or to an infant during birth. Symptoms of gonococcal infection can vary depending on the site of infection and may include dysuria; vaginal, penile, or anal discharge; irregular bleeding; abdominal or anal pain; and sore throat. Still, many infected individuals do not present with any symptoms of infection. Although gonorrhea infection is treatable, treatment has become more complex with increased antimicrobial </w:t>
      </w:r>
      <w:r w:rsidR="00455338">
        <w:t xml:space="preserve">non-susceptibility, including </w:t>
      </w:r>
      <w:r w:rsidR="0015426D">
        <w:t xml:space="preserve">two cases of </w:t>
      </w:r>
      <w:r w:rsidR="00634810">
        <w:t xml:space="preserve">a novel strain of multidrug-non-susceptible </w:t>
      </w:r>
      <w:r w:rsidR="006F2DC4">
        <w:t>gonorrhea</w:t>
      </w:r>
      <w:r w:rsidR="00A97C2C">
        <w:t xml:space="preserve"> that were detected in Massachusetts in 2022.</w:t>
      </w:r>
      <w:r w:rsidR="24F07681">
        <w:t xml:space="preserve"> </w:t>
      </w:r>
      <w:r w:rsidR="00A97C2C">
        <w:t>F</w:t>
      </w:r>
      <w:r w:rsidR="24F07681">
        <w:t>or more information, see</w:t>
      </w:r>
      <w:r w:rsidR="00E82744">
        <w:t xml:space="preserve"> </w:t>
      </w:r>
      <w:hyperlink r:id="rId27" w:history="1">
        <w:r w:rsidR="00E82744" w:rsidRPr="00E82744">
          <w:rPr>
            <w:rStyle w:val="Hyperlink"/>
            <w:color w:val="0000FF"/>
          </w:rPr>
          <w:t>https://www.mass.gov/doc/clinical-alert-on-non-susceptible-gonorrhea-january-19-2023/download</w:t>
        </w:r>
      </w:hyperlink>
      <w:r>
        <w:t xml:space="preserve">. For more </w:t>
      </w:r>
      <w:r w:rsidR="009B3356">
        <w:t xml:space="preserve">general </w:t>
      </w:r>
      <w:r>
        <w:t xml:space="preserve">information, see </w:t>
      </w:r>
      <w:hyperlink r:id="rId28">
        <w:r w:rsidRPr="7017D928">
          <w:rPr>
            <w:rStyle w:val="Hyperlink"/>
            <w:color w:val="3333FF"/>
          </w:rPr>
          <w:t>https://www.cdc.gov/std/gonorrhea/stdfact-gonorrhea-detailed.htm</w:t>
        </w:r>
      </w:hyperlink>
    </w:p>
    <w:p w14:paraId="670DC27E" w14:textId="75A63225" w:rsidR="005C6590" w:rsidRPr="00B25E9C" w:rsidRDefault="005C6590" w:rsidP="005C6590">
      <w:pPr>
        <w:rPr>
          <w:szCs w:val="24"/>
        </w:rPr>
      </w:pPr>
    </w:p>
    <w:p w14:paraId="07F013EA" w14:textId="44F0B4F1" w:rsidR="005C6590" w:rsidRPr="00B25E9C" w:rsidRDefault="5B31D4F5" w:rsidP="1879A7CB">
      <w:r w:rsidRPr="1879A7CB">
        <w:rPr>
          <w:b/>
          <w:bCs/>
        </w:rPr>
        <w:t xml:space="preserve">Figure </w:t>
      </w:r>
      <w:r w:rsidR="47C1CDC7" w:rsidRPr="1879A7CB">
        <w:rPr>
          <w:b/>
          <w:bCs/>
        </w:rPr>
        <w:t>6</w:t>
      </w:r>
      <w:r w:rsidRPr="1879A7CB">
        <w:rPr>
          <w:b/>
          <w:bCs/>
        </w:rPr>
        <w:t xml:space="preserve">. </w:t>
      </w:r>
      <w:r>
        <w:t xml:space="preserve">Number of laboratory-confirmed gonorrhea cases reported by gender, Massachusetts </w:t>
      </w:r>
      <w:r w:rsidR="2C1ED1D4">
        <w:t>2013–2022</w:t>
      </w:r>
    </w:p>
    <w:p w14:paraId="03DE9A86" w14:textId="665DA4B1" w:rsidR="005C6590" w:rsidRPr="00991A6F" w:rsidRDefault="005C6590" w:rsidP="7017D928">
      <w:pPr>
        <w:rPr>
          <w:color w:val="FF0000"/>
        </w:rPr>
      </w:pPr>
    </w:p>
    <w:p w14:paraId="3F8CF980" w14:textId="61B13F6A" w:rsidR="3E552796" w:rsidRDefault="3E552796">
      <w:pPr>
        <w:pStyle w:val="ListParagraph"/>
        <w:rPr>
          <w:szCs w:val="24"/>
        </w:rPr>
      </w:pPr>
      <w:r>
        <w:rPr>
          <w:noProof/>
        </w:rPr>
        <w:drawing>
          <wp:inline distT="0" distB="0" distL="0" distR="0" wp14:anchorId="284AEA73" wp14:editId="6EB6D1A3">
            <wp:extent cx="5747657" cy="3939540"/>
            <wp:effectExtent l="0" t="0" r="0" b="0"/>
            <wp:docPr id="574825961" name="Picture 574825961" descr="The figure is a trendline graph displaying the annual number of gonorrhea cases for four groups (male gender, female gender, transgender/nonbinary and statewide total) for each year from 2013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25961" name="Picture 574825961" descr="The figure is a trendline graph displaying the annual number of gonorrhea cases for four groups (male gender, female gender, transgender/nonbinary and statewide total) for each year from 2013 to 2022.&#10;"/>
                    <pic:cNvPicPr/>
                  </pic:nvPicPr>
                  <pic:blipFill>
                    <a:blip r:embed="rId29">
                      <a:extLst>
                        <a:ext uri="{28A0092B-C50C-407E-A947-70E740481C1C}">
                          <a14:useLocalDpi xmlns:a14="http://schemas.microsoft.com/office/drawing/2010/main" val="0"/>
                        </a:ext>
                      </a:extLst>
                    </a:blip>
                    <a:stretch>
                      <a:fillRect/>
                    </a:stretch>
                  </pic:blipFill>
                  <pic:spPr>
                    <a:xfrm>
                      <a:off x="0" y="0"/>
                      <a:ext cx="5753789" cy="3943743"/>
                    </a:xfrm>
                    <a:prstGeom prst="rect">
                      <a:avLst/>
                    </a:prstGeom>
                  </pic:spPr>
                </pic:pic>
              </a:graphicData>
            </a:graphic>
          </wp:inline>
        </w:drawing>
      </w:r>
    </w:p>
    <w:p w14:paraId="1B6BC611" w14:textId="39167180" w:rsidR="7017D928" w:rsidRDefault="7017D928" w:rsidP="7017D928">
      <w:pPr>
        <w:pStyle w:val="spaced6"/>
        <w:numPr>
          <w:ilvl w:val="0"/>
          <w:numId w:val="0"/>
        </w:numPr>
        <w:spacing w:after="0"/>
        <w:ind w:left="360"/>
        <w:rPr>
          <w:sz w:val="20"/>
          <w:szCs w:val="20"/>
        </w:rPr>
      </w:pPr>
    </w:p>
    <w:p w14:paraId="7FFC30A1" w14:textId="77777777" w:rsidR="00951B87" w:rsidRPr="00951B87" w:rsidRDefault="00951B87" w:rsidP="00951B87">
      <w:pPr>
        <w:pStyle w:val="spaced6"/>
        <w:numPr>
          <w:ilvl w:val="0"/>
          <w:numId w:val="0"/>
        </w:numPr>
        <w:spacing w:after="0"/>
        <w:ind w:left="360"/>
        <w:rPr>
          <w:sz w:val="20"/>
          <w:szCs w:val="20"/>
        </w:rPr>
      </w:pPr>
      <w:r w:rsidRPr="00951B87">
        <w:rPr>
          <w:sz w:val="20"/>
          <w:szCs w:val="20"/>
        </w:rPr>
        <w:t xml:space="preserve">Note: Cases with no gender reported (2013–2022: N=37) are included in the statewide total but are not depicted in Figure 6 separately due to small numbers. </w:t>
      </w:r>
    </w:p>
    <w:p w14:paraId="08E27D10" w14:textId="64341421" w:rsidR="00951B87" w:rsidRPr="00951B87" w:rsidRDefault="00951B87" w:rsidP="00951B87">
      <w:pPr>
        <w:pStyle w:val="spaced6"/>
        <w:numPr>
          <w:ilvl w:val="0"/>
          <w:numId w:val="0"/>
        </w:numPr>
        <w:spacing w:after="0"/>
        <w:ind w:left="360"/>
        <w:rPr>
          <w:sz w:val="20"/>
          <w:szCs w:val="20"/>
        </w:rPr>
      </w:pPr>
      <w:r w:rsidRPr="00951B87">
        <w:rPr>
          <w:sz w:val="20"/>
          <w:szCs w:val="20"/>
        </w:rPr>
        <w:t>Data Source: Bureau of Infectious Disease and Laboratory Sciences, data are current as of 7/21/2023 and subject to change</w:t>
      </w:r>
      <w:r w:rsidR="00286FF2">
        <w:rPr>
          <w:sz w:val="20"/>
          <w:szCs w:val="20"/>
        </w:rPr>
        <w:t>.</w:t>
      </w:r>
    </w:p>
    <w:p w14:paraId="7E514A77" w14:textId="77777777" w:rsidR="00951B87" w:rsidRPr="00951B87" w:rsidRDefault="00951B87" w:rsidP="00951B87">
      <w:pPr>
        <w:pStyle w:val="spaced6"/>
        <w:numPr>
          <w:ilvl w:val="0"/>
          <w:numId w:val="0"/>
        </w:numPr>
        <w:ind w:left="360"/>
        <w:rPr>
          <w:b/>
          <w:bCs/>
          <w:color w:val="FF0000"/>
        </w:rPr>
      </w:pPr>
    </w:p>
    <w:p w14:paraId="0A1317B6" w14:textId="4F34FD82" w:rsidR="005C6590" w:rsidRPr="00951B87" w:rsidRDefault="00951B87">
      <w:pPr>
        <w:pStyle w:val="spaced6"/>
        <w:rPr>
          <w:b/>
          <w:bCs/>
        </w:rPr>
      </w:pPr>
      <w:r w:rsidRPr="00951B87">
        <w:lastRenderedPageBreak/>
        <w:t>After a sharp 57% increase from 2016 (N=4,638) to 2017 (N=7,293), gonorrhea incidence remained relatively stable through 2020, and then increased 11% in 2021 (N=8,099) and an additional 13% in 2022 (N=9,129).</w:t>
      </w:r>
      <w:r w:rsidR="005C6590" w:rsidRPr="00951B87">
        <w:rPr>
          <w:rStyle w:val="FootnoteReference"/>
        </w:rPr>
        <w:footnoteReference w:id="32"/>
      </w:r>
      <w:r w:rsidR="70405042" w:rsidRPr="00951B87">
        <w:t xml:space="preserve"> </w:t>
      </w:r>
    </w:p>
    <w:p w14:paraId="0979F041" w14:textId="7721038F" w:rsidR="00951B87" w:rsidRPr="00951B87" w:rsidRDefault="00951B87" w:rsidP="00951B87">
      <w:pPr>
        <w:numPr>
          <w:ilvl w:val="0"/>
          <w:numId w:val="4"/>
        </w:numPr>
        <w:spacing w:after="120"/>
      </w:pPr>
      <w:r w:rsidRPr="00951B87">
        <w:t xml:space="preserve">Between 2013 and 2022, the number of gonorrhea cases reported among males increased by 3.1 times (from 1,969 to 6,196, respectively). The number of gonorrhea cases among males in 2022 was more than double the number among females (2,861). </w:t>
      </w:r>
    </w:p>
    <w:p w14:paraId="26029CF9" w14:textId="77777777" w:rsidR="00951B87" w:rsidRPr="00951B87" w:rsidRDefault="00951B87" w:rsidP="00951B87">
      <w:pPr>
        <w:numPr>
          <w:ilvl w:val="0"/>
          <w:numId w:val="4"/>
        </w:numPr>
        <w:spacing w:after="120"/>
      </w:pPr>
      <w:r w:rsidRPr="00951B87">
        <w:t>The number of gonorrhea cases reported among females increased by 2.4 times from 1,181 in 2013 to 2,861 in 2022.</w:t>
      </w:r>
    </w:p>
    <w:p w14:paraId="4D4CBF22" w14:textId="4264461C" w:rsidR="00951B87" w:rsidRPr="00951B87" w:rsidRDefault="6BE3BA5B" w:rsidP="00951B87">
      <w:pPr>
        <w:numPr>
          <w:ilvl w:val="0"/>
          <w:numId w:val="4"/>
        </w:numPr>
        <w:spacing w:after="120"/>
      </w:pPr>
      <w:r>
        <w:t>In 2022, 6</w:t>
      </w:r>
      <w:r w:rsidR="22E3716F">
        <w:t>8</w:t>
      </w:r>
      <w:r>
        <w:t xml:space="preserve"> gonorrhea cases were reported among individuals of transgender experience</w:t>
      </w:r>
      <w:r w:rsidR="508B37E2">
        <w:t xml:space="preserve"> and/or</w:t>
      </w:r>
      <w:r>
        <w:t xml:space="preserve"> nonbinary</w:t>
      </w:r>
      <w:r w:rsidR="7FD0C931">
        <w:t xml:space="preserve"> individuals</w:t>
      </w:r>
      <w:r>
        <w:t>. Please note reported numbers among individuals of transgender experience and individuals who are nonbinary are likely to be underestimates as there may be underreporting or misreporting of gender due to the absence of appropriate collection of gender options (e.g., individuals who are genderqueer, pangender, gender fluid, androgynous, etc.).</w:t>
      </w:r>
    </w:p>
    <w:p w14:paraId="455AA7E9" w14:textId="7D92571D" w:rsidR="00032500" w:rsidRPr="00991A6F" w:rsidRDefault="00032500" w:rsidP="005C6590">
      <w:pPr>
        <w:rPr>
          <w:color w:val="FF0000"/>
          <w:szCs w:val="24"/>
        </w:rPr>
      </w:pPr>
      <w:r w:rsidRPr="00991A6F">
        <w:rPr>
          <w:color w:val="FF0000"/>
          <w:szCs w:val="24"/>
        </w:rPr>
        <w:br w:type="page"/>
      </w:r>
    </w:p>
    <w:p w14:paraId="0C1564B7" w14:textId="7C53FAF0" w:rsidR="005C6590" w:rsidRPr="00AB3582" w:rsidRDefault="00032500" w:rsidP="00091FE6">
      <w:pPr>
        <w:pStyle w:val="Heading2"/>
      </w:pPr>
      <w:bookmarkStart w:id="10" w:name="_Toc154057114"/>
      <w:r>
        <w:lastRenderedPageBreak/>
        <w:t>GONORRHEA BY AGE</w:t>
      </w:r>
      <w:bookmarkEnd w:id="10"/>
    </w:p>
    <w:p w14:paraId="2B51CA6E" w14:textId="1738CDC5" w:rsidR="00032500" w:rsidRPr="00540C4B" w:rsidRDefault="00032500" w:rsidP="00032500">
      <w:pPr>
        <w:rPr>
          <w:szCs w:val="24"/>
        </w:rPr>
      </w:pPr>
      <w:r w:rsidRPr="00540C4B">
        <w:rPr>
          <w:b/>
          <w:bCs/>
          <w:szCs w:val="24"/>
        </w:rPr>
        <w:t xml:space="preserve">Figure </w:t>
      </w:r>
      <w:r w:rsidR="00AB3582" w:rsidRPr="00540C4B">
        <w:rPr>
          <w:b/>
          <w:bCs/>
          <w:szCs w:val="24"/>
        </w:rPr>
        <w:t>7</w:t>
      </w:r>
      <w:r w:rsidRPr="00540C4B">
        <w:rPr>
          <w:b/>
          <w:bCs/>
          <w:szCs w:val="24"/>
        </w:rPr>
        <w:t xml:space="preserve">. </w:t>
      </w:r>
      <w:r w:rsidRPr="00540C4B">
        <w:rPr>
          <w:szCs w:val="24"/>
        </w:rPr>
        <w:t xml:space="preserve">Number of laboratory-confirmed gonorrhea cases reported by age group (years), Massachusetts </w:t>
      </w:r>
      <w:r w:rsidR="00171016" w:rsidRPr="00540C4B">
        <w:rPr>
          <w:szCs w:val="24"/>
        </w:rPr>
        <w:t>2013–2022</w:t>
      </w:r>
    </w:p>
    <w:p w14:paraId="7A87E925" w14:textId="1BE27A2A" w:rsidR="00032500" w:rsidRPr="00991A6F" w:rsidRDefault="00032500" w:rsidP="034544F5">
      <w:pPr>
        <w:rPr>
          <w:color w:val="FF0000"/>
        </w:rPr>
      </w:pPr>
    </w:p>
    <w:p w14:paraId="2C9BDB04" w14:textId="1C3EB8B1" w:rsidR="2F702A1B" w:rsidRDefault="2F702A1B" w:rsidP="2F702A1B">
      <w:pPr>
        <w:pStyle w:val="spaced6"/>
        <w:numPr>
          <w:ilvl w:val="0"/>
          <w:numId w:val="0"/>
        </w:numPr>
        <w:spacing w:after="0"/>
        <w:rPr>
          <w:sz w:val="20"/>
          <w:szCs w:val="20"/>
        </w:rPr>
      </w:pPr>
    </w:p>
    <w:p w14:paraId="71C76507" w14:textId="25E9DB95" w:rsidR="5159E3EE" w:rsidRDefault="5159E3EE">
      <w:pPr>
        <w:pStyle w:val="ListParagraph"/>
        <w:rPr>
          <w:szCs w:val="24"/>
        </w:rPr>
      </w:pPr>
      <w:r>
        <w:rPr>
          <w:noProof/>
        </w:rPr>
        <w:drawing>
          <wp:inline distT="0" distB="0" distL="0" distR="0" wp14:anchorId="498D5E27" wp14:editId="4ACA972B">
            <wp:extent cx="6141638" cy="4785360"/>
            <wp:effectExtent l="0" t="0" r="0" b="0"/>
            <wp:docPr id="484445010" name="Picture 484445010" descr="The figure is a stacked bar chart displaying the annual number of gonorrhea cases for seven age groups (&lt;15, 15-19, 20-24, 25-29, 30-39, 40-49, and 50+) each year from 2013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45010" name="Picture 484445010" descr="The figure is a stacked bar chart displaying the annual number of gonorrhea cases for seven age groups (&lt;15, 15-19, 20-24, 25-29, 30-39, 40-49, and 50+) each year from 2013 to 2022.&#10;"/>
                    <pic:cNvPicPr/>
                  </pic:nvPicPr>
                  <pic:blipFill>
                    <a:blip r:embed="rId30">
                      <a:extLst>
                        <a:ext uri="{28A0092B-C50C-407E-A947-70E740481C1C}">
                          <a14:useLocalDpi xmlns:a14="http://schemas.microsoft.com/office/drawing/2010/main" val="0"/>
                        </a:ext>
                      </a:extLst>
                    </a:blip>
                    <a:stretch>
                      <a:fillRect/>
                    </a:stretch>
                  </pic:blipFill>
                  <pic:spPr>
                    <a:xfrm>
                      <a:off x="0" y="0"/>
                      <a:ext cx="6150761" cy="4792468"/>
                    </a:xfrm>
                    <a:prstGeom prst="rect">
                      <a:avLst/>
                    </a:prstGeom>
                  </pic:spPr>
                </pic:pic>
              </a:graphicData>
            </a:graphic>
          </wp:inline>
        </w:drawing>
      </w:r>
    </w:p>
    <w:p w14:paraId="57440E6D" w14:textId="77777777" w:rsidR="00540C4B" w:rsidRPr="00540C4B" w:rsidRDefault="00540C4B" w:rsidP="00540C4B">
      <w:pPr>
        <w:pStyle w:val="spaced6"/>
        <w:numPr>
          <w:ilvl w:val="0"/>
          <w:numId w:val="0"/>
        </w:numPr>
        <w:spacing w:after="0"/>
        <w:rPr>
          <w:sz w:val="20"/>
          <w:szCs w:val="20"/>
        </w:rPr>
      </w:pPr>
      <w:r w:rsidRPr="00540C4B">
        <w:rPr>
          <w:sz w:val="20"/>
          <w:szCs w:val="20"/>
        </w:rPr>
        <w:t>Note: Cases missing age (2013–2022: N=10) are not included in this figure</w:t>
      </w:r>
    </w:p>
    <w:p w14:paraId="68EA5D1D" w14:textId="426E70D0" w:rsidR="00540C4B" w:rsidRPr="00540C4B" w:rsidRDefault="00540C4B" w:rsidP="00540C4B">
      <w:pPr>
        <w:pStyle w:val="spaced6"/>
        <w:numPr>
          <w:ilvl w:val="0"/>
          <w:numId w:val="0"/>
        </w:numPr>
        <w:rPr>
          <w:sz w:val="20"/>
          <w:szCs w:val="20"/>
        </w:rPr>
      </w:pPr>
      <w:r w:rsidRPr="00540C4B">
        <w:rPr>
          <w:sz w:val="20"/>
          <w:szCs w:val="20"/>
        </w:rPr>
        <w:t>Data Source: Bureau of Infectious Disease and Laboratory Sciences, data are current as of 7/21/2023 and subject to change</w:t>
      </w:r>
      <w:r w:rsidR="00843018">
        <w:rPr>
          <w:sz w:val="20"/>
          <w:szCs w:val="20"/>
        </w:rPr>
        <w:t>.</w:t>
      </w:r>
    </w:p>
    <w:p w14:paraId="006945BD" w14:textId="77777777" w:rsidR="00540C4B" w:rsidRPr="00540C4B" w:rsidRDefault="00540C4B" w:rsidP="00540C4B">
      <w:pPr>
        <w:pStyle w:val="spaced6"/>
      </w:pPr>
      <w:r w:rsidRPr="00540C4B">
        <w:t>Each year from 2013 to 2022</w:t>
      </w:r>
      <w:r w:rsidR="7C0FEB54" w:rsidRPr="00540C4B">
        <w:t>,</w:t>
      </w:r>
      <w:r w:rsidR="007614DA" w:rsidRPr="00540C4B">
        <w:rPr>
          <w:rStyle w:val="FootnoteReference"/>
        </w:rPr>
        <w:footnoteReference w:id="33"/>
      </w:r>
      <w:r w:rsidR="7C0FEB54" w:rsidRPr="00540C4B">
        <w:t xml:space="preserve"> </w:t>
      </w:r>
      <w:r w:rsidRPr="00540C4B">
        <w:t xml:space="preserve">about half (44% to 54%) of gonorrhea cases were reported among individuals aged 20–24 or 25–29 years. </w:t>
      </w:r>
    </w:p>
    <w:p w14:paraId="02D34287" w14:textId="77777777" w:rsidR="00540C4B" w:rsidRPr="00540C4B" w:rsidRDefault="00540C4B" w:rsidP="00540C4B">
      <w:pPr>
        <w:numPr>
          <w:ilvl w:val="0"/>
          <w:numId w:val="4"/>
        </w:numPr>
      </w:pPr>
      <w:r w:rsidRPr="00540C4B">
        <w:t xml:space="preserve">From 2013 to 2022, the largest increases in the number of reported gonorrhea cases were among individuals aged 30–39 years (quadrupled from 610 to 2,461), and individuals aged 50 years and above (quadrupled from 174 to 695). </w:t>
      </w:r>
    </w:p>
    <w:p w14:paraId="7F154DEA" w14:textId="0EAEE004" w:rsidR="00AA6A7E" w:rsidRPr="00991A6F" w:rsidRDefault="00AA6A7E" w:rsidP="005C6590">
      <w:pPr>
        <w:rPr>
          <w:color w:val="FF0000"/>
          <w:szCs w:val="24"/>
        </w:rPr>
      </w:pPr>
      <w:r w:rsidRPr="00991A6F">
        <w:rPr>
          <w:color w:val="FF0000"/>
          <w:szCs w:val="24"/>
        </w:rPr>
        <w:br w:type="page"/>
      </w:r>
    </w:p>
    <w:p w14:paraId="65D4B0C0" w14:textId="152A55D6" w:rsidR="00032500" w:rsidRPr="00540C4B" w:rsidRDefault="00AA6A7E" w:rsidP="00AA6A7E">
      <w:pPr>
        <w:pStyle w:val="Heading2"/>
      </w:pPr>
      <w:bookmarkStart w:id="11" w:name="_Toc154057115"/>
      <w:r>
        <w:lastRenderedPageBreak/>
        <w:t>GONORRHEA BY CITY/TOWN</w:t>
      </w:r>
      <w:bookmarkEnd w:id="11"/>
    </w:p>
    <w:p w14:paraId="32E35FAA" w14:textId="596CFCBE" w:rsidR="00AA6A7E" w:rsidRPr="0071150A" w:rsidRDefault="239C8778" w:rsidP="00AA6A7E">
      <w:r w:rsidRPr="0071150A">
        <w:rPr>
          <w:b/>
          <w:bCs/>
        </w:rPr>
        <w:t xml:space="preserve">Figure </w:t>
      </w:r>
      <w:r w:rsidR="00540C4B" w:rsidRPr="0071150A">
        <w:rPr>
          <w:b/>
          <w:bCs/>
        </w:rPr>
        <w:t>8</w:t>
      </w:r>
      <w:r w:rsidRPr="0071150A">
        <w:rPr>
          <w:b/>
          <w:bCs/>
        </w:rPr>
        <w:t>.</w:t>
      </w:r>
      <w:r w:rsidRPr="0071150A">
        <w:t xml:space="preserve"> Incidence rate of confirmed gonorrhea cases per 100,000 population</w:t>
      </w:r>
      <w:r w:rsidR="008619CA">
        <w:t xml:space="preserve"> </w:t>
      </w:r>
      <w:r w:rsidRPr="0071150A">
        <w:t>reported by city/town, Massachusetts 202</w:t>
      </w:r>
      <w:r w:rsidR="45951B6A" w:rsidRPr="0071150A">
        <w:t>2</w:t>
      </w:r>
    </w:p>
    <w:p w14:paraId="0F64D0D1" w14:textId="1DA2AC65" w:rsidR="00032500" w:rsidRPr="00991A6F" w:rsidRDefault="2165A92F" w:rsidP="7017D928">
      <w:r>
        <w:rPr>
          <w:noProof/>
        </w:rPr>
        <w:drawing>
          <wp:inline distT="0" distB="0" distL="0" distR="0" wp14:anchorId="7EBAA7EF" wp14:editId="5E02F119">
            <wp:extent cx="5516578" cy="3482340"/>
            <wp:effectExtent l="0" t="0" r="8255" b="3810"/>
            <wp:docPr id="1765870343" name="Picture 1765870343" descr="The figure is a rate map of Massachusetts displaying the incidence rate of gonorrhea cases per 100,000 population by city/town. Cities and towns are in one of seven categories: no reported cases, less than or equal to 19 per 100,000, 20 - 39 per 100,000, 40 - 79 per 100,000, 80 - 199 per 100,000, or 200 - 299 per 100,000, and greater than or equal to 30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70343" name="Picture 1765870343" descr="The figure is a rate map of Massachusetts displaying the incidence rate of gonorrhea cases per 100,000 population by city/town. Cities and towns are in one of seven categories: no reported cases, less than or equal to 19 per 100,000, 20 - 39 per 100,000, 40 - 79 per 100,000, 80 - 199 per 100,000, or 200 - 299 per 100,000, and greater than or equal to 300 per 100,000.&#10;"/>
                    <pic:cNvPicPr/>
                  </pic:nvPicPr>
                  <pic:blipFill>
                    <a:blip r:embed="rId31">
                      <a:extLst>
                        <a:ext uri="{28A0092B-C50C-407E-A947-70E740481C1C}">
                          <a14:useLocalDpi xmlns:a14="http://schemas.microsoft.com/office/drawing/2010/main" val="0"/>
                        </a:ext>
                      </a:extLst>
                    </a:blip>
                    <a:stretch>
                      <a:fillRect/>
                    </a:stretch>
                  </pic:blipFill>
                  <pic:spPr>
                    <a:xfrm>
                      <a:off x="0" y="0"/>
                      <a:ext cx="5523023" cy="3486409"/>
                    </a:xfrm>
                    <a:prstGeom prst="rect">
                      <a:avLst/>
                    </a:prstGeom>
                  </pic:spPr>
                </pic:pic>
              </a:graphicData>
            </a:graphic>
          </wp:inline>
        </w:drawing>
      </w:r>
    </w:p>
    <w:p w14:paraId="3E58C269" w14:textId="3D9F114F" w:rsidR="52EDC52C" w:rsidRDefault="52EDC52C" w:rsidP="2F702A1B">
      <w:pPr>
        <w:rPr>
          <w:sz w:val="20"/>
          <w:szCs w:val="20"/>
        </w:rPr>
      </w:pPr>
      <w:r w:rsidRPr="00F345D5">
        <w:rPr>
          <w:sz w:val="20"/>
          <w:szCs w:val="20"/>
          <w:vertAlign w:val="superscript"/>
        </w:rPr>
        <w:t xml:space="preserve">1 </w:t>
      </w:r>
      <w:r w:rsidRPr="2F702A1B">
        <w:rPr>
          <w:sz w:val="20"/>
          <w:szCs w:val="20"/>
        </w:rPr>
        <w:t>Population based on University of Massachusetts Donahue Institute Estimates</w:t>
      </w:r>
    </w:p>
    <w:p w14:paraId="1B1C102D" w14:textId="51F654BC" w:rsidR="00AA6A7E" w:rsidRPr="0071150A" w:rsidRDefault="3A010B2A" w:rsidP="2F702A1B">
      <w:pPr>
        <w:rPr>
          <w:sz w:val="20"/>
          <w:szCs w:val="20"/>
        </w:rPr>
      </w:pPr>
      <w:r w:rsidRPr="2F702A1B">
        <w:rPr>
          <w:sz w:val="20"/>
          <w:szCs w:val="20"/>
        </w:rPr>
        <w:t xml:space="preserve">There are four city/towns with &lt;10 cases of gonorrhea that fall within the top two rate categories (≥200 cases per 100,000): </w:t>
      </w:r>
      <w:r w:rsidR="00D32C30" w:rsidRPr="2F702A1B">
        <w:rPr>
          <w:sz w:val="20"/>
          <w:szCs w:val="20"/>
        </w:rPr>
        <w:t>Shelburne</w:t>
      </w:r>
      <w:r w:rsidRPr="2F702A1B">
        <w:rPr>
          <w:sz w:val="20"/>
          <w:szCs w:val="20"/>
        </w:rPr>
        <w:t xml:space="preserve">, </w:t>
      </w:r>
      <w:r w:rsidR="00D32C30" w:rsidRPr="2F702A1B">
        <w:rPr>
          <w:sz w:val="20"/>
          <w:szCs w:val="20"/>
        </w:rPr>
        <w:t>Huntington, Aquinnah</w:t>
      </w:r>
      <w:r w:rsidRPr="2F702A1B">
        <w:rPr>
          <w:sz w:val="20"/>
          <w:szCs w:val="20"/>
        </w:rPr>
        <w:t xml:space="preserve">, and </w:t>
      </w:r>
      <w:r w:rsidR="00D32C30" w:rsidRPr="2F702A1B">
        <w:rPr>
          <w:sz w:val="20"/>
          <w:szCs w:val="20"/>
        </w:rPr>
        <w:t>New Braintree</w:t>
      </w:r>
      <w:r w:rsidRPr="2F702A1B">
        <w:rPr>
          <w:sz w:val="20"/>
          <w:szCs w:val="20"/>
        </w:rPr>
        <w:t xml:space="preserve">. </w:t>
      </w:r>
    </w:p>
    <w:p w14:paraId="202D0DD4" w14:textId="6D320170" w:rsidR="00AA6A7E" w:rsidRPr="0071150A" w:rsidRDefault="00AA6A7E" w:rsidP="00AA6A7E">
      <w:pPr>
        <w:rPr>
          <w:sz w:val="20"/>
          <w:szCs w:val="20"/>
        </w:rPr>
      </w:pPr>
      <w:r w:rsidRPr="2F702A1B">
        <w:rPr>
          <w:sz w:val="20"/>
          <w:szCs w:val="20"/>
        </w:rPr>
        <w:t>Note: regional data include individuals tested in a correctional facility.</w:t>
      </w:r>
    </w:p>
    <w:p w14:paraId="7B784100" w14:textId="45EBEFBD" w:rsidR="00AA6A7E" w:rsidRPr="0071150A" w:rsidRDefault="00AA6A7E" w:rsidP="00091FE6">
      <w:pPr>
        <w:spacing w:after="120"/>
        <w:rPr>
          <w:sz w:val="20"/>
          <w:szCs w:val="20"/>
        </w:rPr>
      </w:pPr>
      <w:r w:rsidRPr="2F702A1B">
        <w:rPr>
          <w:sz w:val="20"/>
          <w:szCs w:val="20"/>
        </w:rPr>
        <w:t xml:space="preserve">Data Source: Bureau of Infectious Disease and Laboratory Sciences, data are current as of </w:t>
      </w:r>
      <w:r w:rsidR="00794545" w:rsidRPr="2F702A1B">
        <w:rPr>
          <w:sz w:val="20"/>
          <w:szCs w:val="20"/>
        </w:rPr>
        <w:t>7/</w:t>
      </w:r>
      <w:r w:rsidR="77A0538E" w:rsidRPr="2F702A1B">
        <w:rPr>
          <w:sz w:val="20"/>
          <w:szCs w:val="20"/>
        </w:rPr>
        <w:t>18</w:t>
      </w:r>
      <w:r w:rsidR="00794545" w:rsidRPr="2F702A1B">
        <w:rPr>
          <w:sz w:val="20"/>
          <w:szCs w:val="20"/>
        </w:rPr>
        <w:t>/2023</w:t>
      </w:r>
      <w:r w:rsidRPr="2F702A1B">
        <w:rPr>
          <w:sz w:val="20"/>
          <w:szCs w:val="20"/>
        </w:rPr>
        <w:t xml:space="preserve"> and subject to change</w:t>
      </w:r>
      <w:r w:rsidR="00B1580A">
        <w:rPr>
          <w:sz w:val="20"/>
          <w:szCs w:val="20"/>
        </w:rPr>
        <w:t>.</w:t>
      </w:r>
    </w:p>
    <w:p w14:paraId="517DF2C6" w14:textId="137A1B60" w:rsidR="00AA6A7E" w:rsidRPr="0071150A" w:rsidRDefault="525A09E0">
      <w:pPr>
        <w:pStyle w:val="spaced6"/>
      </w:pPr>
      <w:r w:rsidRPr="0071150A">
        <w:t>In 202</w:t>
      </w:r>
      <w:r w:rsidR="64A32B0C" w:rsidRPr="0071150A">
        <w:t>2</w:t>
      </w:r>
      <w:r w:rsidRPr="0071150A">
        <w:t>,</w:t>
      </w:r>
      <w:r w:rsidR="00AA6A7E" w:rsidRPr="0071150A">
        <w:rPr>
          <w:rStyle w:val="FootnoteReference"/>
        </w:rPr>
        <w:footnoteReference w:id="34"/>
      </w:r>
      <w:r w:rsidRPr="0071150A">
        <w:t xml:space="preserve"> the statewide gonorrhea incidence rate of 1</w:t>
      </w:r>
      <w:r w:rsidR="391EE389" w:rsidRPr="0071150A">
        <w:t>29.9</w:t>
      </w:r>
      <w:r w:rsidRPr="0071150A">
        <w:t xml:space="preserve"> per 100,000 population was lower than the </w:t>
      </w:r>
      <w:r w:rsidR="2227C35D" w:rsidRPr="0071150A">
        <w:t>2021</w:t>
      </w:r>
      <w:r w:rsidRPr="0071150A">
        <w:t xml:space="preserve"> national rate of 2</w:t>
      </w:r>
      <w:r w:rsidR="0E5F4B5B" w:rsidRPr="0071150A">
        <w:t>14.0</w:t>
      </w:r>
      <w:r w:rsidRPr="0071150A">
        <w:t xml:space="preserve"> per 100,000.</w:t>
      </w:r>
      <w:r w:rsidR="00271362" w:rsidRPr="0071150A">
        <w:rPr>
          <w:rStyle w:val="FootnoteReference"/>
        </w:rPr>
        <w:footnoteReference w:id="35"/>
      </w:r>
    </w:p>
    <w:p w14:paraId="67D77623" w14:textId="2A846A6E" w:rsidR="00AA6A7E" w:rsidRPr="0071150A" w:rsidRDefault="239C8778">
      <w:pPr>
        <w:pStyle w:val="spaced6"/>
        <w:numPr>
          <w:ilvl w:val="1"/>
          <w:numId w:val="4"/>
        </w:numPr>
      </w:pPr>
      <w:r w:rsidRPr="0071150A">
        <w:t xml:space="preserve">Massachusetts ranked </w:t>
      </w:r>
      <w:r w:rsidR="16FF1598" w:rsidRPr="0071150A">
        <w:t>40</w:t>
      </w:r>
      <w:r w:rsidR="16FF1598" w:rsidRPr="2F702A1B">
        <w:rPr>
          <w:vertAlign w:val="superscript"/>
        </w:rPr>
        <w:t>th</w:t>
      </w:r>
      <w:r w:rsidR="16FF1598" w:rsidRPr="0071150A">
        <w:t xml:space="preserve"> </w:t>
      </w:r>
      <w:r w:rsidRPr="0071150A">
        <w:t xml:space="preserve">in gonorrhea incidence rate among the </w:t>
      </w:r>
      <w:r w:rsidR="688F0DBB" w:rsidRPr="0071150A">
        <w:t>49</w:t>
      </w:r>
      <w:r w:rsidRPr="0071150A">
        <w:t xml:space="preserve"> states </w:t>
      </w:r>
      <w:r w:rsidR="0AD2AE3D" w:rsidRPr="0071150A">
        <w:t xml:space="preserve">reporting gonorrhea incidence </w:t>
      </w:r>
      <w:r w:rsidRPr="0071150A">
        <w:t>in 202</w:t>
      </w:r>
      <w:r w:rsidR="0258AF6E" w:rsidRPr="0071150A">
        <w:t>1</w:t>
      </w:r>
      <w:r w:rsidR="00CF68F6">
        <w:t>, the last year for which these national data are publicly available</w:t>
      </w:r>
      <w:r w:rsidRPr="0071150A">
        <w:t>.</w:t>
      </w:r>
      <w:r w:rsidR="00271362" w:rsidRPr="0071150A">
        <w:rPr>
          <w:rStyle w:val="FootnoteReference"/>
        </w:rPr>
        <w:footnoteReference w:id="36"/>
      </w:r>
    </w:p>
    <w:p w14:paraId="4FDBFF3F" w14:textId="4528FD5C" w:rsidR="00AA6A7E" w:rsidRPr="0071150A" w:rsidRDefault="639A647D">
      <w:pPr>
        <w:pStyle w:val="spaced6"/>
      </w:pPr>
      <w:r w:rsidRPr="0071150A">
        <w:t xml:space="preserve">Gonorrhea cases continued to be clustered in </w:t>
      </w:r>
      <w:r w:rsidR="02888166" w:rsidRPr="0071150A">
        <w:t>the most populated cities</w:t>
      </w:r>
      <w:r w:rsidRPr="0071150A">
        <w:t xml:space="preserve"> in Massachusetts in 202</w:t>
      </w:r>
      <w:r w:rsidR="00E52F6D">
        <w:t>2</w:t>
      </w:r>
      <w:r w:rsidRPr="0071150A">
        <w:t>.</w:t>
      </w:r>
    </w:p>
    <w:p w14:paraId="45DBE842" w14:textId="44412259" w:rsidR="00AA6A7E" w:rsidRPr="0071150A" w:rsidRDefault="525A09E0">
      <w:pPr>
        <w:pStyle w:val="spaced6"/>
      </w:pPr>
      <w:r w:rsidRPr="0071150A">
        <w:lastRenderedPageBreak/>
        <w:t>The five cities</w:t>
      </w:r>
      <w:r w:rsidR="00271362" w:rsidRPr="0071150A">
        <w:rPr>
          <w:rStyle w:val="FootnoteReference"/>
        </w:rPr>
        <w:footnoteReference w:id="37"/>
      </w:r>
      <w:r w:rsidRPr="0071150A">
        <w:t xml:space="preserve"> with the highest gonorrhea incidence rates in 202</w:t>
      </w:r>
      <w:r w:rsidR="3A6A08FA" w:rsidRPr="0071150A">
        <w:t>2</w:t>
      </w:r>
      <w:r w:rsidRPr="0071150A">
        <w:t xml:space="preserve"> were Provincetown (2,</w:t>
      </w:r>
      <w:r w:rsidR="0901193B" w:rsidRPr="0071150A">
        <w:t>101.53</w:t>
      </w:r>
      <w:r w:rsidRPr="0071150A">
        <w:t xml:space="preserve"> per 100,000),</w:t>
      </w:r>
      <w:r w:rsidR="00271362" w:rsidRPr="0071150A">
        <w:rPr>
          <w:rStyle w:val="FootnoteReference"/>
        </w:rPr>
        <w:footnoteReference w:id="38"/>
      </w:r>
      <w:r w:rsidRPr="0071150A">
        <w:t xml:space="preserve"> Springfield (</w:t>
      </w:r>
      <w:r w:rsidR="2BA3636C" w:rsidRPr="0071150A">
        <w:t>389.9</w:t>
      </w:r>
      <w:r w:rsidRPr="0071150A">
        <w:t xml:space="preserve"> per 100,000), </w:t>
      </w:r>
      <w:r w:rsidR="5C3E1A90" w:rsidRPr="0071150A">
        <w:t>Brockton</w:t>
      </w:r>
      <w:r w:rsidRPr="0071150A">
        <w:t xml:space="preserve"> (3</w:t>
      </w:r>
      <w:r w:rsidR="17F21064" w:rsidRPr="0071150A">
        <w:t>74.9</w:t>
      </w:r>
      <w:r w:rsidRPr="0071150A">
        <w:t xml:space="preserve"> per 100,000), B</w:t>
      </w:r>
      <w:r w:rsidR="357C1779" w:rsidRPr="0071150A">
        <w:t>oston</w:t>
      </w:r>
      <w:r w:rsidRPr="0071150A">
        <w:t xml:space="preserve"> (3</w:t>
      </w:r>
      <w:r w:rsidR="4443E43F" w:rsidRPr="0071150A">
        <w:t>67.5</w:t>
      </w:r>
      <w:r w:rsidRPr="0071150A">
        <w:t xml:space="preserve"> per 100,000), and </w:t>
      </w:r>
      <w:r w:rsidR="5E9393EA" w:rsidRPr="0071150A">
        <w:t>Holyoke</w:t>
      </w:r>
      <w:r w:rsidRPr="0071150A">
        <w:t xml:space="preserve"> (3</w:t>
      </w:r>
      <w:r w:rsidR="53EEF912" w:rsidRPr="0071150A">
        <w:t>24.3</w:t>
      </w:r>
      <w:r w:rsidRPr="0071150A">
        <w:t xml:space="preserve"> per 100,000). </w:t>
      </w:r>
    </w:p>
    <w:p w14:paraId="4718FD12" w14:textId="66232413" w:rsidR="00540C4B" w:rsidRPr="00540C4B" w:rsidRDefault="00214D30" w:rsidP="00540C4B">
      <w:pPr>
        <w:pStyle w:val="Heading2"/>
      </w:pPr>
      <w:r w:rsidRPr="38A4F72D">
        <w:rPr>
          <w:color w:val="FF0000"/>
        </w:rPr>
        <w:br w:type="page"/>
      </w:r>
      <w:bookmarkStart w:id="12" w:name="_Toc154057116"/>
      <w:r w:rsidR="18CF13D8">
        <w:lastRenderedPageBreak/>
        <w:t>SVI AMONG GONORRHEA CASES BY CITY/TOWN</w:t>
      </w:r>
      <w:bookmarkEnd w:id="12"/>
    </w:p>
    <w:p w14:paraId="567A2678" w14:textId="77777777" w:rsidR="00540C4B" w:rsidRPr="00540C4B" w:rsidRDefault="00540C4B" w:rsidP="00540C4B">
      <w:pPr>
        <w:rPr>
          <w:szCs w:val="24"/>
        </w:rPr>
      </w:pPr>
      <w:r w:rsidRPr="00540C4B">
        <w:rPr>
          <w:b/>
          <w:bCs/>
          <w:szCs w:val="24"/>
        </w:rPr>
        <w:t xml:space="preserve">Figure 9. </w:t>
      </w:r>
      <w:r w:rsidRPr="00540C4B">
        <w:rPr>
          <w:szCs w:val="24"/>
        </w:rPr>
        <w:t>Median overall Social Vulnerability Index (SVI) by city/town for confirmed gonorrhea cases, Massachusetts 2022</w:t>
      </w:r>
    </w:p>
    <w:p w14:paraId="12D418AA" w14:textId="77777777" w:rsidR="00540C4B" w:rsidRDefault="00540C4B" w:rsidP="005C6590">
      <w:pPr>
        <w:rPr>
          <w:color w:val="FF0000"/>
          <w:szCs w:val="24"/>
        </w:rPr>
      </w:pPr>
      <w:r>
        <w:rPr>
          <w:noProof/>
          <w:color w:val="FF0000"/>
          <w:szCs w:val="24"/>
        </w:rPr>
        <w:drawing>
          <wp:inline distT="0" distB="0" distL="0" distR="0" wp14:anchorId="61671F8F" wp14:editId="3456008D">
            <wp:extent cx="6176010" cy="4486910"/>
            <wp:effectExtent l="0" t="0" r="0" b="8890"/>
            <wp:docPr id="1253927607" name="Picture 1253927607" descr="The figure is a map of Massachusetts displaying the Median overall Social Vulnerability Index (SVI) by city/town. The SVI index ranges from 00.00 to 1.00, with increasing darkness in blue color indicating higher SVI index. Cities with no reported cases are marked with cross-hat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27607" name="Picture 7" descr="The figure is a map of Massachusetts displaying the Median overall Social Vulnerability Index (SVI) by city/town. The SVI index ranges from 00.00 to 1.00, with increasing darkness in blue color indicating higher SVI index. Cities with no reported cases are marked with cross-hatch.&#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6010" cy="4486910"/>
                    </a:xfrm>
                    <a:prstGeom prst="rect">
                      <a:avLst/>
                    </a:prstGeom>
                    <a:noFill/>
                  </pic:spPr>
                </pic:pic>
              </a:graphicData>
            </a:graphic>
          </wp:inline>
        </w:drawing>
      </w:r>
    </w:p>
    <w:p w14:paraId="2E86736E" w14:textId="11CF7C16" w:rsidR="00540C4B" w:rsidRPr="00540C4B" w:rsidRDefault="3CB1020B" w:rsidP="00540C4B">
      <w:pPr>
        <w:rPr>
          <w:sz w:val="20"/>
          <w:szCs w:val="20"/>
        </w:rPr>
      </w:pPr>
      <w:r w:rsidRPr="4B61FEBB">
        <w:rPr>
          <w:sz w:val="20"/>
          <w:szCs w:val="20"/>
        </w:rPr>
        <w:t>Note: Census tract level overall SVI values for 2020 were obtained from the CDC/Agency for Toxic Substance and Disease Registry and assigned to all cases based on their street address at diagnosis</w:t>
      </w:r>
      <w:r w:rsidR="7C02F0D6" w:rsidRPr="4B61FEBB">
        <w:rPr>
          <w:sz w:val="20"/>
          <w:szCs w:val="20"/>
        </w:rPr>
        <w:t>, 295 cases were excluded from this analysis because address was unknown or the</w:t>
      </w:r>
      <w:r w:rsidR="6689B7EF" w:rsidRPr="4B61FEBB">
        <w:rPr>
          <w:sz w:val="20"/>
          <w:szCs w:val="20"/>
        </w:rPr>
        <w:t xml:space="preserve"> individuals</w:t>
      </w:r>
      <w:r w:rsidR="7C02F0D6" w:rsidRPr="4B61FEBB">
        <w:rPr>
          <w:sz w:val="20"/>
          <w:szCs w:val="20"/>
        </w:rPr>
        <w:t xml:space="preserve"> were homeless</w:t>
      </w:r>
      <w:r w:rsidRPr="4B61FEBB">
        <w:rPr>
          <w:sz w:val="20"/>
          <w:szCs w:val="20"/>
        </w:rPr>
        <w:t>. City/Town level median is calculated from the median SVI score for that city/town among gonorrhea cases. Values range from 0 to 1, with higher values implying greater social vulnerability. Map should be interpreted with caution as it displays median SVI scores for cities/towns with one or more cases.</w:t>
      </w:r>
    </w:p>
    <w:p w14:paraId="77071395" w14:textId="0550A7C4" w:rsidR="00540C4B" w:rsidRPr="00540C4B" w:rsidRDefault="00540C4B" w:rsidP="00540C4B">
      <w:pPr>
        <w:rPr>
          <w:sz w:val="20"/>
          <w:szCs w:val="20"/>
        </w:rPr>
      </w:pPr>
      <w:r w:rsidRPr="00540C4B">
        <w:rPr>
          <w:sz w:val="20"/>
          <w:szCs w:val="20"/>
        </w:rPr>
        <w:t xml:space="preserve">Data Sources: CDC/Agency for Toxic Substance and Disease, Bureau of Infectious Disease and Laboratory Sciences, data are current as of 7/21/2023 and subject to </w:t>
      </w:r>
      <w:r w:rsidR="00566AE2" w:rsidRPr="00540C4B">
        <w:rPr>
          <w:sz w:val="20"/>
          <w:szCs w:val="20"/>
        </w:rPr>
        <w:t>change.</w:t>
      </w:r>
    </w:p>
    <w:p w14:paraId="6CB8143D" w14:textId="77777777" w:rsidR="00540C4B" w:rsidRPr="00540C4B" w:rsidRDefault="00540C4B" w:rsidP="005C6590">
      <w:pPr>
        <w:rPr>
          <w:szCs w:val="24"/>
        </w:rPr>
      </w:pPr>
    </w:p>
    <w:p w14:paraId="467B9FF9" w14:textId="5777D6E6" w:rsidR="00540C4B" w:rsidRPr="00540C4B" w:rsidRDefault="18CF13D8" w:rsidP="00540C4B">
      <w:pPr>
        <w:numPr>
          <w:ilvl w:val="0"/>
          <w:numId w:val="58"/>
        </w:numPr>
        <w:spacing w:after="120"/>
      </w:pPr>
      <w:r w:rsidRPr="53F41526">
        <w:t>In 2022,</w:t>
      </w:r>
      <w:r w:rsidRPr="00540C4B">
        <w:rPr>
          <w:rStyle w:val="FootnoteReference"/>
          <w:color w:val="FF0000"/>
        </w:rPr>
        <w:t xml:space="preserve"> </w:t>
      </w:r>
      <w:r w:rsidR="00540C4B" w:rsidRPr="00540C4B">
        <w:rPr>
          <w:rStyle w:val="FootnoteReference"/>
        </w:rPr>
        <w:footnoteReference w:id="39"/>
      </w:r>
      <w:r w:rsidRPr="53F41526">
        <w:t xml:space="preserve"> the median SVI score among confirmed gonorrhea cases in Massachusetts was 0.753</w:t>
      </w:r>
      <w:r w:rsidR="208F9D0D" w:rsidRPr="53F41526">
        <w:t xml:space="preserve">, which would be categorized as highly </w:t>
      </w:r>
      <w:r w:rsidR="00566AE2" w:rsidRPr="53F41526">
        <w:t>vulnerable.</w:t>
      </w:r>
    </w:p>
    <w:p w14:paraId="6679BB31" w14:textId="03F26675" w:rsidR="00540C4B" w:rsidRPr="00540C4B" w:rsidRDefault="00540C4B" w:rsidP="005C6590">
      <w:pPr>
        <w:numPr>
          <w:ilvl w:val="0"/>
          <w:numId w:val="58"/>
        </w:numPr>
        <w:rPr>
          <w:szCs w:val="24"/>
        </w:rPr>
      </w:pPr>
      <w:r w:rsidRPr="00540C4B">
        <w:rPr>
          <w:szCs w:val="24"/>
        </w:rPr>
        <w:t xml:space="preserve">The five cities with the highest SVI scores </w:t>
      </w:r>
      <w:r w:rsidR="001A0F6A" w:rsidRPr="001A0F6A">
        <w:rPr>
          <w:szCs w:val="24"/>
        </w:rPr>
        <w:t xml:space="preserve">(i.e., the most highly vulnerable) </w:t>
      </w:r>
      <w:r w:rsidRPr="00540C4B">
        <w:rPr>
          <w:szCs w:val="24"/>
        </w:rPr>
        <w:t>among confirmed gonorrhea cases in 2022 were Lawrence (0.960), Taunton (0.934), Holyoke (0.927), Milford (0.917), and Chelsea (0.892)</w:t>
      </w:r>
      <w:r>
        <w:rPr>
          <w:szCs w:val="24"/>
        </w:rPr>
        <w:t>.</w:t>
      </w:r>
    </w:p>
    <w:p w14:paraId="0A88AA9B" w14:textId="77777777" w:rsidR="00540C4B" w:rsidRDefault="00540C4B" w:rsidP="005C6590">
      <w:pPr>
        <w:rPr>
          <w:color w:val="FF0000"/>
          <w:szCs w:val="24"/>
        </w:rPr>
      </w:pPr>
    </w:p>
    <w:p w14:paraId="103E08DC" w14:textId="7D87055D" w:rsidR="00214D30" w:rsidRPr="00991A6F" w:rsidRDefault="00540C4B" w:rsidP="005C6590">
      <w:pPr>
        <w:rPr>
          <w:color w:val="FF0000"/>
          <w:szCs w:val="24"/>
        </w:rPr>
      </w:pPr>
      <w:r>
        <w:rPr>
          <w:color w:val="FF0000"/>
          <w:szCs w:val="24"/>
        </w:rPr>
        <w:br w:type="page"/>
      </w:r>
    </w:p>
    <w:p w14:paraId="03C8518E" w14:textId="75CC7F6E" w:rsidR="00AA6A7E" w:rsidRPr="00BF5623" w:rsidRDefault="00936271" w:rsidP="38A4F72D">
      <w:pPr>
        <w:pStyle w:val="Heading1"/>
        <w:rPr>
          <w:b w:val="0"/>
        </w:rPr>
      </w:pPr>
      <w:bookmarkStart w:id="13" w:name="_Toc154057117"/>
      <w:r>
        <w:lastRenderedPageBreak/>
        <w:t>SYPHILIS</w:t>
      </w:r>
      <w:bookmarkEnd w:id="13"/>
    </w:p>
    <w:p w14:paraId="4141889C" w14:textId="584F60D9" w:rsidR="00936271" w:rsidRPr="00BF5623" w:rsidRDefault="00936271" w:rsidP="00936271">
      <w:pPr>
        <w:pStyle w:val="Heading2"/>
      </w:pPr>
      <w:bookmarkStart w:id="14" w:name="_Toc154057118"/>
      <w:r>
        <w:t>SYPHILIS BY GENDER</w:t>
      </w:r>
      <w:bookmarkEnd w:id="14"/>
    </w:p>
    <w:p w14:paraId="2882D72C" w14:textId="24FE9AE2" w:rsidR="00936271" w:rsidRPr="00991A6F" w:rsidRDefault="00BF5623" w:rsidP="00936271">
      <w:pPr>
        <w:rPr>
          <w:color w:val="FF0000"/>
        </w:rPr>
      </w:pPr>
      <w:r w:rsidRPr="00BF5623">
        <w:t>Syphilis is a sexually transmitted infection that can be spread through sexual contact with an infected person. The first symptom of syphilis infection is a sore or chancre at the site of inoculation that is usually firm, round, and painless. The most recognized symptom of the second stage of infection is a body rash which can be present on the palms of hands and soles of feet. As with primary syphilis symptoms, secondary symptoms also resolve with or without treatment. After the secondary stage of syphilis, untreated infected individuals enter a time of latent syphilis that can last for years. Individuals with syphilis are thought to be most infectious for the first year after acquisition. Syphilis infection can also be transmitted to an infant during pregnancy and birth. Syphilis transmission to an unborn baby is a serious complication of syphilis infection among pregnant individuals. From 2019 to 2022, the annual number of probable cases of congenital syphilis diagnosed in Massachusetts ranged from nine to eleven after remaining between zero and four from 2011 to 2018. Syphilis is treatable and it is possible to be re-infected with repeated exposure. For more information</w:t>
      </w:r>
      <w:r w:rsidR="007F4F6F">
        <w:t>,</w:t>
      </w:r>
      <w:r w:rsidRPr="00BF5623">
        <w:t xml:space="preserve"> see </w:t>
      </w:r>
      <w:hyperlink r:id="rId33">
        <w:r w:rsidR="03E03252" w:rsidRPr="00BF5623">
          <w:rPr>
            <w:rStyle w:val="Hyperlink"/>
            <w:color w:val="3333FF"/>
          </w:rPr>
          <w:t>https://www.cdc.gov/std/syphilis/stdfact-syphilis-detailed.htm</w:t>
        </w:r>
      </w:hyperlink>
      <w:r w:rsidR="03E03252" w:rsidRPr="00BF5623">
        <w:rPr>
          <w:color w:val="3333FF"/>
        </w:rPr>
        <w:t xml:space="preserve"> </w:t>
      </w:r>
    </w:p>
    <w:p w14:paraId="60111BEC" w14:textId="47518624" w:rsidR="00BB1D78" w:rsidRPr="00BF5623" w:rsidRDefault="00BB1D78" w:rsidP="005C6590">
      <w:pPr>
        <w:rPr>
          <w:szCs w:val="24"/>
        </w:rPr>
      </w:pPr>
    </w:p>
    <w:p w14:paraId="72B8249C" w14:textId="289D2385" w:rsidR="00936271" w:rsidRPr="00BF5623" w:rsidRDefault="00936271" w:rsidP="00936271">
      <w:pPr>
        <w:rPr>
          <w:szCs w:val="24"/>
        </w:rPr>
      </w:pPr>
      <w:r w:rsidRPr="00BF5623">
        <w:rPr>
          <w:b/>
          <w:bCs/>
          <w:szCs w:val="24"/>
        </w:rPr>
        <w:t xml:space="preserve">Figure </w:t>
      </w:r>
      <w:r w:rsidR="00BF5623" w:rsidRPr="00BF5623">
        <w:rPr>
          <w:b/>
          <w:bCs/>
          <w:szCs w:val="24"/>
        </w:rPr>
        <w:t>10</w:t>
      </w:r>
      <w:r w:rsidRPr="00BF5623">
        <w:rPr>
          <w:b/>
          <w:bCs/>
          <w:szCs w:val="24"/>
        </w:rPr>
        <w:t xml:space="preserve">. </w:t>
      </w:r>
      <w:r w:rsidRPr="00BF5623">
        <w:rPr>
          <w:szCs w:val="24"/>
        </w:rPr>
        <w:t xml:space="preserve">Number of confirmed and probable infectious syphilis cases reported by gender, Massachusetts </w:t>
      </w:r>
      <w:r w:rsidR="00171016" w:rsidRPr="00BF5623">
        <w:rPr>
          <w:szCs w:val="24"/>
        </w:rPr>
        <w:t>2013–2022</w:t>
      </w:r>
    </w:p>
    <w:p w14:paraId="3A241D37" w14:textId="5688896C" w:rsidR="000A5FB0" w:rsidRPr="000A5FB0" w:rsidRDefault="00936271" w:rsidP="7017D928">
      <w:pPr>
        <w:rPr>
          <w:sz w:val="20"/>
          <w:szCs w:val="20"/>
        </w:rPr>
      </w:pPr>
      <w:r w:rsidRPr="7017D928">
        <w:rPr>
          <w:rFonts w:ascii="Arial Narrow" w:eastAsiaTheme="minorEastAsia" w:hAnsi="Arial Narrow"/>
          <w:color w:val="FF0000"/>
          <w:kern w:val="24"/>
          <w:sz w:val="16"/>
          <w:szCs w:val="16"/>
        </w:rPr>
        <w:t xml:space="preserve"> </w:t>
      </w:r>
    </w:p>
    <w:p w14:paraId="6F130F95" w14:textId="2F2F809B" w:rsidR="000A5FB0" w:rsidRPr="000A5FB0" w:rsidRDefault="4EA1C144" w:rsidP="7017D928">
      <w:r>
        <w:rPr>
          <w:noProof/>
        </w:rPr>
        <w:drawing>
          <wp:inline distT="0" distB="0" distL="0" distR="0" wp14:anchorId="157FBD03" wp14:editId="63361AC4">
            <wp:extent cx="5845428" cy="3970020"/>
            <wp:effectExtent l="0" t="0" r="3175" b="0"/>
            <wp:docPr id="1417359542" name="Picture 1417359542" descr="The figure is a trendline graph displaying the number of infectious syphilis cases for four groups (male gender, female gender, transgender/nonbinary and statewide total) for each year from 2013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59542" name="Picture 1417359542" descr="The figure is a trendline graph displaying the number of infectious syphilis cases for four groups (male gender, female gender, transgender/nonbinary and statewide total) for each year from 2013 to 2022.&#10;"/>
                    <pic:cNvPicPr/>
                  </pic:nvPicPr>
                  <pic:blipFill>
                    <a:blip r:embed="rId34">
                      <a:extLst>
                        <a:ext uri="{28A0092B-C50C-407E-A947-70E740481C1C}">
                          <a14:useLocalDpi xmlns:a14="http://schemas.microsoft.com/office/drawing/2010/main" val="0"/>
                        </a:ext>
                      </a:extLst>
                    </a:blip>
                    <a:stretch>
                      <a:fillRect/>
                    </a:stretch>
                  </pic:blipFill>
                  <pic:spPr>
                    <a:xfrm>
                      <a:off x="0" y="0"/>
                      <a:ext cx="5853444" cy="3975464"/>
                    </a:xfrm>
                    <a:prstGeom prst="rect">
                      <a:avLst/>
                    </a:prstGeom>
                  </pic:spPr>
                </pic:pic>
              </a:graphicData>
            </a:graphic>
          </wp:inline>
        </w:drawing>
      </w:r>
    </w:p>
    <w:p w14:paraId="410BE12A" w14:textId="243EA743" w:rsidR="000A5FB0" w:rsidRPr="000A5FB0" w:rsidRDefault="000A5FB0" w:rsidP="7017D928">
      <w:pPr>
        <w:rPr>
          <w:sz w:val="20"/>
          <w:szCs w:val="20"/>
        </w:rPr>
      </w:pPr>
    </w:p>
    <w:p w14:paraId="539D54E2" w14:textId="017EF1B2" w:rsidR="000A5FB0" w:rsidRPr="000A5FB0" w:rsidRDefault="000A5FB0" w:rsidP="000A5FB0">
      <w:pPr>
        <w:rPr>
          <w:sz w:val="20"/>
          <w:szCs w:val="20"/>
        </w:rPr>
      </w:pPr>
      <w:r w:rsidRPr="000A5FB0">
        <w:rPr>
          <w:sz w:val="20"/>
          <w:szCs w:val="20"/>
        </w:rPr>
        <w:t xml:space="preserve">Note: Cases with no gender reported (2013–2022: N=3) are included in the statewide total but are not depicted in Figure 10 separately due to small numbers. Data Source: Bureau of Infectious Disease and Laboratory Sciences, data are current as of 7/21/2023 and subject to </w:t>
      </w:r>
      <w:r w:rsidR="007F4F6F" w:rsidRPr="000A5FB0">
        <w:rPr>
          <w:sz w:val="20"/>
          <w:szCs w:val="20"/>
        </w:rPr>
        <w:t>change.</w:t>
      </w:r>
    </w:p>
    <w:p w14:paraId="71C3EF23" w14:textId="55CE36D8" w:rsidR="00936271" w:rsidRPr="000A5FB0" w:rsidRDefault="00936271" w:rsidP="00936271">
      <w:pPr>
        <w:rPr>
          <w:sz w:val="20"/>
          <w:szCs w:val="20"/>
        </w:rPr>
      </w:pPr>
    </w:p>
    <w:p w14:paraId="75C1CF96" w14:textId="25738E49" w:rsidR="000A5FB0" w:rsidRPr="000A5FB0" w:rsidRDefault="48CB3582" w:rsidP="000A5FB0">
      <w:pPr>
        <w:pStyle w:val="spaced6"/>
        <w:rPr>
          <w:rFonts w:ascii="Calibri" w:eastAsia="Calibri" w:hAnsi="Calibri" w:cs="Calibri"/>
        </w:rPr>
      </w:pPr>
      <w:r w:rsidRPr="000A5FB0">
        <w:lastRenderedPageBreak/>
        <w:t>The</w:t>
      </w:r>
      <w:r w:rsidR="0D1CAA86" w:rsidRPr="000A5FB0">
        <w:t xml:space="preserve"> </w:t>
      </w:r>
      <w:r w:rsidR="04D1F035" w:rsidRPr="000A5FB0">
        <w:t>total</w:t>
      </w:r>
      <w:r w:rsidRPr="000A5FB0">
        <w:t xml:space="preserve"> number of </w:t>
      </w:r>
      <w:r w:rsidR="000A5FB0" w:rsidRPr="000A5FB0">
        <w:t xml:space="preserve">reported confirmed and probable </w:t>
      </w:r>
      <w:r w:rsidRPr="000A5FB0">
        <w:t>infectious syphilis cases</w:t>
      </w:r>
      <w:r w:rsidR="00936271" w:rsidRPr="000A5FB0">
        <w:rPr>
          <w:rStyle w:val="FootnoteReference"/>
        </w:rPr>
        <w:footnoteReference w:id="40"/>
      </w:r>
      <w:r w:rsidRPr="000A5FB0">
        <w:t xml:space="preserve"> i</w:t>
      </w:r>
      <w:r w:rsidR="000A5FB0" w:rsidRPr="000A5FB0">
        <w:t>ncreased to a ten-year high of 1,244 in 2019, decreased slightly to 1,159 in 2020, and then increased to a new high of 1,593 in 2022.</w:t>
      </w:r>
      <w:r w:rsidR="00936271" w:rsidRPr="000A5FB0">
        <w:rPr>
          <w:rStyle w:val="FootnoteReference"/>
        </w:rPr>
        <w:footnoteReference w:id="41"/>
      </w:r>
      <w:r w:rsidRPr="000A5FB0">
        <w:rPr>
          <w:rStyle w:val="FootnoteReference"/>
        </w:rPr>
        <w:t xml:space="preserve"> </w:t>
      </w:r>
      <w:r w:rsidR="0D1CAA86" w:rsidRPr="000A5FB0">
        <w:t xml:space="preserve"> </w:t>
      </w:r>
      <w:r w:rsidR="000A5FB0" w:rsidRPr="000A5FB0">
        <w:rPr>
          <w:rFonts w:ascii="Calibri" w:eastAsia="Calibri" w:hAnsi="Calibri" w:cs="Calibri"/>
        </w:rPr>
        <w:t xml:space="preserve">In 2022, the new ten-year high was observed among both males (N=1,354) and females (N=181). </w:t>
      </w:r>
    </w:p>
    <w:p w14:paraId="575E4C33" w14:textId="77777777" w:rsidR="000A5FB0" w:rsidRPr="000A5FB0" w:rsidRDefault="000A5FB0" w:rsidP="000A5FB0">
      <w:pPr>
        <w:numPr>
          <w:ilvl w:val="0"/>
          <w:numId w:val="4"/>
        </w:numPr>
        <w:spacing w:after="120"/>
      </w:pPr>
      <w:r w:rsidRPr="000A5FB0">
        <w:t>The total number of infectious syphilis cases increased by 2.3 times from 2013 (N=701) to 2022 (N=1,593). In the most recent five years from 2018 to 2022 the number of cases increased by 36% (from 1,170 to 1,593).</w:t>
      </w:r>
      <w:r w:rsidRPr="000A5FB0">
        <w:rPr>
          <w:vertAlign w:val="superscript"/>
        </w:rPr>
        <w:t xml:space="preserve"> </w:t>
      </w:r>
    </w:p>
    <w:p w14:paraId="579E14AC" w14:textId="77777777" w:rsidR="000A5FB0" w:rsidRPr="000A5FB0" w:rsidRDefault="000A5FB0" w:rsidP="000A5FB0">
      <w:pPr>
        <w:numPr>
          <w:ilvl w:val="0"/>
          <w:numId w:val="4"/>
        </w:numPr>
        <w:spacing w:after="120"/>
      </w:pPr>
      <w:r w:rsidRPr="000A5FB0">
        <w:t>Between 2013 and 2022, the proportion of syphilis cases among males remained between 85% and 94% each year. In 2022, there were 7.5 times as many syphilis cases reported among males (N=1,354) as among females (N=181).</w:t>
      </w:r>
    </w:p>
    <w:p w14:paraId="668BE3A6" w14:textId="027A8076" w:rsidR="000A5FB0" w:rsidRPr="000A5FB0" w:rsidRDefault="3CFBDBCC" w:rsidP="000A5FB0">
      <w:pPr>
        <w:numPr>
          <w:ilvl w:val="0"/>
          <w:numId w:val="4"/>
        </w:numPr>
        <w:spacing w:after="120"/>
      </w:pPr>
      <w:r>
        <w:t>In 2022, 5</w:t>
      </w:r>
      <w:r w:rsidR="43B8CB21">
        <w:t>8</w:t>
      </w:r>
      <w:r>
        <w:t xml:space="preserve"> syphilis cases were reported among individuals of transgender experience and</w:t>
      </w:r>
      <w:r w:rsidR="771956F7">
        <w:t>/or</w:t>
      </w:r>
      <w:r>
        <w:t xml:space="preserve"> nonbinary</w:t>
      </w:r>
      <w:r w:rsidR="5FC817E3">
        <w:t xml:space="preserve"> individuals</w:t>
      </w:r>
      <w:r>
        <w:t>. Please note reported numbers among individuals of transgender experience and individuals who are nonbinary are likely to be underestimates as there may be underreporting or misreporting of gender due to the absence of appropriate collection of gender options (e.g., individuals who are genderqueer, pangender, gender fluid, androgynous, etc.).</w:t>
      </w:r>
    </w:p>
    <w:p w14:paraId="1D93F16A" w14:textId="63B74D71" w:rsidR="002F56FF" w:rsidRPr="000A5FB0" w:rsidRDefault="002F56FF" w:rsidP="000A5FB0">
      <w:pPr>
        <w:spacing w:after="120"/>
        <w:rPr>
          <w:szCs w:val="24"/>
        </w:rPr>
      </w:pPr>
      <w:r w:rsidRPr="000A5FB0">
        <w:rPr>
          <w:szCs w:val="24"/>
        </w:rPr>
        <w:br w:type="page"/>
      </w:r>
    </w:p>
    <w:p w14:paraId="0A22CA96" w14:textId="43C3955B" w:rsidR="00936271" w:rsidRPr="00265838" w:rsidRDefault="002F56FF" w:rsidP="38A4F72D">
      <w:pPr>
        <w:pStyle w:val="Heading2"/>
      </w:pPr>
      <w:bookmarkStart w:id="15" w:name="_Toc154057119"/>
      <w:r>
        <w:lastRenderedPageBreak/>
        <w:t>SYPHILIS BY AGE</w:t>
      </w:r>
      <w:bookmarkEnd w:id="15"/>
    </w:p>
    <w:p w14:paraId="3EA56899" w14:textId="02A4768F" w:rsidR="002F56FF" w:rsidRPr="00265838" w:rsidRDefault="14856048" w:rsidP="002F56FF">
      <w:r w:rsidRPr="00265838">
        <w:rPr>
          <w:b/>
          <w:bCs/>
        </w:rPr>
        <w:t xml:space="preserve">Figure </w:t>
      </w:r>
      <w:r w:rsidR="00265838" w:rsidRPr="00265838">
        <w:rPr>
          <w:b/>
          <w:bCs/>
        </w:rPr>
        <w:t>11</w:t>
      </w:r>
      <w:r w:rsidRPr="00265838">
        <w:rPr>
          <w:b/>
          <w:bCs/>
        </w:rPr>
        <w:t xml:space="preserve">. </w:t>
      </w:r>
      <w:r w:rsidRPr="00265838">
        <w:t>Number of confirmed and probable infectious syphilis</w:t>
      </w:r>
      <w:r w:rsidR="00446A17" w:rsidRPr="00265838">
        <w:rPr>
          <w:rStyle w:val="FootnoteReference"/>
        </w:rPr>
        <w:footnoteReference w:id="42"/>
      </w:r>
      <w:r w:rsidRPr="00265838">
        <w:t xml:space="preserve"> cases reported by age group (years), Massachusetts </w:t>
      </w:r>
      <w:r w:rsidR="00171016" w:rsidRPr="00265838">
        <w:t>2013–2022</w:t>
      </w:r>
    </w:p>
    <w:p w14:paraId="4145A65D" w14:textId="309ED455" w:rsidR="002F56FF" w:rsidRPr="00265838" w:rsidRDefault="002F56FF" w:rsidP="002F56FF"/>
    <w:p w14:paraId="14FD3732" w14:textId="3DC45F94" w:rsidR="2F702A1B" w:rsidRDefault="2F702A1B" w:rsidP="2F702A1B">
      <w:pPr>
        <w:rPr>
          <w:sz w:val="20"/>
          <w:szCs w:val="20"/>
        </w:rPr>
      </w:pPr>
    </w:p>
    <w:p w14:paraId="27277920" w14:textId="46B79D55" w:rsidR="2054D9A8" w:rsidRDefault="2054D9A8" w:rsidP="2F702A1B">
      <w:r>
        <w:rPr>
          <w:noProof/>
        </w:rPr>
        <w:drawing>
          <wp:inline distT="0" distB="0" distL="0" distR="0" wp14:anchorId="19970A39" wp14:editId="63D7B2B5">
            <wp:extent cx="6181725" cy="4945380"/>
            <wp:effectExtent l="0" t="0" r="0" b="0"/>
            <wp:docPr id="844940233" name="Picture 844940233" descr="The figure is a stacked bar chart displaying trends in the annual number of syphilis cases for seven age groups (&lt;15, 15-19, 20-24, 25-29, 30-39, 40-49, and 50+) from 2013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40233" name="Picture 844940233" descr="The figure is a stacked bar chart displaying trends in the annual number of syphilis cases for seven age groups (&lt;15, 15-19, 20-24, 25-29, 30-39, 40-49, and 50+) from 2013 to 2022.&#10;"/>
                    <pic:cNvPicPr/>
                  </pic:nvPicPr>
                  <pic:blipFill>
                    <a:blip r:embed="rId35">
                      <a:extLst>
                        <a:ext uri="{28A0092B-C50C-407E-A947-70E740481C1C}">
                          <a14:useLocalDpi xmlns:a14="http://schemas.microsoft.com/office/drawing/2010/main" val="0"/>
                        </a:ext>
                      </a:extLst>
                    </a:blip>
                    <a:stretch>
                      <a:fillRect/>
                    </a:stretch>
                  </pic:blipFill>
                  <pic:spPr>
                    <a:xfrm>
                      <a:off x="0" y="0"/>
                      <a:ext cx="6181941" cy="4945553"/>
                    </a:xfrm>
                    <a:prstGeom prst="rect">
                      <a:avLst/>
                    </a:prstGeom>
                  </pic:spPr>
                </pic:pic>
              </a:graphicData>
            </a:graphic>
          </wp:inline>
        </w:drawing>
      </w:r>
    </w:p>
    <w:p w14:paraId="65664584" w14:textId="140B8A50" w:rsidR="2F702A1B" w:rsidRDefault="2F702A1B" w:rsidP="2F702A1B">
      <w:pPr>
        <w:rPr>
          <w:sz w:val="20"/>
          <w:szCs w:val="20"/>
        </w:rPr>
      </w:pPr>
    </w:p>
    <w:p w14:paraId="75F31171" w14:textId="77777777" w:rsidR="00265838" w:rsidRPr="00265838" w:rsidRDefault="00265838" w:rsidP="00265838">
      <w:pPr>
        <w:rPr>
          <w:sz w:val="20"/>
          <w:szCs w:val="20"/>
        </w:rPr>
      </w:pPr>
      <w:r w:rsidRPr="00265838">
        <w:rPr>
          <w:sz w:val="20"/>
          <w:szCs w:val="20"/>
        </w:rPr>
        <w:t>Note: All syphilis cases from 2013 to 2022 were reported with age, none were excluded from this figure</w:t>
      </w:r>
    </w:p>
    <w:p w14:paraId="08F10CEF" w14:textId="46AECFF7" w:rsidR="00265838" w:rsidRPr="00265838" w:rsidRDefault="00265838" w:rsidP="00265838">
      <w:pPr>
        <w:rPr>
          <w:sz w:val="20"/>
          <w:szCs w:val="20"/>
        </w:rPr>
      </w:pPr>
      <w:r w:rsidRPr="00265838">
        <w:rPr>
          <w:sz w:val="20"/>
          <w:szCs w:val="20"/>
        </w:rPr>
        <w:t>Data Source: Bureau of Infectious Disease and Laboratory Sciences, data are current as of 7/21/2023 and subject to change</w:t>
      </w:r>
      <w:r w:rsidR="00B1580A">
        <w:rPr>
          <w:sz w:val="20"/>
          <w:szCs w:val="20"/>
        </w:rPr>
        <w:t>.</w:t>
      </w:r>
    </w:p>
    <w:p w14:paraId="2ECED54E" w14:textId="77777777" w:rsidR="00446A17" w:rsidRPr="00265838" w:rsidRDefault="00446A17" w:rsidP="002F56FF">
      <w:pPr>
        <w:rPr>
          <w:sz w:val="20"/>
          <w:szCs w:val="20"/>
        </w:rPr>
      </w:pPr>
    </w:p>
    <w:p w14:paraId="76D7510E" w14:textId="77777777" w:rsidR="00265838" w:rsidRPr="00265838" w:rsidRDefault="00265838" w:rsidP="00265838">
      <w:pPr>
        <w:pStyle w:val="spaced6"/>
      </w:pPr>
      <w:r w:rsidRPr="00265838">
        <w:t>From 2013 to 2022</w:t>
      </w:r>
      <w:r w:rsidR="13F2DECB" w:rsidRPr="00265838">
        <w:t>,</w:t>
      </w:r>
      <w:r w:rsidR="00446A17" w:rsidRPr="00265838">
        <w:rPr>
          <w:rStyle w:val="FootnoteReference"/>
        </w:rPr>
        <w:footnoteReference w:id="43"/>
      </w:r>
      <w:r w:rsidR="13F2DECB" w:rsidRPr="00265838">
        <w:t xml:space="preserve"> </w:t>
      </w:r>
      <w:r w:rsidRPr="00265838">
        <w:t xml:space="preserve">the largest increases in the number of reported confirmed and probable infectious syphilis cases were among individuals aged 30–39 years (by 2.7 times from 191 to 513), and individuals aged 25–29 (by 2.5 times from 113 to 285). </w:t>
      </w:r>
    </w:p>
    <w:p w14:paraId="326D3700" w14:textId="17A46317" w:rsidR="00D839FD" w:rsidRPr="00265838" w:rsidRDefault="7470603C" w:rsidP="00265838">
      <w:pPr>
        <w:pStyle w:val="spaced6"/>
      </w:pPr>
      <w:r>
        <w:t xml:space="preserve">The largest number of reported confirmed and probable infectious syphilis cases was among 30–39 year-olds for the past decade. </w:t>
      </w:r>
    </w:p>
    <w:p w14:paraId="14EBA5B1" w14:textId="30E22F2B" w:rsidR="002F56FF" w:rsidRPr="004623E2" w:rsidRDefault="00D839FD" w:rsidP="38A4F72D">
      <w:pPr>
        <w:pStyle w:val="Heading2"/>
      </w:pPr>
      <w:bookmarkStart w:id="16" w:name="_Toc154057120"/>
      <w:r>
        <w:lastRenderedPageBreak/>
        <w:t>SYPHILIS BY CITY/TOWN</w:t>
      </w:r>
      <w:bookmarkEnd w:id="16"/>
    </w:p>
    <w:p w14:paraId="4B7E5093" w14:textId="7B5D97A0" w:rsidR="00D839FD" w:rsidRPr="0071150A" w:rsidRDefault="7FA42140" w:rsidP="00D839FD">
      <w:r w:rsidRPr="0071150A">
        <w:rPr>
          <w:b/>
          <w:bCs/>
        </w:rPr>
        <w:t>Figure 1</w:t>
      </w:r>
      <w:r w:rsidR="004623E2" w:rsidRPr="0071150A">
        <w:rPr>
          <w:b/>
          <w:bCs/>
        </w:rPr>
        <w:t>2</w:t>
      </w:r>
      <w:r w:rsidRPr="0071150A">
        <w:rPr>
          <w:b/>
          <w:bCs/>
        </w:rPr>
        <w:t>.</w:t>
      </w:r>
      <w:r w:rsidRPr="0071150A">
        <w:t xml:space="preserve"> Incidence rate of confirmed and probable infectious syphilis</w:t>
      </w:r>
      <w:r w:rsidR="00D839FD" w:rsidRPr="0071150A">
        <w:rPr>
          <w:rStyle w:val="FootnoteReference"/>
        </w:rPr>
        <w:footnoteReference w:id="44"/>
      </w:r>
      <w:r w:rsidRPr="0071150A">
        <w:t xml:space="preserve"> cases per 100,000 population reported by city/town, Massachusetts, 202</w:t>
      </w:r>
      <w:r w:rsidR="5659F49C" w:rsidRPr="0071150A">
        <w:t>2</w:t>
      </w:r>
    </w:p>
    <w:p w14:paraId="70384B47" w14:textId="223A8BD3" w:rsidR="00D839FD" w:rsidRPr="00991A6F" w:rsidRDefault="00D839FD" w:rsidP="00D839FD">
      <w:pPr>
        <w:rPr>
          <w:color w:val="FF0000"/>
        </w:rPr>
      </w:pPr>
    </w:p>
    <w:p w14:paraId="4222DC22" w14:textId="1D1DB1C4" w:rsidR="2F702A1B" w:rsidRDefault="2F702A1B" w:rsidP="2F702A1B">
      <w:pPr>
        <w:rPr>
          <w:sz w:val="20"/>
          <w:szCs w:val="20"/>
        </w:rPr>
      </w:pPr>
    </w:p>
    <w:p w14:paraId="1F1F6116" w14:textId="1B8E1105" w:rsidR="1AE13E10" w:rsidRDefault="565E5DC8" w:rsidP="7017D928">
      <w:r>
        <w:rPr>
          <w:noProof/>
        </w:rPr>
        <w:drawing>
          <wp:inline distT="0" distB="0" distL="0" distR="0" wp14:anchorId="0B13D652" wp14:editId="13488618">
            <wp:extent cx="4572000" cy="2886075"/>
            <wp:effectExtent l="0" t="0" r="0" b="0"/>
            <wp:docPr id="1730709192" name="Picture 1730709192" descr="The figure is a rate map of Massachusetts displaying the incidence rate of syphilis cases per 100,000 population by city/town. Cities and towns are in one of seven categories: no reported cases, less than or equal to 4 per 100,000, 5 - 14 per 100,000, 15 - 24 per 100,000, 25 - 39 per 100,000, or 40 - 59 per 100,000, and greater than or equal to 6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09192" name="Picture 1730709192" descr="The figure is a rate map of Massachusetts displaying the incidence rate of syphilis cases per 100,000 population by city/town. Cities and towns are in one of seven categories: no reported cases, less than or equal to 4 per 100,000, 5 - 14 per 100,000, 15 - 24 per 100,000, 25 - 39 per 100,000, or 40 - 59 per 100,000, and greater than or equal to 60 per 100,000.&#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2B516679" w14:textId="32E03371" w:rsidR="2F702A1B" w:rsidRDefault="2F702A1B" w:rsidP="2F702A1B">
      <w:pPr>
        <w:rPr>
          <w:sz w:val="20"/>
          <w:szCs w:val="20"/>
        </w:rPr>
      </w:pPr>
    </w:p>
    <w:p w14:paraId="40A08D5B" w14:textId="14676AA0" w:rsidR="00D839FD" w:rsidRPr="0071150A" w:rsidRDefault="14FED9CE" w:rsidP="2F702A1B">
      <w:pPr>
        <w:rPr>
          <w:sz w:val="20"/>
          <w:szCs w:val="20"/>
        </w:rPr>
      </w:pPr>
      <w:r w:rsidRPr="00F345D5">
        <w:rPr>
          <w:sz w:val="20"/>
          <w:szCs w:val="20"/>
          <w:vertAlign w:val="superscript"/>
        </w:rPr>
        <w:t xml:space="preserve">1 </w:t>
      </w:r>
      <w:r w:rsidRPr="2F702A1B">
        <w:rPr>
          <w:sz w:val="20"/>
          <w:szCs w:val="20"/>
        </w:rPr>
        <w:t xml:space="preserve">Population based on University of Massachusetts Donahue Institute Estimates. </w:t>
      </w:r>
    </w:p>
    <w:p w14:paraId="383C2E32" w14:textId="057C9111" w:rsidR="00D839FD" w:rsidRPr="0071150A" w:rsidRDefault="14FED9CE" w:rsidP="2F702A1B">
      <w:pPr>
        <w:rPr>
          <w:sz w:val="20"/>
          <w:szCs w:val="20"/>
        </w:rPr>
      </w:pPr>
      <w:r w:rsidRPr="2F702A1B">
        <w:rPr>
          <w:sz w:val="20"/>
          <w:szCs w:val="20"/>
        </w:rPr>
        <w:t xml:space="preserve">There are seven city/towns with &lt;10 cases of syphilis that fall within the top two rate categories (≥40 cases per 100,00): </w:t>
      </w:r>
      <w:r w:rsidR="00A21445" w:rsidRPr="2F702A1B">
        <w:rPr>
          <w:sz w:val="20"/>
          <w:szCs w:val="20"/>
        </w:rPr>
        <w:t>Truro, Oakham, West Brookfield, Berlin, Millis, Holbrook</w:t>
      </w:r>
      <w:r w:rsidRPr="2F702A1B">
        <w:rPr>
          <w:sz w:val="20"/>
          <w:szCs w:val="20"/>
        </w:rPr>
        <w:t xml:space="preserve">, and </w:t>
      </w:r>
      <w:r w:rsidR="00A21445" w:rsidRPr="2F702A1B">
        <w:rPr>
          <w:sz w:val="20"/>
          <w:szCs w:val="20"/>
        </w:rPr>
        <w:t>Dennis</w:t>
      </w:r>
      <w:r w:rsidRPr="2F702A1B">
        <w:rPr>
          <w:sz w:val="20"/>
          <w:szCs w:val="20"/>
        </w:rPr>
        <w:t xml:space="preserve">. </w:t>
      </w:r>
    </w:p>
    <w:p w14:paraId="09FB3BF2" w14:textId="729F9F6F" w:rsidR="00D839FD" w:rsidRPr="0071150A" w:rsidRDefault="00D839FD" w:rsidP="00D839FD">
      <w:pPr>
        <w:rPr>
          <w:sz w:val="20"/>
          <w:szCs w:val="20"/>
        </w:rPr>
      </w:pPr>
      <w:r w:rsidRPr="2F702A1B">
        <w:rPr>
          <w:sz w:val="20"/>
          <w:szCs w:val="20"/>
        </w:rPr>
        <w:t>Note: regional data include individuals tested in a correctional facility.</w:t>
      </w:r>
    </w:p>
    <w:p w14:paraId="06377228" w14:textId="3B6D03AF" w:rsidR="00D839FD" w:rsidRPr="0071150A" w:rsidRDefault="00D839FD" w:rsidP="00D839FD">
      <w:pPr>
        <w:spacing w:after="120"/>
        <w:rPr>
          <w:sz w:val="20"/>
          <w:szCs w:val="20"/>
        </w:rPr>
      </w:pPr>
      <w:r w:rsidRPr="2F702A1B">
        <w:rPr>
          <w:sz w:val="20"/>
          <w:szCs w:val="20"/>
        </w:rPr>
        <w:t xml:space="preserve">Data Source: Bureau of Infectious Disease and Laboratory Sciences, data are current as of </w:t>
      </w:r>
      <w:r w:rsidR="00794545" w:rsidRPr="2F702A1B">
        <w:rPr>
          <w:sz w:val="20"/>
          <w:szCs w:val="20"/>
        </w:rPr>
        <w:t>7/</w:t>
      </w:r>
      <w:r w:rsidR="565E6BB5" w:rsidRPr="2F702A1B">
        <w:rPr>
          <w:sz w:val="20"/>
          <w:szCs w:val="20"/>
        </w:rPr>
        <w:t>10</w:t>
      </w:r>
      <w:r w:rsidR="00794545" w:rsidRPr="2F702A1B">
        <w:rPr>
          <w:sz w:val="20"/>
          <w:szCs w:val="20"/>
        </w:rPr>
        <w:t>/2023</w:t>
      </w:r>
      <w:r w:rsidRPr="2F702A1B">
        <w:rPr>
          <w:sz w:val="20"/>
          <w:szCs w:val="20"/>
        </w:rPr>
        <w:t xml:space="preserve"> and subject to change</w:t>
      </w:r>
      <w:r w:rsidR="00B1580A">
        <w:rPr>
          <w:sz w:val="20"/>
          <w:szCs w:val="20"/>
        </w:rPr>
        <w:t>.</w:t>
      </w:r>
    </w:p>
    <w:p w14:paraId="6B90B4CF" w14:textId="2D9B12CE" w:rsidR="00D839FD" w:rsidRPr="0071150A" w:rsidRDefault="12805114">
      <w:pPr>
        <w:pStyle w:val="spaced6"/>
      </w:pPr>
      <w:r w:rsidRPr="0071150A">
        <w:t xml:space="preserve">The statewide infectious syphilis incidence rate increased over the past ten years to 17.7 per 100,000 in 2019, decreased to 16.6 per 100,000 in 2020, and then increased to a ten-year high of </w:t>
      </w:r>
      <w:r w:rsidR="24740319" w:rsidRPr="0071150A">
        <w:t>22.7</w:t>
      </w:r>
      <w:r w:rsidRPr="0071150A">
        <w:t xml:space="preserve"> in 202</w:t>
      </w:r>
      <w:r w:rsidR="35FF874A" w:rsidRPr="0071150A">
        <w:t>2</w:t>
      </w:r>
      <w:r w:rsidRPr="0071150A">
        <w:t>.</w:t>
      </w:r>
      <w:r w:rsidR="00D839FD" w:rsidRPr="0071150A">
        <w:rPr>
          <w:rStyle w:val="FootnoteReference"/>
        </w:rPr>
        <w:footnoteReference w:id="45"/>
      </w:r>
      <w:r w:rsidRPr="0071150A">
        <w:t xml:space="preserve"> </w:t>
      </w:r>
    </w:p>
    <w:p w14:paraId="29754763" w14:textId="01722373" w:rsidR="00D839FD" w:rsidRPr="0071150A" w:rsidRDefault="7FA42140">
      <w:pPr>
        <w:pStyle w:val="spaced6"/>
        <w:numPr>
          <w:ilvl w:val="1"/>
          <w:numId w:val="4"/>
        </w:numPr>
      </w:pPr>
      <w:r w:rsidRPr="0071150A">
        <w:t xml:space="preserve">Massachusetts ranked </w:t>
      </w:r>
      <w:r w:rsidR="42D4C747">
        <w:t>33</w:t>
      </w:r>
      <w:r w:rsidR="42D4C747" w:rsidRPr="2F702A1B">
        <w:rPr>
          <w:vertAlign w:val="superscript"/>
        </w:rPr>
        <w:t>rd</w:t>
      </w:r>
      <w:r w:rsidR="42D4C747">
        <w:t xml:space="preserve"> in primary and secondary syphilis incidence rate among the 49 states reporting syphilis incidence in 2021</w:t>
      </w:r>
      <w:r w:rsidR="00E52F6D">
        <w:t>, the last year for which these national data are publicly available</w:t>
      </w:r>
      <w:r w:rsidRPr="0071150A">
        <w:t>.</w:t>
      </w:r>
      <w:r w:rsidR="00D839FD" w:rsidRPr="0071150A">
        <w:rPr>
          <w:rStyle w:val="FootnoteReference"/>
        </w:rPr>
        <w:footnoteReference w:id="46"/>
      </w:r>
    </w:p>
    <w:p w14:paraId="7B374F72" w14:textId="4281752A" w:rsidR="00F80263" w:rsidRPr="0071150A" w:rsidRDefault="12805114" w:rsidP="00F80263">
      <w:pPr>
        <w:pStyle w:val="spaced6"/>
      </w:pPr>
      <w:r w:rsidRPr="0071150A">
        <w:lastRenderedPageBreak/>
        <w:t>The five cities</w:t>
      </w:r>
      <w:r w:rsidR="00D839FD" w:rsidRPr="0071150A">
        <w:rPr>
          <w:rStyle w:val="FootnoteReference"/>
        </w:rPr>
        <w:footnoteReference w:id="47"/>
      </w:r>
      <w:r w:rsidRPr="0071150A">
        <w:t xml:space="preserve"> with the highest infectious syphilis incidence rates were </w:t>
      </w:r>
      <w:r w:rsidR="777D24F4" w:rsidRPr="0071150A">
        <w:t>Provincetown</w:t>
      </w:r>
      <w:r w:rsidRPr="0071150A">
        <w:t xml:space="preserve"> (5</w:t>
      </w:r>
      <w:r w:rsidR="7117FD81" w:rsidRPr="0071150A">
        <w:t>37.2</w:t>
      </w:r>
      <w:r w:rsidRPr="0071150A">
        <w:t xml:space="preserve"> per 100,000),</w:t>
      </w:r>
      <w:r w:rsidR="17297E76" w:rsidRPr="2F702A1B">
        <w:rPr>
          <w:rFonts w:ascii="Calibri" w:eastAsia="Calibri" w:hAnsi="Calibri" w:cs="Calibri"/>
          <w:color w:val="000000" w:themeColor="text1"/>
          <w:sz w:val="19"/>
          <w:szCs w:val="19"/>
        </w:rPr>
        <w:t xml:space="preserve"> </w:t>
      </w:r>
      <w:r w:rsidRPr="2F702A1B">
        <w:rPr>
          <w:rStyle w:val="FootnoteReference"/>
        </w:rPr>
        <w:footnoteReference w:id="48"/>
      </w:r>
      <w:r w:rsidRPr="0071150A">
        <w:t xml:space="preserve"> </w:t>
      </w:r>
      <w:r w:rsidR="2C810C03" w:rsidRPr="0071150A">
        <w:t>Chelsea</w:t>
      </w:r>
      <w:r w:rsidRPr="0071150A">
        <w:t xml:space="preserve"> (</w:t>
      </w:r>
      <w:r w:rsidR="15E34569" w:rsidRPr="0071150A">
        <w:t>85.4</w:t>
      </w:r>
      <w:r w:rsidRPr="0071150A">
        <w:t xml:space="preserve"> per 100,000), </w:t>
      </w:r>
      <w:r w:rsidR="052B87D8" w:rsidRPr="0071150A">
        <w:t>Everett</w:t>
      </w:r>
      <w:r w:rsidRPr="0071150A">
        <w:t xml:space="preserve"> (</w:t>
      </w:r>
      <w:r w:rsidR="459B71CB" w:rsidRPr="0071150A">
        <w:t>68.9</w:t>
      </w:r>
      <w:r w:rsidRPr="0071150A">
        <w:t xml:space="preserve"> per 100,000), </w:t>
      </w:r>
      <w:r w:rsidR="1E830FA6" w:rsidRPr="0071150A">
        <w:t>Boston</w:t>
      </w:r>
      <w:r w:rsidRPr="0071150A">
        <w:t xml:space="preserve"> (</w:t>
      </w:r>
      <w:r w:rsidR="17DF99B5" w:rsidRPr="0071150A">
        <w:t>60.1</w:t>
      </w:r>
      <w:r w:rsidRPr="0071150A">
        <w:t xml:space="preserve"> per 100,000), and </w:t>
      </w:r>
      <w:r w:rsidR="4A532D83" w:rsidRPr="0071150A">
        <w:t>Springfield</w:t>
      </w:r>
      <w:r w:rsidRPr="0071150A">
        <w:t xml:space="preserve"> (</w:t>
      </w:r>
      <w:r w:rsidR="27E1F41C" w:rsidRPr="0071150A">
        <w:t>57.8</w:t>
      </w:r>
      <w:r w:rsidRPr="0071150A">
        <w:t xml:space="preserve"> per 100,000).</w:t>
      </w:r>
    </w:p>
    <w:p w14:paraId="16F5C2C0" w14:textId="78269537" w:rsidR="004623E2" w:rsidRPr="00C12AC1" w:rsidRDefault="00D62257" w:rsidP="53F41526">
      <w:pPr>
        <w:pStyle w:val="Heading2"/>
      </w:pPr>
      <w:r>
        <w:br w:type="page"/>
      </w:r>
      <w:bookmarkStart w:id="17" w:name="_Toc154057121"/>
      <w:r w:rsidR="06A358D9">
        <w:lastRenderedPageBreak/>
        <w:t>SVI AMONG SYPHILIS CASES BY CITY/TOWN</w:t>
      </w:r>
      <w:bookmarkEnd w:id="17"/>
    </w:p>
    <w:p w14:paraId="40D2617F" w14:textId="77777777" w:rsidR="00F80263" w:rsidRPr="00F80263" w:rsidRDefault="00F80263" w:rsidP="00F80263">
      <w:r w:rsidRPr="00F80263">
        <w:rPr>
          <w:b/>
          <w:bCs/>
        </w:rPr>
        <w:t xml:space="preserve">Figure 13. </w:t>
      </w:r>
      <w:r w:rsidRPr="00F80263">
        <w:t>Median overall Social Vulnerability Index (SVI) by city/town for infectious syphilis cases, Massachusetts 2022</w:t>
      </w:r>
    </w:p>
    <w:p w14:paraId="313D35DE" w14:textId="7B7891CA" w:rsidR="00F80263" w:rsidRPr="00F80263" w:rsidRDefault="00F80263" w:rsidP="00F80263"/>
    <w:p w14:paraId="1C364E20" w14:textId="16949472" w:rsidR="4B61FEBB" w:rsidRDefault="4B61FEBB" w:rsidP="4B61FEBB">
      <w:pPr>
        <w:pStyle w:val="spaced6"/>
        <w:numPr>
          <w:ilvl w:val="0"/>
          <w:numId w:val="0"/>
        </w:numPr>
        <w:spacing w:after="0"/>
        <w:rPr>
          <w:sz w:val="20"/>
          <w:szCs w:val="20"/>
        </w:rPr>
      </w:pPr>
    </w:p>
    <w:p w14:paraId="08472AD4" w14:textId="77C8AE64" w:rsidR="19D89D47" w:rsidRDefault="19D89D47">
      <w:pPr>
        <w:pStyle w:val="ListParagraph"/>
        <w:rPr>
          <w:szCs w:val="24"/>
        </w:rPr>
      </w:pPr>
      <w:r>
        <w:rPr>
          <w:noProof/>
        </w:rPr>
        <w:drawing>
          <wp:inline distT="0" distB="0" distL="0" distR="0" wp14:anchorId="01B936F1" wp14:editId="2E83F03D">
            <wp:extent cx="4572000" cy="3581400"/>
            <wp:effectExtent l="0" t="0" r="0" b="0"/>
            <wp:docPr id="2101694561" name="Picture 2101694561" descr="The figure is a map of Massachusetts displaying the Median overall Social Vulnerability Index (SVI) by city/town for syphilis cases. The SVI index ranges from 00.00 to 1.00, with increasing darkness in blue color indicating higher SVI index. Cities with no reported cases are marked with cross-hat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94561" name="Picture 2101694561" descr="The figure is a map of Massachusetts displaying the Median overall Social Vulnerability Index (SVI) by city/town for syphilis cases. The SVI index ranges from 00.00 to 1.00, with increasing darkness in blue color indicating higher SVI index. Cities with no reported cases are marked with cross-hatch.&#10;"/>
                    <pic:cNvPicPr/>
                  </pic:nvPicPr>
                  <pic:blipFill>
                    <a:blip r:embed="rId37">
                      <a:extLst>
                        <a:ext uri="{28A0092B-C50C-407E-A947-70E740481C1C}">
                          <a14:useLocalDpi xmlns:a14="http://schemas.microsoft.com/office/drawing/2010/main" val="0"/>
                        </a:ext>
                      </a:extLst>
                    </a:blip>
                    <a:stretch>
                      <a:fillRect/>
                    </a:stretch>
                  </pic:blipFill>
                  <pic:spPr>
                    <a:xfrm>
                      <a:off x="0" y="0"/>
                      <a:ext cx="4572000" cy="3581400"/>
                    </a:xfrm>
                    <a:prstGeom prst="rect">
                      <a:avLst/>
                    </a:prstGeom>
                  </pic:spPr>
                </pic:pic>
              </a:graphicData>
            </a:graphic>
          </wp:inline>
        </w:drawing>
      </w:r>
    </w:p>
    <w:p w14:paraId="472C1EB9" w14:textId="0637F382" w:rsidR="00F80263" w:rsidRPr="00F80263" w:rsidRDefault="605D5D57" w:rsidP="00F80263">
      <w:pPr>
        <w:pStyle w:val="spaced6"/>
        <w:numPr>
          <w:ilvl w:val="0"/>
          <w:numId w:val="0"/>
        </w:numPr>
        <w:spacing w:after="0"/>
        <w:rPr>
          <w:sz w:val="20"/>
          <w:szCs w:val="20"/>
        </w:rPr>
      </w:pPr>
      <w:r w:rsidRPr="4B61FEBB">
        <w:rPr>
          <w:sz w:val="20"/>
          <w:szCs w:val="20"/>
        </w:rPr>
        <w:t>Note: Census tract level overall SVI values for 2020 were obtained from the CDC/Agency for Toxic Substance and Disease Registry and assigned to all cases based on their street address at diagnosis</w:t>
      </w:r>
      <w:r w:rsidR="56B9383A" w:rsidRPr="4B61FEBB">
        <w:rPr>
          <w:sz w:val="20"/>
          <w:szCs w:val="20"/>
        </w:rPr>
        <w:t>, 54 cases were excluded from this analysis because address was unknown or the</w:t>
      </w:r>
      <w:r w:rsidR="5DE9EDB2" w:rsidRPr="4B61FEBB">
        <w:rPr>
          <w:sz w:val="20"/>
          <w:szCs w:val="20"/>
        </w:rPr>
        <w:t xml:space="preserve"> individuals</w:t>
      </w:r>
      <w:r w:rsidR="56B9383A" w:rsidRPr="4B61FEBB">
        <w:rPr>
          <w:sz w:val="20"/>
          <w:szCs w:val="20"/>
        </w:rPr>
        <w:t xml:space="preserve"> were homeless</w:t>
      </w:r>
      <w:r w:rsidRPr="4B61FEBB">
        <w:rPr>
          <w:sz w:val="20"/>
          <w:szCs w:val="20"/>
        </w:rPr>
        <w:t>. City/Town level median is calculated from the median SVI score for that city/town among infectious syphilis cases. Values range from 0 to 1, with higher values implying greater social vulnerability. Map should be interpreted with caution as it displays median SVI scores for cities/towns with one or more cases.</w:t>
      </w:r>
    </w:p>
    <w:p w14:paraId="02A370A8" w14:textId="06A9524A" w:rsidR="00F80263" w:rsidRPr="00F80263" w:rsidRDefault="00F80263" w:rsidP="00F80263">
      <w:pPr>
        <w:pStyle w:val="spaced6"/>
        <w:numPr>
          <w:ilvl w:val="0"/>
          <w:numId w:val="0"/>
        </w:numPr>
        <w:rPr>
          <w:sz w:val="20"/>
          <w:szCs w:val="20"/>
        </w:rPr>
      </w:pPr>
      <w:r w:rsidRPr="00F80263">
        <w:rPr>
          <w:sz w:val="20"/>
          <w:szCs w:val="20"/>
        </w:rPr>
        <w:t xml:space="preserve">Data Sources: CDC/Agency for Toxic Substance and Disease, Bureau of Infectious Disease and Laboratory Sciences, data are current as of 7/21/2023 and subject to </w:t>
      </w:r>
      <w:r w:rsidR="005A59A4" w:rsidRPr="00F80263">
        <w:rPr>
          <w:sz w:val="20"/>
          <w:szCs w:val="20"/>
        </w:rPr>
        <w:t>change.</w:t>
      </w:r>
    </w:p>
    <w:p w14:paraId="4F84A009" w14:textId="2B85819E" w:rsidR="00F80263" w:rsidRPr="00F80263" w:rsidRDefault="605D5D57" w:rsidP="00F80263">
      <w:pPr>
        <w:pStyle w:val="spaced6"/>
      </w:pPr>
      <w:r w:rsidRPr="00F80263">
        <w:t>In 2022,</w:t>
      </w:r>
      <w:r w:rsidR="00B45473" w:rsidRPr="00B45473">
        <w:rPr>
          <w:rStyle w:val="FootnoteReference"/>
        </w:rPr>
        <w:footnoteReference w:id="49"/>
      </w:r>
      <w:r w:rsidRPr="00F80263">
        <w:t xml:space="preserve"> the median SVI score among infectious syphilis cases in Massachusetts was 0.7</w:t>
      </w:r>
      <w:r w:rsidR="7C65779E" w:rsidRPr="00F80263">
        <w:t>22</w:t>
      </w:r>
      <w:r w:rsidR="2EA4DE8D">
        <w:t>, which is moderately highly vulnerable</w:t>
      </w:r>
      <w:r w:rsidRPr="00F80263">
        <w:t>.</w:t>
      </w:r>
    </w:p>
    <w:p w14:paraId="2DFC67A4" w14:textId="66CB80FA" w:rsidR="00F80263" w:rsidRPr="00F80263" w:rsidRDefault="605D5D57" w:rsidP="00F80263">
      <w:pPr>
        <w:pStyle w:val="spaced6"/>
      </w:pPr>
      <w:r>
        <w:t xml:space="preserve">The five cities with the highest SVI scores </w:t>
      </w:r>
      <w:r w:rsidR="1A96F41F">
        <w:t>(</w:t>
      </w:r>
      <w:r w:rsidR="005A59A4">
        <w:t>i.e.,</w:t>
      </w:r>
      <w:r w:rsidR="1A96F41F">
        <w:t xml:space="preserve"> the most highly vulnerable) </w:t>
      </w:r>
      <w:r>
        <w:t>among infectious syphilis cases in 2022 were Lawrence (0.948),</w:t>
      </w:r>
      <w:r w:rsidR="00E52F6D">
        <w:t xml:space="preserve"> </w:t>
      </w:r>
      <w:r>
        <w:t xml:space="preserve">Holyoke (0.927), </w:t>
      </w:r>
      <w:r w:rsidR="573639FE">
        <w:t xml:space="preserve">Springfield (0.908), </w:t>
      </w:r>
      <w:r>
        <w:t>Chelsea (0.892), and Lynn (0.888).</w:t>
      </w:r>
    </w:p>
    <w:p w14:paraId="4CB6E0C4" w14:textId="77777777" w:rsidR="00F80263" w:rsidRDefault="00F80263" w:rsidP="00F80263">
      <w:pPr>
        <w:pStyle w:val="spaced6"/>
        <w:numPr>
          <w:ilvl w:val="0"/>
          <w:numId w:val="0"/>
        </w:numPr>
        <w:ind w:left="720" w:hanging="360"/>
        <w:rPr>
          <w:color w:val="FF0000"/>
        </w:rPr>
      </w:pPr>
    </w:p>
    <w:p w14:paraId="0996D2E2" w14:textId="0E7229B6" w:rsidR="004623E2" w:rsidRDefault="004623E2" w:rsidP="00F80263">
      <w:pPr>
        <w:pStyle w:val="spaced6"/>
        <w:numPr>
          <w:ilvl w:val="0"/>
          <w:numId w:val="0"/>
        </w:numPr>
        <w:ind w:left="720" w:hanging="360"/>
        <w:rPr>
          <w:color w:val="FF0000"/>
        </w:rPr>
      </w:pPr>
      <w:r>
        <w:rPr>
          <w:color w:val="FF0000"/>
        </w:rPr>
        <w:br w:type="page"/>
      </w:r>
    </w:p>
    <w:p w14:paraId="5970BE3A" w14:textId="60E312E3" w:rsidR="00D839FD" w:rsidRPr="00591904" w:rsidRDefault="00D62257" w:rsidP="38A4F72D">
      <w:pPr>
        <w:pStyle w:val="Heading1"/>
        <w:rPr>
          <w:b w:val="0"/>
        </w:rPr>
      </w:pPr>
      <w:bookmarkStart w:id="18" w:name="_Toc154057122"/>
      <w:r>
        <w:lastRenderedPageBreak/>
        <w:t>HIV</w:t>
      </w:r>
      <w:bookmarkEnd w:id="18"/>
    </w:p>
    <w:p w14:paraId="02586CF4" w14:textId="728500F7" w:rsidR="00D62257" w:rsidRPr="00591904" w:rsidRDefault="00D62257" w:rsidP="38A4F72D">
      <w:pPr>
        <w:pStyle w:val="Heading2"/>
      </w:pPr>
      <w:bookmarkStart w:id="19" w:name="_Toc154057123"/>
      <w:r>
        <w:t>HIV PREVALENCE</w:t>
      </w:r>
      <w:bookmarkEnd w:id="19"/>
    </w:p>
    <w:p w14:paraId="1E1AEB04" w14:textId="4B8A6A4D" w:rsidR="00D62257" w:rsidRPr="00591904" w:rsidRDefault="52F2E685" w:rsidP="00C44371">
      <w:pPr>
        <w:spacing w:after="120"/>
        <w:rPr>
          <w:szCs w:val="24"/>
        </w:rPr>
      </w:pPr>
      <w:r w:rsidRPr="00591904">
        <w:t>Human immunodeficiency virus (HIV) is transmitted through exposure to blood, semen, vaginal secretions, or breast milk, most commonly through unprotected sex or through sharing injection drug equipment. HIV attacks the body’s immune system, specifically the CD4 cells. Without treatment, HIV can destroy so many of these cells that the body can’t fight off infections and can lead to acquired immunodeficiency syndrome (AIDS). But with proper medical care, HIV can be controlled. People with HIV who get effective HIV treatment can live long, healthy lives and protect their partners by reducing the risk for HIV transmission.</w:t>
      </w:r>
      <w:r w:rsidR="00D62257" w:rsidRPr="00591904">
        <w:rPr>
          <w:rStyle w:val="FootnoteReference"/>
        </w:rPr>
        <w:footnoteReference w:id="50"/>
      </w:r>
    </w:p>
    <w:p w14:paraId="53374FD4" w14:textId="2A8B7018" w:rsidR="00D62257" w:rsidRPr="00591904" w:rsidRDefault="4015D995" w:rsidP="3405EFDC">
      <w:r w:rsidRPr="38A4F72D">
        <w:rPr>
          <w:b/>
          <w:bCs/>
        </w:rPr>
        <w:t>Figure 1</w:t>
      </w:r>
      <w:r w:rsidR="67F966A1" w:rsidRPr="38A4F72D">
        <w:rPr>
          <w:b/>
          <w:bCs/>
        </w:rPr>
        <w:t>4</w:t>
      </w:r>
      <w:r w:rsidRPr="38A4F72D">
        <w:rPr>
          <w:b/>
          <w:bCs/>
        </w:rPr>
        <w:t>.</w:t>
      </w:r>
      <w:r>
        <w:t xml:space="preserve"> Number of persons living with HIV infection, Massachusetts </w:t>
      </w:r>
      <w:r w:rsidR="72333A8E">
        <w:t>2013–2022</w:t>
      </w:r>
    </w:p>
    <w:p w14:paraId="696DFBDF" w14:textId="15224298" w:rsidR="00133F9A" w:rsidRPr="00991A6F" w:rsidRDefault="00591904" w:rsidP="00CF3288">
      <w:pPr>
        <w:rPr>
          <w:color w:val="FF0000"/>
          <w:sz w:val="20"/>
          <w:szCs w:val="20"/>
        </w:rPr>
      </w:pPr>
      <w:r>
        <w:rPr>
          <w:noProof/>
          <w:color w:val="FF0000"/>
          <w:sz w:val="20"/>
          <w:szCs w:val="20"/>
        </w:rPr>
        <w:drawing>
          <wp:inline distT="0" distB="0" distL="0" distR="0" wp14:anchorId="46B13706" wp14:editId="272BCB6F">
            <wp:extent cx="6078220" cy="4054475"/>
            <wp:effectExtent l="0" t="0" r="0" b="0"/>
            <wp:docPr id="105678651" name="Picture 105678651" descr="The figure is a trendline displaying the annual number of individuals living with HIV infection from 2013 (N=21,347) to 2022 (N=23,5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8651" name="Picture 11" descr="The figure is a trendline displaying the annual number of individuals living with HIV infection from 2013 (N=21,347) to 2022 (N=23,597).&#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8220" cy="4054475"/>
                    </a:xfrm>
                    <a:prstGeom prst="rect">
                      <a:avLst/>
                    </a:prstGeom>
                    <a:noFill/>
                  </pic:spPr>
                </pic:pic>
              </a:graphicData>
            </a:graphic>
          </wp:inline>
        </w:drawing>
      </w:r>
    </w:p>
    <w:p w14:paraId="5744B188" w14:textId="603318F4" w:rsidR="00275BD1" w:rsidRDefault="00275BD1" w:rsidP="00275BD1">
      <w:pPr>
        <w:ind w:left="360"/>
        <w:rPr>
          <w:sz w:val="20"/>
          <w:szCs w:val="20"/>
        </w:rPr>
      </w:pPr>
      <w:r w:rsidRPr="00275BD1">
        <w:rPr>
          <w:sz w:val="20"/>
          <w:szCs w:val="20"/>
        </w:rPr>
        <w:t>Data Source: Bureau of Infectious Disease and Laboratory Sciences, data are current as of 7/1/2023 and subject to change</w:t>
      </w:r>
      <w:r w:rsidR="00B1580A">
        <w:rPr>
          <w:sz w:val="20"/>
          <w:szCs w:val="20"/>
        </w:rPr>
        <w:t>.</w:t>
      </w:r>
    </w:p>
    <w:p w14:paraId="7820ACF4" w14:textId="77777777" w:rsidR="00CC2B76" w:rsidRPr="00275BD1" w:rsidRDefault="00CC2B76" w:rsidP="00275BD1">
      <w:pPr>
        <w:ind w:left="360"/>
        <w:rPr>
          <w:sz w:val="20"/>
          <w:szCs w:val="20"/>
        </w:rPr>
      </w:pPr>
    </w:p>
    <w:p w14:paraId="27EB6CE2" w14:textId="7B4924B6" w:rsidR="00445394" w:rsidRPr="00275BD1" w:rsidRDefault="52F2E685" w:rsidP="69F1B494">
      <w:pPr>
        <w:numPr>
          <w:ilvl w:val="0"/>
          <w:numId w:val="5"/>
        </w:numPr>
      </w:pPr>
      <w:r w:rsidRPr="00275BD1">
        <w:t xml:space="preserve">The number of persons living with HIV infection (PLWH) in Massachusetts increased by </w:t>
      </w:r>
      <w:r w:rsidR="00275BD1" w:rsidRPr="00275BD1">
        <w:t>11% from 21,347 at the end of 2013 to 23,597 at the end of 2022.</w:t>
      </w:r>
      <w:r w:rsidR="00D62257" w:rsidRPr="00275BD1">
        <w:rPr>
          <w:rStyle w:val="FootnoteReference"/>
        </w:rPr>
        <w:footnoteReference w:id="51"/>
      </w:r>
      <w:r w:rsidRPr="00275BD1">
        <w:rPr>
          <w:vertAlign w:val="superscript"/>
        </w:rPr>
        <w:t>,</w:t>
      </w:r>
      <w:r w:rsidR="00D62257" w:rsidRPr="00275BD1">
        <w:rPr>
          <w:rStyle w:val="FootnoteReference"/>
        </w:rPr>
        <w:footnoteReference w:id="52"/>
      </w:r>
      <w:r w:rsidRPr="00275BD1">
        <w:rPr>
          <w:szCs w:val="24"/>
        </w:rPr>
        <w:t xml:space="preserve"> </w:t>
      </w:r>
      <w:r w:rsidR="00445394" w:rsidRPr="00275BD1">
        <w:rPr>
          <w:szCs w:val="24"/>
        </w:rPr>
        <w:br w:type="page"/>
      </w:r>
    </w:p>
    <w:p w14:paraId="4FED705D" w14:textId="396C51E9" w:rsidR="00D62257" w:rsidRPr="00CC2B76" w:rsidRDefault="00445394" w:rsidP="00445394">
      <w:pPr>
        <w:pStyle w:val="Heading2"/>
      </w:pPr>
      <w:bookmarkStart w:id="20" w:name="_Toc154057124"/>
      <w:r>
        <w:lastRenderedPageBreak/>
        <w:t>DIAGNOSES AND DEATHS FROM ANY CAUSE AMONG PERSONS REPORTED WITH HIV</w:t>
      </w:r>
      <w:bookmarkEnd w:id="20"/>
    </w:p>
    <w:p w14:paraId="537A139B" w14:textId="69FA53BF" w:rsidR="007C073D" w:rsidRPr="00CC2B76" w:rsidRDefault="2C53A8D1" w:rsidP="034544F5">
      <w:r w:rsidRPr="034544F5">
        <w:rPr>
          <w:b/>
          <w:bCs/>
        </w:rPr>
        <w:t>Figure 1</w:t>
      </w:r>
      <w:r w:rsidR="7527D82B" w:rsidRPr="034544F5">
        <w:rPr>
          <w:b/>
          <w:bCs/>
        </w:rPr>
        <w:t>5</w:t>
      </w:r>
      <w:r w:rsidRPr="034544F5">
        <w:rPr>
          <w:b/>
          <w:bCs/>
        </w:rPr>
        <w:t>.</w:t>
      </w:r>
      <w:r>
        <w:t xml:space="preserve"> Number of HIV infection diagnoses and deaths from any cause among persons with HIV, Massachusetts </w:t>
      </w:r>
      <w:r w:rsidR="72333A8E">
        <w:t>2013–2022</w:t>
      </w:r>
    </w:p>
    <w:p w14:paraId="73045827" w14:textId="6B17E254" w:rsidR="00D62257" w:rsidRPr="00CC2B76" w:rsidRDefault="00CC2B76" w:rsidP="00445394">
      <w:pPr>
        <w:rPr>
          <w:szCs w:val="24"/>
        </w:rPr>
      </w:pPr>
      <w:r>
        <w:rPr>
          <w:noProof/>
          <w:color w:val="FF0000"/>
          <w:szCs w:val="24"/>
        </w:rPr>
        <w:drawing>
          <wp:inline distT="0" distB="0" distL="0" distR="0" wp14:anchorId="6C885D3C" wp14:editId="13B46737">
            <wp:extent cx="6084570" cy="4267835"/>
            <wp:effectExtent l="0" t="0" r="0" b="0"/>
            <wp:docPr id="2067442790" name="Picture 2067442790" descr="The figure is a trendline displaying annual changes in the number of new HIV diagnoses and the number of deaths among individuals with HIV from 2013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42790" name="Picture 12" descr="The figure is a trendline displaying annual changes in the number of new HIV diagnoses and the number of deaths among individuals with HIV from 2013 to 2022.&#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4570" cy="4267835"/>
                    </a:xfrm>
                    <a:prstGeom prst="rect">
                      <a:avLst/>
                    </a:prstGeom>
                    <a:noFill/>
                  </pic:spPr>
                </pic:pic>
              </a:graphicData>
            </a:graphic>
          </wp:inline>
        </w:drawing>
      </w:r>
    </w:p>
    <w:p w14:paraId="68C359F1" w14:textId="23513451" w:rsidR="007C073D" w:rsidRPr="00CC2B76" w:rsidRDefault="007C073D" w:rsidP="007C073D">
      <w:pPr>
        <w:spacing w:after="120"/>
        <w:rPr>
          <w:sz w:val="20"/>
          <w:szCs w:val="20"/>
        </w:rPr>
      </w:pPr>
      <w:r w:rsidRPr="00CC2B76">
        <w:rPr>
          <w:sz w:val="20"/>
          <w:szCs w:val="20"/>
        </w:rPr>
        <w:t>Data Source: Bureau of Infectious Disease and Laboratory Sciences, data are current as of 7/1/202</w:t>
      </w:r>
      <w:r w:rsidR="00CC2B76" w:rsidRPr="00CC2B76">
        <w:rPr>
          <w:sz w:val="20"/>
          <w:szCs w:val="20"/>
        </w:rPr>
        <w:t>3</w:t>
      </w:r>
      <w:r w:rsidRPr="00CC2B76">
        <w:rPr>
          <w:sz w:val="20"/>
          <w:szCs w:val="20"/>
        </w:rPr>
        <w:t xml:space="preserve"> and subject to change</w:t>
      </w:r>
      <w:r w:rsidR="00B1580A">
        <w:rPr>
          <w:sz w:val="20"/>
          <w:szCs w:val="20"/>
        </w:rPr>
        <w:t>.</w:t>
      </w:r>
    </w:p>
    <w:p w14:paraId="43F3C81D" w14:textId="118F7CA6" w:rsidR="007C073D" w:rsidRPr="00CC2B76" w:rsidRDefault="00CC2B76">
      <w:pPr>
        <w:pStyle w:val="spaced6"/>
      </w:pPr>
      <w:r w:rsidRPr="00CC2B76">
        <w:t>After decreasing from 690 diagnoses in 2013 to approximately 640 diagnoses per year from 2014 to 2018 (five-year average = 637), the number of new HIV infection diagnoses declined to 537 in 2019. In 2020, the number of new HIV infection diagnoses further declined to 437 and then remained at this lower level in 2021 and 2022, when there were 449 and 444 diagnoses, respectively</w:t>
      </w:r>
      <w:r w:rsidR="51B6F75E" w:rsidRPr="00CC2B76">
        <w:t>.</w:t>
      </w:r>
      <w:r w:rsidR="007C073D" w:rsidRPr="00CC2B76">
        <w:rPr>
          <w:rStyle w:val="FootnoteReference"/>
        </w:rPr>
        <w:footnoteReference w:id="53"/>
      </w:r>
      <w:r w:rsidR="51B6F75E" w:rsidRPr="00CC2B76">
        <w:t xml:space="preserve"> However, caution should be used in the interpretation of this decline due to the impact of COVID-19 on access to HIV testing and care services, and case surveillance activities. </w:t>
      </w:r>
    </w:p>
    <w:p w14:paraId="6B90F1F1" w14:textId="77777777" w:rsidR="00CC2B76" w:rsidRPr="00CC2B76" w:rsidRDefault="00CC2B76" w:rsidP="00CC2B76">
      <w:pPr>
        <w:numPr>
          <w:ilvl w:val="0"/>
          <w:numId w:val="4"/>
        </w:numPr>
      </w:pPr>
      <w:r w:rsidRPr="00CC2B76">
        <w:t xml:space="preserve">The number of deaths due to any cause among individuals reported with HIV increased by 29% from 276 in 2013 to 355 in 2022. </w:t>
      </w:r>
    </w:p>
    <w:p w14:paraId="16324713" w14:textId="0DADC92A" w:rsidR="00B4171B" w:rsidRPr="00CC2B76" w:rsidRDefault="00B4171B" w:rsidP="00445394">
      <w:pPr>
        <w:rPr>
          <w:szCs w:val="24"/>
        </w:rPr>
      </w:pPr>
      <w:r w:rsidRPr="00CC2B76">
        <w:rPr>
          <w:szCs w:val="24"/>
        </w:rPr>
        <w:br w:type="page"/>
      </w:r>
    </w:p>
    <w:p w14:paraId="509E2821" w14:textId="77777777" w:rsidR="00690F7D" w:rsidRPr="0052111B" w:rsidRDefault="00690F7D" w:rsidP="38A4F72D">
      <w:pPr>
        <w:pStyle w:val="Heading2"/>
      </w:pPr>
      <w:bookmarkStart w:id="21" w:name="_Toc154057125"/>
      <w:r>
        <w:lastRenderedPageBreak/>
        <w:t>HIV DIAGNOSES BY CITY/TOWN</w:t>
      </w:r>
      <w:bookmarkEnd w:id="21"/>
    </w:p>
    <w:p w14:paraId="5E764776" w14:textId="2A1B829F" w:rsidR="00690F7D" w:rsidRPr="0052111B" w:rsidRDefault="00690F7D" w:rsidP="00690F7D">
      <w:r w:rsidRPr="0052111B">
        <w:rPr>
          <w:b/>
          <w:bCs/>
        </w:rPr>
        <w:t>Figure 16.</w:t>
      </w:r>
      <w:r w:rsidRPr="0052111B">
        <w:t xml:space="preserve"> Average annual rate of HIV diagnosis per 100,000 population by city/town,</w:t>
      </w:r>
      <w:r w:rsidRPr="0052111B">
        <w:rPr>
          <w:vertAlign w:val="superscript"/>
        </w:rPr>
        <w:t xml:space="preserve"> </w:t>
      </w:r>
      <w:r w:rsidRPr="0052111B">
        <w:t>Massachusetts 2020–2022</w:t>
      </w:r>
    </w:p>
    <w:p w14:paraId="7AA07306" w14:textId="5C8B9FD1" w:rsidR="00690F7D" w:rsidRPr="00991A6F" w:rsidRDefault="00690F7D" w:rsidP="00690F7D">
      <w:pPr>
        <w:rPr>
          <w:color w:val="FF0000"/>
        </w:rPr>
      </w:pPr>
    </w:p>
    <w:p w14:paraId="0A467DBA" w14:textId="1A262CF6" w:rsidR="7017D928" w:rsidRDefault="7017D928" w:rsidP="7017D928">
      <w:pPr>
        <w:rPr>
          <w:color w:val="FF0000"/>
        </w:rPr>
      </w:pPr>
    </w:p>
    <w:p w14:paraId="0CA68150" w14:textId="4CCEE7E4" w:rsidR="07CBB9B1" w:rsidRDefault="07CBB9B1" w:rsidP="00F345D5">
      <w:pPr>
        <w:pStyle w:val="fignote"/>
        <w:spacing w:after="0"/>
      </w:pPr>
      <w:r>
        <w:rPr>
          <w:noProof/>
        </w:rPr>
        <w:drawing>
          <wp:inline distT="0" distB="0" distL="0" distR="0" wp14:anchorId="2565CDAE" wp14:editId="6B656963">
            <wp:extent cx="6326338" cy="4046220"/>
            <wp:effectExtent l="0" t="0" r="0" b="0"/>
            <wp:docPr id="840238886" name="Picture 840238886" descr="The figure is a rate map of Massachusetts displaying the average annual rate of HIV diagnosis per 100,000 population by city/town. Cities and towns are in one of six categories: no reported cases, less 2.2 per 100,000, 2.3-3.6 per 100,000, 3.7-5.5 per 100,000, 5.6-7.9 per 100,000, or greater than 7.9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8886" name="Picture 840238886" descr="The figure is a rate map of Massachusetts displaying the average annual rate of HIV diagnosis per 100,000 population by city/town. Cities and towns are in one of six categories: no reported cases, less 2.2 per 100,000, 2.3-3.6 per 100,000, 3.7-5.5 per 100,000, 5.6-7.9 per 100,000, or greater than 7.9 per 100,000.&#10;"/>
                    <pic:cNvPicPr/>
                  </pic:nvPicPr>
                  <pic:blipFill>
                    <a:blip r:embed="rId40">
                      <a:extLst>
                        <a:ext uri="{28A0092B-C50C-407E-A947-70E740481C1C}">
                          <a14:useLocalDpi xmlns:a14="http://schemas.microsoft.com/office/drawing/2010/main" val="0"/>
                        </a:ext>
                      </a:extLst>
                    </a:blip>
                    <a:stretch>
                      <a:fillRect/>
                    </a:stretch>
                  </pic:blipFill>
                  <pic:spPr>
                    <a:xfrm>
                      <a:off x="0" y="0"/>
                      <a:ext cx="6333231" cy="4050628"/>
                    </a:xfrm>
                    <a:prstGeom prst="rect">
                      <a:avLst/>
                    </a:prstGeom>
                  </pic:spPr>
                </pic:pic>
              </a:graphicData>
            </a:graphic>
          </wp:inline>
        </w:drawing>
      </w:r>
    </w:p>
    <w:p w14:paraId="7D65AF16" w14:textId="77777777" w:rsidR="008132AB" w:rsidRDefault="008132AB" w:rsidP="00690F7D">
      <w:pPr>
        <w:pStyle w:val="fignote"/>
        <w:spacing w:after="0"/>
      </w:pPr>
    </w:p>
    <w:p w14:paraId="47A899A7" w14:textId="77777777" w:rsidR="008132AB" w:rsidRPr="0071150A" w:rsidRDefault="008132AB" w:rsidP="008132AB">
      <w:pPr>
        <w:rPr>
          <w:sz w:val="20"/>
          <w:szCs w:val="20"/>
        </w:rPr>
      </w:pPr>
      <w:r w:rsidRPr="00F345D5">
        <w:rPr>
          <w:sz w:val="20"/>
          <w:szCs w:val="20"/>
          <w:vertAlign w:val="superscript"/>
        </w:rPr>
        <w:t xml:space="preserve">1 </w:t>
      </w:r>
      <w:r w:rsidRPr="2F702A1B">
        <w:rPr>
          <w:sz w:val="20"/>
          <w:szCs w:val="20"/>
        </w:rPr>
        <w:t xml:space="preserve">Population based on University of Massachusetts Donahue Institute Estimates. </w:t>
      </w:r>
    </w:p>
    <w:p w14:paraId="7869A25D" w14:textId="7037F69A" w:rsidR="00690F7D" w:rsidRPr="00992F88" w:rsidRDefault="00690F7D" w:rsidP="00690F7D">
      <w:pPr>
        <w:pStyle w:val="fignote"/>
        <w:spacing w:after="0"/>
      </w:pPr>
      <w:r w:rsidRPr="00992F88">
        <w:t>Note: regional HIV data exclude individuals diagnosed in a correctional facility.</w:t>
      </w:r>
    </w:p>
    <w:p w14:paraId="0786CD4A" w14:textId="5BC46BD3" w:rsidR="00690F7D" w:rsidRPr="00992F88" w:rsidRDefault="00690F7D" w:rsidP="00690F7D">
      <w:pPr>
        <w:pStyle w:val="fignote"/>
      </w:pPr>
      <w:r w:rsidRPr="00992F88">
        <w:t xml:space="preserve">Data Source: Bureau of Infectious Disease and Laboratory Sciences, data are current as of 7/1/2023 and subject to </w:t>
      </w:r>
      <w:r w:rsidR="005A59A4" w:rsidRPr="00992F88">
        <w:t>change.</w:t>
      </w:r>
    </w:p>
    <w:p w14:paraId="597E3AF7" w14:textId="77777777" w:rsidR="00690F7D" w:rsidRPr="00992F88" w:rsidRDefault="00690F7D" w:rsidP="00690F7D">
      <w:pPr>
        <w:pStyle w:val="spaced6"/>
      </w:pPr>
      <w:r w:rsidRPr="00992F88">
        <w:t>The cities and towns</w:t>
      </w:r>
      <w:r w:rsidRPr="00992F88">
        <w:rPr>
          <w:rStyle w:val="FootnoteReference"/>
        </w:rPr>
        <w:footnoteReference w:id="54"/>
      </w:r>
      <w:r w:rsidRPr="00992F88">
        <w:t xml:space="preserve"> with the highest average annual rate of HIV infection diagnosis during 2020 to 2022</w:t>
      </w:r>
      <w:r w:rsidRPr="00992F88">
        <w:rPr>
          <w:rStyle w:val="FootnoteReference"/>
        </w:rPr>
        <w:footnoteReference w:id="55"/>
      </w:r>
      <w:r w:rsidRPr="00992F88">
        <w:t xml:space="preserve"> </w:t>
      </w:r>
      <w:r w:rsidR="00992F88" w:rsidRPr="00992F88">
        <w:t xml:space="preserve">included Brockton (20.8 per 100,000), Boston (16.6), Malden (15.6), Chelsea (15.5), and Everett (15.5). </w:t>
      </w:r>
    </w:p>
    <w:p w14:paraId="5AA90094" w14:textId="77777777" w:rsidR="00992F88" w:rsidRPr="00992F88" w:rsidRDefault="00992F88" w:rsidP="00690F7D">
      <w:pPr>
        <w:numPr>
          <w:ilvl w:val="0"/>
          <w:numId w:val="4"/>
        </w:numPr>
      </w:pPr>
      <w:r w:rsidRPr="00992F88">
        <w:t>Boston had the highest number of new HIV infection diagnoses from 2020–2022 (N=336), followed by Brockton (N=66).</w:t>
      </w:r>
    </w:p>
    <w:p w14:paraId="50831A8B" w14:textId="77777777" w:rsidR="00690F7D" w:rsidRDefault="00690F7D" w:rsidP="00D164C5">
      <w:pPr>
        <w:rPr>
          <w:color w:val="FF0000"/>
        </w:rPr>
      </w:pPr>
    </w:p>
    <w:p w14:paraId="600BA5F0" w14:textId="77777777" w:rsidR="00D35C56" w:rsidRDefault="00690F7D" w:rsidP="00D164C5">
      <w:pPr>
        <w:rPr>
          <w:color w:val="FF0000"/>
        </w:rPr>
      </w:pPr>
      <w:r>
        <w:rPr>
          <w:color w:val="FF0000"/>
        </w:rPr>
        <w:br w:type="page"/>
      </w:r>
    </w:p>
    <w:p w14:paraId="4D47E34F" w14:textId="77777777" w:rsidR="00D35C56" w:rsidRPr="0052111B" w:rsidRDefault="00D35C56" w:rsidP="38A4F72D">
      <w:pPr>
        <w:pStyle w:val="Heading2"/>
      </w:pPr>
      <w:bookmarkStart w:id="22" w:name="_Toc154057126"/>
      <w:r>
        <w:lastRenderedPageBreak/>
        <w:t>HIV PREVALENCE BY CITY/TOWN</w:t>
      </w:r>
      <w:bookmarkEnd w:id="22"/>
    </w:p>
    <w:p w14:paraId="59E823A4" w14:textId="6156F2FB" w:rsidR="00D35C56" w:rsidRPr="0052111B" w:rsidRDefault="00D35C56" w:rsidP="00D35C56">
      <w:r w:rsidRPr="0052111B">
        <w:rPr>
          <w:b/>
          <w:bCs/>
        </w:rPr>
        <w:t>Figure 1</w:t>
      </w:r>
      <w:r>
        <w:rPr>
          <w:b/>
          <w:bCs/>
        </w:rPr>
        <w:t>7</w:t>
      </w:r>
      <w:r w:rsidRPr="0052111B">
        <w:rPr>
          <w:b/>
          <w:bCs/>
        </w:rPr>
        <w:t>.</w:t>
      </w:r>
      <w:r w:rsidRPr="0052111B">
        <w:t xml:space="preserve"> </w:t>
      </w:r>
      <w:r w:rsidRPr="00690F7D">
        <w:t xml:space="preserve">Prevalence rate of persons living with HIV infection (PLWH) per 100,000 </w:t>
      </w:r>
      <w:r w:rsidRPr="0052111B">
        <w:t>population by city/town,</w:t>
      </w:r>
      <w:r w:rsidRPr="0052111B">
        <w:rPr>
          <w:vertAlign w:val="superscript"/>
        </w:rPr>
        <w:t xml:space="preserve"> </w:t>
      </w:r>
      <w:r w:rsidRPr="0052111B">
        <w:t>Massachusetts 2022</w:t>
      </w:r>
    </w:p>
    <w:p w14:paraId="39AC3188" w14:textId="4D5F59C6" w:rsidR="00D35C56" w:rsidRPr="00991A6F" w:rsidRDefault="00D35C56" w:rsidP="00D35C56">
      <w:pPr>
        <w:rPr>
          <w:color w:val="FF0000"/>
        </w:rPr>
      </w:pPr>
    </w:p>
    <w:p w14:paraId="7379C078" w14:textId="39D403E1" w:rsidR="3CDDD9D9" w:rsidRDefault="3CDDD9D9" w:rsidP="7017D928">
      <w:r>
        <w:rPr>
          <w:noProof/>
        </w:rPr>
        <w:drawing>
          <wp:inline distT="0" distB="0" distL="0" distR="0" wp14:anchorId="512FE00F" wp14:editId="51C683B3">
            <wp:extent cx="6234545" cy="4000500"/>
            <wp:effectExtent l="0" t="0" r="0" b="0"/>
            <wp:docPr id="1911640162" name="Picture 1911640162" descr="The figure is a rate map of Massachusetts displaying the average annual rate of HIV diagnosis per 100,000 population by city/town. Cities and towns are in one of six categories: no reported cases, less 79.4 per 100,000, 79.5-118.0 per 100,000, 118.1-159.9 per 100,000, 160.0-256.3 per 100,000, or greater than 256.3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40162" name="Picture 1911640162" descr="The figure is a rate map of Massachusetts displaying the average annual rate of HIV diagnosis per 100,000 population by city/town. Cities and towns are in one of six categories: no reported cases, less 79.4 per 100,000, 79.5-118.0 per 100,000, 118.1-159.9 per 100,000, 160.0-256.3 per 100,000, or greater than 256.3 per 100,000.&#10;"/>
                    <pic:cNvPicPr/>
                  </pic:nvPicPr>
                  <pic:blipFill>
                    <a:blip r:embed="rId41">
                      <a:extLst>
                        <a:ext uri="{28A0092B-C50C-407E-A947-70E740481C1C}">
                          <a14:useLocalDpi xmlns:a14="http://schemas.microsoft.com/office/drawing/2010/main" val="0"/>
                        </a:ext>
                      </a:extLst>
                    </a:blip>
                    <a:stretch>
                      <a:fillRect/>
                    </a:stretch>
                  </pic:blipFill>
                  <pic:spPr>
                    <a:xfrm>
                      <a:off x="0" y="0"/>
                      <a:ext cx="6240524" cy="4004337"/>
                    </a:xfrm>
                    <a:prstGeom prst="rect">
                      <a:avLst/>
                    </a:prstGeom>
                  </pic:spPr>
                </pic:pic>
              </a:graphicData>
            </a:graphic>
          </wp:inline>
        </w:drawing>
      </w:r>
    </w:p>
    <w:p w14:paraId="6F3EFF51" w14:textId="3B15629D" w:rsidR="7017D928" w:rsidRDefault="7017D928" w:rsidP="7017D928">
      <w:pPr>
        <w:rPr>
          <w:color w:val="FF0000"/>
        </w:rPr>
      </w:pPr>
    </w:p>
    <w:p w14:paraId="43452CCF" w14:textId="3639C568" w:rsidR="008132AB" w:rsidRPr="008132AB" w:rsidRDefault="008132AB" w:rsidP="008132AB">
      <w:pPr>
        <w:rPr>
          <w:sz w:val="20"/>
          <w:szCs w:val="20"/>
        </w:rPr>
      </w:pPr>
      <w:r w:rsidRPr="00F345D5">
        <w:rPr>
          <w:sz w:val="20"/>
          <w:szCs w:val="20"/>
          <w:vertAlign w:val="superscript"/>
        </w:rPr>
        <w:t xml:space="preserve">1 </w:t>
      </w:r>
      <w:r w:rsidRPr="2F702A1B">
        <w:rPr>
          <w:sz w:val="20"/>
          <w:szCs w:val="20"/>
        </w:rPr>
        <w:t xml:space="preserve">Population based on University of Massachusetts Donahue Institute Estimates. </w:t>
      </w:r>
    </w:p>
    <w:p w14:paraId="1DF4F7EA" w14:textId="7C6ED743" w:rsidR="00D35C56" w:rsidRPr="00992F88" w:rsidRDefault="00D35C56" w:rsidP="00D35C56">
      <w:pPr>
        <w:pStyle w:val="fignote"/>
        <w:spacing w:after="0"/>
      </w:pPr>
      <w:r w:rsidRPr="00992F88">
        <w:t>Note: regional HIV data exclude individuals diagnosed in a correctional facility.</w:t>
      </w:r>
    </w:p>
    <w:p w14:paraId="59D786C0" w14:textId="7D50BB93" w:rsidR="00D35C56" w:rsidRPr="00992F88" w:rsidRDefault="00D35C56" w:rsidP="00D35C56">
      <w:pPr>
        <w:pStyle w:val="fignote"/>
      </w:pPr>
      <w:r w:rsidRPr="00992F88">
        <w:t>Data Source: Bureau of Infectious Disease and Laboratory Sciences, data are current as of 7/1/2023 and subject to change</w:t>
      </w:r>
      <w:r w:rsidR="00B1580A">
        <w:t>.</w:t>
      </w:r>
    </w:p>
    <w:p w14:paraId="3C595D2D" w14:textId="1EB934E4" w:rsidR="00EC65B6" w:rsidRPr="00EC65B6" w:rsidRDefault="00D35C56" w:rsidP="00D35C56">
      <w:pPr>
        <w:pStyle w:val="spaced6"/>
      </w:pPr>
      <w:r w:rsidRPr="00992F88">
        <w:t>The cities and towns</w:t>
      </w:r>
      <w:r w:rsidRPr="00992F88">
        <w:rPr>
          <w:rStyle w:val="FootnoteReference"/>
        </w:rPr>
        <w:footnoteReference w:id="56"/>
      </w:r>
      <w:r w:rsidRPr="00992F88">
        <w:t xml:space="preserve"> with the </w:t>
      </w:r>
      <w:r w:rsidRPr="00EC65B6">
        <w:t>highest prevalence rate of PLWH in 2022</w:t>
      </w:r>
      <w:r w:rsidRPr="00992F88">
        <w:rPr>
          <w:rStyle w:val="FootnoteReference"/>
        </w:rPr>
        <w:footnoteReference w:id="57"/>
      </w:r>
      <w:r w:rsidRPr="00992F88">
        <w:t xml:space="preserve"> </w:t>
      </w:r>
      <w:r w:rsidR="00EC65B6" w:rsidRPr="00EC65B6">
        <w:t>included Provincetown (11,767.6 per 100,000), Boston (832.4), Springfield (829.9), Shirley (794.0), and Chelsea (755.1).</w:t>
      </w:r>
      <w:r w:rsidR="00A85C6D">
        <w:rPr>
          <w:rStyle w:val="FootnoteReference"/>
        </w:rPr>
        <w:footnoteReference w:id="58"/>
      </w:r>
      <w:r w:rsidR="00EC65B6" w:rsidRPr="00EC65B6">
        <w:t xml:space="preserve"> </w:t>
      </w:r>
    </w:p>
    <w:p w14:paraId="4B5850A1" w14:textId="77777777" w:rsidR="00EC65B6" w:rsidRPr="00EC65B6" w:rsidRDefault="00EC65B6" w:rsidP="00D35C56">
      <w:pPr>
        <w:pStyle w:val="spaced6"/>
      </w:pPr>
      <w:r w:rsidRPr="00EC65B6">
        <w:t>Boston and Springfield had the highest numbers of PLWH in 2022, at 5,624 and 1,294, respectively.</w:t>
      </w:r>
    </w:p>
    <w:p w14:paraId="4AE055F2" w14:textId="7B2BB769" w:rsidR="00C31647" w:rsidRPr="0052111B" w:rsidRDefault="00D35C56" w:rsidP="53F41526">
      <w:pPr>
        <w:pStyle w:val="Heading2"/>
      </w:pPr>
      <w:r w:rsidRPr="38A4F72D">
        <w:rPr>
          <w:color w:val="FF0000"/>
        </w:rPr>
        <w:br w:type="page"/>
      </w:r>
      <w:bookmarkStart w:id="23" w:name="_Toc154057127"/>
      <w:r w:rsidR="3DCDC865">
        <w:lastRenderedPageBreak/>
        <w:t>SVI AMONG HIV DIAGNOSES BY CITY/TOWN</w:t>
      </w:r>
      <w:bookmarkEnd w:id="23"/>
    </w:p>
    <w:p w14:paraId="7E3CFC06" w14:textId="77777777" w:rsidR="00C31647" w:rsidRPr="00C31647" w:rsidRDefault="00C31647" w:rsidP="00C31647">
      <w:pPr>
        <w:pStyle w:val="spaced6"/>
        <w:numPr>
          <w:ilvl w:val="0"/>
          <w:numId w:val="0"/>
        </w:numPr>
      </w:pPr>
      <w:r w:rsidRPr="00C31647">
        <w:rPr>
          <w:b/>
          <w:bCs/>
        </w:rPr>
        <w:t xml:space="preserve">Figure 18. </w:t>
      </w:r>
      <w:r w:rsidRPr="00C31647">
        <w:t>Median overall Social Vulnerability Index (SVI) by city/town for HIV infection diagnoses, Massachusetts 2021</w:t>
      </w:r>
    </w:p>
    <w:p w14:paraId="3CBA5ADF" w14:textId="0E59FE1D" w:rsidR="00C31647" w:rsidRPr="00C31647" w:rsidRDefault="00C31647" w:rsidP="00C31647">
      <w:pPr>
        <w:pStyle w:val="spaced6"/>
        <w:numPr>
          <w:ilvl w:val="0"/>
          <w:numId w:val="0"/>
        </w:numPr>
        <w:rPr>
          <w:color w:val="FF0000"/>
        </w:rPr>
      </w:pPr>
      <w:r>
        <w:rPr>
          <w:noProof/>
          <w:color w:val="FF0000"/>
        </w:rPr>
        <w:drawing>
          <wp:inline distT="0" distB="0" distL="0" distR="0" wp14:anchorId="1C1D6649" wp14:editId="1F85E51D">
            <wp:extent cx="6712585" cy="4681855"/>
            <wp:effectExtent l="0" t="0" r="0" b="4445"/>
            <wp:docPr id="1191828860" name="Picture 1191828860" descr="The figure is a map of Massachusetts displaying the Median overall Social Vulnerability Index (SVI) by city/town. The SVI index ranges from 00.00 to 1.00, with increasing darkness in blue color indicating higher SVI index. Cities with no reported cases are marked with cross-hat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28860" name="Picture 15" descr="The figure is a map of Massachusetts displaying the Median overall Social Vulnerability Index (SVI) by city/town. The SVI index ranges from 00.00 to 1.00, with increasing darkness in blue color indicating higher SVI index. Cities with no reported cases are marked with cross-hatch.&#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12585" cy="4681855"/>
                    </a:xfrm>
                    <a:prstGeom prst="rect">
                      <a:avLst/>
                    </a:prstGeom>
                    <a:noFill/>
                  </pic:spPr>
                </pic:pic>
              </a:graphicData>
            </a:graphic>
          </wp:inline>
        </w:drawing>
      </w:r>
    </w:p>
    <w:p w14:paraId="7F49620A" w14:textId="2D01C3F3" w:rsidR="009568B8" w:rsidRPr="009568B8" w:rsidRDefault="2CC1CD2B" w:rsidP="009568B8">
      <w:pPr>
        <w:pStyle w:val="spaced6"/>
        <w:numPr>
          <w:ilvl w:val="0"/>
          <w:numId w:val="0"/>
        </w:numPr>
        <w:spacing w:after="0"/>
        <w:rPr>
          <w:sz w:val="20"/>
          <w:szCs w:val="20"/>
        </w:rPr>
      </w:pPr>
      <w:r w:rsidRPr="4B61FEBB">
        <w:rPr>
          <w:sz w:val="20"/>
          <w:szCs w:val="20"/>
        </w:rPr>
        <w:t>Note: Census tract level overall SVI values for 2020 were obtained from the CDC/Agency for Toxic Substance and Disease Registry and assigned to all cases based on their street address at diagnosis</w:t>
      </w:r>
      <w:r w:rsidR="0A78DD74" w:rsidRPr="4B61FEBB">
        <w:rPr>
          <w:sz w:val="20"/>
          <w:szCs w:val="20"/>
        </w:rPr>
        <w:t xml:space="preserve">, 36 cases were excluded from this analysis because </w:t>
      </w:r>
      <w:r w:rsidR="3E6804DB" w:rsidRPr="4B61FEBB">
        <w:rPr>
          <w:sz w:val="20"/>
          <w:szCs w:val="20"/>
        </w:rPr>
        <w:t>address was unknown or the individuals were homeless</w:t>
      </w:r>
      <w:r w:rsidRPr="4B61FEBB">
        <w:rPr>
          <w:sz w:val="20"/>
          <w:szCs w:val="20"/>
        </w:rPr>
        <w:t>. City/Town level median is calculated from the median SVI score for that city/town among HIV infection diagnoses. Values range from 0 to 1, with higher values implying greater social vulnerability. Map should be interpreted with caution as it displays median SVI scores for cities/towns with one or more cases.</w:t>
      </w:r>
    </w:p>
    <w:p w14:paraId="3D430BAD" w14:textId="1D38E06E" w:rsidR="009568B8" w:rsidRDefault="009568B8" w:rsidP="009568B8">
      <w:pPr>
        <w:pStyle w:val="spaced6"/>
        <w:numPr>
          <w:ilvl w:val="0"/>
          <w:numId w:val="0"/>
        </w:numPr>
        <w:spacing w:after="0"/>
        <w:rPr>
          <w:sz w:val="20"/>
          <w:szCs w:val="20"/>
        </w:rPr>
      </w:pPr>
      <w:r w:rsidRPr="009568B8">
        <w:rPr>
          <w:sz w:val="20"/>
          <w:szCs w:val="20"/>
        </w:rPr>
        <w:t>Data Sources: CDC/Agency for Toxic Substance and Disease, Bureau of Infectious Disease and Laboratory Sciences, data are current as of 7/1/2023 and subject to change</w:t>
      </w:r>
      <w:r w:rsidR="00B1580A">
        <w:rPr>
          <w:sz w:val="20"/>
          <w:szCs w:val="20"/>
        </w:rPr>
        <w:t>.</w:t>
      </w:r>
    </w:p>
    <w:p w14:paraId="306DB220" w14:textId="77777777" w:rsidR="009568B8" w:rsidRDefault="009568B8" w:rsidP="009568B8">
      <w:pPr>
        <w:pStyle w:val="spaced6"/>
        <w:numPr>
          <w:ilvl w:val="0"/>
          <w:numId w:val="0"/>
        </w:numPr>
        <w:spacing w:after="0"/>
        <w:rPr>
          <w:sz w:val="20"/>
          <w:szCs w:val="20"/>
        </w:rPr>
      </w:pPr>
    </w:p>
    <w:p w14:paraId="1A460480" w14:textId="3E36D0B2" w:rsidR="009568B8" w:rsidRPr="009568B8" w:rsidRDefault="2CC1CD2B" w:rsidP="009568B8">
      <w:pPr>
        <w:pStyle w:val="spaced6"/>
        <w:numPr>
          <w:ilvl w:val="0"/>
          <w:numId w:val="66"/>
        </w:numPr>
      </w:pPr>
      <w:r w:rsidRPr="009568B8">
        <w:t>In 2021,</w:t>
      </w:r>
      <w:r w:rsidR="009568B8">
        <w:rPr>
          <w:rStyle w:val="FootnoteReference"/>
        </w:rPr>
        <w:footnoteReference w:id="59"/>
      </w:r>
      <w:r w:rsidRPr="009568B8">
        <w:t xml:space="preserve"> the median SVI score among HIV infection diagnoses in Massachusetts was 0.744</w:t>
      </w:r>
      <w:r w:rsidR="51AA17DF">
        <w:t>, which equates to moderately highly vulnerable</w:t>
      </w:r>
      <w:r w:rsidRPr="009568B8">
        <w:t>.</w:t>
      </w:r>
    </w:p>
    <w:p w14:paraId="1619FCB1" w14:textId="21385512" w:rsidR="00C31647" w:rsidRPr="00E171E2" w:rsidRDefault="009568B8" w:rsidP="00E171E2">
      <w:pPr>
        <w:pStyle w:val="spaced6"/>
        <w:numPr>
          <w:ilvl w:val="0"/>
          <w:numId w:val="66"/>
        </w:numPr>
      </w:pPr>
      <w:r w:rsidRPr="009568B8">
        <w:lastRenderedPageBreak/>
        <w:t xml:space="preserve">The five cities with the highest SVI scores </w:t>
      </w:r>
      <w:r w:rsidR="00C32603" w:rsidRPr="00C32603">
        <w:t xml:space="preserve">(i.e., the most highly vulnerable) </w:t>
      </w:r>
      <w:r w:rsidRPr="009568B8">
        <w:t>among HIV infection diagnoses in 2021 were Haverhill (0.982), Holyoke (0.970), Lawrence (0.960), Taunton (0.949), and Barnstable (0.931).</w:t>
      </w:r>
      <w:r w:rsidR="00C31647" w:rsidRPr="00E171E2">
        <w:rPr>
          <w:color w:val="FF0000"/>
        </w:rPr>
        <w:br w:type="page"/>
      </w:r>
    </w:p>
    <w:p w14:paraId="29D5AF2F" w14:textId="040EF872" w:rsidR="00D164C5" w:rsidRPr="00A067BD" w:rsidRDefault="68D9E2FD" w:rsidP="00905F8B">
      <w:pPr>
        <w:pStyle w:val="Heading2"/>
      </w:pPr>
      <w:bookmarkStart w:id="24" w:name="_Toc154057128"/>
      <w:r w:rsidRPr="00A067BD">
        <w:lastRenderedPageBreak/>
        <w:t>HIV BY EXPOSURE MODE AND SEX ASSIGNED AT BIRTH</w:t>
      </w:r>
      <w:r w:rsidR="00905F8B" w:rsidRPr="00A067BD">
        <w:rPr>
          <w:rStyle w:val="FootnoteReference"/>
        </w:rPr>
        <w:footnoteReference w:id="60"/>
      </w:r>
      <w:bookmarkEnd w:id="24"/>
    </w:p>
    <w:p w14:paraId="6AD9DF67" w14:textId="13B9BE62" w:rsidR="00905F8B" w:rsidRPr="00A067BD" w:rsidRDefault="00905F8B" w:rsidP="00905F8B">
      <w:pPr>
        <w:rPr>
          <w:szCs w:val="24"/>
        </w:rPr>
      </w:pPr>
      <w:r w:rsidRPr="00A067BD">
        <w:rPr>
          <w:b/>
          <w:bCs/>
          <w:szCs w:val="24"/>
        </w:rPr>
        <w:t>Figure 1</w:t>
      </w:r>
      <w:r w:rsidR="00A067BD" w:rsidRPr="00A067BD">
        <w:rPr>
          <w:b/>
          <w:bCs/>
          <w:szCs w:val="24"/>
        </w:rPr>
        <w:t>9</w:t>
      </w:r>
      <w:r w:rsidRPr="00A067BD">
        <w:rPr>
          <w:b/>
          <w:bCs/>
          <w:szCs w:val="24"/>
        </w:rPr>
        <w:t>.</w:t>
      </w:r>
      <w:r w:rsidRPr="00A067BD">
        <w:rPr>
          <w:szCs w:val="24"/>
        </w:rPr>
        <w:t xml:space="preserve"> Percentage of HIV infection diagnoses by sex assigned at birth and exposure mode, Massachusetts</w:t>
      </w:r>
      <w:r w:rsidRPr="00A067BD">
        <w:rPr>
          <w:b/>
          <w:bCs/>
          <w:szCs w:val="24"/>
        </w:rPr>
        <w:t xml:space="preserve"> </w:t>
      </w:r>
      <w:r w:rsidRPr="00A067BD">
        <w:rPr>
          <w:szCs w:val="24"/>
        </w:rPr>
        <w:t>20</w:t>
      </w:r>
      <w:r w:rsidR="00A067BD" w:rsidRPr="00A067BD">
        <w:rPr>
          <w:szCs w:val="24"/>
        </w:rPr>
        <w:t>20</w:t>
      </w:r>
      <w:r w:rsidRPr="00A067BD">
        <w:rPr>
          <w:szCs w:val="24"/>
        </w:rPr>
        <w:t>–202</w:t>
      </w:r>
      <w:r w:rsidR="00A067BD" w:rsidRPr="00A067BD">
        <w:rPr>
          <w:szCs w:val="24"/>
        </w:rPr>
        <w:t>2</w:t>
      </w:r>
    </w:p>
    <w:p w14:paraId="4D5DE28A" w14:textId="0853F27F" w:rsidR="00905F8B" w:rsidRPr="00D75BD1" w:rsidRDefault="00A067BD" w:rsidP="00905F8B">
      <w:r>
        <w:rPr>
          <w:noProof/>
          <w:color w:val="FF0000"/>
        </w:rPr>
        <w:drawing>
          <wp:inline distT="0" distB="0" distL="0" distR="0" wp14:anchorId="12F99FC2" wp14:editId="201C2CAC">
            <wp:extent cx="6385560" cy="2836080"/>
            <wp:effectExtent l="0" t="0" r="0" b="0"/>
            <wp:docPr id="1490627068" name="Picture 1490627068" descr="The figure is a set of two bar charts, one on the left displaying the distribution of individuals assigned male at birth (N=953) and diagnosed with HIV infection by exposure mode and the other on the right displaying the distribution of individuals assigned female at birth (N=377) and diagnosed with HIV infection by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27068" name="Picture 16" descr="The figure is a set of two bar charts, one on the left displaying the distribution of individuals assigned male at birth (N=953) and diagnosed with HIV infection by exposure mode and the other on the right displaying the distribution of individuals assigned female at birth (N=377) and diagnosed with HIV infection by exposure mode.&#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2648" cy="2839228"/>
                    </a:xfrm>
                    <a:prstGeom prst="rect">
                      <a:avLst/>
                    </a:prstGeom>
                    <a:noFill/>
                  </pic:spPr>
                </pic:pic>
              </a:graphicData>
            </a:graphic>
          </wp:inline>
        </w:drawing>
      </w:r>
    </w:p>
    <w:p w14:paraId="6D8FB452" w14:textId="2A069056" w:rsidR="00B87580" w:rsidRPr="00D75BD1" w:rsidRDefault="00B87580" w:rsidP="00287D29">
      <w:pPr>
        <w:spacing w:after="120"/>
        <w:rPr>
          <w:sz w:val="20"/>
          <w:szCs w:val="20"/>
        </w:rPr>
      </w:pPr>
      <w:r w:rsidRPr="00D75BD1">
        <w:rPr>
          <w:sz w:val="20"/>
          <w:szCs w:val="20"/>
        </w:rPr>
        <w:t>Data Source: Bureau of Infectious Disease and Laboratory Sciences, data are current as of 7/1/202</w:t>
      </w:r>
      <w:r w:rsidR="00D75BD1" w:rsidRPr="00D75BD1">
        <w:rPr>
          <w:sz w:val="20"/>
          <w:szCs w:val="20"/>
        </w:rPr>
        <w:t>3</w:t>
      </w:r>
      <w:r w:rsidRPr="00D75BD1">
        <w:rPr>
          <w:sz w:val="20"/>
          <w:szCs w:val="20"/>
        </w:rPr>
        <w:t xml:space="preserve"> and subject to change</w:t>
      </w:r>
      <w:r w:rsidR="00B1580A">
        <w:rPr>
          <w:sz w:val="20"/>
          <w:szCs w:val="20"/>
        </w:rPr>
        <w:t>.</w:t>
      </w:r>
    </w:p>
    <w:p w14:paraId="351378FA" w14:textId="260F8249" w:rsidR="00B87580" w:rsidRPr="00D75BD1" w:rsidRDefault="699BB509" w:rsidP="69F1B494">
      <w:pPr>
        <w:numPr>
          <w:ilvl w:val="0"/>
          <w:numId w:val="6"/>
        </w:numPr>
        <w:spacing w:after="120"/>
      </w:pPr>
      <w:r w:rsidRPr="00D75BD1">
        <w:t>From 20</w:t>
      </w:r>
      <w:r w:rsidR="00D75BD1" w:rsidRPr="00D75BD1">
        <w:t>20</w:t>
      </w:r>
      <w:r w:rsidRPr="00D75BD1">
        <w:t xml:space="preserve"> to 202</w:t>
      </w:r>
      <w:r w:rsidR="00D75BD1" w:rsidRPr="00D75BD1">
        <w:t>2</w:t>
      </w:r>
      <w:r w:rsidRPr="00D75BD1">
        <w:t>,</w:t>
      </w:r>
      <w:r w:rsidR="00B87580" w:rsidRPr="00D75BD1">
        <w:rPr>
          <w:rStyle w:val="FootnoteReference"/>
        </w:rPr>
        <w:footnoteReference w:id="61"/>
      </w:r>
      <w:r w:rsidRPr="00D75BD1">
        <w:t xml:space="preserve"> </w:t>
      </w:r>
      <w:r w:rsidR="00D75BD1" w:rsidRPr="00D75BD1">
        <w:t>of the 1,330 HIV infections newly diagnosed in Massachusetts, 953</w:t>
      </w:r>
      <w:r w:rsidR="00D75BD1" w:rsidRPr="00D75BD1">
        <w:rPr>
          <w:b/>
          <w:bCs/>
        </w:rPr>
        <w:t xml:space="preserve"> </w:t>
      </w:r>
      <w:r w:rsidR="00D75BD1" w:rsidRPr="00D75BD1">
        <w:t>(72%) were among individuals assigned male at birth (AMAB) and 377 (28%) were among individuals assigned female at birth (AFAB). Among the 1,330 HIV infections, 14 (1%) were among individuals of transgender experience</w:t>
      </w:r>
      <w:r w:rsidRPr="00D75BD1">
        <w:t>,</w:t>
      </w:r>
      <w:r w:rsidR="00B87580" w:rsidRPr="00D75BD1">
        <w:rPr>
          <w:rStyle w:val="FootnoteReference"/>
        </w:rPr>
        <w:footnoteReference w:id="62"/>
      </w:r>
      <w:r w:rsidRPr="00D75BD1">
        <w:t xml:space="preserve"> </w:t>
      </w:r>
      <w:r w:rsidR="00D75BD1" w:rsidRPr="00D75BD1">
        <w:t>and 1,316 (99%) were among cisgender individuals</w:t>
      </w:r>
      <w:r w:rsidR="3251F24F" w:rsidRPr="00D75BD1">
        <w:rPr>
          <w:szCs w:val="24"/>
        </w:rPr>
        <w:t>.</w:t>
      </w:r>
      <w:r w:rsidR="00AB4F8C" w:rsidRPr="00D75BD1">
        <w:rPr>
          <w:rStyle w:val="FootnoteReference"/>
        </w:rPr>
        <w:footnoteReference w:id="63"/>
      </w:r>
      <w:r w:rsidRPr="00D75BD1">
        <w:rPr>
          <w:szCs w:val="24"/>
        </w:rPr>
        <w:t xml:space="preserve">  </w:t>
      </w:r>
    </w:p>
    <w:p w14:paraId="1C780270" w14:textId="63D073EA" w:rsidR="00D75BD1" w:rsidRPr="00D75BD1" w:rsidRDefault="2058ADC7" w:rsidP="034544F5">
      <w:pPr>
        <w:numPr>
          <w:ilvl w:val="0"/>
          <w:numId w:val="6"/>
        </w:numPr>
      </w:pPr>
      <w:r>
        <w:t>From 2020 to 2022, the most frequently reported known exposure mode among individuals AMAB was male-to-male sex (52%) and among individuals AFAB was presumed heterosexual sex</w:t>
      </w:r>
      <w:r w:rsidRPr="388E5C6E">
        <w:rPr>
          <w:rStyle w:val="FootnoteReference"/>
        </w:rPr>
        <w:footnoteReference w:id="64"/>
      </w:r>
      <w:r>
        <w:t xml:space="preserve"> (36%). A substantial proportion of diagnoses among both individuals AMAB and AFAB were reported with no identified risk (25% and 28%, respectively).</w:t>
      </w:r>
    </w:p>
    <w:p w14:paraId="0CA188A9" w14:textId="10D30A39" w:rsidR="034544F5" w:rsidRDefault="034544F5" w:rsidP="00F345D5">
      <w:pPr>
        <w:rPr>
          <w:szCs w:val="24"/>
        </w:rPr>
      </w:pPr>
    </w:p>
    <w:p w14:paraId="4302515D" w14:textId="77777777" w:rsidR="00D75BD1" w:rsidRPr="00D75BD1" w:rsidRDefault="2058ADC7" w:rsidP="034544F5">
      <w:pPr>
        <w:numPr>
          <w:ilvl w:val="0"/>
          <w:numId w:val="6"/>
        </w:numPr>
      </w:pPr>
      <w:r>
        <w:t>Among individuals AMAB, the proportion of HIV infection diagnoses with injection drug use (IDU) exposure mode increased from a low of 4% (N=19/486) in 2014 to 17% (N=76/457) in 2017, decreased to 9% (N=34/396) in 2019, increased to 17% in 2021 (N=54/313), and then decreased again to 10% (N=32/325) in 2022.</w:t>
      </w:r>
    </w:p>
    <w:p w14:paraId="7127C385" w14:textId="64B8083F" w:rsidR="034544F5" w:rsidRDefault="034544F5" w:rsidP="00F345D5">
      <w:pPr>
        <w:rPr>
          <w:szCs w:val="24"/>
        </w:rPr>
      </w:pPr>
    </w:p>
    <w:p w14:paraId="5AB9D5DC" w14:textId="3E03C1A6" w:rsidR="00B20329" w:rsidRPr="00E171E2" w:rsidRDefault="20FCCFA9" w:rsidP="00E171E2">
      <w:pPr>
        <w:numPr>
          <w:ilvl w:val="0"/>
          <w:numId w:val="6"/>
        </w:numPr>
        <w:rPr>
          <w:szCs w:val="24"/>
        </w:rPr>
      </w:pPr>
      <w:r>
        <w:t xml:space="preserve">Among individuals AFAB, the proportion of HIV infection diagnoses with IDU exposure mode increased from a low of 7% (N=12/164) in 2014 to 25% (N=40/159) in 2017, decreased to 17% </w:t>
      </w:r>
      <w:r>
        <w:lastRenderedPageBreak/>
        <w:t xml:space="preserve">(N=24/140) in 2019, increased to 22% in 2020 (N=27/122), and then decreased again to 10% (N=12/119) in 2022. </w:t>
      </w:r>
      <w:r w:rsidR="00B20329" w:rsidRPr="00E171E2">
        <w:rPr>
          <w:color w:val="FF0000"/>
        </w:rPr>
        <w:br w:type="page"/>
      </w:r>
    </w:p>
    <w:p w14:paraId="4991E4F6" w14:textId="2FF2AFA4" w:rsidR="00B87580" w:rsidRPr="00731912" w:rsidRDefault="00B20329" w:rsidP="00B20329">
      <w:pPr>
        <w:pStyle w:val="Heading2"/>
      </w:pPr>
      <w:bookmarkStart w:id="25" w:name="_Toc154057129"/>
      <w:r>
        <w:lastRenderedPageBreak/>
        <w:t>PERINATAL TRANSMISSION OF HIV</w:t>
      </w:r>
      <w:bookmarkEnd w:id="25"/>
    </w:p>
    <w:p w14:paraId="7D26FEDC" w14:textId="0AACE744" w:rsidR="00B20329" w:rsidRPr="00731912" w:rsidRDefault="7ECA6674" w:rsidP="034544F5">
      <w:r w:rsidRPr="38A4F72D">
        <w:rPr>
          <w:b/>
          <w:bCs/>
        </w:rPr>
        <w:t xml:space="preserve">Figure </w:t>
      </w:r>
      <w:r w:rsidR="31BC646A" w:rsidRPr="38A4F72D">
        <w:rPr>
          <w:b/>
          <w:bCs/>
        </w:rPr>
        <w:t>20</w:t>
      </w:r>
      <w:r>
        <w:t>. Number of reported cases of perinatal transmission of HIV infection, by year of birth, Massachusetts 1985–202</w:t>
      </w:r>
      <w:r w:rsidR="31BC646A">
        <w:t>2</w:t>
      </w:r>
    </w:p>
    <w:p w14:paraId="756BF702" w14:textId="53772924" w:rsidR="00B87580" w:rsidRPr="00991A6F" w:rsidRDefault="00731912" w:rsidP="00B20329">
      <w:pPr>
        <w:rPr>
          <w:color w:val="FF0000"/>
          <w:szCs w:val="24"/>
        </w:rPr>
      </w:pPr>
      <w:r>
        <w:rPr>
          <w:noProof/>
          <w:color w:val="FF0000"/>
          <w:szCs w:val="24"/>
        </w:rPr>
        <w:drawing>
          <wp:inline distT="0" distB="0" distL="0" distR="0" wp14:anchorId="498CBD0E" wp14:editId="422E79A2">
            <wp:extent cx="6334125" cy="4566285"/>
            <wp:effectExtent l="0" t="0" r="0" b="5715"/>
            <wp:docPr id="145114592" name="Picture 145114592" descr="The figure is a trendline graph displaying changes in the annual number of cases of perinatal transmission of HIV infection each year from 1985 to 2022 by year of birth. The text, “Introduction of anti-viral therapy to prevent perinatal transmission” has an arrow indicating that this happened in the year 1995 and the text “Promotion of universal screening of pregnant people” has a long arrow indicating that this began in 19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4592" name="Picture 17" descr="The figure is a trendline graph displaying changes in the annual number of cases of perinatal transmission of HIV infection each year from 1985 to 2022 by year of birth. The text, “Introduction of anti-viral therapy to prevent perinatal transmission” has an arrow indicating that this happened in the year 1995 and the text “Promotion of universal screening of pregnant people” has a long arrow indicating that this began in 1999.&#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4125" cy="4566285"/>
                    </a:xfrm>
                    <a:prstGeom prst="rect">
                      <a:avLst/>
                    </a:prstGeom>
                    <a:noFill/>
                  </pic:spPr>
                </pic:pic>
              </a:graphicData>
            </a:graphic>
          </wp:inline>
        </w:drawing>
      </w:r>
    </w:p>
    <w:p w14:paraId="4E795F2C" w14:textId="58DC0BCE" w:rsidR="00B20329" w:rsidRPr="00893A89" w:rsidRDefault="00B20329" w:rsidP="00B20329">
      <w:pPr>
        <w:rPr>
          <w:sz w:val="20"/>
          <w:szCs w:val="20"/>
        </w:rPr>
      </w:pPr>
      <w:r w:rsidRPr="00893A89">
        <w:rPr>
          <w:sz w:val="20"/>
          <w:szCs w:val="20"/>
        </w:rPr>
        <w:t>Data Source: Bureau of Infectious Disease and Laboratory Sciences, data are current as of 7/1/202</w:t>
      </w:r>
      <w:r w:rsidR="00893A89" w:rsidRPr="00893A89">
        <w:rPr>
          <w:sz w:val="20"/>
          <w:szCs w:val="20"/>
        </w:rPr>
        <w:t>3</w:t>
      </w:r>
      <w:r w:rsidRPr="00893A89">
        <w:rPr>
          <w:sz w:val="20"/>
          <w:szCs w:val="20"/>
        </w:rPr>
        <w:t xml:space="preserve"> and subject to change</w:t>
      </w:r>
      <w:r w:rsidR="00B1580A">
        <w:rPr>
          <w:sz w:val="20"/>
          <w:szCs w:val="20"/>
        </w:rPr>
        <w:t>.</w:t>
      </w:r>
    </w:p>
    <w:p w14:paraId="175913A0" w14:textId="4F52A71B" w:rsidR="00B87580" w:rsidRPr="00991A6F" w:rsidRDefault="00B87580" w:rsidP="00B20329">
      <w:pPr>
        <w:rPr>
          <w:color w:val="FF0000"/>
          <w:szCs w:val="24"/>
        </w:rPr>
      </w:pPr>
    </w:p>
    <w:p w14:paraId="6A64AC23" w14:textId="77777777" w:rsidR="00454D29" w:rsidRPr="00454D29" w:rsidRDefault="00454D29" w:rsidP="00454D29">
      <w:pPr>
        <w:pStyle w:val="spaced6"/>
      </w:pPr>
      <w:r w:rsidRPr="00454D29">
        <w:t xml:space="preserve">Since the mid-1990s, there has been a dramatic reduction in perinatal transmission of HIV infection related to high rates of antiretroviral treatment of HIV positive people and promotion of HIV screening during pregnancy. </w:t>
      </w:r>
    </w:p>
    <w:p w14:paraId="6C758665" w14:textId="332CBC6B" w:rsidR="00B20329" w:rsidRPr="00454D29" w:rsidRDefault="3C4D1E2F" w:rsidP="00454D29">
      <w:pPr>
        <w:pStyle w:val="spaced6"/>
      </w:pPr>
      <w:r w:rsidRPr="00454D29">
        <w:t>There were only three cases identified in the past eight years (two in 2018 and one in 2020).</w:t>
      </w:r>
      <w:r w:rsidR="00B20329" w:rsidRPr="00454D29">
        <w:rPr>
          <w:rStyle w:val="FootnoteReference"/>
        </w:rPr>
        <w:footnoteReference w:id="65"/>
      </w:r>
      <w:r w:rsidR="217D72E4" w:rsidRPr="00454D29">
        <w:t xml:space="preserve"> </w:t>
      </w:r>
    </w:p>
    <w:p w14:paraId="7D79B678" w14:textId="6C3AC64D" w:rsidR="00607719" w:rsidRPr="00991A6F" w:rsidRDefault="00607719" w:rsidP="00B20329">
      <w:pPr>
        <w:rPr>
          <w:color w:val="FF0000"/>
        </w:rPr>
      </w:pPr>
      <w:r w:rsidRPr="00991A6F">
        <w:rPr>
          <w:color w:val="FF0000"/>
        </w:rPr>
        <w:br w:type="page"/>
      </w:r>
    </w:p>
    <w:p w14:paraId="25D6734E" w14:textId="7231DDF6" w:rsidR="00B87580" w:rsidRPr="00454D29" w:rsidRDefault="003709C9" w:rsidP="38A4F72D">
      <w:pPr>
        <w:pStyle w:val="Heading2"/>
      </w:pPr>
      <w:bookmarkStart w:id="26" w:name="_Toc154057130"/>
      <w:r>
        <w:lastRenderedPageBreak/>
        <w:t>AGE AMONG PERSONS LIVING WITH HIV INFECTION</w:t>
      </w:r>
      <w:bookmarkEnd w:id="26"/>
    </w:p>
    <w:p w14:paraId="59CA34C8" w14:textId="25FEF5AE" w:rsidR="003709C9" w:rsidRPr="00454D29" w:rsidRDefault="4A7B9A69" w:rsidP="2AF4F12E">
      <w:r w:rsidRPr="7017D928">
        <w:rPr>
          <w:b/>
          <w:bCs/>
        </w:rPr>
        <w:t xml:space="preserve">Figure </w:t>
      </w:r>
      <w:r w:rsidR="13572214" w:rsidRPr="7017D928">
        <w:rPr>
          <w:b/>
          <w:bCs/>
        </w:rPr>
        <w:t>21</w:t>
      </w:r>
      <w:r w:rsidRPr="7017D928">
        <w:rPr>
          <w:b/>
          <w:bCs/>
        </w:rPr>
        <w:t xml:space="preserve">. </w:t>
      </w:r>
      <w:r>
        <w:t xml:space="preserve">Percentage distribution of individuals living with HIV infection by age on December 31, Massachusetts </w:t>
      </w:r>
      <w:r w:rsidR="2C1ED1D4">
        <w:t>2013–2022</w:t>
      </w:r>
      <w:r>
        <w:t xml:space="preserve"> </w:t>
      </w:r>
    </w:p>
    <w:p w14:paraId="345DC6FE" w14:textId="77777777" w:rsidR="00827F6C" w:rsidRPr="00991A6F" w:rsidRDefault="00827F6C" w:rsidP="2AF4F12E">
      <w:pPr>
        <w:rPr>
          <w:color w:val="FF0000"/>
        </w:rPr>
      </w:pPr>
    </w:p>
    <w:p w14:paraId="7E1D2717" w14:textId="37C70DEE" w:rsidR="003709C9" w:rsidRPr="00991A6F" w:rsidRDefault="52A50362" w:rsidP="7017D928">
      <w:r>
        <w:rPr>
          <w:noProof/>
        </w:rPr>
        <w:drawing>
          <wp:inline distT="0" distB="0" distL="0" distR="0" wp14:anchorId="39713FA9" wp14:editId="6EE9E54D">
            <wp:extent cx="4572000" cy="3619500"/>
            <wp:effectExtent l="0" t="0" r="0" b="0"/>
            <wp:docPr id="1745123970" name="Picture 1745123970" descr="The figure is a stacked bar chart displaying the percentage distribution of persons living with HIV infection by age (0-19, 20-29, 30-39, 40-49, 50-59, 60+ years) for each year from 201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23970" name="Picture 1745123970" descr="The figure is a stacked bar chart displaying the percentage distribution of persons living with HIV infection by age (0-19, 20-29, 30-39, 40-49, 50-59, 60+ years) for each year from 2013-2022.&#10;"/>
                    <pic:cNvPicPr/>
                  </pic:nvPicPr>
                  <pic:blipFill>
                    <a:blip r:embed="rId45">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inline>
        </w:drawing>
      </w:r>
    </w:p>
    <w:p w14:paraId="5EA866DA" w14:textId="77777777" w:rsidR="00803CE1" w:rsidRDefault="00803CE1" w:rsidP="00287D29">
      <w:pPr>
        <w:pStyle w:val="fignote"/>
      </w:pPr>
    </w:p>
    <w:p w14:paraId="75C3054A" w14:textId="477E9860" w:rsidR="003709C9" w:rsidRPr="005230C4" w:rsidRDefault="003709C9" w:rsidP="00287D29">
      <w:pPr>
        <w:pStyle w:val="fignote"/>
      </w:pPr>
      <w:r w:rsidRPr="005230C4">
        <w:t>Data Source: Bureau of Infectious Disease and Laboratory Sciences, data are current as of 7/1/202</w:t>
      </w:r>
      <w:r w:rsidR="005230C4" w:rsidRPr="005230C4">
        <w:t>3</w:t>
      </w:r>
      <w:r w:rsidRPr="005230C4">
        <w:t xml:space="preserve"> and subject to change</w:t>
      </w:r>
      <w:r w:rsidR="00B1580A">
        <w:t>.</w:t>
      </w:r>
    </w:p>
    <w:p w14:paraId="4C766134" w14:textId="2A8022B4" w:rsidR="003709C9" w:rsidRPr="005230C4" w:rsidRDefault="70E2F5E9">
      <w:pPr>
        <w:numPr>
          <w:ilvl w:val="0"/>
          <w:numId w:val="7"/>
        </w:numPr>
      </w:pPr>
      <w:r w:rsidRPr="005230C4">
        <w:t>Because of effective HIV treatment, people diagnosed with HIV infection are living longer, healthier lives. The proportion of people living with HIV infection who were aged 60 years or older increased from 14% on December 31, 2013 to 34% on December 31, 2022.</w:t>
      </w:r>
      <w:r w:rsidR="003709C9" w:rsidRPr="005230C4">
        <w:rPr>
          <w:rStyle w:val="FootnoteReference"/>
        </w:rPr>
        <w:footnoteReference w:id="66"/>
      </w:r>
      <w:r w:rsidR="29B4DF67" w:rsidRPr="005230C4">
        <w:rPr>
          <w:vertAlign w:val="superscript"/>
        </w:rPr>
        <w:t>,</w:t>
      </w:r>
      <w:r w:rsidR="003709C9" w:rsidRPr="005230C4">
        <w:rPr>
          <w:rStyle w:val="FootnoteReference"/>
        </w:rPr>
        <w:footnoteReference w:id="67"/>
      </w:r>
    </w:p>
    <w:p w14:paraId="1F014E68" w14:textId="29801A5D" w:rsidR="00E96B1A" w:rsidRPr="00991A6F" w:rsidRDefault="00E96B1A" w:rsidP="003709C9">
      <w:pPr>
        <w:rPr>
          <w:color w:val="FF0000"/>
        </w:rPr>
      </w:pPr>
      <w:r w:rsidRPr="00991A6F">
        <w:rPr>
          <w:color w:val="FF0000"/>
        </w:rPr>
        <w:br w:type="page"/>
      </w:r>
    </w:p>
    <w:p w14:paraId="32803D59" w14:textId="6A9FAE09" w:rsidR="003709C9" w:rsidRPr="005230C4" w:rsidRDefault="00A22BBE" w:rsidP="38A4F72D">
      <w:pPr>
        <w:pStyle w:val="Heading2"/>
      </w:pPr>
      <w:bookmarkStart w:id="27" w:name="_Toc154057131"/>
      <w:r>
        <w:lastRenderedPageBreak/>
        <w:t>SURVIVAL AMONG INDIVIDUALS DIAGNOSED WITH HIV</w:t>
      </w:r>
      <w:bookmarkEnd w:id="27"/>
    </w:p>
    <w:p w14:paraId="2DBDBC42" w14:textId="6ABB6AF3" w:rsidR="00B30384" w:rsidRPr="00991A6F" w:rsidRDefault="7F353237" w:rsidP="00A22BBE">
      <w:pPr>
        <w:rPr>
          <w:color w:val="FF0000"/>
          <w:sz w:val="20"/>
          <w:szCs w:val="20"/>
        </w:rPr>
      </w:pPr>
      <w:r w:rsidRPr="7017D928">
        <w:rPr>
          <w:b/>
          <w:bCs/>
        </w:rPr>
        <w:t xml:space="preserve">Figure </w:t>
      </w:r>
      <w:r w:rsidR="0F33EB2A" w:rsidRPr="7017D928">
        <w:rPr>
          <w:b/>
          <w:bCs/>
        </w:rPr>
        <w:t>22</w:t>
      </w:r>
      <w:r w:rsidRPr="7017D928">
        <w:rPr>
          <w:b/>
          <w:bCs/>
        </w:rPr>
        <w:t xml:space="preserve">. </w:t>
      </w:r>
      <w:r>
        <w:t xml:space="preserve">Five-year survival among with individuals with HIV infection by year of diagnosis, Massachusetts </w:t>
      </w:r>
      <w:r w:rsidR="0F33EB2A">
        <w:t>1988–2022 (Total number of HIV diagnoses from 1988–2022, N=35,853)</w:t>
      </w:r>
    </w:p>
    <w:p w14:paraId="18B3551E" w14:textId="0461875E" w:rsidR="00B30384" w:rsidRPr="00991A6F" w:rsidRDefault="205077AA" w:rsidP="7017D928">
      <w:r>
        <w:rPr>
          <w:noProof/>
        </w:rPr>
        <w:drawing>
          <wp:inline distT="0" distB="0" distL="0" distR="0" wp14:anchorId="1F49BCCF" wp14:editId="1D239F5E">
            <wp:extent cx="5738157" cy="4602480"/>
            <wp:effectExtent l="0" t="0" r="0" b="7620"/>
            <wp:docPr id="1470909397" name="Picture 1470909397" descr="The figure is a trendline that displays the percent of individuals alive less than 1, 1, 2, 3, 4, and 5 years after HIV infection diagnosis for 7 cohorts by year of HIV infection diagnosis: 1988-1992, 1993-1997, 1998-2002, 2003-2007, 2008-2012, 2013-2017, 2018-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09397" name="Picture 1470909397" descr="The figure is a trendline that displays the percent of individuals alive less than 1, 1, 2, 3, 4, and 5 years after HIV infection diagnosis for 7 cohorts by year of HIV infection diagnosis: 1988-1992, 1993-1997, 1998-2002, 2003-2007, 2008-2012, 2013-2017, 2018-2022.&#10;"/>
                    <pic:cNvPicPr/>
                  </pic:nvPicPr>
                  <pic:blipFill>
                    <a:blip r:embed="rId46">
                      <a:extLst>
                        <a:ext uri="{28A0092B-C50C-407E-A947-70E740481C1C}">
                          <a14:useLocalDpi xmlns:a14="http://schemas.microsoft.com/office/drawing/2010/main" val="0"/>
                        </a:ext>
                      </a:extLst>
                    </a:blip>
                    <a:stretch>
                      <a:fillRect/>
                    </a:stretch>
                  </pic:blipFill>
                  <pic:spPr>
                    <a:xfrm>
                      <a:off x="0" y="0"/>
                      <a:ext cx="5744576" cy="4607629"/>
                    </a:xfrm>
                    <a:prstGeom prst="rect">
                      <a:avLst/>
                    </a:prstGeom>
                  </pic:spPr>
                </pic:pic>
              </a:graphicData>
            </a:graphic>
          </wp:inline>
        </w:drawing>
      </w:r>
    </w:p>
    <w:p w14:paraId="411495CE" w14:textId="69414B38" w:rsidR="00A22BBE" w:rsidRPr="005230C4" w:rsidRDefault="72F6623F" w:rsidP="00A22BBE">
      <w:pPr>
        <w:rPr>
          <w:sz w:val="20"/>
          <w:szCs w:val="20"/>
        </w:rPr>
      </w:pPr>
      <w:r w:rsidRPr="005230C4">
        <w:rPr>
          <w:sz w:val="20"/>
          <w:szCs w:val="20"/>
        </w:rPr>
        <w:t>Data Source: Bureau of Infectious Disease and Laboratory Sciences, data are current as of 7/1/202</w:t>
      </w:r>
      <w:r w:rsidR="005230C4" w:rsidRPr="005230C4">
        <w:rPr>
          <w:sz w:val="20"/>
          <w:szCs w:val="20"/>
        </w:rPr>
        <w:t>3</w:t>
      </w:r>
      <w:r w:rsidRPr="005230C4">
        <w:rPr>
          <w:sz w:val="20"/>
          <w:szCs w:val="20"/>
        </w:rPr>
        <w:t xml:space="preserve"> and subject to change</w:t>
      </w:r>
      <w:r w:rsidR="00B1580A">
        <w:rPr>
          <w:sz w:val="20"/>
          <w:szCs w:val="20"/>
        </w:rPr>
        <w:t>.</w:t>
      </w:r>
    </w:p>
    <w:p w14:paraId="25ED11D8" w14:textId="1D56938C" w:rsidR="00A22BBE" w:rsidRPr="005230C4" w:rsidRDefault="00A22BBE" w:rsidP="41714869">
      <w:pPr>
        <w:rPr>
          <w:szCs w:val="24"/>
        </w:rPr>
      </w:pPr>
    </w:p>
    <w:p w14:paraId="5CDD69F8" w14:textId="5ABF830A" w:rsidR="00A22BBE" w:rsidRPr="005230C4" w:rsidRDefault="005230C4" w:rsidP="69F1B494">
      <w:pPr>
        <w:numPr>
          <w:ilvl w:val="0"/>
          <w:numId w:val="8"/>
        </w:numPr>
      </w:pPr>
      <w:r w:rsidRPr="005230C4">
        <w:t>Survival of individuals diagnosed with HIV infection has increased over time. In the earliest cohort of HIV infection diagnoses (1988–1992), estimated survival at five years after HIV infection diagnosis was 50%, compared to 95% in the three most recent cohorts (2018–2022, 2013–2017, and 2008–2012).</w:t>
      </w:r>
      <w:r w:rsidR="00A22BBE" w:rsidRPr="005230C4">
        <w:rPr>
          <w:rStyle w:val="FootnoteReference"/>
        </w:rPr>
        <w:footnoteReference w:id="68"/>
      </w:r>
    </w:p>
    <w:p w14:paraId="229AFCA6" w14:textId="3AE28C0E" w:rsidR="00824CBF" w:rsidRPr="00991A6F" w:rsidRDefault="00824CBF" w:rsidP="00A22BBE">
      <w:pPr>
        <w:rPr>
          <w:color w:val="FF0000"/>
          <w:szCs w:val="24"/>
        </w:rPr>
      </w:pPr>
      <w:r w:rsidRPr="00991A6F">
        <w:rPr>
          <w:color w:val="FF0000"/>
          <w:szCs w:val="24"/>
        </w:rPr>
        <w:br w:type="page"/>
      </w:r>
    </w:p>
    <w:p w14:paraId="2023D0A7" w14:textId="31EA5DA8" w:rsidR="00A22BBE" w:rsidRPr="00935DD5" w:rsidRDefault="00A453A5" w:rsidP="38A4F72D">
      <w:pPr>
        <w:pStyle w:val="Heading1"/>
        <w:rPr>
          <w:b w:val="0"/>
        </w:rPr>
      </w:pPr>
      <w:bookmarkStart w:id="28" w:name="_Toc154057132"/>
      <w:r>
        <w:lastRenderedPageBreak/>
        <w:t>VIRAL HEPATITIS</w:t>
      </w:r>
      <w:bookmarkEnd w:id="28"/>
    </w:p>
    <w:p w14:paraId="0717B520" w14:textId="4037E605" w:rsidR="00A453A5" w:rsidRPr="00935DD5" w:rsidRDefault="00A453A5" w:rsidP="38A4F72D">
      <w:pPr>
        <w:pStyle w:val="Heading2"/>
      </w:pPr>
      <w:bookmarkStart w:id="29" w:name="_Toc154057133"/>
      <w:r>
        <w:t>HEPATITIS A</w:t>
      </w:r>
      <w:bookmarkEnd w:id="29"/>
    </w:p>
    <w:p w14:paraId="6FC07522" w14:textId="3DD868FA" w:rsidR="00A453A5" w:rsidRPr="00935DD5" w:rsidRDefault="00A453A5" w:rsidP="00A453A5">
      <w:pPr>
        <w:rPr>
          <w:szCs w:val="24"/>
        </w:rPr>
      </w:pPr>
      <w:r w:rsidRPr="00935DD5">
        <w:rPr>
          <w:szCs w:val="24"/>
        </w:rPr>
        <w:t>Hepatitis A is a vaccine-preventable, viral liver disease that can cause mild to severe illness. It is usually transmitted person-</w:t>
      </w:r>
      <w:r w:rsidR="009947A6" w:rsidRPr="00935DD5">
        <w:rPr>
          <w:szCs w:val="24"/>
        </w:rPr>
        <w:t>to</w:t>
      </w:r>
      <w:r w:rsidR="009947A6">
        <w:rPr>
          <w:szCs w:val="24"/>
        </w:rPr>
        <w:t>-</w:t>
      </w:r>
      <w:r w:rsidRPr="00935DD5">
        <w:rPr>
          <w:szCs w:val="24"/>
        </w:rPr>
        <w:t xml:space="preserve">person through the fecal-oral route or through consumption of contaminated food or water. Hepatitis A is a self-limited disease that does not result in chronic infection. </w:t>
      </w:r>
    </w:p>
    <w:p w14:paraId="3B803285" w14:textId="45656CE7" w:rsidR="00A453A5" w:rsidRPr="00991A6F" w:rsidRDefault="00A453A5" w:rsidP="00A453A5">
      <w:pPr>
        <w:rPr>
          <w:color w:val="FF0000"/>
          <w:szCs w:val="24"/>
        </w:rPr>
      </w:pPr>
    </w:p>
    <w:p w14:paraId="0885366B" w14:textId="2EB83110" w:rsidR="00A453A5" w:rsidRPr="00935DD5" w:rsidRDefault="00A453A5" w:rsidP="00A453A5">
      <w:pPr>
        <w:rPr>
          <w:szCs w:val="24"/>
        </w:rPr>
      </w:pPr>
      <w:r w:rsidRPr="00935DD5">
        <w:rPr>
          <w:b/>
          <w:bCs/>
          <w:szCs w:val="24"/>
        </w:rPr>
        <w:t xml:space="preserve">Figure </w:t>
      </w:r>
      <w:r w:rsidR="00935DD5" w:rsidRPr="00935DD5">
        <w:rPr>
          <w:b/>
          <w:bCs/>
          <w:szCs w:val="24"/>
        </w:rPr>
        <w:t>23</w:t>
      </w:r>
      <w:r w:rsidRPr="00935DD5">
        <w:rPr>
          <w:b/>
          <w:bCs/>
          <w:szCs w:val="24"/>
        </w:rPr>
        <w:t>.</w:t>
      </w:r>
      <w:r w:rsidRPr="00935DD5">
        <w:rPr>
          <w:szCs w:val="24"/>
        </w:rPr>
        <w:t xml:space="preserve"> Number of hepatitis A cases reported by year, housing status, and presence of substance use disorder, Massachusetts </w:t>
      </w:r>
      <w:r w:rsidR="00171016" w:rsidRPr="00935DD5">
        <w:rPr>
          <w:szCs w:val="24"/>
        </w:rPr>
        <w:t>2013–2022</w:t>
      </w:r>
      <w:r w:rsidRPr="00935DD5">
        <w:rPr>
          <w:szCs w:val="24"/>
        </w:rPr>
        <w:t xml:space="preserve"> </w:t>
      </w:r>
    </w:p>
    <w:p w14:paraId="5F0FBD6C" w14:textId="5FB17CD3" w:rsidR="00A453A5" w:rsidRPr="00991A6F" w:rsidRDefault="00935DD5" w:rsidP="00A453A5">
      <w:pPr>
        <w:rPr>
          <w:color w:val="FF0000"/>
        </w:rPr>
      </w:pPr>
      <w:r>
        <w:rPr>
          <w:noProof/>
          <w:color w:val="FF0000"/>
        </w:rPr>
        <w:drawing>
          <wp:inline distT="0" distB="0" distL="0" distR="0" wp14:anchorId="297C9869" wp14:editId="43319394">
            <wp:extent cx="5661660" cy="3117973"/>
            <wp:effectExtent l="0" t="0" r="0" b="0"/>
            <wp:docPr id="389839590" name="Picture 389839590" descr="The figure is a stacked bar chart displaying the number of hepatitis A cases reported each year from 2013 to 2022 by housing status (homelessness/unstable housing) and presence of substance use disorder. The number of cases each year with homelessness/unstable housing or substance use disorder reported verses those with no homelessness/unstable housing or substance use disorder reported i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39590" name="Picture 1" descr="The figure is a stacked bar chart displaying the number of hepatitis A cases reported each year from 2013 to 2022 by housing status (homelessness/unstable housing) and presence of substance use disorder. The number of cases each year with homelessness/unstable housing or substance use disorder reported verses those with no homelessness/unstable housing or substance use disorder reported is displayed.&#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5931" cy="3120325"/>
                    </a:xfrm>
                    <a:prstGeom prst="rect">
                      <a:avLst/>
                    </a:prstGeom>
                    <a:noFill/>
                  </pic:spPr>
                </pic:pic>
              </a:graphicData>
            </a:graphic>
          </wp:inline>
        </w:drawing>
      </w:r>
    </w:p>
    <w:p w14:paraId="33D73753" w14:textId="08EF9191" w:rsidR="00923D7E" w:rsidRPr="00935DD5" w:rsidRDefault="00923D7E" w:rsidP="00923D7E">
      <w:pPr>
        <w:rPr>
          <w:sz w:val="20"/>
          <w:szCs w:val="20"/>
        </w:rPr>
      </w:pPr>
      <w:r w:rsidRPr="00935DD5">
        <w:rPr>
          <w:sz w:val="20"/>
          <w:szCs w:val="20"/>
        </w:rPr>
        <w:t>Data Source: Bureau of Infectious Disease and Laboratory Sciences, data are current as of 7/2</w:t>
      </w:r>
      <w:r w:rsidR="00935DD5" w:rsidRPr="00935DD5">
        <w:rPr>
          <w:sz w:val="20"/>
          <w:szCs w:val="20"/>
        </w:rPr>
        <w:t>6</w:t>
      </w:r>
      <w:r w:rsidRPr="00935DD5">
        <w:rPr>
          <w:sz w:val="20"/>
          <w:szCs w:val="20"/>
        </w:rPr>
        <w:t>/202</w:t>
      </w:r>
      <w:r w:rsidR="00935DD5" w:rsidRPr="00935DD5">
        <w:rPr>
          <w:sz w:val="20"/>
          <w:szCs w:val="20"/>
        </w:rPr>
        <w:t>3</w:t>
      </w:r>
      <w:r w:rsidRPr="00935DD5">
        <w:rPr>
          <w:sz w:val="20"/>
          <w:szCs w:val="20"/>
        </w:rPr>
        <w:t xml:space="preserve"> and subject to change</w:t>
      </w:r>
      <w:r w:rsidR="00B1580A">
        <w:rPr>
          <w:sz w:val="20"/>
          <w:szCs w:val="20"/>
        </w:rPr>
        <w:t>.</w:t>
      </w:r>
    </w:p>
    <w:p w14:paraId="6957EB31" w14:textId="77777777" w:rsidR="00923D7E" w:rsidRPr="00935DD5" w:rsidRDefault="00923D7E" w:rsidP="00A453A5">
      <w:pPr>
        <w:rPr>
          <w:szCs w:val="24"/>
        </w:rPr>
      </w:pPr>
    </w:p>
    <w:p w14:paraId="6DCB646C" w14:textId="034E228F" w:rsidR="000907C2" w:rsidRPr="00935DD5" w:rsidRDefault="00935DD5" w:rsidP="224F3BC0">
      <w:pPr>
        <w:numPr>
          <w:ilvl w:val="0"/>
          <w:numId w:val="9"/>
        </w:numPr>
        <w:rPr>
          <w:rFonts w:eastAsiaTheme="minorEastAsia"/>
          <w:i/>
          <w:iCs/>
        </w:rPr>
      </w:pPr>
      <w:r w:rsidRPr="00935DD5">
        <w:t xml:space="preserve">Between 2018 and 2020, the Massachusetts Department of Public Health (MDPH) and local health departments investigated an outbreak of hepatitis A. The populations most affected by the outbreak were those </w:t>
      </w:r>
      <w:r w:rsidR="2B3B66A6">
        <w:t xml:space="preserve">reported </w:t>
      </w:r>
      <w:r w:rsidRPr="00935DD5">
        <w:t xml:space="preserve">with recent homelessness or unstable housing, and/or substance use disorder, accounting for 72% (N=268/373) and 64% (N=124/193) of  cases in 2018 and 2019, respectively. MDPH partnered with clinical and community-based providers to implement a hepatitis A (HAV) vaccination response by deploying mobile vaccination providers to shelters, correctional facilities, harm reduction programs, and outreach venues. Since spring of 2020, case counts have decreased to a pre-outbreak baseline, and very few cases have been reported among the populations most affected by the outbreak. </w:t>
      </w:r>
      <w:r w:rsidR="00C2115E">
        <w:t xml:space="preserve">Fewer </w:t>
      </w:r>
      <w:r w:rsidRPr="00935DD5">
        <w:t>than five cases were reported among individuals with homelessness/unstable housing or substance use disorder each year from 2020 to 2022</w:t>
      </w:r>
      <w:r w:rsidRPr="388E5C6E">
        <w:rPr>
          <w:i/>
          <w:iCs/>
        </w:rPr>
        <w:t>.</w:t>
      </w:r>
      <w:r w:rsidRPr="224F3BC0">
        <w:rPr>
          <w:rStyle w:val="FootnoteReference"/>
          <w:rFonts w:ascii="Arial" w:eastAsia="Arial" w:hAnsi="Arial" w:cs="Arial"/>
          <w:sz w:val="22"/>
        </w:rPr>
        <w:footnoteReference w:id="69"/>
      </w:r>
      <w:r w:rsidR="00C2115E" w:rsidRPr="38A4F72D">
        <w:rPr>
          <w:rFonts w:ascii="Arial" w:eastAsia="Arial" w:hAnsi="Arial" w:cs="Arial"/>
          <w:vertAlign w:val="superscript"/>
        </w:rPr>
        <w:t xml:space="preserve"> </w:t>
      </w:r>
      <w:r w:rsidR="7A9F39FB" w:rsidRPr="00935DD5">
        <w:t>M</w:t>
      </w:r>
      <w:r w:rsidR="17373003" w:rsidRPr="00935DD5">
        <w:t>DPH</w:t>
      </w:r>
      <w:r w:rsidR="17C5D9BA" w:rsidRPr="00935DD5">
        <w:t xml:space="preserve"> encourages continued vaccination of vulnerable </w:t>
      </w:r>
      <w:r w:rsidR="17C5D9BA" w:rsidRPr="00935DD5">
        <w:lastRenderedPageBreak/>
        <w:t>populations in accordance with recommendations from the Advisory Committee on Immunization Practices.</w:t>
      </w:r>
      <w:r w:rsidR="002F1CA2" w:rsidRPr="00935DD5">
        <w:rPr>
          <w:rStyle w:val="FootnoteReference"/>
        </w:rPr>
        <w:footnoteReference w:id="70"/>
      </w:r>
      <w:r w:rsidR="000907C2" w:rsidRPr="2F702A1B">
        <w:rPr>
          <w:color w:val="FF0000"/>
        </w:rPr>
        <w:br w:type="page"/>
      </w:r>
    </w:p>
    <w:p w14:paraId="0D881BB6" w14:textId="3234E519" w:rsidR="00A453A5" w:rsidRPr="00EA41D8" w:rsidRDefault="000907C2" w:rsidP="38A4F72D">
      <w:pPr>
        <w:pStyle w:val="Heading2"/>
      </w:pPr>
      <w:bookmarkStart w:id="30" w:name="_Toc154057134"/>
      <w:r>
        <w:lastRenderedPageBreak/>
        <w:t>HEPATITIS B</w:t>
      </w:r>
      <w:bookmarkEnd w:id="30"/>
    </w:p>
    <w:p w14:paraId="226FD746" w14:textId="77777777" w:rsidR="000907C2" w:rsidRPr="00EA41D8" w:rsidRDefault="000907C2" w:rsidP="000907C2">
      <w:pPr>
        <w:rPr>
          <w:szCs w:val="24"/>
        </w:rPr>
      </w:pPr>
      <w:r>
        <w:t>Hepatitis B is a liver infection caused by the hepatitis B virus. Transmission occurs via contact with blood or other body fluids, including from mother to infant at birth, via sexual contact, and through sharing of drug injection equipment. Most people who get the disease recover from it and cannot be re-infected. However, about 10% of adults who get hepatitis B will go on to have chronic (long-term) infection and can pass it on to others. When it is chronic, it can be a serious disease that can lead to cirrhosis (scarring of the liver) and/or liver cancer. The younger a person is when infected, the more likely he or she is to go on to have chronic infection and to develop serious liver disease. There is a vaccine to prevent hepatitis B infection. </w:t>
      </w:r>
    </w:p>
    <w:p w14:paraId="7EF562AC" w14:textId="32951A23" w:rsidR="224F3BC0" w:rsidRDefault="224F3BC0"/>
    <w:p w14:paraId="37A25EF0" w14:textId="0A7E9AA7" w:rsidR="000907C2" w:rsidRPr="00EA41D8" w:rsidRDefault="000907C2" w:rsidP="000907C2">
      <w:pPr>
        <w:rPr>
          <w:szCs w:val="24"/>
        </w:rPr>
      </w:pPr>
      <w:r w:rsidRPr="00EA41D8">
        <w:rPr>
          <w:szCs w:val="24"/>
        </w:rPr>
        <w:t xml:space="preserve">The </w:t>
      </w:r>
      <w:r w:rsidR="007C06A7">
        <w:rPr>
          <w:szCs w:val="24"/>
        </w:rPr>
        <w:t>impact</w:t>
      </w:r>
      <w:r w:rsidRPr="00EA41D8">
        <w:rPr>
          <w:szCs w:val="24"/>
        </w:rPr>
        <w:t xml:space="preserve"> of chronic hepatitis B in the US is greater among people born in regions of the world with high or moderate prevalence of chronic hepatitis B, including much of Asia and the Pacific Islands.</w:t>
      </w:r>
    </w:p>
    <w:p w14:paraId="65C90EDD" w14:textId="3245AF53" w:rsidR="000907C2" w:rsidRPr="00EA41D8" w:rsidRDefault="000907C2" w:rsidP="004C3766">
      <w:pPr>
        <w:rPr>
          <w:szCs w:val="24"/>
        </w:rPr>
      </w:pPr>
    </w:p>
    <w:p w14:paraId="2E3CC637" w14:textId="63A3F5F4" w:rsidR="004C3766" w:rsidRPr="00EA41D8" w:rsidRDefault="004C3766" w:rsidP="004C3766">
      <w:r w:rsidRPr="3D58EA56">
        <w:rPr>
          <w:b/>
          <w:bCs/>
        </w:rPr>
        <w:t xml:space="preserve">Figure </w:t>
      </w:r>
      <w:r w:rsidR="00EA41D8" w:rsidRPr="3D58EA56">
        <w:rPr>
          <w:b/>
          <w:bCs/>
        </w:rPr>
        <w:t>24</w:t>
      </w:r>
      <w:r w:rsidRPr="3D58EA56">
        <w:rPr>
          <w:b/>
          <w:bCs/>
        </w:rPr>
        <w:t xml:space="preserve">. </w:t>
      </w:r>
      <w:r>
        <w:t xml:space="preserve">Number of confirmed and probable chronic hepatitis B cases reported by year, Massachusetts </w:t>
      </w:r>
      <w:r w:rsidR="00171016">
        <w:t>2013–2022</w:t>
      </w:r>
      <w:r>
        <w:t xml:space="preserve"> </w:t>
      </w:r>
    </w:p>
    <w:p w14:paraId="3663C251" w14:textId="10EE833D" w:rsidR="004C3766" w:rsidRPr="00EA41D8" w:rsidRDefault="004C3766" w:rsidP="004C3766"/>
    <w:p w14:paraId="1BF6B2A3" w14:textId="068F9400" w:rsidR="004C3766" w:rsidRPr="001A56F5" w:rsidRDefault="496A2130" w:rsidP="23C0B236">
      <w:pPr>
        <w:spacing w:after="120"/>
      </w:pPr>
      <w:r>
        <w:rPr>
          <w:noProof/>
        </w:rPr>
        <w:drawing>
          <wp:inline distT="0" distB="0" distL="0" distR="0" wp14:anchorId="41CA0753" wp14:editId="31909AA8">
            <wp:extent cx="4743450" cy="3547706"/>
            <wp:effectExtent l="0" t="0" r="0" b="0"/>
            <wp:docPr id="1737784128" name="Picture 1737784128" descr="The figure is a stacked bar chart displaying the number of both confirmed and probable chronic hepatitis B cases each year for the years 2013-2022." title="Figure 24. Number of confirmed and probable chronic hepatitis B cases reported by year, Massachusetts 2013–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743450" cy="3547706"/>
                    </a:xfrm>
                    <a:prstGeom prst="rect">
                      <a:avLst/>
                    </a:prstGeom>
                  </pic:spPr>
                </pic:pic>
              </a:graphicData>
            </a:graphic>
          </wp:inline>
        </w:drawing>
      </w:r>
    </w:p>
    <w:p w14:paraId="35434ACB" w14:textId="69B02291" w:rsidR="004C3766" w:rsidRPr="001A56F5" w:rsidRDefault="508645B6" w:rsidP="76F421E0">
      <w:pPr>
        <w:spacing w:after="120"/>
        <w:rPr>
          <w:sz w:val="20"/>
          <w:szCs w:val="20"/>
        </w:rPr>
      </w:pPr>
      <w:r w:rsidRPr="001A56F5">
        <w:rPr>
          <w:sz w:val="20"/>
          <w:szCs w:val="20"/>
        </w:rPr>
        <w:t xml:space="preserve">Data Source: Bureau of Infectious Disease and Laboratory Sciences, data are current as of </w:t>
      </w:r>
      <w:r w:rsidR="001A56F5" w:rsidRPr="001A56F5">
        <w:rPr>
          <w:sz w:val="20"/>
          <w:szCs w:val="20"/>
        </w:rPr>
        <w:t>7/6/2023</w:t>
      </w:r>
      <w:r w:rsidRPr="001A56F5">
        <w:rPr>
          <w:sz w:val="20"/>
          <w:szCs w:val="20"/>
        </w:rPr>
        <w:t xml:space="preserve"> and subject to change</w:t>
      </w:r>
      <w:r w:rsidR="00B1580A">
        <w:rPr>
          <w:sz w:val="20"/>
          <w:szCs w:val="20"/>
        </w:rPr>
        <w:t>.</w:t>
      </w:r>
    </w:p>
    <w:p w14:paraId="0DFA49EA" w14:textId="77777777" w:rsidR="001A56F5" w:rsidRPr="001A56F5" w:rsidRDefault="62E2D17B" w:rsidP="001A56F5">
      <w:pPr>
        <w:pStyle w:val="spaced6"/>
      </w:pPr>
      <w:r w:rsidRPr="001A56F5">
        <w:t>From 201</w:t>
      </w:r>
      <w:r w:rsidR="001A56F5" w:rsidRPr="001A56F5">
        <w:t>3</w:t>
      </w:r>
      <w:r w:rsidRPr="001A56F5">
        <w:t xml:space="preserve"> to 202</w:t>
      </w:r>
      <w:r w:rsidR="001A56F5" w:rsidRPr="001A56F5">
        <w:t>2</w:t>
      </w:r>
      <w:r w:rsidRPr="001A56F5">
        <w:t>,</w:t>
      </w:r>
      <w:r w:rsidR="004C3766" w:rsidRPr="001A56F5">
        <w:rPr>
          <w:rStyle w:val="FootnoteReference"/>
        </w:rPr>
        <w:footnoteReference w:id="71"/>
      </w:r>
      <w:r w:rsidRPr="001A56F5">
        <w:t xml:space="preserve"> </w:t>
      </w:r>
      <w:r w:rsidR="001A56F5" w:rsidRPr="001A56F5">
        <w:t>an average of 1,720 cases of confirmed and probable chronic hepatitis B virus (HBV) infection were reported each year (with a low of 1,179 in 2020 and a high of 1,980 in 2017). Changes in testing behaviors and travel due to the COVID-19 pandemic likely influenced the number of reported cases and may contribute to the decrease in 2020, followed by the rebound in 2021 and 2022.</w:t>
      </w:r>
    </w:p>
    <w:p w14:paraId="1250C44F" w14:textId="55F2559F" w:rsidR="00B4452B" w:rsidRPr="001A56F5" w:rsidRDefault="001A56F5" w:rsidP="001A56F5">
      <w:pPr>
        <w:pStyle w:val="spaced6"/>
      </w:pPr>
      <w:r w:rsidRPr="001A56F5">
        <w:lastRenderedPageBreak/>
        <w:t>The surveillance case definition for chronic HBV requires two positive tests; for certain test types, these two tests must be taken at least six months apart. Reported cases are classified as "probable" following the initial test result and are re-classified as "confirmed" if additional test results are received. During the most recent year of data, 2022, some cases currently reported as probable may be eventually confirmed in future reports as additional information is obtained</w:t>
      </w:r>
      <w:r w:rsidR="62E2D17B" w:rsidRPr="001A56F5">
        <w:t>.</w:t>
      </w:r>
      <w:r w:rsidR="004C3766" w:rsidRPr="001A56F5">
        <w:rPr>
          <w:rStyle w:val="FootnoteReference"/>
        </w:rPr>
        <w:footnoteReference w:id="72"/>
      </w:r>
      <w:r w:rsidR="00B4452B" w:rsidRPr="001A56F5">
        <w:br w:type="page"/>
      </w:r>
    </w:p>
    <w:p w14:paraId="074787E1" w14:textId="2B678DFB" w:rsidR="004C3766" w:rsidRPr="00EC1AAE" w:rsidRDefault="00B4452B" w:rsidP="38A4F72D">
      <w:pPr>
        <w:pStyle w:val="Heading2"/>
      </w:pPr>
      <w:bookmarkStart w:id="31" w:name="_Toc154057135"/>
      <w:r>
        <w:lastRenderedPageBreak/>
        <w:t>HEPATITIS B BY GENDER</w:t>
      </w:r>
      <w:bookmarkEnd w:id="31"/>
    </w:p>
    <w:p w14:paraId="1E6047AE" w14:textId="06EE1DC7" w:rsidR="00B4452B" w:rsidRPr="00EC1AAE" w:rsidRDefault="00B4452B" w:rsidP="00B4452B">
      <w:pPr>
        <w:rPr>
          <w:szCs w:val="24"/>
        </w:rPr>
      </w:pPr>
      <w:r w:rsidRPr="00EC1AAE">
        <w:rPr>
          <w:b/>
          <w:bCs/>
          <w:szCs w:val="24"/>
        </w:rPr>
        <w:t>Figure 2</w:t>
      </w:r>
      <w:r w:rsidR="001A56F5" w:rsidRPr="00EC1AAE">
        <w:rPr>
          <w:b/>
          <w:bCs/>
          <w:szCs w:val="24"/>
        </w:rPr>
        <w:t>5</w:t>
      </w:r>
      <w:r w:rsidRPr="00EC1AAE">
        <w:rPr>
          <w:b/>
          <w:bCs/>
          <w:szCs w:val="24"/>
        </w:rPr>
        <w:t xml:space="preserve">. </w:t>
      </w:r>
      <w:r w:rsidRPr="00EC1AAE">
        <w:rPr>
          <w:szCs w:val="24"/>
        </w:rPr>
        <w:t xml:space="preserve">Number of confirmed and probable chronic hepatitis B cases reported by female and male gender, Massachusetts </w:t>
      </w:r>
      <w:r w:rsidR="00171016" w:rsidRPr="00EC1AAE">
        <w:rPr>
          <w:szCs w:val="24"/>
        </w:rPr>
        <w:t>2013–2022</w:t>
      </w:r>
    </w:p>
    <w:p w14:paraId="3EBE9A25" w14:textId="1B59C10A" w:rsidR="00B4452B" w:rsidRPr="00991A6F" w:rsidRDefault="00B4452B" w:rsidP="00B4452B">
      <w:pPr>
        <w:rPr>
          <w:color w:val="FF0000"/>
        </w:rPr>
      </w:pPr>
    </w:p>
    <w:p w14:paraId="5193A741" w14:textId="254EBB83" w:rsidR="22A633E4" w:rsidRPr="00991A6F" w:rsidRDefault="00EC1AAE" w:rsidP="76F421E0">
      <w:pPr>
        <w:rPr>
          <w:color w:val="FF0000"/>
          <w:szCs w:val="24"/>
        </w:rPr>
      </w:pPr>
      <w:r>
        <w:rPr>
          <w:noProof/>
          <w:color w:val="FF0000"/>
          <w:szCs w:val="24"/>
        </w:rPr>
        <w:drawing>
          <wp:inline distT="0" distB="0" distL="0" distR="0" wp14:anchorId="16A6F906" wp14:editId="32C32F40">
            <wp:extent cx="5433060" cy="3618445"/>
            <wp:effectExtent l="0" t="0" r="0" b="0"/>
            <wp:docPr id="26176192" name="Picture 26176192" descr="The figure is a trendline graph displaying the number confirmed and probable chronic hepatitis B cases for three groups (female and male gender and statewide total) for each year from 201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6192" name="Picture 3" descr="The figure is a trendline graph displaying the number confirmed and probable chronic hepatitis B cases for three groups (female and male gender and statewide total) for each year from 2013–2022.&#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1714" cy="3624208"/>
                    </a:xfrm>
                    <a:prstGeom prst="rect">
                      <a:avLst/>
                    </a:prstGeom>
                    <a:noFill/>
                  </pic:spPr>
                </pic:pic>
              </a:graphicData>
            </a:graphic>
          </wp:inline>
        </w:drawing>
      </w:r>
    </w:p>
    <w:p w14:paraId="6488D038" w14:textId="6CD35846" w:rsidR="76F421E0" w:rsidRPr="00991A6F" w:rsidRDefault="76F421E0" w:rsidP="76F421E0">
      <w:pPr>
        <w:rPr>
          <w:color w:val="FF0000"/>
          <w:sz w:val="20"/>
          <w:szCs w:val="20"/>
        </w:rPr>
      </w:pPr>
    </w:p>
    <w:p w14:paraId="69733973" w14:textId="7953ABF9" w:rsidR="00AC303E" w:rsidRPr="00AC303E" w:rsidRDefault="441B5107" w:rsidP="00AC303E">
      <w:pPr>
        <w:rPr>
          <w:sz w:val="20"/>
          <w:szCs w:val="20"/>
        </w:rPr>
      </w:pPr>
      <w:r w:rsidRPr="2F702A1B">
        <w:rPr>
          <w:sz w:val="20"/>
          <w:szCs w:val="20"/>
        </w:rPr>
        <w:t>Note: Cases reported as transgender</w:t>
      </w:r>
      <w:r w:rsidR="00053294">
        <w:rPr>
          <w:sz w:val="20"/>
          <w:szCs w:val="20"/>
        </w:rPr>
        <w:t xml:space="preserve"> </w:t>
      </w:r>
      <w:r w:rsidRPr="2F702A1B">
        <w:rPr>
          <w:sz w:val="20"/>
          <w:szCs w:val="20"/>
        </w:rPr>
        <w:t>or missing gender (2013–2022: N=7</w:t>
      </w:r>
      <w:r w:rsidR="0C81F1FA" w:rsidRPr="2F702A1B">
        <w:rPr>
          <w:sz w:val="20"/>
          <w:szCs w:val="20"/>
        </w:rPr>
        <w:t>3</w:t>
      </w:r>
      <w:r w:rsidRPr="2F702A1B">
        <w:rPr>
          <w:sz w:val="20"/>
          <w:szCs w:val="20"/>
        </w:rPr>
        <w:t>) are included in the statewide total but are not depicted in Figure 25 separately due to small numbers.</w:t>
      </w:r>
    </w:p>
    <w:p w14:paraId="732A1063" w14:textId="7362DE57" w:rsidR="005B0A6B" w:rsidRPr="00AC303E" w:rsidRDefault="00AC303E" w:rsidP="00AC303E">
      <w:pPr>
        <w:spacing w:after="120"/>
        <w:rPr>
          <w:sz w:val="20"/>
          <w:szCs w:val="20"/>
        </w:rPr>
      </w:pPr>
      <w:r w:rsidRPr="00AC303E">
        <w:rPr>
          <w:sz w:val="20"/>
          <w:szCs w:val="20"/>
        </w:rPr>
        <w:t xml:space="preserve">Data Source: Bureau of Infectious Disease and Laboratory Sciences, data are current as of 7/6/2023 and subject to </w:t>
      </w:r>
      <w:r w:rsidR="00E171E2" w:rsidRPr="00AC303E">
        <w:rPr>
          <w:sz w:val="20"/>
          <w:szCs w:val="20"/>
        </w:rPr>
        <w:t>change.</w:t>
      </w:r>
    </w:p>
    <w:p w14:paraId="48BF3A87" w14:textId="77777777" w:rsidR="00E171E2" w:rsidRDefault="56903A97" w:rsidP="38A4F72D">
      <w:pPr>
        <w:pStyle w:val="spaced6"/>
      </w:pPr>
      <w:r w:rsidRPr="00AC303E">
        <w:t>In 202</w:t>
      </w:r>
      <w:r w:rsidR="441B5107" w:rsidRPr="00AC303E">
        <w:t>2</w:t>
      </w:r>
      <w:r w:rsidRPr="00AC303E">
        <w:t>,</w:t>
      </w:r>
      <w:r w:rsidR="005B0A6B" w:rsidRPr="00AC303E">
        <w:rPr>
          <w:rStyle w:val="FootnoteReference"/>
        </w:rPr>
        <w:footnoteReference w:id="73"/>
      </w:r>
      <w:r w:rsidRPr="00AC303E">
        <w:t xml:space="preserve"> </w:t>
      </w:r>
      <w:r w:rsidR="441B5107" w:rsidRPr="00AC303E">
        <w:t xml:space="preserve">867 (55%) cases of confirmed and probable chronic HBV infection were newly reported among males, 709 (45%) were reported among females, and </w:t>
      </w:r>
      <w:r w:rsidR="00E171E2">
        <w:t>fewer</w:t>
      </w:r>
      <w:r w:rsidR="441B5107" w:rsidRPr="00AC303E">
        <w:t xml:space="preserve"> than five were reported among individuals of transgender experience. Please note reported numbers among individuals of transgender experience are likely to be underestimates as there may be underreporting or misreporting of gender due to the absence of appropriate collection of gender options (e.g., individuals who are nonbinary, and women and men of transgender experience). Changes in testing behaviors due to the COVID-19 pandemic likely affected the numbers of reported cases from 2020 to 2022.</w:t>
      </w:r>
    </w:p>
    <w:p w14:paraId="1DBD2EFD" w14:textId="77777777" w:rsidR="00CE121E" w:rsidRDefault="441B5107" w:rsidP="00CE121E">
      <w:pPr>
        <w:pStyle w:val="spaced6"/>
      </w:pPr>
      <w:r w:rsidRPr="00E171E2">
        <w:t xml:space="preserve">Hepatitis B in people of childbearing age is of particular concern due to the risk of transmission from pregnant person to infant at birth. Perinatal HBV transmission can be prevented by identifying </w:t>
      </w:r>
      <w:r w:rsidR="1FA0BD02" w:rsidRPr="00E171E2">
        <w:t>HBV-</w:t>
      </w:r>
      <w:r w:rsidRPr="00E171E2">
        <w:t xml:space="preserve">positive pregnant people and providing post-exposure prophylaxis (PEP) to their infants within 12 hours of birth. The MDPH Perinatal Hepatitis B Prevention Program provides case management to pregnant people who are </w:t>
      </w:r>
      <w:r w:rsidR="1FA0BD02" w:rsidRPr="00E171E2">
        <w:t>HBV-</w:t>
      </w:r>
      <w:r w:rsidRPr="00E171E2">
        <w:t>positive and their infants to ensure appropriate PEP, vaccination, and post-vaccination serologic testing.</w:t>
      </w:r>
    </w:p>
    <w:p w14:paraId="3992ECDD" w14:textId="63F088CE" w:rsidR="00B4452B" w:rsidRPr="00CE121E" w:rsidRDefault="00AC303E" w:rsidP="0072033B">
      <w:pPr>
        <w:pStyle w:val="spaced6"/>
        <w:numPr>
          <w:ilvl w:val="0"/>
          <w:numId w:val="0"/>
        </w:numPr>
      </w:pPr>
      <w:r w:rsidRPr="00CE121E">
        <w:rPr>
          <w:color w:val="FF0000"/>
        </w:rPr>
        <w:br w:type="page"/>
      </w:r>
      <w:bookmarkStart w:id="32" w:name="_Toc154057136"/>
      <w:r w:rsidR="009F1852" w:rsidRPr="00CE121E">
        <w:rPr>
          <w:rStyle w:val="Heading1Char"/>
        </w:rPr>
        <w:lastRenderedPageBreak/>
        <w:t>ACUTE HEPATITIS B</w:t>
      </w:r>
      <w:bookmarkEnd w:id="32"/>
    </w:p>
    <w:p w14:paraId="12B6A857" w14:textId="23C59346" w:rsidR="003D0661" w:rsidRPr="00FF6102" w:rsidRDefault="003D0661" w:rsidP="003D0661">
      <w:pPr>
        <w:rPr>
          <w:szCs w:val="24"/>
        </w:rPr>
      </w:pPr>
      <w:r w:rsidRPr="00FF6102">
        <w:rPr>
          <w:b/>
          <w:bCs/>
          <w:szCs w:val="24"/>
        </w:rPr>
        <w:t>Figure 2</w:t>
      </w:r>
      <w:r w:rsidR="00533BCA" w:rsidRPr="00FF6102">
        <w:rPr>
          <w:b/>
          <w:bCs/>
          <w:szCs w:val="24"/>
        </w:rPr>
        <w:t>6</w:t>
      </w:r>
      <w:r w:rsidRPr="00FF6102">
        <w:rPr>
          <w:b/>
          <w:bCs/>
          <w:szCs w:val="24"/>
        </w:rPr>
        <w:t xml:space="preserve">. </w:t>
      </w:r>
      <w:r w:rsidRPr="00FF6102">
        <w:rPr>
          <w:szCs w:val="24"/>
        </w:rPr>
        <w:t xml:space="preserve">Number of confirmed and suspect acute hepatitis B cases reported by year, Massachusetts </w:t>
      </w:r>
      <w:r w:rsidR="00171016" w:rsidRPr="00FF6102">
        <w:rPr>
          <w:szCs w:val="24"/>
        </w:rPr>
        <w:t>2013–2022</w:t>
      </w:r>
      <w:r w:rsidRPr="00FF6102">
        <w:rPr>
          <w:szCs w:val="24"/>
        </w:rPr>
        <w:t xml:space="preserve"> </w:t>
      </w:r>
    </w:p>
    <w:p w14:paraId="5670C8E5" w14:textId="77777777" w:rsidR="00FF6102" w:rsidRPr="00991A6F" w:rsidRDefault="00FF6102" w:rsidP="003D0661">
      <w:pPr>
        <w:rPr>
          <w:color w:val="FF0000"/>
          <w:szCs w:val="24"/>
        </w:rPr>
      </w:pPr>
    </w:p>
    <w:p w14:paraId="4B3A93BB" w14:textId="012D628E" w:rsidR="009F1852" w:rsidRPr="00991A6F" w:rsidRDefault="008003F4" w:rsidP="003D0661">
      <w:pPr>
        <w:rPr>
          <w:color w:val="FF0000"/>
          <w:szCs w:val="24"/>
        </w:rPr>
      </w:pPr>
      <w:r>
        <w:rPr>
          <w:noProof/>
          <w:color w:val="FF0000"/>
          <w:szCs w:val="24"/>
        </w:rPr>
        <w:drawing>
          <wp:inline distT="0" distB="0" distL="0" distR="0" wp14:anchorId="3541CF7A" wp14:editId="0C9164E7">
            <wp:extent cx="6078220" cy="4029710"/>
            <wp:effectExtent l="0" t="0" r="0" b="0"/>
            <wp:docPr id="1858592240" name="Picture 1858592240" descr="The figure is a stacked bar chart displaying the number of both confirmed and suspect acute hepatitis B cases each year for the years 201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92240" name="Picture 4" descr="The figure is a stacked bar chart displaying the number of both confirmed and suspect acute hepatitis B cases each year for the years 2013-2022.&#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8220" cy="4029710"/>
                    </a:xfrm>
                    <a:prstGeom prst="rect">
                      <a:avLst/>
                    </a:prstGeom>
                    <a:noFill/>
                  </pic:spPr>
                </pic:pic>
              </a:graphicData>
            </a:graphic>
          </wp:inline>
        </w:drawing>
      </w:r>
    </w:p>
    <w:p w14:paraId="25D3A4BE" w14:textId="252B0C0A" w:rsidR="003D0661" w:rsidRPr="00FF71B6" w:rsidRDefault="003D0661" w:rsidP="003D0661">
      <w:pPr>
        <w:spacing w:after="120"/>
        <w:rPr>
          <w:sz w:val="20"/>
          <w:szCs w:val="20"/>
        </w:rPr>
      </w:pPr>
      <w:r w:rsidRPr="00FF71B6">
        <w:rPr>
          <w:sz w:val="20"/>
          <w:szCs w:val="20"/>
        </w:rPr>
        <w:t xml:space="preserve">Data Source: Bureau of Infectious Disease and Laboratory Sciences, data are current as of </w:t>
      </w:r>
      <w:r w:rsidR="00FF71B6" w:rsidRPr="00FF71B6">
        <w:rPr>
          <w:sz w:val="20"/>
          <w:szCs w:val="20"/>
        </w:rPr>
        <w:t>7/6/2023</w:t>
      </w:r>
      <w:r w:rsidRPr="00FF71B6">
        <w:rPr>
          <w:sz w:val="20"/>
          <w:szCs w:val="20"/>
        </w:rPr>
        <w:t xml:space="preserve"> and subject to change</w:t>
      </w:r>
      <w:r w:rsidR="00B1580A">
        <w:rPr>
          <w:sz w:val="20"/>
          <w:szCs w:val="20"/>
        </w:rPr>
        <w:t>.</w:t>
      </w:r>
    </w:p>
    <w:p w14:paraId="52B805D2" w14:textId="6A1A1B68" w:rsidR="003D0661" w:rsidRPr="00FF71B6" w:rsidRDefault="641A72B0">
      <w:pPr>
        <w:pStyle w:val="spaced6"/>
      </w:pPr>
      <w:r w:rsidRPr="00FF71B6">
        <w:t>In 202</w:t>
      </w:r>
      <w:r w:rsidR="00FF71B6" w:rsidRPr="00FF71B6">
        <w:t>2</w:t>
      </w:r>
      <w:r w:rsidRPr="00FF71B6">
        <w:t>,</w:t>
      </w:r>
      <w:r w:rsidR="003D0661" w:rsidRPr="00FF71B6">
        <w:rPr>
          <w:rStyle w:val="FootnoteReference"/>
        </w:rPr>
        <w:footnoteReference w:id="74"/>
      </w:r>
      <w:r w:rsidRPr="00FF71B6">
        <w:t xml:space="preserve"> </w:t>
      </w:r>
      <w:r w:rsidR="00FF71B6" w:rsidRPr="00FF71B6">
        <w:t>there were 21 confirmed acute and 128 suspect acute HBV cases for a total of 149 acute cases</w:t>
      </w:r>
      <w:r w:rsidRPr="00FF71B6">
        <w:t>.</w:t>
      </w:r>
      <w:r w:rsidR="003D0661" w:rsidRPr="00FF71B6">
        <w:rPr>
          <w:rStyle w:val="FootnoteReference"/>
        </w:rPr>
        <w:footnoteReference w:id="75"/>
      </w:r>
      <w:r w:rsidRPr="00FF71B6">
        <w:t xml:space="preserve"> </w:t>
      </w:r>
    </w:p>
    <w:p w14:paraId="6E5AAD2D" w14:textId="77777777" w:rsidR="00FF71B6" w:rsidRPr="00FF71B6" w:rsidRDefault="00FF71B6" w:rsidP="00FF71B6">
      <w:pPr>
        <w:numPr>
          <w:ilvl w:val="0"/>
          <w:numId w:val="4"/>
        </w:numPr>
        <w:spacing w:after="120"/>
      </w:pPr>
      <w:r w:rsidRPr="00FF71B6">
        <w:t>The total number of confirmed acute HBV cases reported has decreased between 2017 (53 cases) and 2022 (21 cases).</w:t>
      </w:r>
    </w:p>
    <w:p w14:paraId="27B28B30" w14:textId="77777777" w:rsidR="00FF71B6" w:rsidRPr="00FF71B6" w:rsidRDefault="00FF71B6" w:rsidP="00FF71B6">
      <w:pPr>
        <w:numPr>
          <w:ilvl w:val="0"/>
          <w:numId w:val="4"/>
        </w:numPr>
      </w:pPr>
      <w:r w:rsidRPr="00FF71B6">
        <w:t>Injection drug use (IDU) is a significant, and increasingly important, risk factor for acquisition of acute HBV infection.</w:t>
      </w:r>
    </w:p>
    <w:p w14:paraId="7F947350" w14:textId="4F73ACFC" w:rsidR="00661C6E" w:rsidRPr="00991A6F" w:rsidRDefault="00661C6E" w:rsidP="003D0661">
      <w:pPr>
        <w:rPr>
          <w:color w:val="FF0000"/>
          <w:szCs w:val="24"/>
        </w:rPr>
      </w:pPr>
      <w:r w:rsidRPr="00991A6F">
        <w:rPr>
          <w:color w:val="FF0000"/>
          <w:szCs w:val="24"/>
        </w:rPr>
        <w:br w:type="page"/>
      </w:r>
    </w:p>
    <w:p w14:paraId="23C00F59" w14:textId="4792BCD1" w:rsidR="003D0661" w:rsidRPr="005962B4" w:rsidRDefault="00661C6E" w:rsidP="38A4F72D">
      <w:pPr>
        <w:pStyle w:val="Heading2"/>
      </w:pPr>
      <w:bookmarkStart w:id="33" w:name="_Toc154057137"/>
      <w:r>
        <w:lastRenderedPageBreak/>
        <w:t>HEPATITIS C</w:t>
      </w:r>
      <w:bookmarkEnd w:id="33"/>
    </w:p>
    <w:p w14:paraId="1A38C488" w14:textId="74DFC427" w:rsidR="00661C6E" w:rsidRPr="005962B4" w:rsidRDefault="00661C6E" w:rsidP="00661C6E">
      <w:pPr>
        <w:rPr>
          <w:szCs w:val="24"/>
        </w:rPr>
      </w:pPr>
      <w:r w:rsidRPr="005962B4">
        <w:rPr>
          <w:szCs w:val="24"/>
        </w:rPr>
        <w:t>Hepatitis C is a liver infection caused by the hepatitis C virus. The majority of infected individuals are asymptomatic, but symptoms</w:t>
      </w:r>
      <w:r w:rsidR="000179A6">
        <w:rPr>
          <w:szCs w:val="24"/>
        </w:rPr>
        <w:t>, when present,</w:t>
      </w:r>
      <w:r w:rsidRPr="005962B4">
        <w:rPr>
          <w:szCs w:val="24"/>
        </w:rPr>
        <w:t xml:space="preserve"> can include fatigue, loss of appetite, nausea, vomiting, abdominal pain, and jaundice. Over time, liver damage can result, and complications can include cirrhosis and liver cancer. Hepatitis C infection is spread by direct contact with the blood of an infected person. Transmission mechanisms can include: sharing equipment used to inject drugs, blood transfusions and organ transplants (primarily prior to 1992 when widespread screening of the blood supply began), from </w:t>
      </w:r>
      <w:r w:rsidR="008A780B" w:rsidRPr="005962B4">
        <w:rPr>
          <w:szCs w:val="24"/>
        </w:rPr>
        <w:t xml:space="preserve">gestational parent </w:t>
      </w:r>
      <w:r w:rsidRPr="005962B4">
        <w:rPr>
          <w:szCs w:val="24"/>
        </w:rPr>
        <w:t>to child at birth, sharing personal items such as toothbrushes or razors, tattoos and piercings in non-sterile environments, infection control breaches in healthcare settings, and, rarely, through sexual contact (more likely with HIV co-infection). Most people who get the infection will go on to have chronic infection. With the advent of direct-acting antivirals, hepatitis C infection is curable with a</w:t>
      </w:r>
      <w:r w:rsidR="00C271C0">
        <w:rPr>
          <w:szCs w:val="24"/>
        </w:rPr>
        <w:t>n</w:t>
      </w:r>
      <w:r w:rsidRPr="005962B4">
        <w:rPr>
          <w:szCs w:val="24"/>
        </w:rPr>
        <w:t xml:space="preserve"> </w:t>
      </w:r>
      <w:r w:rsidR="00EB6386">
        <w:rPr>
          <w:szCs w:val="24"/>
        </w:rPr>
        <w:t>8-12 week</w:t>
      </w:r>
      <w:r w:rsidRPr="005962B4">
        <w:rPr>
          <w:szCs w:val="24"/>
        </w:rPr>
        <w:t xml:space="preserve"> course of treatment.</w:t>
      </w:r>
    </w:p>
    <w:p w14:paraId="63626B53" w14:textId="77777777" w:rsidR="00661C6E" w:rsidRPr="00991A6F" w:rsidRDefault="00661C6E" w:rsidP="00661C6E">
      <w:pPr>
        <w:rPr>
          <w:color w:val="FF0000"/>
          <w:szCs w:val="24"/>
        </w:rPr>
      </w:pPr>
    </w:p>
    <w:p w14:paraId="5A85288E" w14:textId="24FF8F13" w:rsidR="00397A43" w:rsidRPr="005962B4" w:rsidRDefault="00397A43" w:rsidP="3405EFDC">
      <w:r w:rsidRPr="005962B4">
        <w:rPr>
          <w:b/>
          <w:bCs/>
        </w:rPr>
        <w:t>Figure 2</w:t>
      </w:r>
      <w:r w:rsidR="005962B4" w:rsidRPr="005962B4">
        <w:rPr>
          <w:b/>
          <w:bCs/>
        </w:rPr>
        <w:t>7</w:t>
      </w:r>
      <w:r w:rsidRPr="005962B4">
        <w:rPr>
          <w:b/>
          <w:bCs/>
        </w:rPr>
        <w:t xml:space="preserve">. </w:t>
      </w:r>
      <w:r w:rsidRPr="005962B4">
        <w:t xml:space="preserve">Number of confirmed and probable hepatitis C cases reported by year, Massachusetts </w:t>
      </w:r>
      <w:r w:rsidR="00171016" w:rsidRPr="005962B4">
        <w:t>2013–2022</w:t>
      </w:r>
      <w:r w:rsidRPr="005962B4">
        <w:t xml:space="preserve"> </w:t>
      </w:r>
    </w:p>
    <w:p w14:paraId="555E492D" w14:textId="5978987E" w:rsidR="108B362E" w:rsidRPr="009F6F5A" w:rsidRDefault="005962B4" w:rsidP="005962B4">
      <w:r>
        <w:rPr>
          <w:noProof/>
          <w:color w:val="FF0000"/>
        </w:rPr>
        <w:drawing>
          <wp:inline distT="0" distB="0" distL="0" distR="0" wp14:anchorId="5A1E2B2A" wp14:editId="05CFFEE4">
            <wp:extent cx="5894562" cy="3467100"/>
            <wp:effectExtent l="0" t="0" r="0" b="0"/>
            <wp:docPr id="135798338" name="Picture 135798338" descr="The figure is a stacked bar chart displaying the number of both confirmed and probable hepatitis C cases each year for the years 201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8338" name="Picture 5" descr="The figure is a stacked bar chart displaying the number of both confirmed and probable hepatitis C cases each year for the years 2013-2022.&#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7020" cy="3468546"/>
                    </a:xfrm>
                    <a:prstGeom prst="rect">
                      <a:avLst/>
                    </a:prstGeom>
                    <a:noFill/>
                  </pic:spPr>
                </pic:pic>
              </a:graphicData>
            </a:graphic>
          </wp:inline>
        </w:drawing>
      </w:r>
    </w:p>
    <w:p w14:paraId="60226F73" w14:textId="7F799CAB" w:rsidR="00986826" w:rsidRPr="009F6F5A" w:rsidRDefault="00986826" w:rsidP="00946EE0">
      <w:pPr>
        <w:pStyle w:val="fignote"/>
      </w:pPr>
      <w:r w:rsidRPr="009F6F5A">
        <w:t xml:space="preserve">Data Source: Bureau of Infectious Disease and Laboratory Sciences, data are current as of </w:t>
      </w:r>
      <w:r w:rsidR="005962B4" w:rsidRPr="009F6F5A">
        <w:t>8/24/2023</w:t>
      </w:r>
      <w:r w:rsidRPr="009F6F5A">
        <w:t xml:space="preserve"> and subject to change</w:t>
      </w:r>
      <w:r w:rsidR="00B1580A">
        <w:t>.</w:t>
      </w:r>
    </w:p>
    <w:p w14:paraId="3AF12008" w14:textId="77777777" w:rsidR="00043A4F" w:rsidRDefault="005962B4" w:rsidP="38A4F72D">
      <w:pPr>
        <w:pStyle w:val="spaced6"/>
      </w:pPr>
      <w:r w:rsidRPr="009F6F5A">
        <w:t>The total number of reported confirmed and probable hepatitis C cases decreased from 7,980 in 2013 to 2,859 in 2022</w:t>
      </w:r>
      <w:r w:rsidR="51DB373C" w:rsidRPr="009F6F5A">
        <w:t>.</w:t>
      </w:r>
      <w:r w:rsidR="00986826" w:rsidRPr="009F6F5A">
        <w:rPr>
          <w:rStyle w:val="FootnoteReference"/>
        </w:rPr>
        <w:footnoteReference w:id="76"/>
      </w:r>
    </w:p>
    <w:p w14:paraId="722533B8" w14:textId="77777777" w:rsidR="00217F6A" w:rsidRDefault="7A206BFB" w:rsidP="00043A4F">
      <w:pPr>
        <w:pStyle w:val="spaced6"/>
        <w:numPr>
          <w:ilvl w:val="1"/>
          <w:numId w:val="4"/>
        </w:numPr>
      </w:pPr>
      <w:r>
        <w:t>Most reported cases are chronically infected and MDPH currently estimates that there are over 250,000 people living with HCV infection in Massachusetts.</w:t>
      </w:r>
    </w:p>
    <w:p w14:paraId="16A33179" w14:textId="1A7F1FCB" w:rsidR="006B6062" w:rsidRPr="005962B4" w:rsidRDefault="00217F6A" w:rsidP="00217F6A">
      <w:pPr>
        <w:spacing w:after="160" w:line="259" w:lineRule="auto"/>
      </w:pPr>
      <w:r>
        <w:br w:type="page"/>
      </w:r>
      <w:bookmarkStart w:id="34" w:name="_Toc154057138"/>
      <w:r w:rsidR="006B6062" w:rsidRPr="00043A4F">
        <w:rPr>
          <w:rStyle w:val="Heading1Char"/>
        </w:rPr>
        <w:lastRenderedPageBreak/>
        <w:t>HEPATITIS C BY GENDER</w:t>
      </w:r>
      <w:bookmarkEnd w:id="34"/>
    </w:p>
    <w:p w14:paraId="5F3CC70D" w14:textId="77777777" w:rsidR="005E3164" w:rsidRPr="005E3164" w:rsidRDefault="005E3164" w:rsidP="005E3164">
      <w:r w:rsidRPr="005E3164">
        <w:rPr>
          <w:b/>
          <w:bCs/>
        </w:rPr>
        <w:t xml:space="preserve">Figure 28. </w:t>
      </w:r>
      <w:r w:rsidRPr="005E3164">
        <w:t>Number of confirmed and probable hepatitis C cases reported by female and male gender, Massachusetts 2013–2022</w:t>
      </w:r>
    </w:p>
    <w:p w14:paraId="476FCCA3" w14:textId="77777777" w:rsidR="005E3164" w:rsidRDefault="005E3164" w:rsidP="005E3164"/>
    <w:p w14:paraId="556717AB" w14:textId="36330359" w:rsidR="005E3164" w:rsidRDefault="005E3164" w:rsidP="005E3164">
      <w:r>
        <w:rPr>
          <w:noProof/>
        </w:rPr>
        <w:drawing>
          <wp:inline distT="0" distB="0" distL="0" distR="0" wp14:anchorId="2E87DB80" wp14:editId="706C1A70">
            <wp:extent cx="5011314" cy="3337560"/>
            <wp:effectExtent l="0" t="0" r="0" b="0"/>
            <wp:docPr id="986102661" name="Picture 986102661" descr="The figure is a trendline graph displaying the number confirmed and probable chronic hepatitis C cases for three groups (female and male gender and statewide total) for each year from 201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02661" name="Picture 6" descr="The figure is a trendline graph displaying the number confirmed and probable chronic hepatitis C cases for three groups (female and male gender and statewide total) for each year from 2013–2022.&#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8213" cy="3348815"/>
                    </a:xfrm>
                    <a:prstGeom prst="rect">
                      <a:avLst/>
                    </a:prstGeom>
                    <a:noFill/>
                  </pic:spPr>
                </pic:pic>
              </a:graphicData>
            </a:graphic>
          </wp:inline>
        </w:drawing>
      </w:r>
    </w:p>
    <w:p w14:paraId="45F072FE" w14:textId="50C0F17D" w:rsidR="005E3164" w:rsidRPr="005E3164" w:rsidRDefault="04930184" w:rsidP="005E3164">
      <w:pPr>
        <w:rPr>
          <w:sz w:val="20"/>
          <w:szCs w:val="20"/>
        </w:rPr>
      </w:pPr>
      <w:r w:rsidRPr="38A4F72D">
        <w:rPr>
          <w:sz w:val="20"/>
          <w:szCs w:val="20"/>
        </w:rPr>
        <w:t>Note: Cases reported as transgender or missing gender (2013–2022: N=</w:t>
      </w:r>
      <w:r w:rsidR="03C72162" w:rsidRPr="38A4F72D">
        <w:rPr>
          <w:sz w:val="20"/>
          <w:szCs w:val="20"/>
        </w:rPr>
        <w:t>900</w:t>
      </w:r>
      <w:r w:rsidRPr="38A4F72D">
        <w:rPr>
          <w:sz w:val="20"/>
          <w:szCs w:val="20"/>
        </w:rPr>
        <w:t>) are included in the statewide total but are not depicted in Figure 28 separately due to small numbers.</w:t>
      </w:r>
    </w:p>
    <w:p w14:paraId="34785C21" w14:textId="7DF0A518" w:rsidR="005E3164" w:rsidRPr="005E3164" w:rsidRDefault="005E3164" w:rsidP="005E3164">
      <w:pPr>
        <w:rPr>
          <w:sz w:val="20"/>
          <w:szCs w:val="18"/>
        </w:rPr>
      </w:pPr>
      <w:r w:rsidRPr="005E3164">
        <w:rPr>
          <w:sz w:val="20"/>
          <w:szCs w:val="18"/>
        </w:rPr>
        <w:t xml:space="preserve">Data Source: Bureau of Infectious Disease and Laboratory Sciences, data are current as of 8/24/2023 and subject to </w:t>
      </w:r>
      <w:r w:rsidR="00ED25CD" w:rsidRPr="005E3164">
        <w:rPr>
          <w:sz w:val="20"/>
          <w:szCs w:val="18"/>
        </w:rPr>
        <w:t>change.</w:t>
      </w:r>
    </w:p>
    <w:p w14:paraId="0D2C2061" w14:textId="77777777" w:rsidR="005E3164" w:rsidRDefault="005E3164" w:rsidP="005E3164"/>
    <w:p w14:paraId="19BB4968" w14:textId="0F87D5AE" w:rsidR="006B6062" w:rsidRPr="009A5867" w:rsidRDefault="005E3164" w:rsidP="00F345D5">
      <w:pPr>
        <w:numPr>
          <w:ilvl w:val="0"/>
          <w:numId w:val="74"/>
        </w:numPr>
        <w:spacing w:after="120"/>
      </w:pPr>
      <w:r w:rsidRPr="005E3164">
        <w:t>In 2022,</w:t>
      </w:r>
      <w:r w:rsidRPr="005E3164">
        <w:rPr>
          <w:rStyle w:val="FootnoteReference"/>
        </w:rPr>
        <w:t xml:space="preserve"> </w:t>
      </w:r>
      <w:r w:rsidRPr="009F6F5A">
        <w:rPr>
          <w:rStyle w:val="FootnoteReference"/>
        </w:rPr>
        <w:footnoteReference w:id="77"/>
      </w:r>
      <w:r w:rsidRPr="005E3164">
        <w:t xml:space="preserve"> 1,722 (60%) cases of confirmed and probable HCV infection were newly reported among males, 1,088 (38%) were reported among females, 45 (2%) were reported among individuals with unknown gender, and </w:t>
      </w:r>
      <w:r w:rsidR="00ED25CD">
        <w:t>fewer than</w:t>
      </w:r>
      <w:r w:rsidRPr="005E3164">
        <w:t xml:space="preserve"> five were reported among individuals of transgender experience. Please note reported numbers among individuals of transgender experience are likely to be underestimates as there may be underreporting or misreporting of gender due to the absence of appropriate collection of gender options (e.g., individuals who are nonbinary, and women and men of transgender experience). Changes in testing behaviors due to the COVID-19 pandemic likely affected the numbers of reported cases from 2020 to 2022.</w:t>
      </w:r>
      <w:r w:rsidR="006B6062" w:rsidRPr="388E5C6E">
        <w:rPr>
          <w:color w:val="FF0000"/>
        </w:rPr>
        <w:br w:type="page"/>
      </w:r>
    </w:p>
    <w:p w14:paraId="5444EF17" w14:textId="5B4C508E" w:rsidR="00986826" w:rsidRPr="00D5781E" w:rsidRDefault="00986826" w:rsidP="00986826">
      <w:pPr>
        <w:pStyle w:val="Heading2"/>
      </w:pPr>
      <w:bookmarkStart w:id="35" w:name="_Toc154057139"/>
      <w:r>
        <w:lastRenderedPageBreak/>
        <w:t>HEPATITIS C BY AGE</w:t>
      </w:r>
      <w:bookmarkEnd w:id="35"/>
    </w:p>
    <w:p w14:paraId="1D63DA21" w14:textId="24D993B5" w:rsidR="00986826" w:rsidRPr="00D5781E" w:rsidRDefault="00986826" w:rsidP="00986826">
      <w:pPr>
        <w:rPr>
          <w:szCs w:val="24"/>
        </w:rPr>
      </w:pPr>
      <w:r w:rsidRPr="00D5781E">
        <w:rPr>
          <w:b/>
          <w:bCs/>
          <w:szCs w:val="24"/>
        </w:rPr>
        <w:t>Figure 2</w:t>
      </w:r>
      <w:r w:rsidR="00D5781E" w:rsidRPr="00D5781E">
        <w:rPr>
          <w:b/>
          <w:bCs/>
          <w:szCs w:val="24"/>
        </w:rPr>
        <w:t>9</w:t>
      </w:r>
      <w:r w:rsidRPr="00D5781E">
        <w:rPr>
          <w:b/>
          <w:bCs/>
          <w:szCs w:val="24"/>
        </w:rPr>
        <w:t xml:space="preserve">. </w:t>
      </w:r>
      <w:r w:rsidRPr="00D5781E">
        <w:rPr>
          <w:szCs w:val="24"/>
        </w:rPr>
        <w:t>Distribution of confirmed and probable hepatitis C cases by age: 2007 versus 202</w:t>
      </w:r>
      <w:r w:rsidR="00D5781E" w:rsidRPr="00D5781E">
        <w:rPr>
          <w:szCs w:val="24"/>
        </w:rPr>
        <w:t>2</w:t>
      </w:r>
    </w:p>
    <w:p w14:paraId="084BCC60" w14:textId="0D0DCC3B" w:rsidR="009B1FD9" w:rsidRPr="00991A6F" w:rsidRDefault="00D5781E" w:rsidP="00661C6E">
      <w:pPr>
        <w:rPr>
          <w:color w:val="FF0000"/>
          <w:szCs w:val="24"/>
        </w:rPr>
      </w:pPr>
      <w:r>
        <w:rPr>
          <w:noProof/>
          <w:color w:val="FF0000"/>
          <w:szCs w:val="24"/>
        </w:rPr>
        <w:drawing>
          <wp:inline distT="0" distB="0" distL="0" distR="0" wp14:anchorId="5BEC63B9" wp14:editId="2B0C19B5">
            <wp:extent cx="6675755" cy="4011295"/>
            <wp:effectExtent l="0" t="0" r="0" b="0"/>
            <wp:docPr id="84096077" name="Picture 84096077" descr="The figure is a series of two bar charts side by side displaying the percentage distribution of hepatitis C cases by age in 2007 (N=8,259 excludes 798 missing age) on the left and 2021 on the right (N=2,807, excludes 52 missing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6077" name="Picture 7" descr="The figure is a series of two bar charts side by side displaying the percentage distribution of hepatitis C cases by age in 2007 (N=8,259 excludes 798 missing age) on the left and 2021 on the right (N=2,807, excludes 52 missing age).&#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5755" cy="4011295"/>
                    </a:xfrm>
                    <a:prstGeom prst="rect">
                      <a:avLst/>
                    </a:prstGeom>
                    <a:noFill/>
                  </pic:spPr>
                </pic:pic>
              </a:graphicData>
            </a:graphic>
          </wp:inline>
        </w:drawing>
      </w:r>
    </w:p>
    <w:p w14:paraId="47E76AB4" w14:textId="77777777" w:rsidR="00D5781E" w:rsidRPr="00647E95" w:rsidRDefault="00D5781E" w:rsidP="00986826">
      <w:pPr>
        <w:rPr>
          <w:sz w:val="20"/>
          <w:szCs w:val="20"/>
        </w:rPr>
      </w:pPr>
    </w:p>
    <w:p w14:paraId="227C7C40" w14:textId="777C3F6F" w:rsidR="00986826" w:rsidRPr="00647E95" w:rsidRDefault="00986826" w:rsidP="00986826">
      <w:pPr>
        <w:rPr>
          <w:sz w:val="20"/>
          <w:szCs w:val="20"/>
        </w:rPr>
      </w:pPr>
      <w:r w:rsidRPr="00647E95">
        <w:rPr>
          <w:sz w:val="20"/>
          <w:szCs w:val="20"/>
        </w:rPr>
        <w:t xml:space="preserve">Data Source: Bureau of Infectious Disease and Laboratory Sciences, data are current as of </w:t>
      </w:r>
      <w:r w:rsidR="00D5781E" w:rsidRPr="00647E95">
        <w:rPr>
          <w:sz w:val="20"/>
          <w:szCs w:val="20"/>
        </w:rPr>
        <w:t>8/24/2023</w:t>
      </w:r>
      <w:r w:rsidRPr="00647E95">
        <w:rPr>
          <w:sz w:val="20"/>
          <w:szCs w:val="20"/>
        </w:rPr>
        <w:t xml:space="preserve"> and subject to change</w:t>
      </w:r>
      <w:r w:rsidR="00B1580A">
        <w:rPr>
          <w:sz w:val="20"/>
          <w:szCs w:val="20"/>
        </w:rPr>
        <w:t>.</w:t>
      </w:r>
    </w:p>
    <w:p w14:paraId="12372C19" w14:textId="69A3870F" w:rsidR="00986826" w:rsidRPr="00647E95" w:rsidRDefault="00986826" w:rsidP="00661C6E">
      <w:pPr>
        <w:rPr>
          <w:szCs w:val="24"/>
        </w:rPr>
      </w:pPr>
    </w:p>
    <w:p w14:paraId="6F2E5888" w14:textId="77777777" w:rsidR="00986826" w:rsidRPr="00647E95" w:rsidRDefault="0DED2AAD">
      <w:pPr>
        <w:pStyle w:val="spaced6"/>
      </w:pPr>
      <w:r w:rsidRPr="00647E95">
        <w:t xml:space="preserve">In 2007, reported cases of hepatitis C were distributed in a curve with two age peaks, with the lower peak at age 24 years and the higher peak at age 49 years. </w:t>
      </w:r>
    </w:p>
    <w:p w14:paraId="600744A1" w14:textId="1FAA1D7B" w:rsidR="00986826" w:rsidRPr="00647E95" w:rsidRDefault="51DB373C">
      <w:pPr>
        <w:pStyle w:val="spaced6"/>
      </w:pPr>
      <w:r w:rsidRPr="00647E95">
        <w:t>In 202</w:t>
      </w:r>
      <w:r w:rsidR="00647E95" w:rsidRPr="00647E95">
        <w:t>2</w:t>
      </w:r>
      <w:r w:rsidRPr="00647E95">
        <w:t>,</w:t>
      </w:r>
      <w:r w:rsidR="00986826" w:rsidRPr="00647E95">
        <w:rPr>
          <w:rStyle w:val="FootnoteReference"/>
        </w:rPr>
        <w:footnoteReference w:id="78"/>
      </w:r>
      <w:r w:rsidRPr="00647E95">
        <w:t xml:space="preserve"> the reported cases were again distributed in a </w:t>
      </w:r>
      <w:r w:rsidR="058B30B9" w:rsidRPr="00647E95">
        <w:t>bi</w:t>
      </w:r>
      <w:r w:rsidRPr="00647E95">
        <w:t>modal curve, but with the higher peak at age 3</w:t>
      </w:r>
      <w:r w:rsidR="00647E95" w:rsidRPr="00647E95">
        <w:t>1</w:t>
      </w:r>
      <w:r w:rsidRPr="00647E95">
        <w:t xml:space="preserve"> years</w:t>
      </w:r>
      <w:r w:rsidR="57783ED3" w:rsidRPr="00647E95">
        <w:t xml:space="preserve">, reflecting a continuing shift in the </w:t>
      </w:r>
      <w:r w:rsidR="4AB3E2E3" w:rsidRPr="00647E95">
        <w:t xml:space="preserve">age </w:t>
      </w:r>
      <w:r w:rsidR="0701099E" w:rsidRPr="00647E95">
        <w:t>profile of newly reported cases</w:t>
      </w:r>
      <w:r w:rsidRPr="00647E95">
        <w:t>.</w:t>
      </w:r>
    </w:p>
    <w:p w14:paraId="41812B55" w14:textId="2523C614" w:rsidR="009B1FD9" w:rsidRPr="00647E95" w:rsidRDefault="009B1FD9" w:rsidP="00661C6E">
      <w:pPr>
        <w:rPr>
          <w:szCs w:val="24"/>
        </w:rPr>
      </w:pPr>
      <w:r w:rsidRPr="00647E95">
        <w:rPr>
          <w:szCs w:val="24"/>
        </w:rPr>
        <w:br w:type="page"/>
      </w:r>
    </w:p>
    <w:p w14:paraId="6872AF20" w14:textId="56E89B0E" w:rsidR="00986826" w:rsidRPr="00C54EC7" w:rsidRDefault="00FC0547" w:rsidP="38A4F72D">
      <w:pPr>
        <w:pStyle w:val="Heading2"/>
      </w:pPr>
      <w:bookmarkStart w:id="36" w:name="_Toc154057140"/>
      <w:r>
        <w:lastRenderedPageBreak/>
        <w:t>HEPATITIS C BY AGE AND GENDER</w:t>
      </w:r>
      <w:bookmarkEnd w:id="36"/>
    </w:p>
    <w:p w14:paraId="0E14F0A7" w14:textId="319A1571" w:rsidR="00FC0547" w:rsidRPr="00C54EC7" w:rsidRDefault="00FC0547" w:rsidP="00FC0547">
      <w:pPr>
        <w:rPr>
          <w:szCs w:val="24"/>
        </w:rPr>
      </w:pPr>
      <w:r w:rsidRPr="00C54EC7">
        <w:rPr>
          <w:b/>
          <w:bCs/>
          <w:szCs w:val="24"/>
        </w:rPr>
        <w:t xml:space="preserve">Figure </w:t>
      </w:r>
      <w:r w:rsidR="00C54EC7" w:rsidRPr="00C54EC7">
        <w:rPr>
          <w:b/>
          <w:bCs/>
          <w:szCs w:val="24"/>
        </w:rPr>
        <w:t>30</w:t>
      </w:r>
      <w:r w:rsidRPr="00C54EC7">
        <w:rPr>
          <w:b/>
          <w:bCs/>
          <w:szCs w:val="24"/>
        </w:rPr>
        <w:t xml:space="preserve">. </w:t>
      </w:r>
      <w:r w:rsidRPr="00C54EC7">
        <w:rPr>
          <w:szCs w:val="24"/>
        </w:rPr>
        <w:t>Number of confirmed and probable hepatitis C cases reported by age, and female and male gender, Massachusetts</w:t>
      </w:r>
      <w:r w:rsidRPr="00C54EC7">
        <w:rPr>
          <w:b/>
          <w:bCs/>
          <w:szCs w:val="24"/>
        </w:rPr>
        <w:t xml:space="preserve"> </w:t>
      </w:r>
      <w:r w:rsidRPr="00C54EC7">
        <w:rPr>
          <w:szCs w:val="24"/>
        </w:rPr>
        <w:t>202</w:t>
      </w:r>
      <w:r w:rsidR="00C54EC7" w:rsidRPr="00C54EC7">
        <w:rPr>
          <w:szCs w:val="24"/>
        </w:rPr>
        <w:t>2</w:t>
      </w:r>
    </w:p>
    <w:p w14:paraId="349152B6" w14:textId="4D53CC84" w:rsidR="00FC0547" w:rsidRPr="00163E25" w:rsidRDefault="00C54EC7" w:rsidP="00FC0547">
      <w:pPr>
        <w:rPr>
          <w:szCs w:val="24"/>
        </w:rPr>
      </w:pPr>
      <w:r w:rsidRPr="00163E25">
        <w:rPr>
          <w:noProof/>
          <w:szCs w:val="24"/>
        </w:rPr>
        <w:drawing>
          <wp:inline distT="0" distB="0" distL="0" distR="0" wp14:anchorId="718F7807" wp14:editId="4B88B7AF">
            <wp:extent cx="5052060" cy="3736324"/>
            <wp:effectExtent l="0" t="0" r="0" b="0"/>
            <wp:docPr id="1647110955" name="Picture 1647110955" descr="The figure is a stacked bar chart displaying the number of both male and female hepatitis C cases reported at each age from 0 to 95 years for the yea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10955" name="Picture 8" descr="The figure is a stacked bar chart displaying the number of both male and female hepatitis C cases reported at each age from 0 to 95 years for the year 2022.&#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68958" cy="3748821"/>
                    </a:xfrm>
                    <a:prstGeom prst="rect">
                      <a:avLst/>
                    </a:prstGeom>
                    <a:noFill/>
                  </pic:spPr>
                </pic:pic>
              </a:graphicData>
            </a:graphic>
          </wp:inline>
        </w:drawing>
      </w:r>
    </w:p>
    <w:p w14:paraId="043770D1" w14:textId="749A7424" w:rsidR="00163E25" w:rsidRPr="00163E25" w:rsidRDefault="6C966A1D" w:rsidP="00163E25">
      <w:pPr>
        <w:pStyle w:val="spaced6"/>
        <w:numPr>
          <w:ilvl w:val="0"/>
          <w:numId w:val="0"/>
        </w:numPr>
        <w:rPr>
          <w:rFonts w:ascii="Calibri" w:eastAsia="Calibri" w:hAnsi="Calibri" w:cs="Calibri"/>
        </w:rPr>
      </w:pPr>
      <w:r w:rsidRPr="38A4F72D">
        <w:rPr>
          <w:sz w:val="20"/>
          <w:szCs w:val="20"/>
        </w:rPr>
        <w:t>Note: Confirmed and Probable Hepatitis C 2022: N=</w:t>
      </w:r>
      <w:r w:rsidR="33A29EAF" w:rsidRPr="38A4F72D">
        <w:rPr>
          <w:sz w:val="20"/>
          <w:szCs w:val="20"/>
        </w:rPr>
        <w:t>2,807</w:t>
      </w:r>
      <w:r w:rsidRPr="38A4F72D">
        <w:rPr>
          <w:sz w:val="20"/>
          <w:szCs w:val="20"/>
        </w:rPr>
        <w:t>, excludes 52 missing age and/or gender. Cases reported as transgender are not depicted in Figure 30 separately due to small numbers. Data Source: Bureau of Infectious Disease and Laboratory Sciences, data are current as of 8/24/2023 and subject to change</w:t>
      </w:r>
      <w:r w:rsidR="00B1580A">
        <w:rPr>
          <w:sz w:val="20"/>
          <w:szCs w:val="20"/>
        </w:rPr>
        <w:t>.</w:t>
      </w:r>
    </w:p>
    <w:p w14:paraId="60A5B2DE" w14:textId="4E557347" w:rsidR="00FC0547" w:rsidRPr="00163E25" w:rsidRDefault="50462E9B" w:rsidP="76F421E0">
      <w:pPr>
        <w:pStyle w:val="spaced6"/>
        <w:rPr>
          <w:rFonts w:ascii="Calibri" w:eastAsia="Calibri" w:hAnsi="Calibri" w:cs="Calibri"/>
        </w:rPr>
      </w:pPr>
      <w:r w:rsidRPr="00163E25">
        <w:t>In 202</w:t>
      </w:r>
      <w:r w:rsidR="00163E25" w:rsidRPr="00163E25">
        <w:t>2</w:t>
      </w:r>
      <w:r w:rsidRPr="00163E25">
        <w:t>,</w:t>
      </w:r>
      <w:r w:rsidR="00FC0547" w:rsidRPr="00163E25">
        <w:rPr>
          <w:rStyle w:val="FootnoteReference"/>
        </w:rPr>
        <w:footnoteReference w:id="79"/>
      </w:r>
      <w:r w:rsidRPr="00163E25">
        <w:t xml:space="preserve"> </w:t>
      </w:r>
      <w:r w:rsidR="005B2750">
        <w:t>1,722</w:t>
      </w:r>
      <w:r w:rsidR="00163E25" w:rsidRPr="00163E25">
        <w:t xml:space="preserve"> (</w:t>
      </w:r>
      <w:r w:rsidR="00471ED5">
        <w:t>60</w:t>
      </w:r>
      <w:r w:rsidR="00163E25" w:rsidRPr="00163E25">
        <w:t xml:space="preserve">%) confirmed and probable hepatitis C cases were reported among males, </w:t>
      </w:r>
      <w:r w:rsidR="00471ED5">
        <w:t>1,088</w:t>
      </w:r>
      <w:r w:rsidR="00163E25" w:rsidRPr="00163E25">
        <w:t xml:space="preserve"> (</w:t>
      </w:r>
      <w:r w:rsidR="00C65548">
        <w:t>38</w:t>
      </w:r>
      <w:r w:rsidR="00163E25" w:rsidRPr="00163E25">
        <w:t xml:space="preserve">%) were reported among females, and </w:t>
      </w:r>
      <w:r w:rsidR="00BF5754">
        <w:t>fewer than</w:t>
      </w:r>
      <w:r w:rsidR="00163E25" w:rsidRPr="00163E25">
        <w:t xml:space="preserve"> five were reported among individuals of transgender experience. Please note reported numbers among individuals of transgender experience are likely to be underestimates as there may be underreporting or misreporting of gender due to the absence of appropriate collection of gender options (e.g., individuals who are nonbinary, and women and men of transgender experience, etc.).</w:t>
      </w:r>
    </w:p>
    <w:p w14:paraId="4FCBD53A" w14:textId="5476AC38" w:rsidR="00FC0547" w:rsidRPr="00163E25" w:rsidRDefault="6C966A1D">
      <w:pPr>
        <w:pStyle w:val="spaced6"/>
      </w:pPr>
      <w:r>
        <w:t>Fifty-four percent (N=244/455) of confirmed and probable hepatitis C infection cases in those less than 30 years of age were reported among males, 46% (N=210/455) were reported among females, and less than 1% were reported among individuals of transgender experience</w:t>
      </w:r>
      <w:r w:rsidR="3D0F3242">
        <w:t>.</w:t>
      </w:r>
    </w:p>
    <w:p w14:paraId="27FCF077" w14:textId="484001DF" w:rsidR="009410EE" w:rsidRPr="00163E25" w:rsidRDefault="00FC0547" w:rsidP="00F345D5">
      <w:pPr>
        <w:pStyle w:val="spaced6"/>
        <w:numPr>
          <w:ilvl w:val="1"/>
          <w:numId w:val="4"/>
        </w:numPr>
      </w:pPr>
      <w:r w:rsidRPr="00163E25">
        <w:t>For newly reported hepatitis C infections among persons less than 30 years of age with a known risk history, injection drug use was the most commonly reported risk factor for infection.</w:t>
      </w:r>
      <w:r w:rsidR="00163E25" w:rsidRPr="38A4F72D">
        <w:rPr>
          <w:color w:val="FF0000"/>
        </w:rPr>
        <w:br w:type="page"/>
      </w:r>
    </w:p>
    <w:p w14:paraId="5027C9E8" w14:textId="06722CD4" w:rsidR="00FC0547" w:rsidRPr="00AA6657" w:rsidRDefault="009410EE" w:rsidP="38A4F72D">
      <w:pPr>
        <w:pStyle w:val="Heading1"/>
        <w:rPr>
          <w:b w:val="0"/>
        </w:rPr>
      </w:pPr>
      <w:bookmarkStart w:id="37" w:name="_Toc154057141"/>
      <w:r>
        <w:lastRenderedPageBreak/>
        <w:t>CO-INFECTIONS-</w:t>
      </w:r>
      <w:bookmarkEnd w:id="37"/>
    </w:p>
    <w:p w14:paraId="652E62BB" w14:textId="34F90783" w:rsidR="009410EE" w:rsidRPr="00AA6657" w:rsidRDefault="009410EE" w:rsidP="009410EE">
      <w:pPr>
        <w:pStyle w:val="Heading2"/>
      </w:pPr>
      <w:bookmarkStart w:id="38" w:name="_HIV/SYPHILIS"/>
      <w:bookmarkStart w:id="39" w:name="_Toc154057142"/>
      <w:bookmarkEnd w:id="38"/>
      <w:r>
        <w:t>HIV/SYPHILIS</w:t>
      </w:r>
      <w:bookmarkEnd w:id="39"/>
    </w:p>
    <w:p w14:paraId="76108447" w14:textId="2E5F8D23" w:rsidR="009410EE" w:rsidRPr="00AA6657" w:rsidRDefault="6EC66494" w:rsidP="009410EE">
      <w:pPr>
        <w:rPr>
          <w:szCs w:val="24"/>
        </w:rPr>
      </w:pPr>
      <w:r w:rsidRPr="00AA6657">
        <w:rPr>
          <w:b/>
          <w:bCs/>
        </w:rPr>
        <w:t xml:space="preserve">Table 1. </w:t>
      </w:r>
      <w:r w:rsidRPr="00AA6657">
        <w:t>Percentage of 202</w:t>
      </w:r>
      <w:r w:rsidR="00AA6657" w:rsidRPr="00AA6657">
        <w:t>2</w:t>
      </w:r>
      <w:r w:rsidRPr="00AA6657">
        <w:t xml:space="preserve"> confirmed and probable infectious syphilis</w:t>
      </w:r>
      <w:r w:rsidR="007E659D" w:rsidRPr="00AA6657">
        <w:rPr>
          <w:rStyle w:val="FootnoteReference"/>
        </w:rPr>
        <w:footnoteReference w:id="80"/>
      </w:r>
      <w:r w:rsidRPr="00AA6657">
        <w:t xml:space="preserve"> cases ever co-infected with HIV by gender, race/ethnicity, and age</w:t>
      </w:r>
    </w:p>
    <w:tbl>
      <w:tblPr>
        <w:tblStyle w:val="TableGrid"/>
        <w:tblW w:w="9560" w:type="dxa"/>
        <w:tblLook w:val="0420" w:firstRow="1" w:lastRow="0" w:firstColumn="0" w:lastColumn="0" w:noHBand="0" w:noVBand="1"/>
        <w:tblCaption w:val="Table 1. Percentage of 2022 confirmed and probable infectious syphilis cases ever co-infected with HIV by gender, race/ethnicity, and age"/>
        <w:tblDescription w:val="The table displays the number of syphilis cases (N=1,593), the number of HIV/syphilis co-infections (N=397) and the percentage of syphilis cases co-infected with HIV by gender, race/ethnicity, and age.&#10;"/>
      </w:tblPr>
      <w:tblGrid>
        <w:gridCol w:w="1904"/>
        <w:gridCol w:w="2505"/>
        <w:gridCol w:w="2505"/>
        <w:gridCol w:w="2646"/>
      </w:tblGrid>
      <w:tr w:rsidR="00AA6657" w:rsidRPr="00AA6657" w14:paraId="4CE45B93" w14:textId="77777777" w:rsidTr="388E5C6E">
        <w:trPr>
          <w:trHeight w:val="20"/>
        </w:trPr>
        <w:tc>
          <w:tcPr>
            <w:tcW w:w="1904" w:type="dxa"/>
            <w:hideMark/>
          </w:tcPr>
          <w:p w14:paraId="380B77B6" w14:textId="77777777" w:rsidR="009410EE" w:rsidRPr="00AA6657" w:rsidRDefault="009410EE" w:rsidP="009410EE"/>
        </w:tc>
        <w:tc>
          <w:tcPr>
            <w:tcW w:w="2505" w:type="dxa"/>
            <w:hideMark/>
          </w:tcPr>
          <w:p w14:paraId="2E7F3793" w14:textId="4466CC17" w:rsidR="009410EE" w:rsidRPr="00AA6657" w:rsidRDefault="5BF5C9E5" w:rsidP="034544F5">
            <w:pPr>
              <w:jc w:val="center"/>
              <w:rPr>
                <w:rFonts w:eastAsia="Calibri"/>
                <w:b/>
                <w:bCs/>
              </w:rPr>
            </w:pPr>
            <w:r w:rsidRPr="034544F5">
              <w:rPr>
                <w:rFonts w:eastAsia="Calibri"/>
                <w:b/>
                <w:bCs/>
                <w:kern w:val="24"/>
              </w:rPr>
              <w:t>HIV/</w:t>
            </w:r>
            <w:r w:rsidR="01C516CE" w:rsidRPr="034544F5">
              <w:rPr>
                <w:rFonts w:eastAsia="Calibri"/>
                <w:b/>
                <w:bCs/>
                <w:kern w:val="24"/>
              </w:rPr>
              <w:t xml:space="preserve">Syphilis </w:t>
            </w:r>
            <w:r w:rsidR="57096478" w:rsidRPr="034544F5">
              <w:rPr>
                <w:rFonts w:eastAsia="Calibri"/>
                <w:b/>
                <w:bCs/>
                <w:kern w:val="24"/>
              </w:rPr>
              <w:t>Co-infections</w:t>
            </w:r>
            <w:r w:rsidR="009410EE" w:rsidRPr="38A4F72D">
              <w:rPr>
                <w:rStyle w:val="FootnoteReference"/>
                <w:rFonts w:eastAsia="Calibri"/>
                <w:b/>
                <w:bCs/>
              </w:rPr>
              <w:footnoteReference w:id="81"/>
            </w:r>
            <w:r w:rsidR="01C516CE" w:rsidRPr="034544F5">
              <w:rPr>
                <w:rFonts w:eastAsia="Calibri"/>
                <w:b/>
                <w:bCs/>
                <w:kern w:val="24"/>
              </w:rPr>
              <w:t xml:space="preserve"> </w:t>
            </w:r>
          </w:p>
        </w:tc>
        <w:tc>
          <w:tcPr>
            <w:tcW w:w="2505" w:type="dxa"/>
            <w:hideMark/>
          </w:tcPr>
          <w:p w14:paraId="79B53E5D" w14:textId="36B0596F" w:rsidR="009410EE" w:rsidRPr="00AA6657" w:rsidRDefault="009410EE" w:rsidP="38A4F72D">
            <w:pPr>
              <w:pStyle w:val="NormalWeb"/>
              <w:spacing w:before="0" w:beforeAutospacing="0" w:after="0" w:afterAutospacing="0" w:line="256" w:lineRule="auto"/>
              <w:jc w:val="center"/>
              <w:rPr>
                <w:rFonts w:asciiTheme="minorHAnsi" w:hAnsiTheme="minorHAnsi" w:cstheme="minorBidi"/>
                <w:sz w:val="22"/>
                <w:szCs w:val="22"/>
              </w:rPr>
            </w:pPr>
            <w:r w:rsidRPr="38A4F72D">
              <w:rPr>
                <w:rFonts w:asciiTheme="minorHAnsi" w:eastAsia="Calibri" w:hAnsiTheme="minorHAnsi" w:cstheme="minorBidi"/>
                <w:b/>
                <w:bCs/>
                <w:kern w:val="24"/>
                <w:sz w:val="22"/>
                <w:szCs w:val="22"/>
              </w:rPr>
              <w:t xml:space="preserve">Syphilis </w:t>
            </w:r>
          </w:p>
          <w:p w14:paraId="1740EF41" w14:textId="5E61C9AB" w:rsidR="009410EE" w:rsidRPr="00AA6657" w:rsidRDefault="1C0CFBA3" w:rsidP="38A4F72D">
            <w:pPr>
              <w:jc w:val="center"/>
              <w:rPr>
                <w:rStyle w:val="FootnoteReference"/>
                <w:rFonts w:eastAsia="Calibri"/>
                <w:b/>
                <w:bCs/>
              </w:rPr>
            </w:pPr>
            <w:r w:rsidRPr="00AA6657">
              <w:rPr>
                <w:rFonts w:eastAsia="Calibri"/>
                <w:b/>
                <w:bCs/>
                <w:kern w:val="24"/>
              </w:rPr>
              <w:t>C</w:t>
            </w:r>
            <w:r w:rsidR="1E22D37F" w:rsidRPr="00AA6657">
              <w:rPr>
                <w:rFonts w:eastAsia="Calibri"/>
                <w:b/>
                <w:bCs/>
                <w:kern w:val="24"/>
              </w:rPr>
              <w:t>ases</w:t>
            </w:r>
          </w:p>
        </w:tc>
        <w:tc>
          <w:tcPr>
            <w:tcW w:w="2646" w:type="dxa"/>
            <w:hideMark/>
          </w:tcPr>
          <w:p w14:paraId="31275493" w14:textId="774F77A3" w:rsidR="009410EE" w:rsidRPr="00AA6657" w:rsidRDefault="009410EE" w:rsidP="009410EE">
            <w:pPr>
              <w:jc w:val="center"/>
              <w:rPr>
                <w:rFonts w:cstheme="minorHAnsi"/>
              </w:rPr>
            </w:pPr>
            <w:r w:rsidRPr="00AA6657">
              <w:rPr>
                <w:rFonts w:cstheme="minorHAnsi"/>
                <w:b/>
                <w:bCs/>
                <w:kern w:val="24"/>
              </w:rPr>
              <w:t>% of Syphilis Cases Co-infected with HIV</w:t>
            </w:r>
          </w:p>
        </w:tc>
      </w:tr>
      <w:tr w:rsidR="034544F5" w14:paraId="4AA38F49" w14:textId="77777777" w:rsidTr="388E5C6E">
        <w:trPr>
          <w:trHeight w:val="20"/>
        </w:trPr>
        <w:tc>
          <w:tcPr>
            <w:tcW w:w="1904" w:type="dxa"/>
            <w:hideMark/>
          </w:tcPr>
          <w:p w14:paraId="6E4ACC4B" w14:textId="0319A6F0" w:rsidR="7D25CEC3" w:rsidRDefault="7D25CEC3" w:rsidP="034544F5">
            <w:pPr>
              <w:rPr>
                <w:b/>
                <w:bCs/>
              </w:rPr>
            </w:pPr>
            <w:r w:rsidRPr="034544F5">
              <w:rPr>
                <w:b/>
                <w:bCs/>
              </w:rPr>
              <w:t xml:space="preserve">Total: </w:t>
            </w:r>
          </w:p>
        </w:tc>
        <w:tc>
          <w:tcPr>
            <w:tcW w:w="2505" w:type="dxa"/>
            <w:hideMark/>
          </w:tcPr>
          <w:p w14:paraId="643A14C6" w14:textId="68829CA1" w:rsidR="7D25CEC3" w:rsidRDefault="1A76CA08" w:rsidP="034544F5">
            <w:pPr>
              <w:jc w:val="center"/>
            </w:pPr>
            <w:r w:rsidRPr="38A4F72D">
              <w:t>397</w:t>
            </w:r>
          </w:p>
        </w:tc>
        <w:tc>
          <w:tcPr>
            <w:tcW w:w="2505" w:type="dxa"/>
            <w:hideMark/>
          </w:tcPr>
          <w:p w14:paraId="496D0564" w14:textId="75BFC1D3" w:rsidR="05AD93D1" w:rsidRDefault="7CCBAA52" w:rsidP="034544F5">
            <w:pPr>
              <w:jc w:val="center"/>
            </w:pPr>
            <w:r w:rsidRPr="38A4F72D">
              <w:t>1,593</w:t>
            </w:r>
          </w:p>
        </w:tc>
        <w:tc>
          <w:tcPr>
            <w:tcW w:w="2646" w:type="dxa"/>
            <w:hideMark/>
          </w:tcPr>
          <w:p w14:paraId="01C071DA" w14:textId="3DF37E13" w:rsidR="05AD93D1" w:rsidRDefault="05AD93D1" w:rsidP="034544F5">
            <w:pPr>
              <w:jc w:val="center"/>
            </w:pPr>
            <w:r w:rsidRPr="034544F5">
              <w:t>25%</w:t>
            </w:r>
          </w:p>
        </w:tc>
      </w:tr>
      <w:tr w:rsidR="00991A6F" w:rsidRPr="00991A6F" w14:paraId="59C3978D" w14:textId="77777777" w:rsidTr="388E5C6E">
        <w:trPr>
          <w:trHeight w:val="20"/>
        </w:trPr>
        <w:tc>
          <w:tcPr>
            <w:tcW w:w="1904" w:type="dxa"/>
            <w:hideMark/>
          </w:tcPr>
          <w:p w14:paraId="6F99FDE0" w14:textId="77777777" w:rsidR="009410EE" w:rsidRPr="00AA6657" w:rsidRDefault="009410EE" w:rsidP="009410EE">
            <w:r w:rsidRPr="00AA6657">
              <w:rPr>
                <w:b/>
                <w:bCs/>
              </w:rPr>
              <w:t>Gender:</w:t>
            </w:r>
          </w:p>
        </w:tc>
        <w:tc>
          <w:tcPr>
            <w:tcW w:w="2505" w:type="dxa"/>
            <w:hideMark/>
          </w:tcPr>
          <w:p w14:paraId="01AD74A9" w14:textId="77777777" w:rsidR="009410EE" w:rsidRPr="00AA6657" w:rsidRDefault="009410EE" w:rsidP="009410EE">
            <w:pPr>
              <w:jc w:val="center"/>
              <w:rPr>
                <w:rFonts w:cstheme="minorHAnsi"/>
              </w:rPr>
            </w:pPr>
          </w:p>
        </w:tc>
        <w:tc>
          <w:tcPr>
            <w:tcW w:w="2505" w:type="dxa"/>
            <w:hideMark/>
          </w:tcPr>
          <w:p w14:paraId="76613BA7" w14:textId="77777777" w:rsidR="009410EE" w:rsidRPr="00AA6657" w:rsidRDefault="009410EE" w:rsidP="009410EE">
            <w:pPr>
              <w:jc w:val="center"/>
              <w:rPr>
                <w:rFonts w:cstheme="minorHAnsi"/>
              </w:rPr>
            </w:pPr>
          </w:p>
        </w:tc>
        <w:tc>
          <w:tcPr>
            <w:tcW w:w="2646" w:type="dxa"/>
            <w:hideMark/>
          </w:tcPr>
          <w:p w14:paraId="0B3A61B8" w14:textId="77777777" w:rsidR="009410EE" w:rsidRPr="00AA6657" w:rsidRDefault="009410EE" w:rsidP="009410EE">
            <w:pPr>
              <w:jc w:val="center"/>
              <w:rPr>
                <w:rFonts w:cstheme="minorHAnsi"/>
              </w:rPr>
            </w:pPr>
          </w:p>
        </w:tc>
      </w:tr>
      <w:tr w:rsidR="00AA6657" w:rsidRPr="00991A6F" w14:paraId="7B6350A8" w14:textId="77777777" w:rsidTr="388E5C6E">
        <w:trPr>
          <w:trHeight w:val="20"/>
        </w:trPr>
        <w:tc>
          <w:tcPr>
            <w:tcW w:w="1904" w:type="dxa"/>
            <w:hideMark/>
          </w:tcPr>
          <w:p w14:paraId="3F99CF8B" w14:textId="77777777" w:rsidR="00AA6657" w:rsidRPr="00AA6657" w:rsidRDefault="00AA6657" w:rsidP="00AA6657">
            <w:r w:rsidRPr="00AA6657">
              <w:t>Male</w:t>
            </w:r>
          </w:p>
        </w:tc>
        <w:tc>
          <w:tcPr>
            <w:tcW w:w="2505" w:type="dxa"/>
            <w:vAlign w:val="bottom"/>
            <w:hideMark/>
          </w:tcPr>
          <w:p w14:paraId="7E4B32C5" w14:textId="63B76088" w:rsidR="38A4F72D" w:rsidRDefault="38A4F72D" w:rsidP="00F345D5">
            <w:pPr>
              <w:jc w:val="center"/>
              <w:rPr>
                <w:rFonts w:ascii="Calibri" w:eastAsia="Calibri" w:hAnsi="Calibri" w:cs="Calibri"/>
                <w:szCs w:val="24"/>
              </w:rPr>
            </w:pPr>
            <w:r w:rsidRPr="38A4F72D">
              <w:rPr>
                <w:rFonts w:ascii="Calibri" w:eastAsia="Calibri" w:hAnsi="Calibri" w:cs="Calibri"/>
                <w:szCs w:val="24"/>
              </w:rPr>
              <w:t>378</w:t>
            </w:r>
          </w:p>
        </w:tc>
        <w:tc>
          <w:tcPr>
            <w:tcW w:w="2505" w:type="dxa"/>
            <w:vAlign w:val="bottom"/>
            <w:hideMark/>
          </w:tcPr>
          <w:p w14:paraId="6BDDE7D9" w14:textId="322491BB" w:rsidR="38A4F72D" w:rsidRDefault="38A4F72D" w:rsidP="00F345D5">
            <w:pPr>
              <w:jc w:val="center"/>
              <w:rPr>
                <w:rFonts w:ascii="Calibri" w:eastAsia="Calibri" w:hAnsi="Calibri" w:cs="Calibri"/>
                <w:szCs w:val="24"/>
              </w:rPr>
            </w:pPr>
            <w:r w:rsidRPr="38A4F72D">
              <w:rPr>
                <w:rFonts w:ascii="Calibri" w:eastAsia="Calibri" w:hAnsi="Calibri" w:cs="Calibri"/>
                <w:szCs w:val="24"/>
              </w:rPr>
              <w:t>1,354</w:t>
            </w:r>
          </w:p>
        </w:tc>
        <w:tc>
          <w:tcPr>
            <w:tcW w:w="2646" w:type="dxa"/>
            <w:vAlign w:val="bottom"/>
            <w:hideMark/>
          </w:tcPr>
          <w:p w14:paraId="53ABA845" w14:textId="63500595" w:rsidR="00AA6657" w:rsidRPr="00AA6657" w:rsidRDefault="00AA6657" w:rsidP="00AA6657">
            <w:pPr>
              <w:jc w:val="center"/>
              <w:rPr>
                <w:rFonts w:cstheme="minorHAnsi"/>
              </w:rPr>
            </w:pPr>
            <w:r w:rsidRPr="00AA6657">
              <w:rPr>
                <w:rFonts w:cstheme="minorHAnsi"/>
                <w:kern w:val="24"/>
              </w:rPr>
              <w:t>28%</w:t>
            </w:r>
          </w:p>
        </w:tc>
      </w:tr>
      <w:tr w:rsidR="00AA6657" w:rsidRPr="00991A6F" w14:paraId="359F4456" w14:textId="77777777" w:rsidTr="388E5C6E">
        <w:trPr>
          <w:trHeight w:val="20"/>
        </w:trPr>
        <w:tc>
          <w:tcPr>
            <w:tcW w:w="1904" w:type="dxa"/>
            <w:hideMark/>
          </w:tcPr>
          <w:p w14:paraId="2C1A24F5" w14:textId="77777777" w:rsidR="00AA6657" w:rsidRPr="00AA6657" w:rsidRDefault="00AA6657" w:rsidP="00AA6657">
            <w:r w:rsidRPr="00AA6657">
              <w:t>Female</w:t>
            </w:r>
          </w:p>
        </w:tc>
        <w:tc>
          <w:tcPr>
            <w:tcW w:w="2505" w:type="dxa"/>
            <w:vAlign w:val="bottom"/>
            <w:hideMark/>
          </w:tcPr>
          <w:p w14:paraId="7ECF6F32" w14:textId="7905EE22" w:rsidR="38A4F72D" w:rsidRDefault="38A4F72D" w:rsidP="00F345D5">
            <w:pPr>
              <w:jc w:val="center"/>
              <w:rPr>
                <w:rFonts w:ascii="Calibri" w:eastAsia="Calibri" w:hAnsi="Calibri" w:cs="Calibri"/>
                <w:szCs w:val="24"/>
              </w:rPr>
            </w:pPr>
            <w:r w:rsidRPr="38A4F72D">
              <w:rPr>
                <w:rFonts w:ascii="Calibri" w:eastAsia="Calibri" w:hAnsi="Calibri" w:cs="Calibri"/>
                <w:szCs w:val="24"/>
              </w:rPr>
              <w:t>5</w:t>
            </w:r>
          </w:p>
        </w:tc>
        <w:tc>
          <w:tcPr>
            <w:tcW w:w="2505" w:type="dxa"/>
            <w:vAlign w:val="bottom"/>
            <w:hideMark/>
          </w:tcPr>
          <w:p w14:paraId="3D8E8ED3" w14:textId="6A01E393" w:rsidR="38A4F72D" w:rsidRDefault="38A4F72D" w:rsidP="00F345D5">
            <w:pPr>
              <w:jc w:val="center"/>
              <w:rPr>
                <w:rFonts w:ascii="Calibri" w:eastAsia="Calibri" w:hAnsi="Calibri" w:cs="Calibri"/>
                <w:szCs w:val="24"/>
              </w:rPr>
            </w:pPr>
            <w:r w:rsidRPr="38A4F72D">
              <w:rPr>
                <w:rFonts w:ascii="Calibri" w:eastAsia="Calibri" w:hAnsi="Calibri" w:cs="Calibri"/>
                <w:szCs w:val="24"/>
              </w:rPr>
              <w:t>181</w:t>
            </w:r>
          </w:p>
        </w:tc>
        <w:tc>
          <w:tcPr>
            <w:tcW w:w="2646" w:type="dxa"/>
            <w:vAlign w:val="bottom"/>
            <w:hideMark/>
          </w:tcPr>
          <w:p w14:paraId="3CAC35F8" w14:textId="5C4DCDB8" w:rsidR="00AA6657" w:rsidRPr="00AA6657" w:rsidRDefault="00AA6657" w:rsidP="00AA6657">
            <w:pPr>
              <w:jc w:val="center"/>
              <w:rPr>
                <w:rFonts w:cstheme="minorHAnsi"/>
              </w:rPr>
            </w:pPr>
            <w:r w:rsidRPr="00AA6657">
              <w:rPr>
                <w:rFonts w:cstheme="minorHAnsi"/>
                <w:kern w:val="24"/>
              </w:rPr>
              <w:t>3%</w:t>
            </w:r>
          </w:p>
        </w:tc>
      </w:tr>
      <w:tr w:rsidR="00AA6657" w:rsidRPr="00991A6F" w14:paraId="3EAE3304" w14:textId="77777777" w:rsidTr="388E5C6E">
        <w:trPr>
          <w:trHeight w:val="20"/>
        </w:trPr>
        <w:tc>
          <w:tcPr>
            <w:tcW w:w="1904" w:type="dxa"/>
            <w:hideMark/>
          </w:tcPr>
          <w:p w14:paraId="3A0D5788" w14:textId="77777777" w:rsidR="00AA6657" w:rsidRPr="00AA6657" w:rsidRDefault="00AA6657" w:rsidP="00AA6657">
            <w:r w:rsidRPr="00AA6657">
              <w:t>Transgender</w:t>
            </w:r>
          </w:p>
        </w:tc>
        <w:tc>
          <w:tcPr>
            <w:tcW w:w="2505" w:type="dxa"/>
            <w:vAlign w:val="bottom"/>
            <w:hideMark/>
          </w:tcPr>
          <w:p w14:paraId="40EC3961" w14:textId="0B0D874C" w:rsidR="38A4F72D" w:rsidRDefault="38A4F72D" w:rsidP="00F345D5">
            <w:pPr>
              <w:jc w:val="center"/>
              <w:rPr>
                <w:rFonts w:ascii="Calibri" w:eastAsia="Calibri" w:hAnsi="Calibri" w:cs="Calibri"/>
                <w:szCs w:val="24"/>
              </w:rPr>
            </w:pPr>
            <w:r w:rsidRPr="38A4F72D">
              <w:rPr>
                <w:rFonts w:ascii="Calibri" w:eastAsia="Calibri" w:hAnsi="Calibri" w:cs="Calibri"/>
                <w:szCs w:val="24"/>
              </w:rPr>
              <w:t>14</w:t>
            </w:r>
          </w:p>
        </w:tc>
        <w:tc>
          <w:tcPr>
            <w:tcW w:w="2505" w:type="dxa"/>
            <w:vAlign w:val="bottom"/>
            <w:hideMark/>
          </w:tcPr>
          <w:p w14:paraId="049EFA38" w14:textId="679C326A" w:rsidR="38A4F72D" w:rsidRDefault="38A4F72D" w:rsidP="00F345D5">
            <w:pPr>
              <w:jc w:val="center"/>
              <w:rPr>
                <w:rFonts w:ascii="Calibri" w:eastAsia="Calibri" w:hAnsi="Calibri" w:cs="Calibri"/>
                <w:szCs w:val="24"/>
              </w:rPr>
            </w:pPr>
            <w:r w:rsidRPr="38A4F72D">
              <w:rPr>
                <w:rFonts w:ascii="Calibri" w:eastAsia="Calibri" w:hAnsi="Calibri" w:cs="Calibri"/>
                <w:szCs w:val="24"/>
              </w:rPr>
              <w:t>58</w:t>
            </w:r>
          </w:p>
        </w:tc>
        <w:tc>
          <w:tcPr>
            <w:tcW w:w="2646" w:type="dxa"/>
            <w:vAlign w:val="bottom"/>
            <w:hideMark/>
          </w:tcPr>
          <w:p w14:paraId="447103DE" w14:textId="6E1D525D" w:rsidR="00AA6657" w:rsidRPr="00AA6657" w:rsidRDefault="00AA6657" w:rsidP="00AA6657">
            <w:pPr>
              <w:jc w:val="center"/>
              <w:rPr>
                <w:rFonts w:cstheme="minorHAnsi"/>
              </w:rPr>
            </w:pPr>
            <w:r w:rsidRPr="00AA6657">
              <w:rPr>
                <w:rFonts w:cstheme="minorHAnsi"/>
                <w:kern w:val="24"/>
              </w:rPr>
              <w:t>24%</w:t>
            </w:r>
          </w:p>
        </w:tc>
      </w:tr>
      <w:tr w:rsidR="00AA6657" w:rsidRPr="00991A6F" w14:paraId="16B2A5D1" w14:textId="77777777" w:rsidTr="388E5C6E">
        <w:trPr>
          <w:trHeight w:val="20"/>
        </w:trPr>
        <w:tc>
          <w:tcPr>
            <w:tcW w:w="1904" w:type="dxa"/>
            <w:hideMark/>
          </w:tcPr>
          <w:p w14:paraId="3BE7F25A" w14:textId="77777777" w:rsidR="00AA6657" w:rsidRPr="00AA6657" w:rsidRDefault="00AA6657" w:rsidP="00AA6657">
            <w:r w:rsidRPr="00AA6657">
              <w:rPr>
                <w:b/>
                <w:bCs/>
              </w:rPr>
              <w:t>Race/Ethnicity:</w:t>
            </w:r>
          </w:p>
        </w:tc>
        <w:tc>
          <w:tcPr>
            <w:tcW w:w="2505" w:type="dxa"/>
            <w:vAlign w:val="center"/>
            <w:hideMark/>
          </w:tcPr>
          <w:p w14:paraId="518AADA8" w14:textId="40429EEB" w:rsidR="38A4F72D" w:rsidRDefault="38A4F72D"/>
        </w:tc>
        <w:tc>
          <w:tcPr>
            <w:tcW w:w="2505" w:type="dxa"/>
            <w:vAlign w:val="center"/>
            <w:hideMark/>
          </w:tcPr>
          <w:p w14:paraId="38FDDD48" w14:textId="7D04D201" w:rsidR="38A4F72D" w:rsidRDefault="38A4F72D"/>
        </w:tc>
        <w:tc>
          <w:tcPr>
            <w:tcW w:w="2646" w:type="dxa"/>
            <w:vAlign w:val="bottom"/>
            <w:hideMark/>
          </w:tcPr>
          <w:p w14:paraId="2F778193" w14:textId="77777777" w:rsidR="00AA6657" w:rsidRPr="00AA6657" w:rsidRDefault="00AA6657" w:rsidP="00AA6657">
            <w:pPr>
              <w:jc w:val="center"/>
              <w:rPr>
                <w:rFonts w:cstheme="minorHAnsi"/>
              </w:rPr>
            </w:pPr>
          </w:p>
        </w:tc>
      </w:tr>
      <w:tr w:rsidR="00AA6657" w:rsidRPr="00991A6F" w14:paraId="7E7668FA" w14:textId="77777777" w:rsidTr="388E5C6E">
        <w:trPr>
          <w:trHeight w:val="20"/>
        </w:trPr>
        <w:tc>
          <w:tcPr>
            <w:tcW w:w="1904" w:type="dxa"/>
            <w:hideMark/>
          </w:tcPr>
          <w:p w14:paraId="5E900C5B" w14:textId="77777777" w:rsidR="00AA6657" w:rsidRPr="00AA6657" w:rsidRDefault="00AA6657" w:rsidP="00AA6657">
            <w:r w:rsidRPr="00AA6657">
              <w:t>White NH</w:t>
            </w:r>
          </w:p>
        </w:tc>
        <w:tc>
          <w:tcPr>
            <w:tcW w:w="2505" w:type="dxa"/>
            <w:vAlign w:val="bottom"/>
            <w:hideMark/>
          </w:tcPr>
          <w:p w14:paraId="599D7647" w14:textId="1E10B006" w:rsidR="38A4F72D" w:rsidRDefault="38A4F72D" w:rsidP="00F345D5">
            <w:pPr>
              <w:jc w:val="center"/>
              <w:rPr>
                <w:rFonts w:ascii="Calibri" w:eastAsia="Calibri" w:hAnsi="Calibri" w:cs="Calibri"/>
                <w:szCs w:val="24"/>
              </w:rPr>
            </w:pPr>
            <w:r w:rsidRPr="38A4F72D">
              <w:rPr>
                <w:rFonts w:ascii="Calibri" w:eastAsia="Calibri" w:hAnsi="Calibri" w:cs="Calibri"/>
                <w:szCs w:val="24"/>
              </w:rPr>
              <w:t>144</w:t>
            </w:r>
          </w:p>
        </w:tc>
        <w:tc>
          <w:tcPr>
            <w:tcW w:w="2505" w:type="dxa"/>
            <w:vAlign w:val="bottom"/>
            <w:hideMark/>
          </w:tcPr>
          <w:p w14:paraId="508EC347" w14:textId="23C979E7" w:rsidR="38A4F72D" w:rsidRDefault="38A4F72D" w:rsidP="00F345D5">
            <w:pPr>
              <w:jc w:val="center"/>
              <w:rPr>
                <w:rFonts w:ascii="Calibri" w:eastAsia="Calibri" w:hAnsi="Calibri" w:cs="Calibri"/>
                <w:szCs w:val="24"/>
              </w:rPr>
            </w:pPr>
            <w:r w:rsidRPr="38A4F72D">
              <w:rPr>
                <w:rFonts w:ascii="Calibri" w:eastAsia="Calibri" w:hAnsi="Calibri" w:cs="Calibri"/>
                <w:szCs w:val="24"/>
              </w:rPr>
              <w:t>607</w:t>
            </w:r>
          </w:p>
        </w:tc>
        <w:tc>
          <w:tcPr>
            <w:tcW w:w="2646" w:type="dxa"/>
            <w:vAlign w:val="bottom"/>
            <w:hideMark/>
          </w:tcPr>
          <w:p w14:paraId="58BA4F05" w14:textId="5BF69238" w:rsidR="00AA6657" w:rsidRPr="00AA6657" w:rsidRDefault="00AA6657" w:rsidP="00AA6657">
            <w:pPr>
              <w:jc w:val="center"/>
              <w:rPr>
                <w:rFonts w:cstheme="minorHAnsi"/>
              </w:rPr>
            </w:pPr>
            <w:r w:rsidRPr="00AA6657">
              <w:rPr>
                <w:rFonts w:cstheme="minorHAnsi"/>
                <w:kern w:val="24"/>
              </w:rPr>
              <w:t>24%</w:t>
            </w:r>
          </w:p>
        </w:tc>
      </w:tr>
      <w:tr w:rsidR="00AA6657" w:rsidRPr="00991A6F" w14:paraId="7A5B172B" w14:textId="77777777" w:rsidTr="388E5C6E">
        <w:trPr>
          <w:trHeight w:val="20"/>
        </w:trPr>
        <w:tc>
          <w:tcPr>
            <w:tcW w:w="1904" w:type="dxa"/>
            <w:hideMark/>
          </w:tcPr>
          <w:p w14:paraId="1FA629D2" w14:textId="77777777" w:rsidR="00AA6657" w:rsidRPr="00AA6657" w:rsidRDefault="00AA6657" w:rsidP="00AA6657">
            <w:r w:rsidRPr="00AA6657">
              <w:t>Black NH</w:t>
            </w:r>
          </w:p>
        </w:tc>
        <w:tc>
          <w:tcPr>
            <w:tcW w:w="2505" w:type="dxa"/>
            <w:vAlign w:val="bottom"/>
            <w:hideMark/>
          </w:tcPr>
          <w:p w14:paraId="40D68FE5" w14:textId="47CE45E8" w:rsidR="38A4F72D" w:rsidRDefault="38A4F72D" w:rsidP="00F345D5">
            <w:pPr>
              <w:jc w:val="center"/>
              <w:rPr>
                <w:rFonts w:ascii="Calibri" w:eastAsia="Calibri" w:hAnsi="Calibri" w:cs="Calibri"/>
                <w:szCs w:val="24"/>
              </w:rPr>
            </w:pPr>
            <w:r w:rsidRPr="38A4F72D">
              <w:rPr>
                <w:rFonts w:ascii="Calibri" w:eastAsia="Calibri" w:hAnsi="Calibri" w:cs="Calibri"/>
                <w:szCs w:val="24"/>
              </w:rPr>
              <w:t>83</w:t>
            </w:r>
          </w:p>
        </w:tc>
        <w:tc>
          <w:tcPr>
            <w:tcW w:w="2505" w:type="dxa"/>
            <w:vAlign w:val="bottom"/>
            <w:hideMark/>
          </w:tcPr>
          <w:p w14:paraId="0580DE39" w14:textId="36BDCC23" w:rsidR="38A4F72D" w:rsidRDefault="38A4F72D" w:rsidP="00F345D5">
            <w:pPr>
              <w:jc w:val="center"/>
              <w:rPr>
                <w:rFonts w:ascii="Calibri" w:eastAsia="Calibri" w:hAnsi="Calibri" w:cs="Calibri"/>
                <w:szCs w:val="24"/>
              </w:rPr>
            </w:pPr>
            <w:r w:rsidRPr="38A4F72D">
              <w:rPr>
                <w:rFonts w:ascii="Calibri" w:eastAsia="Calibri" w:hAnsi="Calibri" w:cs="Calibri"/>
                <w:szCs w:val="24"/>
              </w:rPr>
              <w:t>270</w:t>
            </w:r>
          </w:p>
        </w:tc>
        <w:tc>
          <w:tcPr>
            <w:tcW w:w="2646" w:type="dxa"/>
            <w:vAlign w:val="bottom"/>
            <w:hideMark/>
          </w:tcPr>
          <w:p w14:paraId="6A3E7D55" w14:textId="1918BAD9" w:rsidR="00AA6657" w:rsidRPr="00AA6657" w:rsidRDefault="00AA6657" w:rsidP="00AA6657">
            <w:pPr>
              <w:jc w:val="center"/>
              <w:rPr>
                <w:rFonts w:cstheme="minorHAnsi"/>
              </w:rPr>
            </w:pPr>
            <w:r w:rsidRPr="00AA6657">
              <w:rPr>
                <w:rFonts w:cstheme="minorHAnsi"/>
                <w:kern w:val="24"/>
              </w:rPr>
              <w:t>31%</w:t>
            </w:r>
          </w:p>
        </w:tc>
      </w:tr>
      <w:tr w:rsidR="00AA6657" w:rsidRPr="00991A6F" w14:paraId="06C9F045" w14:textId="77777777" w:rsidTr="388E5C6E">
        <w:trPr>
          <w:trHeight w:val="20"/>
        </w:trPr>
        <w:tc>
          <w:tcPr>
            <w:tcW w:w="1904" w:type="dxa"/>
            <w:hideMark/>
          </w:tcPr>
          <w:p w14:paraId="1394BF0A" w14:textId="77777777" w:rsidR="00AA6657" w:rsidRPr="00AA6657" w:rsidRDefault="00AA6657" w:rsidP="00AA6657">
            <w:r w:rsidRPr="00AA6657">
              <w:t>Hispanic/Latino</w:t>
            </w:r>
          </w:p>
        </w:tc>
        <w:tc>
          <w:tcPr>
            <w:tcW w:w="2505" w:type="dxa"/>
            <w:vAlign w:val="bottom"/>
            <w:hideMark/>
          </w:tcPr>
          <w:p w14:paraId="24A8BCF3" w14:textId="0C8C1A0F" w:rsidR="38A4F72D" w:rsidRDefault="38A4F72D" w:rsidP="00F345D5">
            <w:pPr>
              <w:jc w:val="center"/>
              <w:rPr>
                <w:rFonts w:ascii="Calibri" w:eastAsia="Calibri" w:hAnsi="Calibri" w:cs="Calibri"/>
                <w:szCs w:val="24"/>
              </w:rPr>
            </w:pPr>
            <w:r w:rsidRPr="38A4F72D">
              <w:rPr>
                <w:rFonts w:ascii="Calibri" w:eastAsia="Calibri" w:hAnsi="Calibri" w:cs="Calibri"/>
                <w:szCs w:val="24"/>
              </w:rPr>
              <w:t>136</w:t>
            </w:r>
          </w:p>
        </w:tc>
        <w:tc>
          <w:tcPr>
            <w:tcW w:w="2505" w:type="dxa"/>
            <w:vAlign w:val="bottom"/>
            <w:hideMark/>
          </w:tcPr>
          <w:p w14:paraId="2988A9D0" w14:textId="658D08B8" w:rsidR="38A4F72D" w:rsidRDefault="38A4F72D" w:rsidP="00F345D5">
            <w:pPr>
              <w:jc w:val="center"/>
              <w:rPr>
                <w:rFonts w:ascii="Calibri" w:eastAsia="Calibri" w:hAnsi="Calibri" w:cs="Calibri"/>
                <w:szCs w:val="24"/>
              </w:rPr>
            </w:pPr>
            <w:r w:rsidRPr="38A4F72D">
              <w:rPr>
                <w:rFonts w:ascii="Calibri" w:eastAsia="Calibri" w:hAnsi="Calibri" w:cs="Calibri"/>
                <w:szCs w:val="24"/>
              </w:rPr>
              <w:t>493</w:t>
            </w:r>
          </w:p>
        </w:tc>
        <w:tc>
          <w:tcPr>
            <w:tcW w:w="2646" w:type="dxa"/>
            <w:vAlign w:val="bottom"/>
            <w:hideMark/>
          </w:tcPr>
          <w:p w14:paraId="3D6FD84E" w14:textId="35CA9770" w:rsidR="00AA6657" w:rsidRPr="00AA6657" w:rsidRDefault="00AA6657" w:rsidP="00AA6657">
            <w:pPr>
              <w:jc w:val="center"/>
              <w:rPr>
                <w:rFonts w:cstheme="minorHAnsi"/>
              </w:rPr>
            </w:pPr>
            <w:r w:rsidRPr="00AA6657">
              <w:rPr>
                <w:rFonts w:cstheme="minorHAnsi"/>
                <w:kern w:val="24"/>
              </w:rPr>
              <w:t>28%</w:t>
            </w:r>
          </w:p>
        </w:tc>
      </w:tr>
      <w:tr w:rsidR="00AA6657" w:rsidRPr="00991A6F" w14:paraId="50168E06" w14:textId="77777777" w:rsidTr="388E5C6E">
        <w:trPr>
          <w:trHeight w:val="20"/>
        </w:trPr>
        <w:tc>
          <w:tcPr>
            <w:tcW w:w="1904" w:type="dxa"/>
            <w:hideMark/>
          </w:tcPr>
          <w:p w14:paraId="0C1348EF" w14:textId="233B3724" w:rsidR="00AA6657" w:rsidRPr="00AA6657" w:rsidRDefault="00AA6657" w:rsidP="00AA6657">
            <w:r w:rsidRPr="00AA6657">
              <w:t>Other NH</w:t>
            </w:r>
          </w:p>
        </w:tc>
        <w:tc>
          <w:tcPr>
            <w:tcW w:w="2505" w:type="dxa"/>
            <w:vAlign w:val="bottom"/>
            <w:hideMark/>
          </w:tcPr>
          <w:p w14:paraId="15B07DF7" w14:textId="47433046" w:rsidR="38A4F72D" w:rsidRDefault="38A4F72D" w:rsidP="00F345D5">
            <w:pPr>
              <w:jc w:val="center"/>
              <w:rPr>
                <w:rFonts w:ascii="Calibri" w:eastAsia="Calibri" w:hAnsi="Calibri" w:cs="Calibri"/>
                <w:szCs w:val="24"/>
              </w:rPr>
            </w:pPr>
            <w:r w:rsidRPr="38A4F72D">
              <w:rPr>
                <w:rFonts w:ascii="Calibri" w:eastAsia="Calibri" w:hAnsi="Calibri" w:cs="Calibri"/>
                <w:szCs w:val="24"/>
              </w:rPr>
              <w:t>33</w:t>
            </w:r>
          </w:p>
        </w:tc>
        <w:tc>
          <w:tcPr>
            <w:tcW w:w="2505" w:type="dxa"/>
            <w:vAlign w:val="bottom"/>
            <w:hideMark/>
          </w:tcPr>
          <w:p w14:paraId="6B45639B" w14:textId="7C8E0418" w:rsidR="38A4F72D" w:rsidRDefault="38A4F72D" w:rsidP="00F345D5">
            <w:pPr>
              <w:jc w:val="center"/>
              <w:rPr>
                <w:rFonts w:ascii="Calibri" w:eastAsia="Calibri" w:hAnsi="Calibri" w:cs="Calibri"/>
                <w:szCs w:val="24"/>
              </w:rPr>
            </w:pPr>
            <w:r w:rsidRPr="38A4F72D">
              <w:rPr>
                <w:rFonts w:ascii="Calibri" w:eastAsia="Calibri" w:hAnsi="Calibri" w:cs="Calibri"/>
                <w:szCs w:val="24"/>
              </w:rPr>
              <w:t>163</w:t>
            </w:r>
          </w:p>
        </w:tc>
        <w:tc>
          <w:tcPr>
            <w:tcW w:w="2646" w:type="dxa"/>
            <w:vAlign w:val="bottom"/>
            <w:hideMark/>
          </w:tcPr>
          <w:p w14:paraId="56171F3F" w14:textId="3404C0A1" w:rsidR="00AA6657" w:rsidRPr="00AA6657" w:rsidRDefault="00AA6657" w:rsidP="00AA6657">
            <w:pPr>
              <w:jc w:val="center"/>
              <w:rPr>
                <w:rFonts w:cstheme="minorHAnsi"/>
              </w:rPr>
            </w:pPr>
            <w:r w:rsidRPr="00AA6657">
              <w:rPr>
                <w:rFonts w:cstheme="minorHAnsi"/>
                <w:kern w:val="24"/>
              </w:rPr>
              <w:t>20%</w:t>
            </w:r>
          </w:p>
        </w:tc>
      </w:tr>
      <w:tr w:rsidR="00AA6657" w:rsidRPr="00991A6F" w14:paraId="4256CDD3" w14:textId="77777777" w:rsidTr="388E5C6E">
        <w:trPr>
          <w:trHeight w:val="20"/>
        </w:trPr>
        <w:tc>
          <w:tcPr>
            <w:tcW w:w="1904" w:type="dxa"/>
            <w:hideMark/>
          </w:tcPr>
          <w:p w14:paraId="0C5369BA" w14:textId="77777777" w:rsidR="00AA6657" w:rsidRPr="00AA6657" w:rsidRDefault="00AA6657" w:rsidP="00AA6657">
            <w:r w:rsidRPr="00AA6657">
              <w:t>Unreported</w:t>
            </w:r>
          </w:p>
        </w:tc>
        <w:tc>
          <w:tcPr>
            <w:tcW w:w="2505" w:type="dxa"/>
            <w:vAlign w:val="bottom"/>
            <w:hideMark/>
          </w:tcPr>
          <w:p w14:paraId="40F7CA9B" w14:textId="7613EAC2" w:rsidR="38A4F72D" w:rsidRDefault="38A4F72D" w:rsidP="00F345D5">
            <w:pPr>
              <w:jc w:val="center"/>
              <w:rPr>
                <w:rFonts w:ascii="Calibri" w:eastAsia="Calibri" w:hAnsi="Calibri" w:cs="Calibri"/>
                <w:szCs w:val="24"/>
              </w:rPr>
            </w:pPr>
            <w:r w:rsidRPr="38A4F72D">
              <w:rPr>
                <w:rFonts w:ascii="Calibri" w:eastAsia="Calibri" w:hAnsi="Calibri" w:cs="Calibri"/>
                <w:szCs w:val="24"/>
              </w:rPr>
              <w:t>1</w:t>
            </w:r>
          </w:p>
        </w:tc>
        <w:tc>
          <w:tcPr>
            <w:tcW w:w="2505" w:type="dxa"/>
            <w:vAlign w:val="bottom"/>
            <w:hideMark/>
          </w:tcPr>
          <w:p w14:paraId="56EE3703" w14:textId="6EC39766" w:rsidR="38A4F72D" w:rsidRDefault="38A4F72D" w:rsidP="00F345D5">
            <w:pPr>
              <w:jc w:val="center"/>
              <w:rPr>
                <w:rFonts w:ascii="Calibri" w:eastAsia="Calibri" w:hAnsi="Calibri" w:cs="Calibri"/>
                <w:szCs w:val="24"/>
              </w:rPr>
            </w:pPr>
            <w:r w:rsidRPr="38A4F72D">
              <w:rPr>
                <w:rFonts w:ascii="Calibri" w:eastAsia="Calibri" w:hAnsi="Calibri" w:cs="Calibri"/>
                <w:szCs w:val="24"/>
              </w:rPr>
              <w:t>60</w:t>
            </w:r>
          </w:p>
        </w:tc>
        <w:tc>
          <w:tcPr>
            <w:tcW w:w="2646" w:type="dxa"/>
            <w:vAlign w:val="bottom"/>
            <w:hideMark/>
          </w:tcPr>
          <w:p w14:paraId="34873707" w14:textId="4E103F56" w:rsidR="00AA6657" w:rsidRPr="00AA6657" w:rsidRDefault="00AA6657" w:rsidP="00AA6657">
            <w:pPr>
              <w:jc w:val="center"/>
              <w:rPr>
                <w:rFonts w:cstheme="minorHAnsi"/>
              </w:rPr>
            </w:pPr>
            <w:r w:rsidRPr="00AA6657">
              <w:rPr>
                <w:rFonts w:cstheme="minorHAnsi"/>
                <w:kern w:val="24"/>
              </w:rPr>
              <w:t>2%</w:t>
            </w:r>
          </w:p>
        </w:tc>
      </w:tr>
      <w:tr w:rsidR="00AA6657" w:rsidRPr="00991A6F" w14:paraId="57A85E26" w14:textId="77777777" w:rsidTr="388E5C6E">
        <w:trPr>
          <w:trHeight w:val="20"/>
        </w:trPr>
        <w:tc>
          <w:tcPr>
            <w:tcW w:w="1904" w:type="dxa"/>
            <w:hideMark/>
          </w:tcPr>
          <w:p w14:paraId="17230008" w14:textId="77777777" w:rsidR="00AA6657" w:rsidRPr="00AA6657" w:rsidRDefault="00AA6657" w:rsidP="00AA6657">
            <w:pPr>
              <w:rPr>
                <w:b/>
                <w:bCs/>
              </w:rPr>
            </w:pPr>
            <w:r w:rsidRPr="00AA6657">
              <w:rPr>
                <w:b/>
                <w:bCs/>
              </w:rPr>
              <w:t>Age:</w:t>
            </w:r>
          </w:p>
        </w:tc>
        <w:tc>
          <w:tcPr>
            <w:tcW w:w="2505" w:type="dxa"/>
            <w:hideMark/>
          </w:tcPr>
          <w:p w14:paraId="06D3CC44" w14:textId="534B7A72" w:rsidR="38A4F72D" w:rsidRDefault="38A4F72D"/>
        </w:tc>
        <w:tc>
          <w:tcPr>
            <w:tcW w:w="2505" w:type="dxa"/>
            <w:hideMark/>
          </w:tcPr>
          <w:p w14:paraId="0B08DB0E" w14:textId="7D991526" w:rsidR="38A4F72D" w:rsidRDefault="38A4F72D"/>
        </w:tc>
        <w:tc>
          <w:tcPr>
            <w:tcW w:w="2646" w:type="dxa"/>
            <w:hideMark/>
          </w:tcPr>
          <w:p w14:paraId="09352A67" w14:textId="77777777" w:rsidR="00AA6657" w:rsidRPr="00AA6657" w:rsidRDefault="00AA6657" w:rsidP="00AA6657">
            <w:pPr>
              <w:jc w:val="center"/>
              <w:rPr>
                <w:rFonts w:cstheme="minorHAnsi"/>
              </w:rPr>
            </w:pPr>
          </w:p>
        </w:tc>
      </w:tr>
      <w:tr w:rsidR="00AA6657" w:rsidRPr="00991A6F" w14:paraId="0766B233" w14:textId="77777777" w:rsidTr="388E5C6E">
        <w:trPr>
          <w:trHeight w:val="20"/>
        </w:trPr>
        <w:tc>
          <w:tcPr>
            <w:tcW w:w="1904" w:type="dxa"/>
            <w:hideMark/>
          </w:tcPr>
          <w:p w14:paraId="7130CE00" w14:textId="77777777" w:rsidR="00AA6657" w:rsidRPr="00AA6657" w:rsidRDefault="00AA6657" w:rsidP="00AA6657">
            <w:pPr>
              <w:rPr>
                <w:rFonts w:cstheme="minorHAnsi"/>
              </w:rPr>
            </w:pPr>
            <w:r w:rsidRPr="00AA6657">
              <w:rPr>
                <w:rFonts w:cstheme="minorHAnsi"/>
                <w:kern w:val="24"/>
              </w:rPr>
              <w:t>&lt;15 years</w:t>
            </w:r>
          </w:p>
        </w:tc>
        <w:tc>
          <w:tcPr>
            <w:tcW w:w="2505" w:type="dxa"/>
            <w:vAlign w:val="bottom"/>
            <w:hideMark/>
          </w:tcPr>
          <w:p w14:paraId="6E49C8E9" w14:textId="5FE32CB3" w:rsidR="38A4F72D" w:rsidRDefault="38A4F72D" w:rsidP="00F345D5">
            <w:pPr>
              <w:jc w:val="center"/>
              <w:rPr>
                <w:rFonts w:ascii="Calibri" w:eastAsia="Calibri" w:hAnsi="Calibri" w:cs="Calibri"/>
                <w:szCs w:val="24"/>
              </w:rPr>
            </w:pPr>
            <w:r w:rsidRPr="38A4F72D">
              <w:rPr>
                <w:rFonts w:ascii="Calibri" w:eastAsia="Calibri" w:hAnsi="Calibri" w:cs="Calibri"/>
                <w:szCs w:val="24"/>
              </w:rPr>
              <w:t>0</w:t>
            </w:r>
          </w:p>
        </w:tc>
        <w:tc>
          <w:tcPr>
            <w:tcW w:w="2505" w:type="dxa"/>
            <w:vAlign w:val="bottom"/>
            <w:hideMark/>
          </w:tcPr>
          <w:p w14:paraId="6C1AF3D3" w14:textId="55214ACB" w:rsidR="38A4F72D" w:rsidRDefault="38A4F72D" w:rsidP="00F345D5">
            <w:pPr>
              <w:jc w:val="center"/>
              <w:rPr>
                <w:rFonts w:ascii="Calibri" w:eastAsia="Calibri" w:hAnsi="Calibri" w:cs="Calibri"/>
                <w:szCs w:val="24"/>
              </w:rPr>
            </w:pPr>
            <w:r w:rsidRPr="38A4F72D">
              <w:rPr>
                <w:rFonts w:ascii="Calibri" w:eastAsia="Calibri" w:hAnsi="Calibri" w:cs="Calibri"/>
                <w:szCs w:val="24"/>
              </w:rPr>
              <w:t>1</w:t>
            </w:r>
          </w:p>
        </w:tc>
        <w:tc>
          <w:tcPr>
            <w:tcW w:w="2646" w:type="dxa"/>
            <w:vAlign w:val="bottom"/>
            <w:hideMark/>
          </w:tcPr>
          <w:p w14:paraId="271FBB71" w14:textId="3F436E7D" w:rsidR="00AA6657" w:rsidRPr="00AA6657" w:rsidRDefault="00AA6657" w:rsidP="00AA6657">
            <w:pPr>
              <w:jc w:val="center"/>
              <w:rPr>
                <w:rFonts w:cstheme="minorHAnsi"/>
              </w:rPr>
            </w:pPr>
            <w:r w:rsidRPr="00AA6657">
              <w:rPr>
                <w:rFonts w:cstheme="minorHAnsi"/>
                <w:kern w:val="24"/>
              </w:rPr>
              <w:t>0%</w:t>
            </w:r>
          </w:p>
        </w:tc>
      </w:tr>
      <w:tr w:rsidR="00AA6657" w:rsidRPr="00991A6F" w14:paraId="091BC633" w14:textId="77777777" w:rsidTr="388E5C6E">
        <w:trPr>
          <w:trHeight w:val="20"/>
        </w:trPr>
        <w:tc>
          <w:tcPr>
            <w:tcW w:w="1904" w:type="dxa"/>
            <w:hideMark/>
          </w:tcPr>
          <w:p w14:paraId="09CF0155" w14:textId="77777777" w:rsidR="00AA6657" w:rsidRPr="00AA6657" w:rsidRDefault="00AA6657" w:rsidP="00AA6657">
            <w:pPr>
              <w:rPr>
                <w:rFonts w:cstheme="minorHAnsi"/>
              </w:rPr>
            </w:pPr>
            <w:r w:rsidRPr="00AA6657">
              <w:rPr>
                <w:rFonts w:cstheme="minorHAnsi"/>
                <w:kern w:val="24"/>
              </w:rPr>
              <w:t>15–19 years</w:t>
            </w:r>
          </w:p>
        </w:tc>
        <w:tc>
          <w:tcPr>
            <w:tcW w:w="2505" w:type="dxa"/>
            <w:vAlign w:val="bottom"/>
            <w:hideMark/>
          </w:tcPr>
          <w:p w14:paraId="2F1CC047" w14:textId="377A9FF4" w:rsidR="38A4F72D" w:rsidRDefault="38A4F72D" w:rsidP="00F345D5">
            <w:pPr>
              <w:jc w:val="center"/>
              <w:rPr>
                <w:rFonts w:ascii="Calibri" w:eastAsia="Calibri" w:hAnsi="Calibri" w:cs="Calibri"/>
                <w:szCs w:val="24"/>
              </w:rPr>
            </w:pPr>
            <w:r w:rsidRPr="38A4F72D">
              <w:rPr>
                <w:rFonts w:ascii="Calibri" w:eastAsia="Calibri" w:hAnsi="Calibri" w:cs="Calibri"/>
                <w:szCs w:val="24"/>
              </w:rPr>
              <w:t>2</w:t>
            </w:r>
          </w:p>
        </w:tc>
        <w:tc>
          <w:tcPr>
            <w:tcW w:w="2505" w:type="dxa"/>
            <w:vAlign w:val="bottom"/>
            <w:hideMark/>
          </w:tcPr>
          <w:p w14:paraId="1B58FD2B" w14:textId="3F04CA86" w:rsidR="38A4F72D" w:rsidRDefault="38A4F72D" w:rsidP="00F345D5">
            <w:pPr>
              <w:jc w:val="center"/>
              <w:rPr>
                <w:rFonts w:ascii="Calibri" w:eastAsia="Calibri" w:hAnsi="Calibri" w:cs="Calibri"/>
                <w:szCs w:val="24"/>
              </w:rPr>
            </w:pPr>
            <w:r w:rsidRPr="38A4F72D">
              <w:rPr>
                <w:rFonts w:ascii="Calibri" w:eastAsia="Calibri" w:hAnsi="Calibri" w:cs="Calibri"/>
                <w:szCs w:val="24"/>
              </w:rPr>
              <w:t>43</w:t>
            </w:r>
          </w:p>
        </w:tc>
        <w:tc>
          <w:tcPr>
            <w:tcW w:w="2646" w:type="dxa"/>
            <w:vAlign w:val="bottom"/>
            <w:hideMark/>
          </w:tcPr>
          <w:p w14:paraId="55ED3BCB" w14:textId="62ED4B33" w:rsidR="00AA6657" w:rsidRPr="00AA6657" w:rsidRDefault="00AA6657" w:rsidP="00AA6657">
            <w:pPr>
              <w:jc w:val="center"/>
              <w:rPr>
                <w:rFonts w:cstheme="minorHAnsi"/>
              </w:rPr>
            </w:pPr>
            <w:r w:rsidRPr="00AA6657">
              <w:rPr>
                <w:rFonts w:cstheme="minorHAnsi"/>
                <w:kern w:val="24"/>
              </w:rPr>
              <w:t>5%</w:t>
            </w:r>
          </w:p>
        </w:tc>
      </w:tr>
      <w:tr w:rsidR="00AA6657" w:rsidRPr="00991A6F" w14:paraId="64946E6A" w14:textId="77777777" w:rsidTr="388E5C6E">
        <w:trPr>
          <w:trHeight w:val="20"/>
        </w:trPr>
        <w:tc>
          <w:tcPr>
            <w:tcW w:w="1904" w:type="dxa"/>
            <w:hideMark/>
          </w:tcPr>
          <w:p w14:paraId="098F3D3D" w14:textId="77777777" w:rsidR="00AA6657" w:rsidRPr="00AA6657" w:rsidRDefault="00AA6657" w:rsidP="00AA6657">
            <w:pPr>
              <w:rPr>
                <w:rFonts w:cstheme="minorHAnsi"/>
              </w:rPr>
            </w:pPr>
            <w:r w:rsidRPr="00AA6657">
              <w:rPr>
                <w:rFonts w:cstheme="minorHAnsi"/>
                <w:kern w:val="24"/>
              </w:rPr>
              <w:t>20–24 years</w:t>
            </w:r>
          </w:p>
        </w:tc>
        <w:tc>
          <w:tcPr>
            <w:tcW w:w="2505" w:type="dxa"/>
            <w:vAlign w:val="bottom"/>
            <w:hideMark/>
          </w:tcPr>
          <w:p w14:paraId="299CBF63" w14:textId="4636C09A" w:rsidR="38A4F72D" w:rsidRDefault="38A4F72D" w:rsidP="00F345D5">
            <w:pPr>
              <w:jc w:val="center"/>
              <w:rPr>
                <w:rFonts w:ascii="Calibri" w:eastAsia="Calibri" w:hAnsi="Calibri" w:cs="Calibri"/>
                <w:szCs w:val="24"/>
              </w:rPr>
            </w:pPr>
            <w:r w:rsidRPr="38A4F72D">
              <w:rPr>
                <w:rFonts w:ascii="Calibri" w:eastAsia="Calibri" w:hAnsi="Calibri" w:cs="Calibri"/>
                <w:szCs w:val="24"/>
              </w:rPr>
              <w:t>15</w:t>
            </w:r>
          </w:p>
        </w:tc>
        <w:tc>
          <w:tcPr>
            <w:tcW w:w="2505" w:type="dxa"/>
            <w:vAlign w:val="bottom"/>
            <w:hideMark/>
          </w:tcPr>
          <w:p w14:paraId="024D4E23" w14:textId="539F51B0" w:rsidR="38A4F72D" w:rsidRDefault="38A4F72D" w:rsidP="00F345D5">
            <w:pPr>
              <w:jc w:val="center"/>
              <w:rPr>
                <w:rFonts w:ascii="Calibri" w:eastAsia="Calibri" w:hAnsi="Calibri" w:cs="Calibri"/>
                <w:szCs w:val="24"/>
              </w:rPr>
            </w:pPr>
            <w:r w:rsidRPr="38A4F72D">
              <w:rPr>
                <w:rFonts w:ascii="Calibri" w:eastAsia="Calibri" w:hAnsi="Calibri" w:cs="Calibri"/>
                <w:szCs w:val="24"/>
              </w:rPr>
              <w:t>190</w:t>
            </w:r>
          </w:p>
        </w:tc>
        <w:tc>
          <w:tcPr>
            <w:tcW w:w="2646" w:type="dxa"/>
            <w:vAlign w:val="bottom"/>
            <w:hideMark/>
          </w:tcPr>
          <w:p w14:paraId="319CB9E6" w14:textId="5367497B" w:rsidR="00AA6657" w:rsidRPr="00AA6657" w:rsidRDefault="00AA6657" w:rsidP="00AA6657">
            <w:pPr>
              <w:jc w:val="center"/>
              <w:rPr>
                <w:rFonts w:cstheme="minorHAnsi"/>
              </w:rPr>
            </w:pPr>
            <w:r w:rsidRPr="00AA6657">
              <w:rPr>
                <w:rFonts w:cstheme="minorHAnsi"/>
                <w:kern w:val="24"/>
              </w:rPr>
              <w:t>8%</w:t>
            </w:r>
          </w:p>
        </w:tc>
      </w:tr>
      <w:tr w:rsidR="00AA6657" w:rsidRPr="00991A6F" w14:paraId="0B60EA73" w14:textId="77777777" w:rsidTr="388E5C6E">
        <w:trPr>
          <w:trHeight w:val="20"/>
        </w:trPr>
        <w:tc>
          <w:tcPr>
            <w:tcW w:w="1904" w:type="dxa"/>
            <w:hideMark/>
          </w:tcPr>
          <w:p w14:paraId="2D5CCBC0" w14:textId="77777777" w:rsidR="00AA6657" w:rsidRPr="00AA6657" w:rsidRDefault="00AA6657" w:rsidP="00AA6657">
            <w:pPr>
              <w:rPr>
                <w:rFonts w:cstheme="minorHAnsi"/>
              </w:rPr>
            </w:pPr>
            <w:r w:rsidRPr="00AA6657">
              <w:rPr>
                <w:rFonts w:cstheme="minorHAnsi"/>
                <w:kern w:val="24"/>
              </w:rPr>
              <w:t>25–29 years</w:t>
            </w:r>
          </w:p>
        </w:tc>
        <w:tc>
          <w:tcPr>
            <w:tcW w:w="2505" w:type="dxa"/>
            <w:vAlign w:val="bottom"/>
            <w:hideMark/>
          </w:tcPr>
          <w:p w14:paraId="75417F22" w14:textId="7DDD26A3" w:rsidR="38A4F72D" w:rsidRDefault="38A4F72D" w:rsidP="00F345D5">
            <w:pPr>
              <w:jc w:val="center"/>
              <w:rPr>
                <w:rFonts w:ascii="Calibri" w:eastAsia="Calibri" w:hAnsi="Calibri" w:cs="Calibri"/>
                <w:szCs w:val="24"/>
              </w:rPr>
            </w:pPr>
            <w:r w:rsidRPr="38A4F72D">
              <w:rPr>
                <w:rFonts w:ascii="Calibri" w:eastAsia="Calibri" w:hAnsi="Calibri" w:cs="Calibri"/>
                <w:szCs w:val="24"/>
              </w:rPr>
              <w:t>46</w:t>
            </w:r>
          </w:p>
        </w:tc>
        <w:tc>
          <w:tcPr>
            <w:tcW w:w="2505" w:type="dxa"/>
            <w:vAlign w:val="bottom"/>
            <w:hideMark/>
          </w:tcPr>
          <w:p w14:paraId="1BF5CC91" w14:textId="7384D871" w:rsidR="38A4F72D" w:rsidRDefault="38A4F72D" w:rsidP="00F345D5">
            <w:pPr>
              <w:jc w:val="center"/>
              <w:rPr>
                <w:rFonts w:ascii="Calibri" w:eastAsia="Calibri" w:hAnsi="Calibri" w:cs="Calibri"/>
                <w:szCs w:val="24"/>
              </w:rPr>
            </w:pPr>
            <w:r w:rsidRPr="38A4F72D">
              <w:rPr>
                <w:rFonts w:ascii="Calibri" w:eastAsia="Calibri" w:hAnsi="Calibri" w:cs="Calibri"/>
                <w:szCs w:val="24"/>
              </w:rPr>
              <w:t>285</w:t>
            </w:r>
          </w:p>
        </w:tc>
        <w:tc>
          <w:tcPr>
            <w:tcW w:w="2646" w:type="dxa"/>
            <w:vAlign w:val="bottom"/>
            <w:hideMark/>
          </w:tcPr>
          <w:p w14:paraId="2DBB7414" w14:textId="2F121966" w:rsidR="00AA6657" w:rsidRPr="00AA6657" w:rsidRDefault="00AA6657" w:rsidP="00AA6657">
            <w:pPr>
              <w:jc w:val="center"/>
              <w:rPr>
                <w:rFonts w:cstheme="minorHAnsi"/>
              </w:rPr>
            </w:pPr>
            <w:r w:rsidRPr="00AA6657">
              <w:rPr>
                <w:rFonts w:cstheme="minorHAnsi"/>
                <w:kern w:val="24"/>
              </w:rPr>
              <w:t>16%</w:t>
            </w:r>
          </w:p>
        </w:tc>
      </w:tr>
      <w:tr w:rsidR="00AA6657" w:rsidRPr="00991A6F" w14:paraId="17EBE72C" w14:textId="77777777" w:rsidTr="388E5C6E">
        <w:trPr>
          <w:trHeight w:val="20"/>
        </w:trPr>
        <w:tc>
          <w:tcPr>
            <w:tcW w:w="1904" w:type="dxa"/>
            <w:hideMark/>
          </w:tcPr>
          <w:p w14:paraId="200F06AF" w14:textId="77777777" w:rsidR="00AA6657" w:rsidRPr="00AA6657" w:rsidRDefault="00AA6657" w:rsidP="00AA6657">
            <w:pPr>
              <w:rPr>
                <w:rFonts w:cstheme="minorHAnsi"/>
              </w:rPr>
            </w:pPr>
            <w:r w:rsidRPr="00AA6657">
              <w:rPr>
                <w:rFonts w:cstheme="minorHAnsi"/>
                <w:kern w:val="24"/>
              </w:rPr>
              <w:t>30–39 years</w:t>
            </w:r>
          </w:p>
        </w:tc>
        <w:tc>
          <w:tcPr>
            <w:tcW w:w="2505" w:type="dxa"/>
            <w:vAlign w:val="bottom"/>
            <w:hideMark/>
          </w:tcPr>
          <w:p w14:paraId="12749831" w14:textId="6E87BC7C" w:rsidR="38A4F72D" w:rsidRDefault="38A4F72D" w:rsidP="00F345D5">
            <w:pPr>
              <w:jc w:val="center"/>
              <w:rPr>
                <w:rFonts w:ascii="Calibri" w:eastAsia="Calibri" w:hAnsi="Calibri" w:cs="Calibri"/>
                <w:szCs w:val="24"/>
              </w:rPr>
            </w:pPr>
            <w:r w:rsidRPr="38A4F72D">
              <w:rPr>
                <w:rFonts w:ascii="Calibri" w:eastAsia="Calibri" w:hAnsi="Calibri" w:cs="Calibri"/>
                <w:szCs w:val="24"/>
              </w:rPr>
              <w:t>130</w:t>
            </w:r>
          </w:p>
        </w:tc>
        <w:tc>
          <w:tcPr>
            <w:tcW w:w="2505" w:type="dxa"/>
            <w:vAlign w:val="bottom"/>
            <w:hideMark/>
          </w:tcPr>
          <w:p w14:paraId="6C9DB28E" w14:textId="08BC208F" w:rsidR="38A4F72D" w:rsidRDefault="38A4F72D" w:rsidP="00F345D5">
            <w:pPr>
              <w:jc w:val="center"/>
              <w:rPr>
                <w:rFonts w:ascii="Calibri" w:eastAsia="Calibri" w:hAnsi="Calibri" w:cs="Calibri"/>
                <w:szCs w:val="24"/>
              </w:rPr>
            </w:pPr>
            <w:r w:rsidRPr="38A4F72D">
              <w:rPr>
                <w:rFonts w:ascii="Calibri" w:eastAsia="Calibri" w:hAnsi="Calibri" w:cs="Calibri"/>
                <w:szCs w:val="24"/>
              </w:rPr>
              <w:t>513</w:t>
            </w:r>
          </w:p>
        </w:tc>
        <w:tc>
          <w:tcPr>
            <w:tcW w:w="2646" w:type="dxa"/>
            <w:vAlign w:val="bottom"/>
            <w:hideMark/>
          </w:tcPr>
          <w:p w14:paraId="36C753F0" w14:textId="672BE8C9" w:rsidR="00AA6657" w:rsidRPr="00AA6657" w:rsidRDefault="00AA6657" w:rsidP="00AA6657">
            <w:pPr>
              <w:jc w:val="center"/>
              <w:rPr>
                <w:rFonts w:cstheme="minorHAnsi"/>
              </w:rPr>
            </w:pPr>
            <w:r w:rsidRPr="00AA6657">
              <w:rPr>
                <w:rFonts w:cstheme="minorHAnsi"/>
                <w:kern w:val="24"/>
              </w:rPr>
              <w:t>25%</w:t>
            </w:r>
          </w:p>
        </w:tc>
      </w:tr>
      <w:tr w:rsidR="00AA6657" w:rsidRPr="00991A6F" w14:paraId="7CF7A110" w14:textId="77777777" w:rsidTr="388E5C6E">
        <w:trPr>
          <w:trHeight w:val="20"/>
        </w:trPr>
        <w:tc>
          <w:tcPr>
            <w:tcW w:w="1904" w:type="dxa"/>
            <w:hideMark/>
          </w:tcPr>
          <w:p w14:paraId="50103EC7" w14:textId="77777777" w:rsidR="00AA6657" w:rsidRPr="00AA6657" w:rsidRDefault="00AA6657" w:rsidP="00AA6657">
            <w:pPr>
              <w:rPr>
                <w:rFonts w:cstheme="minorHAnsi"/>
              </w:rPr>
            </w:pPr>
            <w:r w:rsidRPr="00AA6657">
              <w:rPr>
                <w:rFonts w:cstheme="minorHAnsi"/>
                <w:kern w:val="24"/>
              </w:rPr>
              <w:t>40–49 years</w:t>
            </w:r>
          </w:p>
        </w:tc>
        <w:tc>
          <w:tcPr>
            <w:tcW w:w="2505" w:type="dxa"/>
            <w:vAlign w:val="bottom"/>
            <w:hideMark/>
          </w:tcPr>
          <w:p w14:paraId="3D2BA3A7" w14:textId="38147435" w:rsidR="38A4F72D" w:rsidRDefault="38A4F72D" w:rsidP="00F345D5">
            <w:pPr>
              <w:jc w:val="center"/>
              <w:rPr>
                <w:rFonts w:ascii="Calibri" w:eastAsia="Calibri" w:hAnsi="Calibri" w:cs="Calibri"/>
                <w:szCs w:val="24"/>
              </w:rPr>
            </w:pPr>
            <w:r w:rsidRPr="38A4F72D">
              <w:rPr>
                <w:rFonts w:ascii="Calibri" w:eastAsia="Calibri" w:hAnsi="Calibri" w:cs="Calibri"/>
                <w:szCs w:val="24"/>
              </w:rPr>
              <w:t>94</w:t>
            </w:r>
          </w:p>
        </w:tc>
        <w:tc>
          <w:tcPr>
            <w:tcW w:w="2505" w:type="dxa"/>
            <w:vAlign w:val="bottom"/>
            <w:hideMark/>
          </w:tcPr>
          <w:p w14:paraId="14739CFA" w14:textId="29235F8A" w:rsidR="38A4F72D" w:rsidRDefault="38A4F72D" w:rsidP="00F345D5">
            <w:pPr>
              <w:jc w:val="center"/>
              <w:rPr>
                <w:rFonts w:ascii="Calibri" w:eastAsia="Calibri" w:hAnsi="Calibri" w:cs="Calibri"/>
                <w:szCs w:val="24"/>
              </w:rPr>
            </w:pPr>
            <w:r w:rsidRPr="38A4F72D">
              <w:rPr>
                <w:rFonts w:ascii="Calibri" w:eastAsia="Calibri" w:hAnsi="Calibri" w:cs="Calibri"/>
                <w:szCs w:val="24"/>
              </w:rPr>
              <w:t>294</w:t>
            </w:r>
          </w:p>
        </w:tc>
        <w:tc>
          <w:tcPr>
            <w:tcW w:w="2646" w:type="dxa"/>
            <w:vAlign w:val="bottom"/>
            <w:hideMark/>
          </w:tcPr>
          <w:p w14:paraId="6A634269" w14:textId="688BCD91" w:rsidR="00AA6657" w:rsidRPr="00AA6657" w:rsidRDefault="00AA6657" w:rsidP="00AA6657">
            <w:pPr>
              <w:jc w:val="center"/>
              <w:rPr>
                <w:rFonts w:cstheme="minorHAnsi"/>
              </w:rPr>
            </w:pPr>
            <w:r w:rsidRPr="00AA6657">
              <w:rPr>
                <w:rFonts w:cstheme="minorHAnsi"/>
                <w:kern w:val="24"/>
              </w:rPr>
              <w:t>32%</w:t>
            </w:r>
          </w:p>
        </w:tc>
      </w:tr>
      <w:tr w:rsidR="00AA6657" w:rsidRPr="00AA6657" w14:paraId="373D8860" w14:textId="77777777" w:rsidTr="388E5C6E">
        <w:trPr>
          <w:trHeight w:val="20"/>
        </w:trPr>
        <w:tc>
          <w:tcPr>
            <w:tcW w:w="1904" w:type="dxa"/>
          </w:tcPr>
          <w:p w14:paraId="42EAEABC" w14:textId="77777777" w:rsidR="00AA6657" w:rsidRPr="00AA6657" w:rsidRDefault="00AA6657" w:rsidP="00AA6657">
            <w:pPr>
              <w:rPr>
                <w:rFonts w:cstheme="minorHAnsi"/>
              </w:rPr>
            </w:pPr>
            <w:r w:rsidRPr="00AA6657">
              <w:rPr>
                <w:rFonts w:cstheme="minorHAnsi"/>
                <w:kern w:val="24"/>
              </w:rPr>
              <w:t>50+ years</w:t>
            </w:r>
          </w:p>
        </w:tc>
        <w:tc>
          <w:tcPr>
            <w:tcW w:w="2505" w:type="dxa"/>
            <w:vAlign w:val="bottom"/>
          </w:tcPr>
          <w:p w14:paraId="21D87BE7" w14:textId="1C871F14" w:rsidR="38A4F72D" w:rsidRDefault="38A4F72D" w:rsidP="00F345D5">
            <w:pPr>
              <w:jc w:val="center"/>
              <w:rPr>
                <w:rFonts w:ascii="Calibri" w:eastAsia="Calibri" w:hAnsi="Calibri" w:cs="Calibri"/>
                <w:szCs w:val="24"/>
              </w:rPr>
            </w:pPr>
            <w:r w:rsidRPr="38A4F72D">
              <w:rPr>
                <w:rFonts w:ascii="Calibri" w:eastAsia="Calibri" w:hAnsi="Calibri" w:cs="Calibri"/>
                <w:szCs w:val="24"/>
              </w:rPr>
              <w:t>110</w:t>
            </w:r>
          </w:p>
        </w:tc>
        <w:tc>
          <w:tcPr>
            <w:tcW w:w="2505" w:type="dxa"/>
            <w:vAlign w:val="bottom"/>
          </w:tcPr>
          <w:p w14:paraId="2248802B" w14:textId="4C275708" w:rsidR="38A4F72D" w:rsidRDefault="38A4F72D" w:rsidP="00F345D5">
            <w:pPr>
              <w:jc w:val="center"/>
              <w:rPr>
                <w:rFonts w:ascii="Calibri" w:eastAsia="Calibri" w:hAnsi="Calibri" w:cs="Calibri"/>
                <w:szCs w:val="24"/>
              </w:rPr>
            </w:pPr>
            <w:r w:rsidRPr="38A4F72D">
              <w:rPr>
                <w:rFonts w:ascii="Calibri" w:eastAsia="Calibri" w:hAnsi="Calibri" w:cs="Calibri"/>
                <w:szCs w:val="24"/>
              </w:rPr>
              <w:t>267</w:t>
            </w:r>
          </w:p>
        </w:tc>
        <w:tc>
          <w:tcPr>
            <w:tcW w:w="2646" w:type="dxa"/>
            <w:vAlign w:val="bottom"/>
          </w:tcPr>
          <w:p w14:paraId="22ABE359" w14:textId="3D4FA42B" w:rsidR="00AA6657" w:rsidRPr="00AA6657" w:rsidRDefault="00AA6657" w:rsidP="00AA6657">
            <w:pPr>
              <w:jc w:val="center"/>
              <w:rPr>
                <w:rFonts w:cstheme="minorHAnsi"/>
              </w:rPr>
            </w:pPr>
            <w:r w:rsidRPr="00AA6657">
              <w:rPr>
                <w:rFonts w:cstheme="minorHAnsi"/>
                <w:kern w:val="24"/>
              </w:rPr>
              <w:t>41%</w:t>
            </w:r>
          </w:p>
        </w:tc>
      </w:tr>
    </w:tbl>
    <w:p w14:paraId="0F2C981F" w14:textId="64667BCB" w:rsidR="007E659D" w:rsidRPr="00AA6657" w:rsidRDefault="007E659D" w:rsidP="007E659D">
      <w:pPr>
        <w:spacing w:after="120"/>
        <w:rPr>
          <w:sz w:val="20"/>
          <w:szCs w:val="20"/>
        </w:rPr>
      </w:pPr>
      <w:r w:rsidRPr="00AA6657">
        <w:rPr>
          <w:sz w:val="20"/>
          <w:szCs w:val="20"/>
        </w:rPr>
        <w:t>Data Source: Bureau of Infectious Disease and Laboratory Sciences, data are current as of 7/</w:t>
      </w:r>
      <w:r w:rsidR="00AA6657" w:rsidRPr="00AA6657">
        <w:rPr>
          <w:sz w:val="20"/>
          <w:szCs w:val="20"/>
        </w:rPr>
        <w:t>21</w:t>
      </w:r>
      <w:r w:rsidRPr="00AA6657">
        <w:rPr>
          <w:sz w:val="20"/>
          <w:szCs w:val="20"/>
        </w:rPr>
        <w:t>/202</w:t>
      </w:r>
      <w:r w:rsidR="00AA6657" w:rsidRPr="00AA6657">
        <w:rPr>
          <w:sz w:val="20"/>
          <w:szCs w:val="20"/>
        </w:rPr>
        <w:t>3</w:t>
      </w:r>
      <w:r w:rsidRPr="00AA6657">
        <w:rPr>
          <w:sz w:val="20"/>
          <w:szCs w:val="20"/>
        </w:rPr>
        <w:t xml:space="preserve"> and subject to change</w:t>
      </w:r>
      <w:r w:rsidR="00B1580A">
        <w:rPr>
          <w:sz w:val="20"/>
          <w:szCs w:val="20"/>
        </w:rPr>
        <w:t>.</w:t>
      </w:r>
    </w:p>
    <w:p w14:paraId="3425FFB0" w14:textId="5785B913" w:rsidR="007E659D" w:rsidRPr="00AA6657" w:rsidRDefault="193A94DA" w:rsidP="00AA6657">
      <w:pPr>
        <w:pStyle w:val="spaced6"/>
      </w:pPr>
      <w:r w:rsidRPr="00AA6657">
        <w:t>In 202</w:t>
      </w:r>
      <w:r w:rsidR="00AA6657" w:rsidRPr="00AA6657">
        <w:t>2</w:t>
      </w:r>
      <w:r w:rsidRPr="00AA6657">
        <w:t>,</w:t>
      </w:r>
      <w:r w:rsidR="007E659D" w:rsidRPr="00AA6657">
        <w:rPr>
          <w:rStyle w:val="FootnoteReference"/>
        </w:rPr>
        <w:footnoteReference w:id="82"/>
      </w:r>
      <w:r w:rsidRPr="00AA6657">
        <w:t xml:space="preserve"> </w:t>
      </w:r>
      <w:r w:rsidR="00AA6657" w:rsidRPr="00AA6657">
        <w:t>among 1,593 reported cases of infectious syphilis, 25% (N=397/1,593) were co-infected with HIV</w:t>
      </w:r>
      <w:r w:rsidRPr="00AA6657">
        <w:t>.</w:t>
      </w:r>
    </w:p>
    <w:p w14:paraId="288D633A" w14:textId="66DA13D9" w:rsidR="00AA6657" w:rsidRPr="00AA6657" w:rsidRDefault="4A7353A2" w:rsidP="00AA6657">
      <w:pPr>
        <w:pStyle w:val="spaced6"/>
      </w:pPr>
      <w:r>
        <w:t xml:space="preserve">Among infectious syphilis cases reported in 2022, higher than average (25%) </w:t>
      </w:r>
      <w:r w:rsidR="5874EC82">
        <w:t>proportions</w:t>
      </w:r>
      <w:r>
        <w:t xml:space="preserve"> of HIV co-infection were observed in males, black (non-Hispanic) and Hispanic/Latinx individuals, and individuals aged 40 years and above. </w:t>
      </w:r>
    </w:p>
    <w:p w14:paraId="6BB9CA70" w14:textId="4BBBE3E2" w:rsidR="00854B5E" w:rsidRPr="00AA6657" w:rsidRDefault="00AA6657" w:rsidP="00AA6657">
      <w:pPr>
        <w:pStyle w:val="spaced6"/>
      </w:pPr>
      <w:r w:rsidRPr="00AA6657">
        <w:t>Seventy-four percent (N=999/1,347) of infectious syphilis cases among males reported same sex contact. Of those who reported male-to-male sex, 33% (N=325/999) were co-infected with HIV, compared to 15% (N=53/358) of males with unknown risk</w:t>
      </w:r>
      <w:r>
        <w:t>.</w:t>
      </w:r>
      <w:r>
        <w:rPr>
          <w:rStyle w:val="FootnoteReference"/>
        </w:rPr>
        <w:footnoteReference w:id="83"/>
      </w:r>
      <w:r w:rsidR="007E659D" w:rsidRPr="00AA6657">
        <w:br w:type="page"/>
      </w:r>
    </w:p>
    <w:p w14:paraId="19DD1B1A" w14:textId="7920B8A9" w:rsidR="007E659D" w:rsidRPr="000F3D9D" w:rsidRDefault="00854B5E" w:rsidP="00854B5E">
      <w:pPr>
        <w:pStyle w:val="Heading2"/>
      </w:pPr>
      <w:bookmarkStart w:id="40" w:name="_Toc154057143"/>
      <w:r>
        <w:lastRenderedPageBreak/>
        <w:t>HIV/GONORRHEA</w:t>
      </w:r>
      <w:bookmarkEnd w:id="40"/>
    </w:p>
    <w:p w14:paraId="53218C21" w14:textId="328DC99F" w:rsidR="00854B5E" w:rsidRPr="000F3D9D" w:rsidRDefault="00854B5E" w:rsidP="00854B5E">
      <w:pPr>
        <w:rPr>
          <w:szCs w:val="24"/>
        </w:rPr>
      </w:pPr>
      <w:r w:rsidRPr="000F3D9D">
        <w:rPr>
          <w:b/>
          <w:bCs/>
          <w:szCs w:val="24"/>
        </w:rPr>
        <w:t xml:space="preserve">Table 2. </w:t>
      </w:r>
      <w:r w:rsidRPr="000F3D9D">
        <w:rPr>
          <w:szCs w:val="24"/>
        </w:rPr>
        <w:t>Percentage of 202</w:t>
      </w:r>
      <w:r w:rsidR="000F3D9D" w:rsidRPr="000F3D9D">
        <w:rPr>
          <w:szCs w:val="24"/>
        </w:rPr>
        <w:t>2</w:t>
      </w:r>
      <w:r w:rsidRPr="000F3D9D">
        <w:rPr>
          <w:szCs w:val="24"/>
        </w:rPr>
        <w:t xml:space="preserve"> laboratory-confirmed gonorrhea cases ever co-infected with HIV by gender, race/ethnicity, and age</w:t>
      </w:r>
    </w:p>
    <w:tbl>
      <w:tblPr>
        <w:tblStyle w:val="TableGrid"/>
        <w:tblW w:w="9560" w:type="dxa"/>
        <w:tblLook w:val="0420" w:firstRow="1" w:lastRow="0" w:firstColumn="0" w:lastColumn="0" w:noHBand="0" w:noVBand="1"/>
      </w:tblPr>
      <w:tblGrid>
        <w:gridCol w:w="1904"/>
        <w:gridCol w:w="2505"/>
        <w:gridCol w:w="2505"/>
        <w:gridCol w:w="2646"/>
      </w:tblGrid>
      <w:tr w:rsidR="000F3D9D" w:rsidRPr="000F3D9D" w14:paraId="5859F9E0" w14:textId="77777777" w:rsidTr="388E5C6E">
        <w:trPr>
          <w:trHeight w:val="715"/>
        </w:trPr>
        <w:tc>
          <w:tcPr>
            <w:tcW w:w="1904" w:type="dxa"/>
            <w:hideMark/>
          </w:tcPr>
          <w:p w14:paraId="56E3FBCF" w14:textId="77777777" w:rsidR="00854B5E" w:rsidRPr="000F3D9D" w:rsidRDefault="00854B5E" w:rsidP="00854B5E"/>
        </w:tc>
        <w:tc>
          <w:tcPr>
            <w:tcW w:w="2505" w:type="dxa"/>
            <w:hideMark/>
          </w:tcPr>
          <w:p w14:paraId="7B5D097C" w14:textId="77777777" w:rsidR="00854B5E" w:rsidRPr="000F3D9D" w:rsidRDefault="1719D1B4" w:rsidP="38A4F72D">
            <w:pPr>
              <w:pStyle w:val="NormalWeb"/>
              <w:spacing w:before="0" w:beforeAutospacing="0" w:after="0" w:afterAutospacing="0" w:line="256" w:lineRule="auto"/>
              <w:jc w:val="center"/>
              <w:rPr>
                <w:rFonts w:asciiTheme="minorHAnsi" w:hAnsiTheme="minorHAnsi" w:cstheme="minorBidi"/>
              </w:rPr>
            </w:pPr>
            <w:r w:rsidRPr="38A4F72D">
              <w:rPr>
                <w:rFonts w:asciiTheme="minorHAnsi" w:eastAsia="Calibri" w:hAnsiTheme="minorHAnsi" w:cstheme="minorBidi"/>
                <w:b/>
                <w:bCs/>
              </w:rPr>
              <w:t xml:space="preserve">HIV/Gonorrhea </w:t>
            </w:r>
          </w:p>
          <w:p w14:paraId="03400B58" w14:textId="7E7B5D7B" w:rsidR="00854B5E" w:rsidRPr="000F3D9D" w:rsidRDefault="51134479" w:rsidP="38A4F72D">
            <w:pPr>
              <w:jc w:val="center"/>
            </w:pPr>
            <w:r w:rsidRPr="38A4F72D">
              <w:rPr>
                <w:rFonts w:eastAsia="Calibri"/>
                <w:b/>
                <w:bCs/>
              </w:rPr>
              <w:t>Co-infections</w:t>
            </w:r>
            <w:r w:rsidR="00854B5E" w:rsidRPr="38A4F72D">
              <w:rPr>
                <w:rStyle w:val="FootnoteReference"/>
                <w:rFonts w:eastAsia="Calibri"/>
                <w:b/>
                <w:bCs/>
              </w:rPr>
              <w:footnoteReference w:id="84"/>
            </w:r>
            <w:r w:rsidRPr="38A4F72D">
              <w:rPr>
                <w:rFonts w:eastAsia="Calibri"/>
                <w:b/>
                <w:bCs/>
              </w:rPr>
              <w:t xml:space="preserve"> </w:t>
            </w:r>
          </w:p>
        </w:tc>
        <w:tc>
          <w:tcPr>
            <w:tcW w:w="2505" w:type="dxa"/>
            <w:hideMark/>
          </w:tcPr>
          <w:p w14:paraId="570C10AA" w14:textId="5CCCA08B" w:rsidR="00854B5E" w:rsidRPr="000F3D9D" w:rsidRDefault="67EA15CD" w:rsidP="38A4F72D">
            <w:pPr>
              <w:jc w:val="center"/>
              <w:rPr>
                <w:rStyle w:val="FootnoteReference"/>
                <w:rFonts w:eastAsia="Calibri"/>
                <w:b/>
                <w:bCs/>
              </w:rPr>
            </w:pPr>
            <w:r w:rsidRPr="38A4F72D">
              <w:rPr>
                <w:rFonts w:eastAsia="Calibri"/>
                <w:b/>
                <w:bCs/>
              </w:rPr>
              <w:t xml:space="preserve"> Gonorrhea Cases</w:t>
            </w:r>
          </w:p>
        </w:tc>
        <w:tc>
          <w:tcPr>
            <w:tcW w:w="2646" w:type="dxa"/>
            <w:hideMark/>
          </w:tcPr>
          <w:p w14:paraId="04E82181" w14:textId="7D8EEF7F" w:rsidR="00854B5E" w:rsidRPr="000F3D9D" w:rsidRDefault="00854B5E" w:rsidP="00854B5E">
            <w:pPr>
              <w:jc w:val="center"/>
              <w:rPr>
                <w:rFonts w:cstheme="minorHAnsi"/>
                <w:szCs w:val="24"/>
              </w:rPr>
            </w:pPr>
            <w:r w:rsidRPr="000F3D9D">
              <w:rPr>
                <w:rFonts w:cstheme="minorHAnsi"/>
                <w:b/>
                <w:bCs/>
                <w:kern w:val="24"/>
                <w:szCs w:val="24"/>
              </w:rPr>
              <w:t>% of Gonorrhea Cases Co-infected with HIV</w:t>
            </w:r>
          </w:p>
        </w:tc>
      </w:tr>
      <w:tr w:rsidR="38A4F72D" w14:paraId="17EE8E88" w14:textId="77777777" w:rsidTr="388E5C6E">
        <w:trPr>
          <w:trHeight w:val="300"/>
        </w:trPr>
        <w:tc>
          <w:tcPr>
            <w:tcW w:w="1904" w:type="dxa"/>
            <w:hideMark/>
          </w:tcPr>
          <w:p w14:paraId="2FC58380" w14:textId="340041F9" w:rsidR="79A6AC0B" w:rsidRDefault="79A6AC0B" w:rsidP="38A4F72D">
            <w:pPr>
              <w:rPr>
                <w:b/>
                <w:bCs/>
              </w:rPr>
            </w:pPr>
            <w:r w:rsidRPr="38A4F72D">
              <w:rPr>
                <w:b/>
                <w:bCs/>
              </w:rPr>
              <w:t>Total:</w:t>
            </w:r>
          </w:p>
        </w:tc>
        <w:tc>
          <w:tcPr>
            <w:tcW w:w="2505" w:type="dxa"/>
            <w:hideMark/>
          </w:tcPr>
          <w:p w14:paraId="44A83592" w14:textId="3383A0D7" w:rsidR="20AC96BD" w:rsidRDefault="20AC96BD" w:rsidP="38A4F72D">
            <w:pPr>
              <w:jc w:val="center"/>
            </w:pPr>
            <w:r w:rsidRPr="38A4F72D">
              <w:t>701</w:t>
            </w:r>
          </w:p>
        </w:tc>
        <w:tc>
          <w:tcPr>
            <w:tcW w:w="2505" w:type="dxa"/>
            <w:hideMark/>
          </w:tcPr>
          <w:p w14:paraId="341D856A" w14:textId="5930FDC1" w:rsidR="20AC96BD" w:rsidRDefault="20AC96BD" w:rsidP="38A4F72D">
            <w:pPr>
              <w:jc w:val="center"/>
            </w:pPr>
            <w:r w:rsidRPr="38A4F72D">
              <w:t>9,129</w:t>
            </w:r>
          </w:p>
        </w:tc>
        <w:tc>
          <w:tcPr>
            <w:tcW w:w="2646" w:type="dxa"/>
            <w:hideMark/>
          </w:tcPr>
          <w:p w14:paraId="64849B71" w14:textId="23EE02DC" w:rsidR="38A4F72D" w:rsidRDefault="0059506D" w:rsidP="38A4F72D">
            <w:pPr>
              <w:jc w:val="center"/>
            </w:pPr>
            <w:r>
              <w:t>8%</w:t>
            </w:r>
          </w:p>
        </w:tc>
      </w:tr>
      <w:tr w:rsidR="00991A6F" w:rsidRPr="00991A6F" w14:paraId="37A5ADBC" w14:textId="77777777" w:rsidTr="388E5C6E">
        <w:trPr>
          <w:trHeight w:val="300"/>
        </w:trPr>
        <w:tc>
          <w:tcPr>
            <w:tcW w:w="1904" w:type="dxa"/>
            <w:hideMark/>
          </w:tcPr>
          <w:p w14:paraId="0ED3E011" w14:textId="77777777" w:rsidR="00854B5E" w:rsidRPr="000F3D9D" w:rsidRDefault="00854B5E" w:rsidP="00854B5E">
            <w:r w:rsidRPr="000F3D9D">
              <w:rPr>
                <w:b/>
                <w:bCs/>
              </w:rPr>
              <w:t>Gender:</w:t>
            </w:r>
          </w:p>
        </w:tc>
        <w:tc>
          <w:tcPr>
            <w:tcW w:w="2505" w:type="dxa"/>
            <w:hideMark/>
          </w:tcPr>
          <w:p w14:paraId="7147AFE9" w14:textId="77777777" w:rsidR="00854B5E" w:rsidRPr="000F3D9D" w:rsidRDefault="00854B5E" w:rsidP="00854B5E">
            <w:pPr>
              <w:jc w:val="center"/>
              <w:rPr>
                <w:rFonts w:cstheme="minorHAnsi"/>
                <w:szCs w:val="24"/>
              </w:rPr>
            </w:pPr>
          </w:p>
        </w:tc>
        <w:tc>
          <w:tcPr>
            <w:tcW w:w="2505" w:type="dxa"/>
            <w:hideMark/>
          </w:tcPr>
          <w:p w14:paraId="66345F46" w14:textId="77777777" w:rsidR="00854B5E" w:rsidRPr="000F3D9D" w:rsidRDefault="00854B5E" w:rsidP="00854B5E">
            <w:pPr>
              <w:jc w:val="center"/>
              <w:rPr>
                <w:rFonts w:cstheme="minorHAnsi"/>
                <w:szCs w:val="24"/>
              </w:rPr>
            </w:pPr>
          </w:p>
        </w:tc>
        <w:tc>
          <w:tcPr>
            <w:tcW w:w="2646" w:type="dxa"/>
            <w:hideMark/>
          </w:tcPr>
          <w:p w14:paraId="0237F459" w14:textId="77777777" w:rsidR="00854B5E" w:rsidRPr="000F3D9D" w:rsidRDefault="00854B5E" w:rsidP="00854B5E">
            <w:pPr>
              <w:jc w:val="center"/>
              <w:rPr>
                <w:rFonts w:cstheme="minorHAnsi"/>
                <w:szCs w:val="24"/>
              </w:rPr>
            </w:pPr>
          </w:p>
        </w:tc>
      </w:tr>
      <w:tr w:rsidR="000F3D9D" w:rsidRPr="00991A6F" w14:paraId="6B31CCFB" w14:textId="77777777" w:rsidTr="388E5C6E">
        <w:trPr>
          <w:trHeight w:val="343"/>
        </w:trPr>
        <w:tc>
          <w:tcPr>
            <w:tcW w:w="1904" w:type="dxa"/>
            <w:hideMark/>
          </w:tcPr>
          <w:p w14:paraId="6A06D000" w14:textId="77777777" w:rsidR="000F3D9D" w:rsidRPr="000F3D9D" w:rsidRDefault="000F3D9D" w:rsidP="000F3D9D">
            <w:r w:rsidRPr="000F3D9D">
              <w:t>Male</w:t>
            </w:r>
          </w:p>
        </w:tc>
        <w:tc>
          <w:tcPr>
            <w:tcW w:w="2505" w:type="dxa"/>
            <w:vAlign w:val="bottom"/>
            <w:hideMark/>
          </w:tcPr>
          <w:p w14:paraId="32F5F62F" w14:textId="2727972B"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665 </w:t>
            </w:r>
          </w:p>
        </w:tc>
        <w:tc>
          <w:tcPr>
            <w:tcW w:w="2505" w:type="dxa"/>
            <w:vAlign w:val="bottom"/>
            <w:hideMark/>
          </w:tcPr>
          <w:p w14:paraId="63B64CCE" w14:textId="37B6A31A"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6,196 </w:t>
            </w:r>
          </w:p>
        </w:tc>
        <w:tc>
          <w:tcPr>
            <w:tcW w:w="2646" w:type="dxa"/>
            <w:vAlign w:val="bottom"/>
            <w:hideMark/>
          </w:tcPr>
          <w:p w14:paraId="78B5A2C1" w14:textId="04112AED" w:rsidR="000F3D9D" w:rsidRPr="000F3D9D" w:rsidRDefault="000F3D9D" w:rsidP="000F3D9D">
            <w:pPr>
              <w:jc w:val="center"/>
              <w:rPr>
                <w:rFonts w:cstheme="minorHAnsi"/>
                <w:szCs w:val="24"/>
              </w:rPr>
            </w:pPr>
            <w:r w:rsidRPr="000F3D9D">
              <w:rPr>
                <w:rFonts w:cstheme="minorHAnsi"/>
                <w:kern w:val="24"/>
              </w:rPr>
              <w:t>11%</w:t>
            </w:r>
          </w:p>
        </w:tc>
      </w:tr>
      <w:tr w:rsidR="000F3D9D" w:rsidRPr="00991A6F" w14:paraId="214206C3" w14:textId="77777777" w:rsidTr="388E5C6E">
        <w:trPr>
          <w:trHeight w:val="343"/>
        </w:trPr>
        <w:tc>
          <w:tcPr>
            <w:tcW w:w="1904" w:type="dxa"/>
            <w:hideMark/>
          </w:tcPr>
          <w:p w14:paraId="7091B796" w14:textId="77777777" w:rsidR="000F3D9D" w:rsidRPr="000F3D9D" w:rsidRDefault="000F3D9D" w:rsidP="000F3D9D">
            <w:r w:rsidRPr="000F3D9D">
              <w:t>Female</w:t>
            </w:r>
          </w:p>
        </w:tc>
        <w:tc>
          <w:tcPr>
            <w:tcW w:w="2505" w:type="dxa"/>
            <w:vAlign w:val="bottom"/>
            <w:hideMark/>
          </w:tcPr>
          <w:p w14:paraId="02D0952A" w14:textId="58F04A94"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21 </w:t>
            </w:r>
          </w:p>
        </w:tc>
        <w:tc>
          <w:tcPr>
            <w:tcW w:w="2505" w:type="dxa"/>
            <w:vAlign w:val="bottom"/>
            <w:hideMark/>
          </w:tcPr>
          <w:p w14:paraId="1AE9B7E7" w14:textId="7FC2BA79"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2,861 </w:t>
            </w:r>
          </w:p>
        </w:tc>
        <w:tc>
          <w:tcPr>
            <w:tcW w:w="2646" w:type="dxa"/>
            <w:vAlign w:val="bottom"/>
            <w:hideMark/>
          </w:tcPr>
          <w:p w14:paraId="7195F76D" w14:textId="2B4E21A2" w:rsidR="000F3D9D" w:rsidRPr="000F3D9D" w:rsidRDefault="000F3D9D" w:rsidP="000F3D9D">
            <w:pPr>
              <w:jc w:val="center"/>
              <w:rPr>
                <w:rFonts w:cstheme="minorHAnsi"/>
                <w:szCs w:val="24"/>
              </w:rPr>
            </w:pPr>
            <w:r w:rsidRPr="000F3D9D">
              <w:rPr>
                <w:rFonts w:cstheme="minorHAnsi"/>
                <w:kern w:val="24"/>
              </w:rPr>
              <w:t>1%</w:t>
            </w:r>
          </w:p>
        </w:tc>
      </w:tr>
      <w:tr w:rsidR="000F3D9D" w:rsidRPr="00991A6F" w14:paraId="454BE0B2" w14:textId="77777777" w:rsidTr="388E5C6E">
        <w:trPr>
          <w:trHeight w:val="343"/>
        </w:trPr>
        <w:tc>
          <w:tcPr>
            <w:tcW w:w="1904" w:type="dxa"/>
            <w:hideMark/>
          </w:tcPr>
          <w:p w14:paraId="7D0A2B8C" w14:textId="77777777" w:rsidR="000F3D9D" w:rsidRPr="000F3D9D" w:rsidRDefault="000F3D9D" w:rsidP="000F3D9D">
            <w:r w:rsidRPr="000F3D9D">
              <w:t>Transgender</w:t>
            </w:r>
          </w:p>
        </w:tc>
        <w:tc>
          <w:tcPr>
            <w:tcW w:w="2505" w:type="dxa"/>
            <w:vAlign w:val="bottom"/>
            <w:hideMark/>
          </w:tcPr>
          <w:p w14:paraId="1E7CCB05" w14:textId="677E08A7"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15 </w:t>
            </w:r>
          </w:p>
        </w:tc>
        <w:tc>
          <w:tcPr>
            <w:tcW w:w="2505" w:type="dxa"/>
            <w:vAlign w:val="bottom"/>
            <w:hideMark/>
          </w:tcPr>
          <w:p w14:paraId="0F35A532" w14:textId="6CDA29D0"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68 </w:t>
            </w:r>
          </w:p>
        </w:tc>
        <w:tc>
          <w:tcPr>
            <w:tcW w:w="2646" w:type="dxa"/>
            <w:vAlign w:val="bottom"/>
            <w:hideMark/>
          </w:tcPr>
          <w:p w14:paraId="1F4215D2" w14:textId="5FC96F9D" w:rsidR="000F3D9D" w:rsidRPr="000F3D9D" w:rsidRDefault="000F3D9D" w:rsidP="000F3D9D">
            <w:pPr>
              <w:jc w:val="center"/>
              <w:rPr>
                <w:rFonts w:cstheme="minorHAnsi"/>
                <w:szCs w:val="24"/>
              </w:rPr>
            </w:pPr>
            <w:r w:rsidRPr="000F3D9D">
              <w:rPr>
                <w:rFonts w:cstheme="minorHAnsi"/>
                <w:kern w:val="24"/>
              </w:rPr>
              <w:t>22%</w:t>
            </w:r>
          </w:p>
        </w:tc>
      </w:tr>
      <w:tr w:rsidR="000F3D9D" w:rsidRPr="00991A6F" w14:paraId="5A61FB92" w14:textId="77777777" w:rsidTr="388E5C6E">
        <w:trPr>
          <w:trHeight w:val="343"/>
        </w:trPr>
        <w:tc>
          <w:tcPr>
            <w:tcW w:w="1904" w:type="dxa"/>
            <w:hideMark/>
          </w:tcPr>
          <w:p w14:paraId="0AF7EA7A" w14:textId="77777777" w:rsidR="000F3D9D" w:rsidRPr="000F3D9D" w:rsidRDefault="000F3D9D" w:rsidP="000F3D9D">
            <w:r w:rsidRPr="000F3D9D">
              <w:rPr>
                <w:b/>
                <w:bCs/>
              </w:rPr>
              <w:t>Race/Ethnicity:</w:t>
            </w:r>
          </w:p>
        </w:tc>
        <w:tc>
          <w:tcPr>
            <w:tcW w:w="2505" w:type="dxa"/>
            <w:vAlign w:val="bottom"/>
            <w:hideMark/>
          </w:tcPr>
          <w:p w14:paraId="3FA50A35" w14:textId="3142389A"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0 </w:t>
            </w:r>
          </w:p>
        </w:tc>
        <w:tc>
          <w:tcPr>
            <w:tcW w:w="2505" w:type="dxa"/>
            <w:vAlign w:val="bottom"/>
            <w:hideMark/>
          </w:tcPr>
          <w:p w14:paraId="6E0F2E2F" w14:textId="4F187A5C"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4 </w:t>
            </w:r>
          </w:p>
        </w:tc>
        <w:tc>
          <w:tcPr>
            <w:tcW w:w="2646" w:type="dxa"/>
            <w:vAlign w:val="bottom"/>
            <w:hideMark/>
          </w:tcPr>
          <w:p w14:paraId="70391EDD" w14:textId="4717C600" w:rsidR="000F3D9D" w:rsidRPr="000F3D9D" w:rsidRDefault="000F3D9D" w:rsidP="000F3D9D">
            <w:pPr>
              <w:jc w:val="center"/>
              <w:rPr>
                <w:rFonts w:cstheme="minorHAnsi"/>
              </w:rPr>
            </w:pPr>
            <w:r w:rsidRPr="000F3D9D">
              <w:rPr>
                <w:rFonts w:cstheme="minorHAnsi"/>
                <w:kern w:val="24"/>
              </w:rPr>
              <w:t>0%</w:t>
            </w:r>
          </w:p>
        </w:tc>
      </w:tr>
      <w:tr w:rsidR="000F3D9D" w:rsidRPr="00991A6F" w14:paraId="045FA2A5" w14:textId="77777777" w:rsidTr="388E5C6E">
        <w:trPr>
          <w:trHeight w:val="343"/>
        </w:trPr>
        <w:tc>
          <w:tcPr>
            <w:tcW w:w="1904" w:type="dxa"/>
            <w:hideMark/>
          </w:tcPr>
          <w:p w14:paraId="7BFCF078" w14:textId="77777777" w:rsidR="000F3D9D" w:rsidRPr="000F3D9D" w:rsidRDefault="000F3D9D" w:rsidP="000F3D9D">
            <w:r w:rsidRPr="000F3D9D">
              <w:t>White NH</w:t>
            </w:r>
          </w:p>
        </w:tc>
        <w:tc>
          <w:tcPr>
            <w:tcW w:w="2505" w:type="dxa"/>
            <w:vAlign w:val="bottom"/>
            <w:hideMark/>
          </w:tcPr>
          <w:p w14:paraId="1A485E34" w14:textId="5D38C42F" w:rsidR="38A4F72D" w:rsidRDefault="38A4F72D"/>
        </w:tc>
        <w:tc>
          <w:tcPr>
            <w:tcW w:w="2505" w:type="dxa"/>
            <w:vAlign w:val="bottom"/>
            <w:hideMark/>
          </w:tcPr>
          <w:p w14:paraId="1727CCA1" w14:textId="6E7CF73E" w:rsidR="38A4F72D" w:rsidRDefault="38A4F72D"/>
        </w:tc>
        <w:tc>
          <w:tcPr>
            <w:tcW w:w="2646" w:type="dxa"/>
            <w:vAlign w:val="bottom"/>
            <w:hideMark/>
          </w:tcPr>
          <w:p w14:paraId="43B0671D" w14:textId="23AE29F6" w:rsidR="000F3D9D" w:rsidRPr="000F3D9D" w:rsidRDefault="000F3D9D" w:rsidP="000F3D9D">
            <w:pPr>
              <w:jc w:val="center"/>
              <w:rPr>
                <w:rFonts w:cstheme="minorHAnsi"/>
              </w:rPr>
            </w:pPr>
          </w:p>
        </w:tc>
      </w:tr>
      <w:tr w:rsidR="000F3D9D" w:rsidRPr="00991A6F" w14:paraId="5B9882F6" w14:textId="77777777" w:rsidTr="388E5C6E">
        <w:trPr>
          <w:trHeight w:val="343"/>
        </w:trPr>
        <w:tc>
          <w:tcPr>
            <w:tcW w:w="1904" w:type="dxa"/>
            <w:hideMark/>
          </w:tcPr>
          <w:p w14:paraId="63EF567A" w14:textId="77777777" w:rsidR="000F3D9D" w:rsidRPr="000F3D9D" w:rsidRDefault="000F3D9D" w:rsidP="000F3D9D">
            <w:r w:rsidRPr="000F3D9D">
              <w:t>Black NH</w:t>
            </w:r>
          </w:p>
        </w:tc>
        <w:tc>
          <w:tcPr>
            <w:tcW w:w="2505" w:type="dxa"/>
            <w:vAlign w:val="bottom"/>
            <w:hideMark/>
          </w:tcPr>
          <w:p w14:paraId="5BD6F884" w14:textId="5C509020"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213 </w:t>
            </w:r>
          </w:p>
        </w:tc>
        <w:tc>
          <w:tcPr>
            <w:tcW w:w="2505" w:type="dxa"/>
            <w:vAlign w:val="bottom"/>
            <w:hideMark/>
          </w:tcPr>
          <w:p w14:paraId="14CF65E3" w14:textId="67C992A2"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2,023 </w:t>
            </w:r>
          </w:p>
        </w:tc>
        <w:tc>
          <w:tcPr>
            <w:tcW w:w="2646" w:type="dxa"/>
            <w:vAlign w:val="bottom"/>
            <w:hideMark/>
          </w:tcPr>
          <w:p w14:paraId="14DF33D0" w14:textId="0AB42B46" w:rsidR="000F3D9D" w:rsidRPr="000F3D9D" w:rsidRDefault="000F3D9D" w:rsidP="000F3D9D">
            <w:pPr>
              <w:jc w:val="center"/>
              <w:rPr>
                <w:rFonts w:cstheme="minorHAnsi"/>
              </w:rPr>
            </w:pPr>
            <w:r w:rsidRPr="000F3D9D">
              <w:rPr>
                <w:rFonts w:cstheme="minorHAnsi"/>
                <w:kern w:val="24"/>
              </w:rPr>
              <w:t>11%</w:t>
            </w:r>
          </w:p>
        </w:tc>
      </w:tr>
      <w:tr w:rsidR="000F3D9D" w:rsidRPr="00991A6F" w14:paraId="1EF1C7CA" w14:textId="77777777" w:rsidTr="388E5C6E">
        <w:trPr>
          <w:trHeight w:val="343"/>
        </w:trPr>
        <w:tc>
          <w:tcPr>
            <w:tcW w:w="1904" w:type="dxa"/>
            <w:hideMark/>
          </w:tcPr>
          <w:p w14:paraId="04E5030B" w14:textId="77777777" w:rsidR="000F3D9D" w:rsidRPr="000F3D9D" w:rsidRDefault="000F3D9D" w:rsidP="000F3D9D">
            <w:r w:rsidRPr="000F3D9D">
              <w:t>Hispanic/Latino</w:t>
            </w:r>
          </w:p>
        </w:tc>
        <w:tc>
          <w:tcPr>
            <w:tcW w:w="2505" w:type="dxa"/>
            <w:vAlign w:val="bottom"/>
            <w:hideMark/>
          </w:tcPr>
          <w:p w14:paraId="6D7C3CB1" w14:textId="76C9F849"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92 </w:t>
            </w:r>
          </w:p>
        </w:tc>
        <w:tc>
          <w:tcPr>
            <w:tcW w:w="2505" w:type="dxa"/>
            <w:vAlign w:val="bottom"/>
            <w:hideMark/>
          </w:tcPr>
          <w:p w14:paraId="2E04BA8D" w14:textId="0E7F5C72"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1,462 </w:t>
            </w:r>
          </w:p>
        </w:tc>
        <w:tc>
          <w:tcPr>
            <w:tcW w:w="2646" w:type="dxa"/>
            <w:vAlign w:val="bottom"/>
            <w:hideMark/>
          </w:tcPr>
          <w:p w14:paraId="284756DF" w14:textId="09D820A3" w:rsidR="000F3D9D" w:rsidRPr="000F3D9D" w:rsidRDefault="000F3D9D" w:rsidP="000F3D9D">
            <w:pPr>
              <w:jc w:val="center"/>
              <w:rPr>
                <w:rFonts w:cstheme="minorHAnsi"/>
              </w:rPr>
            </w:pPr>
            <w:r w:rsidRPr="000F3D9D">
              <w:rPr>
                <w:rFonts w:cstheme="minorHAnsi"/>
                <w:kern w:val="24"/>
              </w:rPr>
              <w:t>6%</w:t>
            </w:r>
          </w:p>
        </w:tc>
      </w:tr>
      <w:tr w:rsidR="000F3D9D" w:rsidRPr="00991A6F" w14:paraId="697EACB3" w14:textId="77777777" w:rsidTr="388E5C6E">
        <w:trPr>
          <w:trHeight w:val="343"/>
        </w:trPr>
        <w:tc>
          <w:tcPr>
            <w:tcW w:w="1904" w:type="dxa"/>
            <w:hideMark/>
          </w:tcPr>
          <w:p w14:paraId="3C8A62CE" w14:textId="6B0C0231" w:rsidR="000F3D9D" w:rsidRPr="000F3D9D" w:rsidRDefault="000F3D9D" w:rsidP="000F3D9D">
            <w:r w:rsidRPr="000F3D9D">
              <w:t>Other NH</w:t>
            </w:r>
          </w:p>
        </w:tc>
        <w:tc>
          <w:tcPr>
            <w:tcW w:w="2505" w:type="dxa"/>
            <w:vAlign w:val="bottom"/>
            <w:hideMark/>
          </w:tcPr>
          <w:p w14:paraId="3C4C972D" w14:textId="750D4CC0"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142 </w:t>
            </w:r>
          </w:p>
        </w:tc>
        <w:tc>
          <w:tcPr>
            <w:tcW w:w="2505" w:type="dxa"/>
            <w:vAlign w:val="bottom"/>
            <w:hideMark/>
          </w:tcPr>
          <w:p w14:paraId="02E78781" w14:textId="11A86EFA"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1,528 </w:t>
            </w:r>
          </w:p>
        </w:tc>
        <w:tc>
          <w:tcPr>
            <w:tcW w:w="2646" w:type="dxa"/>
            <w:vAlign w:val="bottom"/>
            <w:hideMark/>
          </w:tcPr>
          <w:p w14:paraId="626274B7" w14:textId="1B278FF8" w:rsidR="000F3D9D" w:rsidRPr="000F3D9D" w:rsidRDefault="000F3D9D" w:rsidP="000F3D9D">
            <w:pPr>
              <w:jc w:val="center"/>
              <w:rPr>
                <w:rFonts w:cstheme="minorHAnsi"/>
              </w:rPr>
            </w:pPr>
            <w:r w:rsidRPr="000F3D9D">
              <w:rPr>
                <w:rFonts w:cstheme="minorHAnsi"/>
                <w:kern w:val="24"/>
              </w:rPr>
              <w:t>9%</w:t>
            </w:r>
          </w:p>
        </w:tc>
      </w:tr>
      <w:tr w:rsidR="000F3D9D" w:rsidRPr="00991A6F" w14:paraId="7AF8F770" w14:textId="77777777" w:rsidTr="388E5C6E">
        <w:trPr>
          <w:trHeight w:val="343"/>
        </w:trPr>
        <w:tc>
          <w:tcPr>
            <w:tcW w:w="1904" w:type="dxa"/>
            <w:hideMark/>
          </w:tcPr>
          <w:p w14:paraId="3BB4480A" w14:textId="77777777" w:rsidR="000F3D9D" w:rsidRPr="000F3D9D" w:rsidRDefault="000F3D9D" w:rsidP="000F3D9D">
            <w:r w:rsidRPr="000F3D9D">
              <w:t>Unreported</w:t>
            </w:r>
          </w:p>
        </w:tc>
        <w:tc>
          <w:tcPr>
            <w:tcW w:w="2505" w:type="dxa"/>
            <w:vAlign w:val="bottom"/>
            <w:hideMark/>
          </w:tcPr>
          <w:p w14:paraId="110451B3" w14:textId="6EEDA511"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57 </w:t>
            </w:r>
          </w:p>
        </w:tc>
        <w:tc>
          <w:tcPr>
            <w:tcW w:w="2505" w:type="dxa"/>
            <w:vAlign w:val="bottom"/>
            <w:hideMark/>
          </w:tcPr>
          <w:p w14:paraId="16450A10" w14:textId="15563FBE"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724 </w:t>
            </w:r>
          </w:p>
        </w:tc>
        <w:tc>
          <w:tcPr>
            <w:tcW w:w="2646" w:type="dxa"/>
            <w:vAlign w:val="bottom"/>
            <w:hideMark/>
          </w:tcPr>
          <w:p w14:paraId="6DEF8ED9" w14:textId="2D443B29" w:rsidR="000F3D9D" w:rsidRPr="000F3D9D" w:rsidRDefault="000F3D9D" w:rsidP="000F3D9D">
            <w:pPr>
              <w:jc w:val="center"/>
              <w:rPr>
                <w:rFonts w:cstheme="minorHAnsi"/>
              </w:rPr>
            </w:pPr>
            <w:r w:rsidRPr="000F3D9D">
              <w:rPr>
                <w:rFonts w:cstheme="minorHAnsi"/>
                <w:kern w:val="24"/>
              </w:rPr>
              <w:t>8%</w:t>
            </w:r>
          </w:p>
        </w:tc>
      </w:tr>
      <w:tr w:rsidR="000F3D9D" w:rsidRPr="00991A6F" w14:paraId="6F28FF3F" w14:textId="77777777" w:rsidTr="388E5C6E">
        <w:trPr>
          <w:trHeight w:val="300"/>
        </w:trPr>
        <w:tc>
          <w:tcPr>
            <w:tcW w:w="1904" w:type="dxa"/>
            <w:hideMark/>
          </w:tcPr>
          <w:p w14:paraId="3C398B9C" w14:textId="77777777" w:rsidR="000F3D9D" w:rsidRPr="000F3D9D" w:rsidRDefault="000F3D9D" w:rsidP="000F3D9D">
            <w:pPr>
              <w:rPr>
                <w:b/>
                <w:bCs/>
              </w:rPr>
            </w:pPr>
            <w:r w:rsidRPr="000F3D9D">
              <w:rPr>
                <w:b/>
                <w:bCs/>
              </w:rPr>
              <w:t>Age:</w:t>
            </w:r>
          </w:p>
        </w:tc>
        <w:tc>
          <w:tcPr>
            <w:tcW w:w="2505" w:type="dxa"/>
            <w:vAlign w:val="bottom"/>
            <w:hideMark/>
          </w:tcPr>
          <w:p w14:paraId="74F34821" w14:textId="51DB267C"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197 </w:t>
            </w:r>
          </w:p>
        </w:tc>
        <w:tc>
          <w:tcPr>
            <w:tcW w:w="2505" w:type="dxa"/>
            <w:vAlign w:val="bottom"/>
            <w:hideMark/>
          </w:tcPr>
          <w:p w14:paraId="5F46FABD" w14:textId="1A482515"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3,392 </w:t>
            </w:r>
          </w:p>
        </w:tc>
        <w:tc>
          <w:tcPr>
            <w:tcW w:w="2646" w:type="dxa"/>
            <w:vAlign w:val="bottom"/>
            <w:hideMark/>
          </w:tcPr>
          <w:p w14:paraId="078407B9" w14:textId="24292C9D" w:rsidR="000F3D9D" w:rsidRPr="000F3D9D" w:rsidRDefault="000F3D9D" w:rsidP="000F3D9D">
            <w:pPr>
              <w:jc w:val="center"/>
              <w:rPr>
                <w:rFonts w:cstheme="minorHAnsi"/>
              </w:rPr>
            </w:pPr>
            <w:r w:rsidRPr="000F3D9D">
              <w:rPr>
                <w:rFonts w:cstheme="minorHAnsi"/>
                <w:kern w:val="24"/>
              </w:rPr>
              <w:t>6%</w:t>
            </w:r>
          </w:p>
        </w:tc>
      </w:tr>
      <w:tr w:rsidR="000F3D9D" w:rsidRPr="00991A6F" w14:paraId="37C47BC5" w14:textId="77777777" w:rsidTr="388E5C6E">
        <w:trPr>
          <w:trHeight w:val="343"/>
        </w:trPr>
        <w:tc>
          <w:tcPr>
            <w:tcW w:w="1904" w:type="dxa"/>
            <w:hideMark/>
          </w:tcPr>
          <w:p w14:paraId="12D51930" w14:textId="77777777" w:rsidR="000F3D9D" w:rsidRPr="000F3D9D" w:rsidRDefault="000F3D9D" w:rsidP="000F3D9D">
            <w:pPr>
              <w:rPr>
                <w:rFonts w:cstheme="minorHAnsi"/>
              </w:rPr>
            </w:pPr>
            <w:r w:rsidRPr="000F3D9D">
              <w:rPr>
                <w:rFonts w:cstheme="minorHAnsi"/>
                <w:kern w:val="24"/>
              </w:rPr>
              <w:t>&lt;15 years</w:t>
            </w:r>
          </w:p>
        </w:tc>
        <w:tc>
          <w:tcPr>
            <w:tcW w:w="2505" w:type="dxa"/>
            <w:vAlign w:val="bottom"/>
            <w:hideMark/>
          </w:tcPr>
          <w:p w14:paraId="7CAB964D" w14:textId="38D9A959" w:rsidR="38A4F72D" w:rsidRDefault="38A4F72D"/>
        </w:tc>
        <w:tc>
          <w:tcPr>
            <w:tcW w:w="2505" w:type="dxa"/>
            <w:vAlign w:val="bottom"/>
            <w:hideMark/>
          </w:tcPr>
          <w:p w14:paraId="513CA929" w14:textId="29E8BD77" w:rsidR="38A4F72D" w:rsidRDefault="38A4F72D"/>
        </w:tc>
        <w:tc>
          <w:tcPr>
            <w:tcW w:w="2646" w:type="dxa"/>
            <w:vAlign w:val="bottom"/>
            <w:hideMark/>
          </w:tcPr>
          <w:p w14:paraId="5FC7C2FE" w14:textId="125C6B67" w:rsidR="000F3D9D" w:rsidRPr="000F3D9D" w:rsidRDefault="000F3D9D" w:rsidP="000F3D9D">
            <w:pPr>
              <w:jc w:val="center"/>
              <w:rPr>
                <w:rFonts w:cstheme="minorHAnsi"/>
              </w:rPr>
            </w:pPr>
          </w:p>
        </w:tc>
      </w:tr>
      <w:tr w:rsidR="000F3D9D" w:rsidRPr="00991A6F" w14:paraId="10130209" w14:textId="77777777" w:rsidTr="388E5C6E">
        <w:trPr>
          <w:trHeight w:val="343"/>
        </w:trPr>
        <w:tc>
          <w:tcPr>
            <w:tcW w:w="1904" w:type="dxa"/>
            <w:hideMark/>
          </w:tcPr>
          <w:p w14:paraId="07CD0F4F" w14:textId="77777777" w:rsidR="000F3D9D" w:rsidRPr="000F3D9D" w:rsidRDefault="000F3D9D" w:rsidP="000F3D9D">
            <w:pPr>
              <w:rPr>
                <w:rFonts w:cstheme="minorHAnsi"/>
              </w:rPr>
            </w:pPr>
            <w:r w:rsidRPr="000F3D9D">
              <w:rPr>
                <w:rFonts w:cstheme="minorHAnsi"/>
                <w:kern w:val="24"/>
              </w:rPr>
              <w:t>15–19 years</w:t>
            </w:r>
          </w:p>
        </w:tc>
        <w:tc>
          <w:tcPr>
            <w:tcW w:w="2505" w:type="dxa"/>
            <w:vAlign w:val="bottom"/>
            <w:hideMark/>
          </w:tcPr>
          <w:p w14:paraId="33C895BC" w14:textId="1156B20E"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0 </w:t>
            </w:r>
          </w:p>
        </w:tc>
        <w:tc>
          <w:tcPr>
            <w:tcW w:w="2505" w:type="dxa"/>
            <w:vAlign w:val="bottom"/>
            <w:hideMark/>
          </w:tcPr>
          <w:p w14:paraId="79787C1A" w14:textId="7F088F1B"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28 </w:t>
            </w:r>
          </w:p>
        </w:tc>
        <w:tc>
          <w:tcPr>
            <w:tcW w:w="2646" w:type="dxa"/>
            <w:vAlign w:val="bottom"/>
            <w:hideMark/>
          </w:tcPr>
          <w:p w14:paraId="7AC957F4" w14:textId="0C21C7C8" w:rsidR="000F3D9D" w:rsidRPr="000F3D9D" w:rsidRDefault="000F3D9D" w:rsidP="000F3D9D">
            <w:pPr>
              <w:jc w:val="center"/>
              <w:rPr>
                <w:rFonts w:cstheme="minorHAnsi"/>
              </w:rPr>
            </w:pPr>
            <w:r w:rsidRPr="000F3D9D">
              <w:rPr>
                <w:rFonts w:cstheme="minorHAnsi"/>
                <w:kern w:val="24"/>
              </w:rPr>
              <w:t>0%</w:t>
            </w:r>
          </w:p>
        </w:tc>
      </w:tr>
      <w:tr w:rsidR="000F3D9D" w:rsidRPr="00991A6F" w14:paraId="0091B32B" w14:textId="77777777" w:rsidTr="388E5C6E">
        <w:trPr>
          <w:trHeight w:val="343"/>
        </w:trPr>
        <w:tc>
          <w:tcPr>
            <w:tcW w:w="1904" w:type="dxa"/>
            <w:hideMark/>
          </w:tcPr>
          <w:p w14:paraId="4441CE2A" w14:textId="77777777" w:rsidR="000F3D9D" w:rsidRPr="000F3D9D" w:rsidRDefault="000F3D9D" w:rsidP="000F3D9D">
            <w:pPr>
              <w:rPr>
                <w:rFonts w:cstheme="minorHAnsi"/>
              </w:rPr>
            </w:pPr>
            <w:r w:rsidRPr="000F3D9D">
              <w:rPr>
                <w:rFonts w:cstheme="minorHAnsi"/>
                <w:kern w:val="24"/>
              </w:rPr>
              <w:t>20–24 years</w:t>
            </w:r>
          </w:p>
        </w:tc>
        <w:tc>
          <w:tcPr>
            <w:tcW w:w="2505" w:type="dxa"/>
            <w:vAlign w:val="bottom"/>
            <w:hideMark/>
          </w:tcPr>
          <w:p w14:paraId="22C99990" w14:textId="071E6762"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6 </w:t>
            </w:r>
          </w:p>
        </w:tc>
        <w:tc>
          <w:tcPr>
            <w:tcW w:w="2505" w:type="dxa"/>
            <w:vAlign w:val="bottom"/>
            <w:hideMark/>
          </w:tcPr>
          <w:p w14:paraId="1A6F1245" w14:textId="621F2768"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1,047 </w:t>
            </w:r>
          </w:p>
        </w:tc>
        <w:tc>
          <w:tcPr>
            <w:tcW w:w="2646" w:type="dxa"/>
            <w:vAlign w:val="bottom"/>
            <w:hideMark/>
          </w:tcPr>
          <w:p w14:paraId="19B423E6" w14:textId="24FBEBEA" w:rsidR="000F3D9D" w:rsidRPr="000F3D9D" w:rsidRDefault="000F3D9D" w:rsidP="000F3D9D">
            <w:pPr>
              <w:jc w:val="center"/>
              <w:rPr>
                <w:rFonts w:cstheme="minorHAnsi"/>
              </w:rPr>
            </w:pPr>
            <w:r w:rsidRPr="000F3D9D">
              <w:rPr>
                <w:rFonts w:cstheme="minorHAnsi"/>
                <w:kern w:val="24"/>
              </w:rPr>
              <w:t>1%</w:t>
            </w:r>
          </w:p>
        </w:tc>
      </w:tr>
      <w:tr w:rsidR="000F3D9D" w:rsidRPr="00991A6F" w14:paraId="650E8E2A" w14:textId="77777777" w:rsidTr="388E5C6E">
        <w:trPr>
          <w:trHeight w:val="343"/>
        </w:trPr>
        <w:tc>
          <w:tcPr>
            <w:tcW w:w="1904" w:type="dxa"/>
            <w:hideMark/>
          </w:tcPr>
          <w:p w14:paraId="70931790" w14:textId="77777777" w:rsidR="000F3D9D" w:rsidRPr="000F3D9D" w:rsidRDefault="000F3D9D" w:rsidP="000F3D9D">
            <w:pPr>
              <w:rPr>
                <w:rFonts w:cstheme="minorHAnsi"/>
              </w:rPr>
            </w:pPr>
            <w:r w:rsidRPr="000F3D9D">
              <w:rPr>
                <w:rFonts w:cstheme="minorHAnsi"/>
                <w:kern w:val="24"/>
              </w:rPr>
              <w:t>25–29 years</w:t>
            </w:r>
          </w:p>
        </w:tc>
        <w:tc>
          <w:tcPr>
            <w:tcW w:w="2505" w:type="dxa"/>
            <w:vAlign w:val="bottom"/>
            <w:hideMark/>
          </w:tcPr>
          <w:p w14:paraId="6ADC7037" w14:textId="7F25CD79"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58 </w:t>
            </w:r>
          </w:p>
        </w:tc>
        <w:tc>
          <w:tcPr>
            <w:tcW w:w="2505" w:type="dxa"/>
            <w:vAlign w:val="bottom"/>
            <w:hideMark/>
          </w:tcPr>
          <w:p w14:paraId="73CB23E0" w14:textId="30F0A577"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2,153 </w:t>
            </w:r>
          </w:p>
        </w:tc>
        <w:tc>
          <w:tcPr>
            <w:tcW w:w="2646" w:type="dxa"/>
            <w:vAlign w:val="bottom"/>
            <w:hideMark/>
          </w:tcPr>
          <w:p w14:paraId="2F5107A3" w14:textId="57833950" w:rsidR="000F3D9D" w:rsidRPr="000F3D9D" w:rsidRDefault="000F3D9D" w:rsidP="000F3D9D">
            <w:pPr>
              <w:jc w:val="center"/>
              <w:rPr>
                <w:rFonts w:cstheme="minorHAnsi"/>
              </w:rPr>
            </w:pPr>
            <w:r w:rsidRPr="000F3D9D">
              <w:rPr>
                <w:rFonts w:cstheme="minorHAnsi"/>
                <w:kern w:val="24"/>
              </w:rPr>
              <w:t>3%</w:t>
            </w:r>
          </w:p>
        </w:tc>
      </w:tr>
      <w:tr w:rsidR="000F3D9D" w:rsidRPr="00991A6F" w14:paraId="4BAE0F07" w14:textId="77777777" w:rsidTr="388E5C6E">
        <w:trPr>
          <w:trHeight w:val="343"/>
        </w:trPr>
        <w:tc>
          <w:tcPr>
            <w:tcW w:w="1904" w:type="dxa"/>
            <w:hideMark/>
          </w:tcPr>
          <w:p w14:paraId="7A70C702" w14:textId="77777777" w:rsidR="000F3D9D" w:rsidRPr="000F3D9D" w:rsidRDefault="000F3D9D" w:rsidP="000F3D9D">
            <w:pPr>
              <w:rPr>
                <w:rFonts w:cstheme="minorHAnsi"/>
              </w:rPr>
            </w:pPr>
            <w:r w:rsidRPr="000F3D9D">
              <w:rPr>
                <w:rFonts w:cstheme="minorHAnsi"/>
                <w:kern w:val="24"/>
              </w:rPr>
              <w:t>30–39 years</w:t>
            </w:r>
          </w:p>
        </w:tc>
        <w:tc>
          <w:tcPr>
            <w:tcW w:w="2505" w:type="dxa"/>
            <w:vAlign w:val="bottom"/>
            <w:hideMark/>
          </w:tcPr>
          <w:p w14:paraId="151700E5" w14:textId="6124AAA2"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104 </w:t>
            </w:r>
          </w:p>
        </w:tc>
        <w:tc>
          <w:tcPr>
            <w:tcW w:w="2505" w:type="dxa"/>
            <w:vAlign w:val="bottom"/>
            <w:hideMark/>
          </w:tcPr>
          <w:p w14:paraId="69939A96" w14:textId="71819E18"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1,878 </w:t>
            </w:r>
          </w:p>
        </w:tc>
        <w:tc>
          <w:tcPr>
            <w:tcW w:w="2646" w:type="dxa"/>
            <w:vAlign w:val="bottom"/>
            <w:hideMark/>
          </w:tcPr>
          <w:p w14:paraId="27DE601F" w14:textId="1BF56F60" w:rsidR="000F3D9D" w:rsidRPr="000F3D9D" w:rsidRDefault="000F3D9D" w:rsidP="000F3D9D">
            <w:pPr>
              <w:jc w:val="center"/>
              <w:rPr>
                <w:rFonts w:cstheme="minorHAnsi"/>
              </w:rPr>
            </w:pPr>
            <w:r w:rsidRPr="000F3D9D">
              <w:rPr>
                <w:rFonts w:cstheme="minorHAnsi"/>
                <w:kern w:val="24"/>
              </w:rPr>
              <w:t>6%</w:t>
            </w:r>
          </w:p>
        </w:tc>
      </w:tr>
      <w:tr w:rsidR="000F3D9D" w:rsidRPr="00991A6F" w14:paraId="579FF2C6" w14:textId="77777777" w:rsidTr="388E5C6E">
        <w:trPr>
          <w:trHeight w:val="343"/>
        </w:trPr>
        <w:tc>
          <w:tcPr>
            <w:tcW w:w="1904" w:type="dxa"/>
            <w:hideMark/>
          </w:tcPr>
          <w:p w14:paraId="6F835BA1" w14:textId="77777777" w:rsidR="000F3D9D" w:rsidRPr="000F3D9D" w:rsidRDefault="000F3D9D" w:rsidP="000F3D9D">
            <w:pPr>
              <w:rPr>
                <w:rFonts w:cstheme="minorHAnsi"/>
              </w:rPr>
            </w:pPr>
            <w:r w:rsidRPr="000F3D9D">
              <w:rPr>
                <w:rFonts w:cstheme="minorHAnsi"/>
                <w:kern w:val="24"/>
              </w:rPr>
              <w:t>40–49 years</w:t>
            </w:r>
          </w:p>
        </w:tc>
        <w:tc>
          <w:tcPr>
            <w:tcW w:w="2505" w:type="dxa"/>
            <w:vAlign w:val="bottom"/>
            <w:hideMark/>
          </w:tcPr>
          <w:p w14:paraId="7CC31894" w14:textId="1168C1F2"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255 </w:t>
            </w:r>
          </w:p>
        </w:tc>
        <w:tc>
          <w:tcPr>
            <w:tcW w:w="2505" w:type="dxa"/>
            <w:vAlign w:val="bottom"/>
            <w:hideMark/>
          </w:tcPr>
          <w:p w14:paraId="18F3B746" w14:textId="78A525D5" w:rsidR="38A4F72D" w:rsidRDefault="38A4F72D" w:rsidP="00F345D5">
            <w:pPr>
              <w:jc w:val="center"/>
              <w:rPr>
                <w:rFonts w:ascii="Calibri" w:eastAsia="Calibri" w:hAnsi="Calibri" w:cs="Calibri"/>
                <w:szCs w:val="24"/>
              </w:rPr>
            </w:pPr>
            <w:r w:rsidRPr="38A4F72D">
              <w:rPr>
                <w:rFonts w:ascii="Calibri" w:eastAsia="Calibri" w:hAnsi="Calibri" w:cs="Calibri"/>
                <w:szCs w:val="24"/>
              </w:rPr>
              <w:t xml:space="preserve">2,461 </w:t>
            </w:r>
          </w:p>
        </w:tc>
        <w:tc>
          <w:tcPr>
            <w:tcW w:w="2646" w:type="dxa"/>
            <w:vAlign w:val="bottom"/>
            <w:hideMark/>
          </w:tcPr>
          <w:p w14:paraId="674ADA7C" w14:textId="58B710DF" w:rsidR="000F3D9D" w:rsidRPr="000F3D9D" w:rsidRDefault="000F3D9D" w:rsidP="000F3D9D">
            <w:pPr>
              <w:jc w:val="center"/>
              <w:rPr>
                <w:rFonts w:cstheme="minorHAnsi"/>
              </w:rPr>
            </w:pPr>
            <w:r w:rsidRPr="000F3D9D">
              <w:rPr>
                <w:rFonts w:cstheme="minorHAnsi"/>
                <w:kern w:val="24"/>
              </w:rPr>
              <w:t>10%</w:t>
            </w:r>
          </w:p>
        </w:tc>
      </w:tr>
      <w:tr w:rsidR="000F3D9D" w:rsidRPr="000F3D9D" w14:paraId="04CB1FCB" w14:textId="77777777" w:rsidTr="388E5C6E">
        <w:trPr>
          <w:trHeight w:val="343"/>
        </w:trPr>
        <w:tc>
          <w:tcPr>
            <w:tcW w:w="1904" w:type="dxa"/>
          </w:tcPr>
          <w:p w14:paraId="2E3183ED" w14:textId="77777777" w:rsidR="000F3D9D" w:rsidRPr="000F3D9D" w:rsidRDefault="000F3D9D" w:rsidP="000F3D9D">
            <w:pPr>
              <w:rPr>
                <w:rFonts w:cstheme="minorHAnsi"/>
              </w:rPr>
            </w:pPr>
            <w:r w:rsidRPr="000F3D9D">
              <w:rPr>
                <w:rFonts w:cstheme="minorHAnsi"/>
                <w:kern w:val="24"/>
              </w:rPr>
              <w:t>50+ years</w:t>
            </w:r>
          </w:p>
        </w:tc>
        <w:tc>
          <w:tcPr>
            <w:tcW w:w="2505" w:type="dxa"/>
            <w:vAlign w:val="bottom"/>
          </w:tcPr>
          <w:p w14:paraId="4075F0C9" w14:textId="36269FF6" w:rsidR="38A4F72D" w:rsidRDefault="38A4F72D" w:rsidP="00F345D5">
            <w:pPr>
              <w:jc w:val="center"/>
              <w:rPr>
                <w:rFonts w:ascii="Calibri" w:eastAsia="Calibri" w:hAnsi="Calibri" w:cs="Calibri"/>
                <w:szCs w:val="24"/>
              </w:rPr>
            </w:pPr>
            <w:r w:rsidRPr="38A4F72D">
              <w:rPr>
                <w:rFonts w:ascii="Calibri" w:eastAsia="Calibri" w:hAnsi="Calibri" w:cs="Calibri"/>
                <w:szCs w:val="24"/>
              </w:rPr>
              <w:t>137</w:t>
            </w:r>
          </w:p>
        </w:tc>
        <w:tc>
          <w:tcPr>
            <w:tcW w:w="2505" w:type="dxa"/>
            <w:vAlign w:val="bottom"/>
          </w:tcPr>
          <w:p w14:paraId="5EF8D954" w14:textId="538A128C" w:rsidR="38A4F72D" w:rsidRDefault="38A4F72D" w:rsidP="00F345D5">
            <w:pPr>
              <w:jc w:val="center"/>
              <w:rPr>
                <w:rFonts w:ascii="Calibri" w:eastAsia="Calibri" w:hAnsi="Calibri" w:cs="Calibri"/>
                <w:szCs w:val="24"/>
              </w:rPr>
            </w:pPr>
            <w:r w:rsidRPr="38A4F72D">
              <w:rPr>
                <w:rFonts w:ascii="Calibri" w:eastAsia="Calibri" w:hAnsi="Calibri" w:cs="Calibri"/>
                <w:szCs w:val="24"/>
              </w:rPr>
              <w:t>866</w:t>
            </w:r>
          </w:p>
        </w:tc>
        <w:tc>
          <w:tcPr>
            <w:tcW w:w="2646" w:type="dxa"/>
            <w:vAlign w:val="bottom"/>
          </w:tcPr>
          <w:p w14:paraId="2F0598FE" w14:textId="7329D9C1" w:rsidR="000F3D9D" w:rsidRPr="000F3D9D" w:rsidRDefault="000F3D9D" w:rsidP="000F3D9D">
            <w:pPr>
              <w:jc w:val="center"/>
              <w:rPr>
                <w:rFonts w:cstheme="minorHAnsi"/>
              </w:rPr>
            </w:pPr>
            <w:r w:rsidRPr="000F3D9D">
              <w:rPr>
                <w:rFonts w:cstheme="minorHAnsi"/>
                <w:kern w:val="24"/>
              </w:rPr>
              <w:t>16%</w:t>
            </w:r>
          </w:p>
        </w:tc>
      </w:tr>
    </w:tbl>
    <w:p w14:paraId="0162A242" w14:textId="4AA7F82E" w:rsidR="00E37594" w:rsidRPr="000F3D9D" w:rsidRDefault="00E37594" w:rsidP="00E37594">
      <w:pPr>
        <w:spacing w:after="120"/>
        <w:rPr>
          <w:sz w:val="20"/>
          <w:szCs w:val="20"/>
        </w:rPr>
      </w:pPr>
      <w:r w:rsidRPr="000F3D9D">
        <w:rPr>
          <w:sz w:val="20"/>
          <w:szCs w:val="20"/>
        </w:rPr>
        <w:t>Data Source: Bureau of Infectious Disease and Laboratory Sciences, data are current as of 7/</w:t>
      </w:r>
      <w:r w:rsidR="000F3D9D" w:rsidRPr="000F3D9D">
        <w:rPr>
          <w:sz w:val="20"/>
          <w:szCs w:val="20"/>
        </w:rPr>
        <w:t>21</w:t>
      </w:r>
      <w:r w:rsidRPr="000F3D9D">
        <w:rPr>
          <w:sz w:val="20"/>
          <w:szCs w:val="20"/>
        </w:rPr>
        <w:t>/202</w:t>
      </w:r>
      <w:r w:rsidR="000F3D9D" w:rsidRPr="000F3D9D">
        <w:rPr>
          <w:sz w:val="20"/>
          <w:szCs w:val="20"/>
        </w:rPr>
        <w:t>3</w:t>
      </w:r>
      <w:r w:rsidRPr="000F3D9D">
        <w:rPr>
          <w:sz w:val="20"/>
          <w:szCs w:val="20"/>
        </w:rPr>
        <w:t xml:space="preserve"> and subject to change</w:t>
      </w:r>
      <w:r w:rsidR="00B1580A">
        <w:rPr>
          <w:sz w:val="20"/>
          <w:szCs w:val="20"/>
        </w:rPr>
        <w:t>.</w:t>
      </w:r>
    </w:p>
    <w:p w14:paraId="6A12BC91" w14:textId="702DB41F" w:rsidR="000F3D9D" w:rsidRPr="000F3D9D" w:rsidRDefault="5B15FBBD" w:rsidP="000F3D9D">
      <w:pPr>
        <w:pStyle w:val="spaced6"/>
      </w:pPr>
      <w:r w:rsidRPr="000F3D9D">
        <w:t>In 202</w:t>
      </w:r>
      <w:r w:rsidR="000F3D9D" w:rsidRPr="000F3D9D">
        <w:t>2</w:t>
      </w:r>
      <w:r w:rsidRPr="000F3D9D">
        <w:t>,</w:t>
      </w:r>
      <w:r w:rsidR="00E37594" w:rsidRPr="000F3D9D">
        <w:rPr>
          <w:rStyle w:val="FootnoteReference"/>
        </w:rPr>
        <w:footnoteReference w:id="85"/>
      </w:r>
      <w:r w:rsidR="000F3D9D" w:rsidRPr="388E5C6E">
        <w:rPr>
          <w:rFonts w:ascii="Arial" w:eastAsiaTheme="minorEastAsia" w:hAnsi="Arial" w:cs="Arial"/>
          <w:kern w:val="24"/>
        </w:rPr>
        <w:t xml:space="preserve"> </w:t>
      </w:r>
      <w:r w:rsidR="000F3D9D" w:rsidRPr="000F3D9D">
        <w:t>among 9,129 reported cases of gonorrhea, 8% (N=701/9,129) were ever co-infected with HIV.</w:t>
      </w:r>
    </w:p>
    <w:p w14:paraId="6BD8F6FE" w14:textId="3137E74A" w:rsidR="000F3D9D" w:rsidRPr="000F3D9D" w:rsidRDefault="000F3D9D" w:rsidP="000F3D9D">
      <w:pPr>
        <w:pStyle w:val="spaced6"/>
      </w:pPr>
      <w:r>
        <w:t xml:space="preserve">Among laboratory-confirmed gonorrhea cases reported in 2022, higher than average </w:t>
      </w:r>
      <w:r w:rsidR="568AC65E">
        <w:t>proportion</w:t>
      </w:r>
      <w:r>
        <w:t>s of HIV co-infection were observed in individuals of transgender experience, males, white (non-Hispanic individuals, and individuals aged 40 years or older. However, caution should be used in the interpretation of co-infection rates by race/ethnicity as a large percentage of cases had unreported race/ethnicity (37%).</w:t>
      </w:r>
    </w:p>
    <w:p w14:paraId="11A93DF6" w14:textId="7D8852D3" w:rsidR="00E9327B" w:rsidRPr="00991A6F" w:rsidRDefault="00E9327B" w:rsidP="000F3D9D">
      <w:pPr>
        <w:pStyle w:val="spaced6"/>
        <w:rPr>
          <w:color w:val="FF0000"/>
        </w:rPr>
      </w:pPr>
      <w:r w:rsidRPr="00991A6F">
        <w:rPr>
          <w:color w:val="FF0000"/>
        </w:rPr>
        <w:br w:type="page"/>
      </w:r>
    </w:p>
    <w:p w14:paraId="6F6AF902" w14:textId="00B8223B" w:rsidR="00854B5E" w:rsidRPr="00677D3A" w:rsidRDefault="00E9327B" w:rsidP="38A4F72D">
      <w:pPr>
        <w:pStyle w:val="Heading2"/>
      </w:pPr>
      <w:bookmarkStart w:id="41" w:name="_Toc154057144"/>
      <w:r>
        <w:lastRenderedPageBreak/>
        <w:t>HIV/HEPATITIS C</w:t>
      </w:r>
      <w:bookmarkEnd w:id="41"/>
    </w:p>
    <w:p w14:paraId="0DCC63E7" w14:textId="119FB3EE" w:rsidR="00E9327B" w:rsidRDefault="47A607C9" w:rsidP="00E9327B">
      <w:r w:rsidRPr="1879A7CB">
        <w:rPr>
          <w:b/>
          <w:bCs/>
        </w:rPr>
        <w:t xml:space="preserve">Figure 25. </w:t>
      </w:r>
      <w:r>
        <w:t>Number of individuals diagnosed with HIV infection only, and ever co-infected with hepatitis C (HCV) by year of HIV infection diagnosis, Massachusetts 201</w:t>
      </w:r>
      <w:r w:rsidR="037C099A">
        <w:t>3</w:t>
      </w:r>
      <w:r>
        <w:t>–202</w:t>
      </w:r>
      <w:r w:rsidR="037C099A">
        <w:t>2</w:t>
      </w:r>
      <w:r>
        <w:t xml:space="preserve"> </w:t>
      </w:r>
    </w:p>
    <w:p w14:paraId="20A03F1D" w14:textId="77777777" w:rsidR="001067E9" w:rsidRPr="00206AB4" w:rsidRDefault="001067E9" w:rsidP="00E9327B"/>
    <w:p w14:paraId="2749D7E7" w14:textId="033690B8" w:rsidR="00E9327B" w:rsidRPr="00960602" w:rsidRDefault="00311A1C" w:rsidP="00E9327B">
      <w:pPr>
        <w:rPr>
          <w:szCs w:val="24"/>
        </w:rPr>
      </w:pPr>
      <w:r>
        <w:rPr>
          <w:noProof/>
          <w:szCs w:val="24"/>
        </w:rPr>
        <w:drawing>
          <wp:inline distT="0" distB="0" distL="0" distR="0" wp14:anchorId="37DDDD57" wp14:editId="3D16556E">
            <wp:extent cx="6389370" cy="4176395"/>
            <wp:effectExtent l="0" t="0" r="0" b="0"/>
            <wp:docPr id="1844209818" name="Picture 1" descr="The figure is a stacked bar chart displaying the number of individuals diagnosed with HIV infection only and the number of individuals co-diagnosed with HIV infection and hepatitis C each year from 2013 to 2022. An overlayed trendline displays the percentage of HIV infection diagnoses that were co-infected with hepatitis C by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09818" name="Picture 1" descr="The figure is a stacked bar chart displaying the number of individuals diagnosed with HIV infection only and the number of individuals co-diagnosed with HIV infection and hepatitis C each year from 2013 to 2022. An overlayed trendline displays the percentage of HIV infection diagnoses that were co-infected with hepatitis C by year.&#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9370" cy="4176395"/>
                    </a:xfrm>
                    <a:prstGeom prst="rect">
                      <a:avLst/>
                    </a:prstGeom>
                    <a:noFill/>
                  </pic:spPr>
                </pic:pic>
              </a:graphicData>
            </a:graphic>
          </wp:inline>
        </w:drawing>
      </w:r>
    </w:p>
    <w:p w14:paraId="09C3F9DC" w14:textId="77025FE8" w:rsidR="00E9327B" w:rsidRPr="00960602" w:rsidRDefault="00E9327B" w:rsidP="00E9327B">
      <w:pPr>
        <w:spacing w:after="120"/>
        <w:rPr>
          <w:sz w:val="20"/>
          <w:szCs w:val="20"/>
        </w:rPr>
      </w:pPr>
      <w:r w:rsidRPr="00960602">
        <w:rPr>
          <w:sz w:val="20"/>
          <w:szCs w:val="20"/>
        </w:rPr>
        <w:t xml:space="preserve">Data Source: Bureau of Infectious Disease and Laboratory Sciences, data are current as of </w:t>
      </w:r>
      <w:r w:rsidR="00F35018" w:rsidRPr="00960602">
        <w:rPr>
          <w:sz w:val="20"/>
          <w:szCs w:val="20"/>
        </w:rPr>
        <w:t>8</w:t>
      </w:r>
      <w:r w:rsidR="001F75D4" w:rsidRPr="00960602">
        <w:rPr>
          <w:sz w:val="20"/>
          <w:szCs w:val="20"/>
        </w:rPr>
        <w:t>/</w:t>
      </w:r>
      <w:r w:rsidR="00F35018" w:rsidRPr="00960602">
        <w:rPr>
          <w:sz w:val="20"/>
          <w:szCs w:val="20"/>
        </w:rPr>
        <w:t>2</w:t>
      </w:r>
      <w:r w:rsidR="001F75D4" w:rsidRPr="00960602">
        <w:rPr>
          <w:sz w:val="20"/>
          <w:szCs w:val="20"/>
        </w:rPr>
        <w:t>/2023</w:t>
      </w:r>
      <w:r w:rsidRPr="00960602">
        <w:rPr>
          <w:sz w:val="20"/>
          <w:szCs w:val="20"/>
        </w:rPr>
        <w:t xml:space="preserve"> and subject to </w:t>
      </w:r>
      <w:r w:rsidR="001067E9" w:rsidRPr="00960602">
        <w:rPr>
          <w:sz w:val="20"/>
          <w:szCs w:val="20"/>
        </w:rPr>
        <w:t>change.</w:t>
      </w:r>
    </w:p>
    <w:p w14:paraId="744009E4" w14:textId="00A9D3CD" w:rsidR="00960602" w:rsidRPr="00960602" w:rsidRDefault="240FEE49" w:rsidP="00DE5ADD">
      <w:pPr>
        <w:numPr>
          <w:ilvl w:val="0"/>
          <w:numId w:val="10"/>
        </w:numPr>
      </w:pPr>
      <w:r w:rsidRPr="00960602">
        <w:t>The percentage of individuals diagnosed with HIV infection who were co-infected with hepatitis C increased from 8% (N=69/904) in 2014 to 15% (N=122/835) in 2017, decreased to 12% in 2019 (N=82/681), increased again to a ten-year high of 19% (N=99/534) in 2020 and then decreased to 10%</w:t>
      </w:r>
      <w:r w:rsidR="7507D238">
        <w:t xml:space="preserve"> (N=</w:t>
      </w:r>
      <w:r w:rsidR="62B17111">
        <w:t>54/527)</w:t>
      </w:r>
      <w:r w:rsidRPr="00960602">
        <w:t xml:space="preserve"> in 2022</w:t>
      </w:r>
      <w:r w:rsidR="7524C3D7" w:rsidRPr="00960602">
        <w:t>.</w:t>
      </w:r>
      <w:r w:rsidR="00F715F6" w:rsidRPr="00960602">
        <w:rPr>
          <w:rStyle w:val="FootnoteReference"/>
        </w:rPr>
        <w:footnoteReference w:id="86"/>
      </w:r>
      <w:r w:rsidR="7524C3D7" w:rsidRPr="00960602">
        <w:rPr>
          <w:vertAlign w:val="superscript"/>
        </w:rPr>
        <w:t>,</w:t>
      </w:r>
      <w:r w:rsidR="00F715F6" w:rsidRPr="00960602">
        <w:rPr>
          <w:rStyle w:val="FootnoteReference"/>
        </w:rPr>
        <w:footnoteReference w:id="87"/>
      </w:r>
      <w:r w:rsidR="7524C3D7" w:rsidRPr="00960602">
        <w:rPr>
          <w:vertAlign w:val="superscript"/>
        </w:rPr>
        <w:t xml:space="preserve"> </w:t>
      </w:r>
      <w:r w:rsidRPr="00960602">
        <w:t xml:space="preserve">This trend mirrors that among HIV infection diagnoses with a primary exposure mode of injection drug use and is likely related to two outbreaks of HIV infection among persons who inject drugs. The first outbreak occurred from 2016 to 2018 in the northeastern part of the state and the second was identified in 2019 in the Boston area and is </w:t>
      </w:r>
      <w:r w:rsidRPr="00F35018">
        <w:t xml:space="preserve">still ongoing (see </w:t>
      </w:r>
      <w:hyperlink w:anchor="_SPECIFIC_POPULATIONS_–" w:history="1">
        <w:r w:rsidRPr="00F35018">
          <w:rPr>
            <w:rStyle w:val="Hyperlink"/>
            <w:color w:val="3333FF"/>
          </w:rPr>
          <w:t>Specific Populations – Persons Who Inject Drugs</w:t>
        </w:r>
      </w:hyperlink>
      <w:r w:rsidRPr="00F35018">
        <w:t xml:space="preserve"> for more information).</w:t>
      </w:r>
    </w:p>
    <w:p w14:paraId="03F6CB6E" w14:textId="6E5E04D8" w:rsidR="00F715F6" w:rsidRPr="00960602" w:rsidRDefault="00F715F6" w:rsidP="00F345D5"/>
    <w:p w14:paraId="3EEEA818" w14:textId="5BEBF3A2" w:rsidR="034544F5" w:rsidRDefault="034544F5" w:rsidP="034544F5"/>
    <w:p w14:paraId="740B57B4" w14:textId="4ED41D9D" w:rsidR="034544F5" w:rsidRDefault="034544F5" w:rsidP="034544F5"/>
    <w:p w14:paraId="2B4DBE13" w14:textId="2D796A52" w:rsidR="034544F5" w:rsidRDefault="034544F5" w:rsidP="034544F5"/>
    <w:p w14:paraId="17B3E5BE" w14:textId="043B5D00" w:rsidR="034544F5" w:rsidRDefault="034544F5" w:rsidP="034544F5"/>
    <w:p w14:paraId="315B820A" w14:textId="1E5CEE75" w:rsidR="034544F5" w:rsidRDefault="034544F5" w:rsidP="034544F5"/>
    <w:p w14:paraId="541FFA89" w14:textId="52FF09F8" w:rsidR="034544F5" w:rsidRDefault="034544F5" w:rsidP="034544F5"/>
    <w:p w14:paraId="2DF16CDF" w14:textId="43BD589A" w:rsidR="00E9327B" w:rsidRPr="00677D3A" w:rsidRDefault="00F715F6" w:rsidP="00F715F6">
      <w:pPr>
        <w:pStyle w:val="Heading2"/>
      </w:pPr>
      <w:bookmarkStart w:id="42" w:name="_Toc154057145"/>
      <w:r>
        <w:t>HIV/HEPATITIS C CO-INFECTIONS BY DEMOGRAPHICS</w:t>
      </w:r>
      <w:bookmarkEnd w:id="42"/>
    </w:p>
    <w:p w14:paraId="0D7BC5B4" w14:textId="642DC0CD" w:rsidR="00E9327B" w:rsidRPr="004D28A6" w:rsidRDefault="00A95DB2" w:rsidP="00E9327B">
      <w:pPr>
        <w:rPr>
          <w:szCs w:val="24"/>
        </w:rPr>
      </w:pPr>
      <w:r w:rsidRPr="004D28A6">
        <w:rPr>
          <w:b/>
          <w:bCs/>
          <w:szCs w:val="24"/>
        </w:rPr>
        <w:t xml:space="preserve">Table 3. </w:t>
      </w:r>
      <w:r w:rsidRPr="004D28A6">
        <w:rPr>
          <w:szCs w:val="24"/>
        </w:rPr>
        <w:t>Individuals diagnosed with HIV infection ever co-infected with hepatitis C virus (HCV) by year of HIV infection diagnosis and selected demographics, 201</w:t>
      </w:r>
      <w:r w:rsidR="004D28A6" w:rsidRPr="004D28A6">
        <w:rPr>
          <w:szCs w:val="24"/>
        </w:rPr>
        <w:t>8</w:t>
      </w:r>
      <w:r w:rsidRPr="004D28A6">
        <w:rPr>
          <w:szCs w:val="24"/>
        </w:rPr>
        <w:t>–202</w:t>
      </w:r>
      <w:r w:rsidR="004D28A6" w:rsidRPr="004D28A6">
        <w:rPr>
          <w:szCs w:val="24"/>
        </w:rPr>
        <w:t>2</w:t>
      </w:r>
    </w:p>
    <w:tbl>
      <w:tblPr>
        <w:tblStyle w:val="TableGrid"/>
        <w:tblW w:w="9360" w:type="dxa"/>
        <w:tblLook w:val="0420" w:firstRow="1" w:lastRow="0" w:firstColumn="0" w:lastColumn="0" w:noHBand="0" w:noVBand="1"/>
        <w:tblCaption w:val="Table 3. Individuals diagnosed with HIV infection ever co-infected with hepatitis C virus (HCV) by year of HIV infection diagnosis and selected demographics, 2018–2022"/>
        <w:tblDescription w:val="The table displays the number and percentage distribution of individuals co-infected with HIV/HCV by sex assigned at birth, race/ethnicity, age, and HIV exposure mode each year for five years: 2018 (N=109), 2019 (N=82), 2020 (N=99), 2021 (N=89), and 2022 (N=54).&#10;"/>
      </w:tblPr>
      <w:tblGrid>
        <w:gridCol w:w="2322"/>
        <w:gridCol w:w="703"/>
        <w:gridCol w:w="704"/>
        <w:gridCol w:w="704"/>
        <w:gridCol w:w="704"/>
        <w:gridCol w:w="704"/>
        <w:gridCol w:w="703"/>
        <w:gridCol w:w="704"/>
        <w:gridCol w:w="704"/>
        <w:gridCol w:w="704"/>
        <w:gridCol w:w="704"/>
      </w:tblGrid>
      <w:tr w:rsidR="001067E9" w:rsidRPr="004D28A6" w14:paraId="25519864" w14:textId="77777777" w:rsidTr="003014B5">
        <w:trPr>
          <w:trHeight w:val="144"/>
        </w:trPr>
        <w:tc>
          <w:tcPr>
            <w:tcW w:w="2322" w:type="dxa"/>
            <w:hideMark/>
          </w:tcPr>
          <w:p w14:paraId="70EDCB9E" w14:textId="77777777" w:rsidR="00A95DB2" w:rsidRPr="004D28A6" w:rsidRDefault="00A95DB2" w:rsidP="0016095F">
            <w:pPr>
              <w:rPr>
                <w:szCs w:val="24"/>
              </w:rPr>
            </w:pPr>
          </w:p>
        </w:tc>
        <w:tc>
          <w:tcPr>
            <w:tcW w:w="703" w:type="dxa"/>
            <w:shd w:val="clear" w:color="auto" w:fill="DEEAF6" w:themeFill="accent5" w:themeFillTint="33"/>
            <w:hideMark/>
          </w:tcPr>
          <w:p w14:paraId="6DA953B9" w14:textId="21BD27CB" w:rsidR="00A95DB2" w:rsidRPr="004D28A6" w:rsidRDefault="7B5D4F14" w:rsidP="034544F5">
            <w:pPr>
              <w:jc w:val="right"/>
              <w:rPr>
                <w:b/>
                <w:bCs/>
              </w:rPr>
            </w:pPr>
            <w:r w:rsidRPr="1879A7CB">
              <w:rPr>
                <w:b/>
                <w:bCs/>
              </w:rPr>
              <w:t>201</w:t>
            </w:r>
            <w:r w:rsidR="537D6A20" w:rsidRPr="1879A7CB">
              <w:rPr>
                <w:b/>
                <w:bCs/>
              </w:rPr>
              <w:t>8</w:t>
            </w:r>
            <w:r w:rsidRPr="1879A7CB">
              <w:rPr>
                <w:b/>
                <w:bCs/>
              </w:rPr>
              <w:t xml:space="preserve"> </w:t>
            </w:r>
          </w:p>
          <w:p w14:paraId="13FDCCA2" w14:textId="77777777" w:rsidR="00A95DB2" w:rsidRPr="004D28A6" w:rsidRDefault="00A95DB2" w:rsidP="0016095F">
            <w:pPr>
              <w:jc w:val="right"/>
              <w:rPr>
                <w:szCs w:val="24"/>
              </w:rPr>
            </w:pPr>
            <w:r w:rsidRPr="004D28A6">
              <w:rPr>
                <w:b/>
                <w:bCs/>
                <w:szCs w:val="24"/>
              </w:rPr>
              <w:t>N</w:t>
            </w:r>
          </w:p>
        </w:tc>
        <w:tc>
          <w:tcPr>
            <w:tcW w:w="704" w:type="dxa"/>
            <w:shd w:val="clear" w:color="auto" w:fill="DEEAF6" w:themeFill="accent5" w:themeFillTint="33"/>
            <w:hideMark/>
          </w:tcPr>
          <w:p w14:paraId="0AA01009" w14:textId="21EC61BA" w:rsidR="00A95DB2" w:rsidRPr="004D28A6" w:rsidRDefault="00A95DB2" w:rsidP="0016095F">
            <w:pPr>
              <w:jc w:val="right"/>
              <w:rPr>
                <w:szCs w:val="24"/>
              </w:rPr>
            </w:pPr>
            <w:r w:rsidRPr="004D28A6">
              <w:rPr>
                <w:b/>
                <w:bCs/>
                <w:szCs w:val="24"/>
              </w:rPr>
              <w:t>201</w:t>
            </w:r>
            <w:r w:rsidR="004D28A6" w:rsidRPr="004D28A6">
              <w:rPr>
                <w:b/>
                <w:bCs/>
                <w:szCs w:val="24"/>
              </w:rPr>
              <w:t>8</w:t>
            </w:r>
            <w:r w:rsidRPr="004D28A6">
              <w:rPr>
                <w:b/>
                <w:bCs/>
                <w:szCs w:val="24"/>
              </w:rPr>
              <w:t xml:space="preserve"> %</w:t>
            </w:r>
          </w:p>
        </w:tc>
        <w:tc>
          <w:tcPr>
            <w:tcW w:w="704" w:type="dxa"/>
            <w:hideMark/>
          </w:tcPr>
          <w:p w14:paraId="3993F10D" w14:textId="075405AF" w:rsidR="00A95DB2" w:rsidRPr="004D28A6" w:rsidRDefault="00A95DB2" w:rsidP="0016095F">
            <w:pPr>
              <w:jc w:val="right"/>
              <w:rPr>
                <w:b/>
                <w:bCs/>
                <w:szCs w:val="24"/>
              </w:rPr>
            </w:pPr>
            <w:r w:rsidRPr="004D28A6">
              <w:rPr>
                <w:b/>
                <w:bCs/>
                <w:szCs w:val="24"/>
              </w:rPr>
              <w:t>201</w:t>
            </w:r>
            <w:r w:rsidR="004D28A6" w:rsidRPr="004D28A6">
              <w:rPr>
                <w:b/>
                <w:bCs/>
                <w:szCs w:val="24"/>
              </w:rPr>
              <w:t>9</w:t>
            </w:r>
          </w:p>
          <w:p w14:paraId="7B935A02" w14:textId="77777777" w:rsidR="00A95DB2" w:rsidRPr="004D28A6" w:rsidRDefault="00A95DB2" w:rsidP="0016095F">
            <w:pPr>
              <w:jc w:val="right"/>
              <w:rPr>
                <w:szCs w:val="24"/>
              </w:rPr>
            </w:pPr>
            <w:r w:rsidRPr="004D28A6">
              <w:rPr>
                <w:b/>
                <w:bCs/>
                <w:szCs w:val="24"/>
              </w:rPr>
              <w:t>N</w:t>
            </w:r>
          </w:p>
        </w:tc>
        <w:tc>
          <w:tcPr>
            <w:tcW w:w="704" w:type="dxa"/>
            <w:hideMark/>
          </w:tcPr>
          <w:p w14:paraId="5EF0FA35" w14:textId="45C16B19" w:rsidR="00A95DB2" w:rsidRPr="004D28A6" w:rsidRDefault="00A95DB2" w:rsidP="0016095F">
            <w:pPr>
              <w:jc w:val="right"/>
              <w:rPr>
                <w:b/>
                <w:bCs/>
                <w:szCs w:val="24"/>
              </w:rPr>
            </w:pPr>
            <w:r w:rsidRPr="004D28A6">
              <w:rPr>
                <w:b/>
                <w:bCs/>
                <w:szCs w:val="24"/>
              </w:rPr>
              <w:t>201</w:t>
            </w:r>
            <w:r w:rsidR="004D28A6" w:rsidRPr="004D28A6">
              <w:rPr>
                <w:b/>
                <w:bCs/>
                <w:szCs w:val="24"/>
              </w:rPr>
              <w:t>9</w:t>
            </w:r>
          </w:p>
          <w:p w14:paraId="5DBBAA47" w14:textId="77777777" w:rsidR="00A95DB2" w:rsidRPr="004D28A6" w:rsidRDefault="00A95DB2" w:rsidP="0016095F">
            <w:pPr>
              <w:jc w:val="right"/>
              <w:rPr>
                <w:szCs w:val="24"/>
              </w:rPr>
            </w:pPr>
            <w:r w:rsidRPr="004D28A6">
              <w:rPr>
                <w:b/>
                <w:bCs/>
                <w:szCs w:val="24"/>
              </w:rPr>
              <w:t>%</w:t>
            </w:r>
          </w:p>
        </w:tc>
        <w:tc>
          <w:tcPr>
            <w:tcW w:w="704" w:type="dxa"/>
            <w:shd w:val="clear" w:color="auto" w:fill="DEEAF6" w:themeFill="accent5" w:themeFillTint="33"/>
            <w:hideMark/>
          </w:tcPr>
          <w:p w14:paraId="03805CA2" w14:textId="0740B267" w:rsidR="00A95DB2" w:rsidRPr="004D28A6" w:rsidRDefault="00A95DB2" w:rsidP="0016095F">
            <w:pPr>
              <w:jc w:val="right"/>
              <w:rPr>
                <w:b/>
                <w:bCs/>
                <w:szCs w:val="24"/>
              </w:rPr>
            </w:pPr>
            <w:r w:rsidRPr="004D28A6">
              <w:rPr>
                <w:b/>
                <w:bCs/>
                <w:szCs w:val="24"/>
              </w:rPr>
              <w:t>20</w:t>
            </w:r>
            <w:r w:rsidR="004D28A6" w:rsidRPr="004D28A6">
              <w:rPr>
                <w:b/>
                <w:bCs/>
                <w:szCs w:val="24"/>
              </w:rPr>
              <w:t>20</w:t>
            </w:r>
          </w:p>
          <w:p w14:paraId="6E6E6979" w14:textId="77777777" w:rsidR="00A95DB2" w:rsidRPr="004D28A6" w:rsidRDefault="00A95DB2" w:rsidP="0016095F">
            <w:pPr>
              <w:jc w:val="right"/>
              <w:rPr>
                <w:szCs w:val="24"/>
              </w:rPr>
            </w:pPr>
            <w:r w:rsidRPr="004D28A6">
              <w:rPr>
                <w:b/>
                <w:bCs/>
                <w:szCs w:val="24"/>
              </w:rPr>
              <w:t>N</w:t>
            </w:r>
          </w:p>
        </w:tc>
        <w:tc>
          <w:tcPr>
            <w:tcW w:w="703" w:type="dxa"/>
            <w:shd w:val="clear" w:color="auto" w:fill="DEEAF6" w:themeFill="accent5" w:themeFillTint="33"/>
            <w:hideMark/>
          </w:tcPr>
          <w:p w14:paraId="1CD130C2" w14:textId="0B2B2414" w:rsidR="00A95DB2" w:rsidRPr="004D28A6" w:rsidRDefault="00A95DB2" w:rsidP="0016095F">
            <w:pPr>
              <w:jc w:val="right"/>
              <w:rPr>
                <w:b/>
                <w:bCs/>
                <w:szCs w:val="24"/>
              </w:rPr>
            </w:pPr>
            <w:r w:rsidRPr="004D28A6">
              <w:rPr>
                <w:b/>
                <w:bCs/>
                <w:szCs w:val="24"/>
              </w:rPr>
              <w:t>20</w:t>
            </w:r>
            <w:r w:rsidR="004D28A6" w:rsidRPr="004D28A6">
              <w:rPr>
                <w:b/>
                <w:bCs/>
                <w:szCs w:val="24"/>
              </w:rPr>
              <w:t>20</w:t>
            </w:r>
          </w:p>
          <w:p w14:paraId="2048483D" w14:textId="77777777" w:rsidR="00A95DB2" w:rsidRPr="004D28A6" w:rsidRDefault="00A95DB2" w:rsidP="0016095F">
            <w:pPr>
              <w:jc w:val="right"/>
              <w:rPr>
                <w:szCs w:val="24"/>
              </w:rPr>
            </w:pPr>
            <w:r w:rsidRPr="004D28A6">
              <w:rPr>
                <w:b/>
                <w:bCs/>
                <w:szCs w:val="24"/>
              </w:rPr>
              <w:t>%</w:t>
            </w:r>
          </w:p>
        </w:tc>
        <w:tc>
          <w:tcPr>
            <w:tcW w:w="704" w:type="dxa"/>
            <w:hideMark/>
          </w:tcPr>
          <w:p w14:paraId="100803C3" w14:textId="6963A730" w:rsidR="00A95DB2" w:rsidRPr="004D28A6" w:rsidRDefault="00A95DB2" w:rsidP="0016095F">
            <w:pPr>
              <w:jc w:val="right"/>
              <w:rPr>
                <w:b/>
                <w:bCs/>
                <w:szCs w:val="24"/>
              </w:rPr>
            </w:pPr>
            <w:r w:rsidRPr="004D28A6">
              <w:rPr>
                <w:b/>
                <w:bCs/>
                <w:szCs w:val="24"/>
              </w:rPr>
              <w:t>20</w:t>
            </w:r>
            <w:r w:rsidR="004D28A6" w:rsidRPr="004D28A6">
              <w:rPr>
                <w:b/>
                <w:bCs/>
                <w:szCs w:val="24"/>
              </w:rPr>
              <w:t>21</w:t>
            </w:r>
          </w:p>
          <w:p w14:paraId="1E84FAC7" w14:textId="77777777" w:rsidR="00A95DB2" w:rsidRPr="004D28A6" w:rsidRDefault="00A95DB2" w:rsidP="0016095F">
            <w:pPr>
              <w:jc w:val="right"/>
              <w:rPr>
                <w:szCs w:val="24"/>
              </w:rPr>
            </w:pPr>
            <w:r w:rsidRPr="004D28A6">
              <w:rPr>
                <w:b/>
                <w:bCs/>
                <w:szCs w:val="24"/>
              </w:rPr>
              <w:t>N</w:t>
            </w:r>
          </w:p>
        </w:tc>
        <w:tc>
          <w:tcPr>
            <w:tcW w:w="704" w:type="dxa"/>
            <w:hideMark/>
          </w:tcPr>
          <w:p w14:paraId="6E955AD7" w14:textId="08611F74" w:rsidR="00A95DB2" w:rsidRPr="004D28A6" w:rsidRDefault="00A95DB2" w:rsidP="0016095F">
            <w:pPr>
              <w:jc w:val="right"/>
              <w:rPr>
                <w:b/>
                <w:bCs/>
                <w:szCs w:val="24"/>
              </w:rPr>
            </w:pPr>
            <w:r w:rsidRPr="004D28A6">
              <w:rPr>
                <w:b/>
                <w:bCs/>
                <w:szCs w:val="24"/>
              </w:rPr>
              <w:t>20</w:t>
            </w:r>
            <w:r w:rsidR="004D28A6" w:rsidRPr="004D28A6">
              <w:rPr>
                <w:b/>
                <w:bCs/>
                <w:szCs w:val="24"/>
              </w:rPr>
              <w:t>21</w:t>
            </w:r>
          </w:p>
          <w:p w14:paraId="72CACCEF" w14:textId="77777777" w:rsidR="00A95DB2" w:rsidRPr="004D28A6" w:rsidRDefault="00A95DB2" w:rsidP="0016095F">
            <w:pPr>
              <w:jc w:val="right"/>
              <w:rPr>
                <w:szCs w:val="24"/>
              </w:rPr>
            </w:pPr>
            <w:r w:rsidRPr="004D28A6">
              <w:rPr>
                <w:b/>
                <w:bCs/>
                <w:szCs w:val="24"/>
              </w:rPr>
              <w:t>%</w:t>
            </w:r>
          </w:p>
        </w:tc>
        <w:tc>
          <w:tcPr>
            <w:tcW w:w="704" w:type="dxa"/>
            <w:shd w:val="clear" w:color="auto" w:fill="DEEAF6" w:themeFill="accent5" w:themeFillTint="33"/>
            <w:hideMark/>
          </w:tcPr>
          <w:p w14:paraId="6924DD24" w14:textId="54070612" w:rsidR="00A95DB2" w:rsidRPr="004D28A6" w:rsidRDefault="00A95DB2" w:rsidP="0016095F">
            <w:pPr>
              <w:jc w:val="right"/>
              <w:rPr>
                <w:b/>
                <w:bCs/>
                <w:szCs w:val="24"/>
              </w:rPr>
            </w:pPr>
            <w:r w:rsidRPr="004D28A6">
              <w:rPr>
                <w:b/>
                <w:bCs/>
                <w:szCs w:val="24"/>
              </w:rPr>
              <w:t>202</w:t>
            </w:r>
            <w:r w:rsidR="004D28A6" w:rsidRPr="004D28A6">
              <w:rPr>
                <w:b/>
                <w:bCs/>
                <w:szCs w:val="24"/>
              </w:rPr>
              <w:t>2</w:t>
            </w:r>
          </w:p>
          <w:p w14:paraId="464492B5" w14:textId="77777777" w:rsidR="00A95DB2" w:rsidRPr="004D28A6" w:rsidRDefault="00A95DB2" w:rsidP="0016095F">
            <w:pPr>
              <w:jc w:val="right"/>
              <w:rPr>
                <w:szCs w:val="24"/>
              </w:rPr>
            </w:pPr>
            <w:r w:rsidRPr="004D28A6">
              <w:rPr>
                <w:b/>
                <w:bCs/>
                <w:szCs w:val="24"/>
              </w:rPr>
              <w:t>N</w:t>
            </w:r>
          </w:p>
        </w:tc>
        <w:tc>
          <w:tcPr>
            <w:tcW w:w="704" w:type="dxa"/>
            <w:shd w:val="clear" w:color="auto" w:fill="DEEAF6" w:themeFill="accent5" w:themeFillTint="33"/>
            <w:hideMark/>
          </w:tcPr>
          <w:p w14:paraId="4FBD016B" w14:textId="64100F2A" w:rsidR="00A95DB2" w:rsidRPr="004D28A6" w:rsidRDefault="00A95DB2" w:rsidP="0016095F">
            <w:pPr>
              <w:jc w:val="right"/>
              <w:rPr>
                <w:b/>
                <w:bCs/>
                <w:szCs w:val="24"/>
              </w:rPr>
            </w:pPr>
            <w:r w:rsidRPr="004D28A6">
              <w:rPr>
                <w:b/>
                <w:bCs/>
                <w:szCs w:val="24"/>
              </w:rPr>
              <w:t>202</w:t>
            </w:r>
            <w:r w:rsidR="004D28A6" w:rsidRPr="004D28A6">
              <w:rPr>
                <w:b/>
                <w:bCs/>
                <w:szCs w:val="24"/>
              </w:rPr>
              <w:t>2</w:t>
            </w:r>
          </w:p>
          <w:p w14:paraId="20EC53A5" w14:textId="77777777" w:rsidR="00A95DB2" w:rsidRPr="004D28A6" w:rsidRDefault="7B5D4F14" w:rsidP="034544F5">
            <w:pPr>
              <w:jc w:val="right"/>
              <w:rPr>
                <w:b/>
                <w:bCs/>
              </w:rPr>
            </w:pPr>
            <w:r w:rsidRPr="1879A7CB">
              <w:rPr>
                <w:b/>
                <w:bCs/>
              </w:rPr>
              <w:t>%</w:t>
            </w:r>
          </w:p>
        </w:tc>
      </w:tr>
      <w:tr w:rsidR="001067E9" w:rsidRPr="00991A6F" w14:paraId="4B643CF5" w14:textId="77777777" w:rsidTr="003014B5">
        <w:trPr>
          <w:trHeight w:val="20"/>
        </w:trPr>
        <w:tc>
          <w:tcPr>
            <w:tcW w:w="2322" w:type="dxa"/>
            <w:hideMark/>
          </w:tcPr>
          <w:p w14:paraId="464FF7B0" w14:textId="77777777" w:rsidR="00A95DB2" w:rsidRPr="00991A6F" w:rsidRDefault="0EF0007F" w:rsidP="034544F5">
            <w:pPr>
              <w:rPr>
                <w:color w:val="FF0000"/>
              </w:rPr>
            </w:pPr>
            <w:r w:rsidRPr="38A4F72D">
              <w:rPr>
                <w:b/>
                <w:bCs/>
              </w:rPr>
              <w:t>Sex Assigned at Birth:</w:t>
            </w:r>
          </w:p>
        </w:tc>
        <w:tc>
          <w:tcPr>
            <w:tcW w:w="703" w:type="dxa"/>
            <w:shd w:val="clear" w:color="auto" w:fill="DEEAF6" w:themeFill="accent5" w:themeFillTint="33"/>
            <w:hideMark/>
          </w:tcPr>
          <w:p w14:paraId="04DE0018" w14:textId="77777777" w:rsidR="00A95DB2" w:rsidRPr="00991A6F" w:rsidRDefault="00A95DB2" w:rsidP="0016095F">
            <w:pPr>
              <w:jc w:val="right"/>
              <w:rPr>
                <w:color w:val="FF0000"/>
                <w:szCs w:val="24"/>
              </w:rPr>
            </w:pPr>
          </w:p>
        </w:tc>
        <w:tc>
          <w:tcPr>
            <w:tcW w:w="704" w:type="dxa"/>
            <w:shd w:val="clear" w:color="auto" w:fill="DEEAF6" w:themeFill="accent5" w:themeFillTint="33"/>
            <w:hideMark/>
          </w:tcPr>
          <w:p w14:paraId="53B65470" w14:textId="77777777" w:rsidR="00A95DB2" w:rsidRPr="00991A6F" w:rsidRDefault="00A95DB2" w:rsidP="0016095F">
            <w:pPr>
              <w:jc w:val="right"/>
              <w:rPr>
                <w:color w:val="FF0000"/>
                <w:szCs w:val="24"/>
              </w:rPr>
            </w:pPr>
          </w:p>
        </w:tc>
        <w:tc>
          <w:tcPr>
            <w:tcW w:w="704" w:type="dxa"/>
            <w:hideMark/>
          </w:tcPr>
          <w:p w14:paraId="14D21D9D" w14:textId="77777777" w:rsidR="00A95DB2" w:rsidRPr="00991A6F" w:rsidRDefault="00A95DB2" w:rsidP="0016095F">
            <w:pPr>
              <w:jc w:val="right"/>
              <w:rPr>
                <w:color w:val="FF0000"/>
                <w:szCs w:val="24"/>
              </w:rPr>
            </w:pPr>
          </w:p>
        </w:tc>
        <w:tc>
          <w:tcPr>
            <w:tcW w:w="704" w:type="dxa"/>
            <w:hideMark/>
          </w:tcPr>
          <w:p w14:paraId="5BC6CA1A" w14:textId="77777777" w:rsidR="00A95DB2" w:rsidRPr="00991A6F" w:rsidRDefault="00A95DB2" w:rsidP="0016095F">
            <w:pPr>
              <w:jc w:val="right"/>
              <w:rPr>
                <w:color w:val="FF0000"/>
                <w:szCs w:val="24"/>
              </w:rPr>
            </w:pPr>
          </w:p>
        </w:tc>
        <w:tc>
          <w:tcPr>
            <w:tcW w:w="704" w:type="dxa"/>
            <w:shd w:val="clear" w:color="auto" w:fill="DEEAF6" w:themeFill="accent5" w:themeFillTint="33"/>
            <w:hideMark/>
          </w:tcPr>
          <w:p w14:paraId="74443EE1" w14:textId="77777777" w:rsidR="00A95DB2" w:rsidRPr="00991A6F" w:rsidRDefault="00A95DB2" w:rsidP="0016095F">
            <w:pPr>
              <w:jc w:val="right"/>
              <w:rPr>
                <w:color w:val="FF0000"/>
                <w:szCs w:val="24"/>
              </w:rPr>
            </w:pPr>
          </w:p>
        </w:tc>
        <w:tc>
          <w:tcPr>
            <w:tcW w:w="703" w:type="dxa"/>
            <w:shd w:val="clear" w:color="auto" w:fill="DEEAF6" w:themeFill="accent5" w:themeFillTint="33"/>
            <w:hideMark/>
          </w:tcPr>
          <w:p w14:paraId="792D2C1B" w14:textId="77777777" w:rsidR="00A95DB2" w:rsidRPr="00991A6F" w:rsidRDefault="00A95DB2" w:rsidP="0016095F">
            <w:pPr>
              <w:jc w:val="right"/>
              <w:rPr>
                <w:color w:val="FF0000"/>
                <w:szCs w:val="24"/>
              </w:rPr>
            </w:pPr>
          </w:p>
        </w:tc>
        <w:tc>
          <w:tcPr>
            <w:tcW w:w="704" w:type="dxa"/>
            <w:hideMark/>
          </w:tcPr>
          <w:p w14:paraId="5501F713" w14:textId="77777777" w:rsidR="00A95DB2" w:rsidRPr="00991A6F" w:rsidRDefault="00A95DB2" w:rsidP="0016095F">
            <w:pPr>
              <w:jc w:val="right"/>
              <w:rPr>
                <w:color w:val="FF0000"/>
                <w:szCs w:val="24"/>
              </w:rPr>
            </w:pPr>
          </w:p>
        </w:tc>
        <w:tc>
          <w:tcPr>
            <w:tcW w:w="704" w:type="dxa"/>
            <w:hideMark/>
          </w:tcPr>
          <w:p w14:paraId="47708A10" w14:textId="77777777" w:rsidR="00A95DB2" w:rsidRPr="00991A6F" w:rsidRDefault="00A95DB2" w:rsidP="0016095F">
            <w:pPr>
              <w:jc w:val="right"/>
              <w:rPr>
                <w:color w:val="FF0000"/>
                <w:szCs w:val="24"/>
              </w:rPr>
            </w:pPr>
          </w:p>
        </w:tc>
        <w:tc>
          <w:tcPr>
            <w:tcW w:w="704" w:type="dxa"/>
            <w:shd w:val="clear" w:color="auto" w:fill="DEEAF6" w:themeFill="accent5" w:themeFillTint="33"/>
            <w:hideMark/>
          </w:tcPr>
          <w:p w14:paraId="436D72CF" w14:textId="77777777" w:rsidR="00A95DB2" w:rsidRPr="00991A6F" w:rsidRDefault="00A95DB2" w:rsidP="0016095F">
            <w:pPr>
              <w:jc w:val="right"/>
              <w:rPr>
                <w:color w:val="FF0000"/>
                <w:szCs w:val="24"/>
              </w:rPr>
            </w:pPr>
          </w:p>
        </w:tc>
        <w:tc>
          <w:tcPr>
            <w:tcW w:w="704" w:type="dxa"/>
            <w:shd w:val="clear" w:color="auto" w:fill="DEEAF6" w:themeFill="accent5" w:themeFillTint="33"/>
            <w:hideMark/>
          </w:tcPr>
          <w:p w14:paraId="58DA57B9" w14:textId="77777777" w:rsidR="00A95DB2" w:rsidRPr="00991A6F" w:rsidRDefault="00A95DB2" w:rsidP="0016095F">
            <w:pPr>
              <w:jc w:val="right"/>
              <w:rPr>
                <w:color w:val="FF0000"/>
                <w:szCs w:val="24"/>
              </w:rPr>
            </w:pPr>
          </w:p>
        </w:tc>
      </w:tr>
      <w:tr w:rsidR="001067E9" w:rsidRPr="00991A6F" w14:paraId="205079C9" w14:textId="77777777" w:rsidTr="003014B5">
        <w:trPr>
          <w:trHeight w:val="20"/>
        </w:trPr>
        <w:tc>
          <w:tcPr>
            <w:tcW w:w="2322" w:type="dxa"/>
            <w:hideMark/>
          </w:tcPr>
          <w:p w14:paraId="5F835A4B" w14:textId="77777777" w:rsidR="004D28A6" w:rsidRPr="004D28A6" w:rsidRDefault="004D28A6" w:rsidP="004D28A6">
            <w:pPr>
              <w:rPr>
                <w:szCs w:val="24"/>
              </w:rPr>
            </w:pPr>
            <w:r w:rsidRPr="004D28A6">
              <w:rPr>
                <w:szCs w:val="24"/>
              </w:rPr>
              <w:t>Male</w:t>
            </w:r>
          </w:p>
        </w:tc>
        <w:tc>
          <w:tcPr>
            <w:tcW w:w="703" w:type="dxa"/>
            <w:shd w:val="clear" w:color="auto" w:fill="DEEAF6" w:themeFill="accent5" w:themeFillTint="33"/>
            <w:vAlign w:val="bottom"/>
            <w:hideMark/>
          </w:tcPr>
          <w:p w14:paraId="4D2BE08A" w14:textId="495F073A" w:rsidR="004D28A6" w:rsidRPr="004D28A6" w:rsidRDefault="004D28A6" w:rsidP="004D28A6">
            <w:pPr>
              <w:jc w:val="right"/>
              <w:rPr>
                <w:rFonts w:cstheme="minorHAnsi"/>
                <w:szCs w:val="24"/>
              </w:rPr>
            </w:pPr>
            <w:r w:rsidRPr="004D28A6">
              <w:rPr>
                <w:rFonts w:cstheme="minorHAnsi"/>
                <w:kern w:val="24"/>
                <w:szCs w:val="24"/>
              </w:rPr>
              <w:t>70</w:t>
            </w:r>
          </w:p>
        </w:tc>
        <w:tc>
          <w:tcPr>
            <w:tcW w:w="704" w:type="dxa"/>
            <w:shd w:val="clear" w:color="auto" w:fill="DEEAF6" w:themeFill="accent5" w:themeFillTint="33"/>
            <w:vAlign w:val="bottom"/>
            <w:hideMark/>
          </w:tcPr>
          <w:p w14:paraId="2751DA30" w14:textId="1F8BB13C" w:rsidR="004D28A6" w:rsidRPr="004D28A6" w:rsidRDefault="004D28A6" w:rsidP="004D28A6">
            <w:pPr>
              <w:jc w:val="right"/>
              <w:rPr>
                <w:rFonts w:cstheme="minorHAnsi"/>
                <w:szCs w:val="24"/>
              </w:rPr>
            </w:pPr>
            <w:r w:rsidRPr="004D28A6">
              <w:rPr>
                <w:rFonts w:cstheme="minorHAnsi"/>
                <w:kern w:val="24"/>
                <w:szCs w:val="24"/>
              </w:rPr>
              <w:t>64%</w:t>
            </w:r>
          </w:p>
        </w:tc>
        <w:tc>
          <w:tcPr>
            <w:tcW w:w="704" w:type="dxa"/>
            <w:vAlign w:val="bottom"/>
            <w:hideMark/>
          </w:tcPr>
          <w:p w14:paraId="0A2C24EE" w14:textId="22A771ED" w:rsidR="004D28A6" w:rsidRPr="004D28A6" w:rsidRDefault="004D28A6" w:rsidP="004D28A6">
            <w:pPr>
              <w:jc w:val="right"/>
              <w:rPr>
                <w:rFonts w:cstheme="minorHAnsi"/>
                <w:szCs w:val="24"/>
              </w:rPr>
            </w:pPr>
            <w:r w:rsidRPr="004D28A6">
              <w:rPr>
                <w:rFonts w:cstheme="minorHAnsi"/>
                <w:kern w:val="24"/>
                <w:szCs w:val="24"/>
              </w:rPr>
              <w:t>55</w:t>
            </w:r>
          </w:p>
        </w:tc>
        <w:tc>
          <w:tcPr>
            <w:tcW w:w="704" w:type="dxa"/>
            <w:vAlign w:val="bottom"/>
            <w:hideMark/>
          </w:tcPr>
          <w:p w14:paraId="5A91687F" w14:textId="4B221A1F" w:rsidR="004D28A6" w:rsidRPr="004D28A6" w:rsidRDefault="004D28A6" w:rsidP="004D28A6">
            <w:pPr>
              <w:jc w:val="right"/>
              <w:rPr>
                <w:rFonts w:cstheme="minorHAnsi"/>
                <w:szCs w:val="24"/>
              </w:rPr>
            </w:pPr>
            <w:r w:rsidRPr="004D28A6">
              <w:rPr>
                <w:rFonts w:cstheme="minorHAnsi"/>
                <w:kern w:val="24"/>
                <w:szCs w:val="24"/>
              </w:rPr>
              <w:t>67%</w:t>
            </w:r>
          </w:p>
        </w:tc>
        <w:tc>
          <w:tcPr>
            <w:tcW w:w="704" w:type="dxa"/>
            <w:shd w:val="clear" w:color="auto" w:fill="DEEAF6" w:themeFill="accent5" w:themeFillTint="33"/>
            <w:vAlign w:val="bottom"/>
            <w:hideMark/>
          </w:tcPr>
          <w:p w14:paraId="1762A628" w14:textId="184FDA5D" w:rsidR="004D28A6" w:rsidRPr="004D28A6" w:rsidRDefault="004D28A6" w:rsidP="004D28A6">
            <w:pPr>
              <w:jc w:val="right"/>
              <w:rPr>
                <w:rFonts w:cstheme="minorHAnsi"/>
                <w:szCs w:val="24"/>
              </w:rPr>
            </w:pPr>
            <w:r w:rsidRPr="004D28A6">
              <w:rPr>
                <w:rFonts w:cstheme="minorHAnsi"/>
                <w:kern w:val="24"/>
                <w:szCs w:val="24"/>
              </w:rPr>
              <w:t>71</w:t>
            </w:r>
          </w:p>
        </w:tc>
        <w:tc>
          <w:tcPr>
            <w:tcW w:w="703" w:type="dxa"/>
            <w:shd w:val="clear" w:color="auto" w:fill="DEEAF6" w:themeFill="accent5" w:themeFillTint="33"/>
            <w:vAlign w:val="bottom"/>
            <w:hideMark/>
          </w:tcPr>
          <w:p w14:paraId="3E8D1417" w14:textId="1B4C1DFA" w:rsidR="004D28A6" w:rsidRPr="004D28A6" w:rsidRDefault="004D28A6" w:rsidP="004D28A6">
            <w:pPr>
              <w:jc w:val="right"/>
              <w:rPr>
                <w:rFonts w:cstheme="minorHAnsi"/>
                <w:szCs w:val="24"/>
              </w:rPr>
            </w:pPr>
            <w:r w:rsidRPr="004D28A6">
              <w:rPr>
                <w:rFonts w:cstheme="minorHAnsi"/>
                <w:kern w:val="24"/>
                <w:szCs w:val="24"/>
              </w:rPr>
              <w:t>72%</w:t>
            </w:r>
          </w:p>
        </w:tc>
        <w:tc>
          <w:tcPr>
            <w:tcW w:w="704" w:type="dxa"/>
            <w:vAlign w:val="bottom"/>
            <w:hideMark/>
          </w:tcPr>
          <w:p w14:paraId="45487BBD" w14:textId="32E9EE93" w:rsidR="004D28A6" w:rsidRPr="004D28A6" w:rsidRDefault="004D28A6" w:rsidP="004D28A6">
            <w:pPr>
              <w:jc w:val="right"/>
              <w:rPr>
                <w:rFonts w:cstheme="minorHAnsi"/>
                <w:szCs w:val="24"/>
              </w:rPr>
            </w:pPr>
            <w:r w:rsidRPr="004D28A6">
              <w:rPr>
                <w:rFonts w:cstheme="minorHAnsi"/>
                <w:kern w:val="24"/>
                <w:szCs w:val="24"/>
              </w:rPr>
              <w:t>60</w:t>
            </w:r>
          </w:p>
        </w:tc>
        <w:tc>
          <w:tcPr>
            <w:tcW w:w="704" w:type="dxa"/>
            <w:vAlign w:val="bottom"/>
            <w:hideMark/>
          </w:tcPr>
          <w:p w14:paraId="08BFE325" w14:textId="623F5193" w:rsidR="004D28A6" w:rsidRPr="004D28A6" w:rsidRDefault="004D28A6" w:rsidP="004D28A6">
            <w:pPr>
              <w:jc w:val="right"/>
              <w:rPr>
                <w:rFonts w:cstheme="minorHAnsi"/>
                <w:szCs w:val="24"/>
              </w:rPr>
            </w:pPr>
            <w:r w:rsidRPr="004D28A6">
              <w:rPr>
                <w:rFonts w:cstheme="minorHAnsi"/>
                <w:kern w:val="24"/>
                <w:szCs w:val="24"/>
              </w:rPr>
              <w:t>67%</w:t>
            </w:r>
          </w:p>
        </w:tc>
        <w:tc>
          <w:tcPr>
            <w:tcW w:w="704" w:type="dxa"/>
            <w:shd w:val="clear" w:color="auto" w:fill="DEEAF6" w:themeFill="accent5" w:themeFillTint="33"/>
            <w:vAlign w:val="bottom"/>
            <w:hideMark/>
          </w:tcPr>
          <w:p w14:paraId="4479C1FB" w14:textId="7ADB7672" w:rsidR="004D28A6" w:rsidRPr="004D28A6" w:rsidRDefault="004D28A6" w:rsidP="004D28A6">
            <w:pPr>
              <w:jc w:val="right"/>
              <w:rPr>
                <w:rFonts w:cstheme="minorHAnsi"/>
                <w:szCs w:val="24"/>
              </w:rPr>
            </w:pPr>
            <w:r w:rsidRPr="004D28A6">
              <w:rPr>
                <w:rFonts w:cstheme="minorHAnsi"/>
                <w:kern w:val="24"/>
                <w:szCs w:val="24"/>
              </w:rPr>
              <w:t>41</w:t>
            </w:r>
          </w:p>
        </w:tc>
        <w:tc>
          <w:tcPr>
            <w:tcW w:w="704" w:type="dxa"/>
            <w:shd w:val="clear" w:color="auto" w:fill="DEEAF6" w:themeFill="accent5" w:themeFillTint="33"/>
            <w:vAlign w:val="bottom"/>
            <w:hideMark/>
          </w:tcPr>
          <w:p w14:paraId="0E13953A" w14:textId="6EEEF090" w:rsidR="004D28A6" w:rsidRPr="004D28A6" w:rsidRDefault="004D28A6" w:rsidP="004D28A6">
            <w:pPr>
              <w:jc w:val="right"/>
              <w:rPr>
                <w:rFonts w:cstheme="minorHAnsi"/>
                <w:szCs w:val="24"/>
              </w:rPr>
            </w:pPr>
            <w:r w:rsidRPr="004D28A6">
              <w:rPr>
                <w:rFonts w:cstheme="minorHAnsi"/>
                <w:kern w:val="24"/>
                <w:szCs w:val="24"/>
              </w:rPr>
              <w:t>76%</w:t>
            </w:r>
          </w:p>
        </w:tc>
      </w:tr>
      <w:tr w:rsidR="001067E9" w:rsidRPr="00991A6F" w14:paraId="462C95A4" w14:textId="77777777" w:rsidTr="003014B5">
        <w:trPr>
          <w:trHeight w:val="20"/>
        </w:trPr>
        <w:tc>
          <w:tcPr>
            <w:tcW w:w="2322" w:type="dxa"/>
            <w:hideMark/>
          </w:tcPr>
          <w:p w14:paraId="4A5CD1D6" w14:textId="77777777" w:rsidR="004D28A6" w:rsidRPr="004D28A6" w:rsidRDefault="004D28A6" w:rsidP="004D28A6">
            <w:pPr>
              <w:rPr>
                <w:szCs w:val="24"/>
              </w:rPr>
            </w:pPr>
            <w:r w:rsidRPr="004D28A6">
              <w:rPr>
                <w:szCs w:val="24"/>
              </w:rPr>
              <w:t>Female</w:t>
            </w:r>
          </w:p>
        </w:tc>
        <w:tc>
          <w:tcPr>
            <w:tcW w:w="703" w:type="dxa"/>
            <w:shd w:val="clear" w:color="auto" w:fill="DEEAF6" w:themeFill="accent5" w:themeFillTint="33"/>
            <w:vAlign w:val="bottom"/>
            <w:hideMark/>
          </w:tcPr>
          <w:p w14:paraId="65EAD2F6" w14:textId="26061539" w:rsidR="004D28A6" w:rsidRPr="004D28A6" w:rsidRDefault="004D28A6" w:rsidP="004D28A6">
            <w:pPr>
              <w:jc w:val="right"/>
              <w:rPr>
                <w:rFonts w:cstheme="minorHAnsi"/>
                <w:szCs w:val="24"/>
              </w:rPr>
            </w:pPr>
            <w:r w:rsidRPr="004D28A6">
              <w:rPr>
                <w:rFonts w:cstheme="minorHAnsi"/>
                <w:kern w:val="24"/>
                <w:szCs w:val="24"/>
              </w:rPr>
              <w:t>39</w:t>
            </w:r>
          </w:p>
        </w:tc>
        <w:tc>
          <w:tcPr>
            <w:tcW w:w="704" w:type="dxa"/>
            <w:shd w:val="clear" w:color="auto" w:fill="DEEAF6" w:themeFill="accent5" w:themeFillTint="33"/>
            <w:vAlign w:val="bottom"/>
            <w:hideMark/>
          </w:tcPr>
          <w:p w14:paraId="7CAC077F" w14:textId="1CF0781E" w:rsidR="004D28A6" w:rsidRPr="004D28A6" w:rsidRDefault="004D28A6" w:rsidP="004D28A6">
            <w:pPr>
              <w:jc w:val="right"/>
              <w:rPr>
                <w:rFonts w:cstheme="minorHAnsi"/>
                <w:szCs w:val="24"/>
              </w:rPr>
            </w:pPr>
            <w:r w:rsidRPr="004D28A6">
              <w:rPr>
                <w:rFonts w:cstheme="minorHAnsi"/>
                <w:kern w:val="24"/>
                <w:szCs w:val="24"/>
              </w:rPr>
              <w:t>36%</w:t>
            </w:r>
          </w:p>
        </w:tc>
        <w:tc>
          <w:tcPr>
            <w:tcW w:w="704" w:type="dxa"/>
            <w:vAlign w:val="bottom"/>
            <w:hideMark/>
          </w:tcPr>
          <w:p w14:paraId="6EA8950F" w14:textId="4AE9CB7B" w:rsidR="004D28A6" w:rsidRPr="004D28A6" w:rsidRDefault="004D28A6" w:rsidP="004D28A6">
            <w:pPr>
              <w:jc w:val="right"/>
              <w:rPr>
                <w:rFonts w:cstheme="minorHAnsi"/>
                <w:szCs w:val="24"/>
              </w:rPr>
            </w:pPr>
            <w:r w:rsidRPr="004D28A6">
              <w:rPr>
                <w:rFonts w:cstheme="minorHAnsi"/>
                <w:kern w:val="24"/>
                <w:szCs w:val="24"/>
              </w:rPr>
              <w:t>27</w:t>
            </w:r>
          </w:p>
        </w:tc>
        <w:tc>
          <w:tcPr>
            <w:tcW w:w="704" w:type="dxa"/>
            <w:vAlign w:val="bottom"/>
            <w:hideMark/>
          </w:tcPr>
          <w:p w14:paraId="546B5F74" w14:textId="7CDC82FE" w:rsidR="004D28A6" w:rsidRPr="004D28A6" w:rsidRDefault="004D28A6" w:rsidP="004D28A6">
            <w:pPr>
              <w:jc w:val="right"/>
              <w:rPr>
                <w:rFonts w:cstheme="minorHAnsi"/>
                <w:szCs w:val="24"/>
              </w:rPr>
            </w:pPr>
            <w:r w:rsidRPr="004D28A6">
              <w:rPr>
                <w:rFonts w:cstheme="minorHAnsi"/>
                <w:kern w:val="24"/>
                <w:szCs w:val="24"/>
              </w:rPr>
              <w:t>33%</w:t>
            </w:r>
          </w:p>
        </w:tc>
        <w:tc>
          <w:tcPr>
            <w:tcW w:w="704" w:type="dxa"/>
            <w:shd w:val="clear" w:color="auto" w:fill="DEEAF6" w:themeFill="accent5" w:themeFillTint="33"/>
            <w:vAlign w:val="bottom"/>
            <w:hideMark/>
          </w:tcPr>
          <w:p w14:paraId="3639BA7C" w14:textId="6486D7B9" w:rsidR="004D28A6" w:rsidRPr="004D28A6" w:rsidRDefault="004D28A6" w:rsidP="004D28A6">
            <w:pPr>
              <w:jc w:val="right"/>
              <w:rPr>
                <w:rFonts w:cstheme="minorHAnsi"/>
                <w:szCs w:val="24"/>
              </w:rPr>
            </w:pPr>
            <w:r w:rsidRPr="004D28A6">
              <w:rPr>
                <w:rFonts w:cstheme="minorHAnsi"/>
                <w:kern w:val="24"/>
                <w:szCs w:val="24"/>
              </w:rPr>
              <w:t>28</w:t>
            </w:r>
          </w:p>
        </w:tc>
        <w:tc>
          <w:tcPr>
            <w:tcW w:w="703" w:type="dxa"/>
            <w:shd w:val="clear" w:color="auto" w:fill="DEEAF6" w:themeFill="accent5" w:themeFillTint="33"/>
            <w:vAlign w:val="bottom"/>
            <w:hideMark/>
          </w:tcPr>
          <w:p w14:paraId="5FB3FC9D" w14:textId="64C456AC" w:rsidR="004D28A6" w:rsidRPr="004D28A6" w:rsidRDefault="004D28A6" w:rsidP="004D28A6">
            <w:pPr>
              <w:jc w:val="right"/>
              <w:rPr>
                <w:rFonts w:cstheme="minorHAnsi"/>
                <w:szCs w:val="24"/>
              </w:rPr>
            </w:pPr>
            <w:r w:rsidRPr="004D28A6">
              <w:rPr>
                <w:rFonts w:cstheme="minorHAnsi"/>
                <w:kern w:val="24"/>
                <w:szCs w:val="24"/>
              </w:rPr>
              <w:t>28%</w:t>
            </w:r>
          </w:p>
        </w:tc>
        <w:tc>
          <w:tcPr>
            <w:tcW w:w="704" w:type="dxa"/>
            <w:vAlign w:val="bottom"/>
            <w:hideMark/>
          </w:tcPr>
          <w:p w14:paraId="16EEFD83" w14:textId="72FF1FDC" w:rsidR="004D28A6" w:rsidRPr="004D28A6" w:rsidRDefault="004D28A6" w:rsidP="004D28A6">
            <w:pPr>
              <w:jc w:val="right"/>
              <w:rPr>
                <w:rFonts w:cstheme="minorHAnsi"/>
                <w:szCs w:val="24"/>
              </w:rPr>
            </w:pPr>
            <w:r w:rsidRPr="004D28A6">
              <w:rPr>
                <w:rFonts w:cstheme="minorHAnsi"/>
                <w:kern w:val="24"/>
                <w:szCs w:val="24"/>
              </w:rPr>
              <w:t>29</w:t>
            </w:r>
          </w:p>
        </w:tc>
        <w:tc>
          <w:tcPr>
            <w:tcW w:w="704" w:type="dxa"/>
            <w:vAlign w:val="bottom"/>
            <w:hideMark/>
          </w:tcPr>
          <w:p w14:paraId="69804256" w14:textId="11993A07" w:rsidR="004D28A6" w:rsidRPr="004D28A6" w:rsidRDefault="004D28A6" w:rsidP="004D28A6">
            <w:pPr>
              <w:jc w:val="right"/>
              <w:rPr>
                <w:rFonts w:cstheme="minorHAnsi"/>
                <w:szCs w:val="24"/>
              </w:rPr>
            </w:pPr>
            <w:r w:rsidRPr="004D28A6">
              <w:rPr>
                <w:rFonts w:cstheme="minorHAnsi"/>
                <w:kern w:val="24"/>
                <w:szCs w:val="24"/>
              </w:rPr>
              <w:t>33%</w:t>
            </w:r>
          </w:p>
        </w:tc>
        <w:tc>
          <w:tcPr>
            <w:tcW w:w="704" w:type="dxa"/>
            <w:shd w:val="clear" w:color="auto" w:fill="DEEAF6" w:themeFill="accent5" w:themeFillTint="33"/>
            <w:vAlign w:val="bottom"/>
            <w:hideMark/>
          </w:tcPr>
          <w:p w14:paraId="787DBC79" w14:textId="344D51B8" w:rsidR="004D28A6" w:rsidRPr="004D28A6" w:rsidRDefault="004D28A6" w:rsidP="004D28A6">
            <w:pPr>
              <w:jc w:val="right"/>
              <w:rPr>
                <w:rFonts w:cstheme="minorHAnsi"/>
                <w:szCs w:val="24"/>
              </w:rPr>
            </w:pPr>
            <w:r w:rsidRPr="004D28A6">
              <w:rPr>
                <w:rFonts w:cstheme="minorHAnsi"/>
                <w:kern w:val="24"/>
                <w:szCs w:val="24"/>
              </w:rPr>
              <w:t>13</w:t>
            </w:r>
          </w:p>
        </w:tc>
        <w:tc>
          <w:tcPr>
            <w:tcW w:w="704" w:type="dxa"/>
            <w:shd w:val="clear" w:color="auto" w:fill="DEEAF6" w:themeFill="accent5" w:themeFillTint="33"/>
            <w:vAlign w:val="bottom"/>
            <w:hideMark/>
          </w:tcPr>
          <w:p w14:paraId="0AB468FE" w14:textId="094C6F32" w:rsidR="004D28A6" w:rsidRPr="004D28A6" w:rsidRDefault="004D28A6" w:rsidP="004D28A6">
            <w:pPr>
              <w:jc w:val="right"/>
              <w:rPr>
                <w:rFonts w:cstheme="minorHAnsi"/>
                <w:szCs w:val="24"/>
              </w:rPr>
            </w:pPr>
            <w:r w:rsidRPr="004D28A6">
              <w:rPr>
                <w:rFonts w:cstheme="minorHAnsi"/>
                <w:kern w:val="24"/>
                <w:szCs w:val="24"/>
              </w:rPr>
              <w:t>24%</w:t>
            </w:r>
          </w:p>
        </w:tc>
      </w:tr>
      <w:tr w:rsidR="001067E9" w:rsidRPr="00991A6F" w14:paraId="27D2DA4C" w14:textId="77777777" w:rsidTr="003014B5">
        <w:trPr>
          <w:trHeight w:val="20"/>
        </w:trPr>
        <w:tc>
          <w:tcPr>
            <w:tcW w:w="2322" w:type="dxa"/>
            <w:hideMark/>
          </w:tcPr>
          <w:p w14:paraId="3775855A" w14:textId="77777777" w:rsidR="004D28A6" w:rsidRPr="004D28A6" w:rsidRDefault="004D28A6" w:rsidP="004D28A6">
            <w:pPr>
              <w:rPr>
                <w:szCs w:val="24"/>
              </w:rPr>
            </w:pPr>
            <w:r w:rsidRPr="004D28A6">
              <w:rPr>
                <w:b/>
                <w:bCs/>
                <w:szCs w:val="24"/>
              </w:rPr>
              <w:t>Race/Ethnicity:</w:t>
            </w:r>
          </w:p>
        </w:tc>
        <w:tc>
          <w:tcPr>
            <w:tcW w:w="703" w:type="dxa"/>
            <w:shd w:val="clear" w:color="auto" w:fill="DEEAF6" w:themeFill="accent5" w:themeFillTint="33"/>
            <w:vAlign w:val="bottom"/>
            <w:hideMark/>
          </w:tcPr>
          <w:p w14:paraId="3289A031"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64D3511D" w14:textId="77777777" w:rsidR="004D28A6" w:rsidRPr="004D28A6" w:rsidRDefault="004D28A6" w:rsidP="004D28A6">
            <w:pPr>
              <w:jc w:val="right"/>
              <w:rPr>
                <w:rFonts w:cstheme="minorHAnsi"/>
                <w:szCs w:val="24"/>
              </w:rPr>
            </w:pPr>
          </w:p>
        </w:tc>
        <w:tc>
          <w:tcPr>
            <w:tcW w:w="704" w:type="dxa"/>
            <w:vAlign w:val="bottom"/>
            <w:hideMark/>
          </w:tcPr>
          <w:p w14:paraId="19DBB328" w14:textId="77777777" w:rsidR="004D28A6" w:rsidRPr="004D28A6" w:rsidRDefault="004D28A6" w:rsidP="004D28A6">
            <w:pPr>
              <w:jc w:val="right"/>
              <w:rPr>
                <w:rFonts w:cstheme="minorHAnsi"/>
                <w:szCs w:val="24"/>
              </w:rPr>
            </w:pPr>
          </w:p>
        </w:tc>
        <w:tc>
          <w:tcPr>
            <w:tcW w:w="704" w:type="dxa"/>
            <w:vAlign w:val="bottom"/>
            <w:hideMark/>
          </w:tcPr>
          <w:p w14:paraId="1C74D568"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492BC262" w14:textId="77777777" w:rsidR="004D28A6" w:rsidRPr="004D28A6" w:rsidRDefault="004D28A6" w:rsidP="004D28A6">
            <w:pPr>
              <w:jc w:val="right"/>
              <w:rPr>
                <w:rFonts w:cstheme="minorHAnsi"/>
                <w:szCs w:val="24"/>
              </w:rPr>
            </w:pPr>
          </w:p>
        </w:tc>
        <w:tc>
          <w:tcPr>
            <w:tcW w:w="703" w:type="dxa"/>
            <w:shd w:val="clear" w:color="auto" w:fill="DEEAF6" w:themeFill="accent5" w:themeFillTint="33"/>
            <w:vAlign w:val="bottom"/>
            <w:hideMark/>
          </w:tcPr>
          <w:p w14:paraId="2ECD0E02" w14:textId="77777777" w:rsidR="004D28A6" w:rsidRPr="004D28A6" w:rsidRDefault="004D28A6" w:rsidP="004D28A6">
            <w:pPr>
              <w:jc w:val="right"/>
              <w:rPr>
                <w:rFonts w:cstheme="minorHAnsi"/>
                <w:szCs w:val="24"/>
              </w:rPr>
            </w:pPr>
          </w:p>
        </w:tc>
        <w:tc>
          <w:tcPr>
            <w:tcW w:w="704" w:type="dxa"/>
            <w:vAlign w:val="bottom"/>
            <w:hideMark/>
          </w:tcPr>
          <w:p w14:paraId="0B9F257E" w14:textId="77777777" w:rsidR="004D28A6" w:rsidRPr="004D28A6" w:rsidRDefault="004D28A6" w:rsidP="004D28A6">
            <w:pPr>
              <w:jc w:val="right"/>
              <w:rPr>
                <w:rFonts w:cstheme="minorHAnsi"/>
                <w:szCs w:val="24"/>
              </w:rPr>
            </w:pPr>
          </w:p>
        </w:tc>
        <w:tc>
          <w:tcPr>
            <w:tcW w:w="704" w:type="dxa"/>
            <w:vAlign w:val="bottom"/>
            <w:hideMark/>
          </w:tcPr>
          <w:p w14:paraId="736E002D"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5E09C165"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374D340E" w14:textId="77777777" w:rsidR="004D28A6" w:rsidRPr="004D28A6" w:rsidRDefault="004D28A6" w:rsidP="004D28A6">
            <w:pPr>
              <w:jc w:val="right"/>
              <w:rPr>
                <w:rFonts w:cstheme="minorHAnsi"/>
                <w:szCs w:val="24"/>
              </w:rPr>
            </w:pPr>
          </w:p>
        </w:tc>
      </w:tr>
      <w:tr w:rsidR="001067E9" w:rsidRPr="00991A6F" w14:paraId="7360EDA0" w14:textId="77777777" w:rsidTr="003014B5">
        <w:trPr>
          <w:trHeight w:val="20"/>
        </w:trPr>
        <w:tc>
          <w:tcPr>
            <w:tcW w:w="2322" w:type="dxa"/>
            <w:hideMark/>
          </w:tcPr>
          <w:p w14:paraId="5F0D6DF3" w14:textId="77777777" w:rsidR="004D28A6" w:rsidRPr="004D28A6" w:rsidRDefault="004D28A6" w:rsidP="004D28A6">
            <w:pPr>
              <w:rPr>
                <w:szCs w:val="24"/>
              </w:rPr>
            </w:pPr>
            <w:r w:rsidRPr="004D28A6">
              <w:rPr>
                <w:szCs w:val="24"/>
              </w:rPr>
              <w:t>White NH</w:t>
            </w:r>
          </w:p>
        </w:tc>
        <w:tc>
          <w:tcPr>
            <w:tcW w:w="703" w:type="dxa"/>
            <w:shd w:val="clear" w:color="auto" w:fill="DEEAF6" w:themeFill="accent5" w:themeFillTint="33"/>
            <w:vAlign w:val="bottom"/>
            <w:hideMark/>
          </w:tcPr>
          <w:p w14:paraId="213FE30A" w14:textId="7C9D7A69" w:rsidR="004D28A6" w:rsidRPr="004D28A6" w:rsidRDefault="004D28A6" w:rsidP="004D28A6">
            <w:pPr>
              <w:jc w:val="right"/>
              <w:rPr>
                <w:rFonts w:cstheme="minorHAnsi"/>
                <w:szCs w:val="24"/>
              </w:rPr>
            </w:pPr>
            <w:r w:rsidRPr="004D28A6">
              <w:rPr>
                <w:rFonts w:cstheme="minorHAnsi"/>
                <w:kern w:val="24"/>
                <w:szCs w:val="24"/>
              </w:rPr>
              <w:t>66</w:t>
            </w:r>
          </w:p>
        </w:tc>
        <w:tc>
          <w:tcPr>
            <w:tcW w:w="704" w:type="dxa"/>
            <w:shd w:val="clear" w:color="auto" w:fill="DEEAF6" w:themeFill="accent5" w:themeFillTint="33"/>
            <w:vAlign w:val="bottom"/>
            <w:hideMark/>
          </w:tcPr>
          <w:p w14:paraId="2AF5AF5B" w14:textId="58E720FA" w:rsidR="004D28A6" w:rsidRPr="004D28A6" w:rsidRDefault="004D28A6" w:rsidP="004D28A6">
            <w:pPr>
              <w:jc w:val="right"/>
              <w:rPr>
                <w:rFonts w:cstheme="minorHAnsi"/>
                <w:szCs w:val="24"/>
              </w:rPr>
            </w:pPr>
            <w:r w:rsidRPr="004D28A6">
              <w:rPr>
                <w:rFonts w:cstheme="minorHAnsi"/>
                <w:kern w:val="24"/>
                <w:szCs w:val="24"/>
              </w:rPr>
              <w:t>61%</w:t>
            </w:r>
          </w:p>
        </w:tc>
        <w:tc>
          <w:tcPr>
            <w:tcW w:w="704" w:type="dxa"/>
            <w:vAlign w:val="bottom"/>
            <w:hideMark/>
          </w:tcPr>
          <w:p w14:paraId="2E54FCCB" w14:textId="4708D6AD" w:rsidR="004D28A6" w:rsidRPr="004D28A6" w:rsidRDefault="004D28A6" w:rsidP="004D28A6">
            <w:pPr>
              <w:jc w:val="right"/>
              <w:rPr>
                <w:rFonts w:cstheme="minorHAnsi"/>
                <w:szCs w:val="24"/>
              </w:rPr>
            </w:pPr>
            <w:r w:rsidRPr="004D28A6">
              <w:rPr>
                <w:rFonts w:cstheme="minorHAnsi"/>
                <w:kern w:val="24"/>
                <w:szCs w:val="24"/>
              </w:rPr>
              <w:t>48</w:t>
            </w:r>
          </w:p>
        </w:tc>
        <w:tc>
          <w:tcPr>
            <w:tcW w:w="704" w:type="dxa"/>
            <w:vAlign w:val="bottom"/>
            <w:hideMark/>
          </w:tcPr>
          <w:p w14:paraId="0D72BD35" w14:textId="2E16968D" w:rsidR="004D28A6" w:rsidRPr="004D28A6" w:rsidRDefault="004D28A6" w:rsidP="004D28A6">
            <w:pPr>
              <w:jc w:val="right"/>
              <w:rPr>
                <w:rFonts w:cstheme="minorHAnsi"/>
                <w:szCs w:val="24"/>
              </w:rPr>
            </w:pPr>
            <w:r w:rsidRPr="004D28A6">
              <w:rPr>
                <w:rFonts w:cstheme="minorHAnsi"/>
                <w:kern w:val="24"/>
                <w:szCs w:val="24"/>
              </w:rPr>
              <w:t>59%</w:t>
            </w:r>
          </w:p>
        </w:tc>
        <w:tc>
          <w:tcPr>
            <w:tcW w:w="704" w:type="dxa"/>
            <w:shd w:val="clear" w:color="auto" w:fill="DEEAF6" w:themeFill="accent5" w:themeFillTint="33"/>
            <w:vAlign w:val="bottom"/>
            <w:hideMark/>
          </w:tcPr>
          <w:p w14:paraId="05D15C58" w14:textId="487C487A" w:rsidR="004D28A6" w:rsidRPr="004D28A6" w:rsidRDefault="004D28A6" w:rsidP="004D28A6">
            <w:pPr>
              <w:jc w:val="right"/>
              <w:rPr>
                <w:rFonts w:cstheme="minorHAnsi"/>
                <w:szCs w:val="24"/>
              </w:rPr>
            </w:pPr>
            <w:r w:rsidRPr="004D28A6">
              <w:rPr>
                <w:rFonts w:cstheme="minorHAnsi"/>
                <w:kern w:val="24"/>
                <w:szCs w:val="24"/>
              </w:rPr>
              <w:t>74</w:t>
            </w:r>
          </w:p>
        </w:tc>
        <w:tc>
          <w:tcPr>
            <w:tcW w:w="703" w:type="dxa"/>
            <w:shd w:val="clear" w:color="auto" w:fill="DEEAF6" w:themeFill="accent5" w:themeFillTint="33"/>
            <w:vAlign w:val="bottom"/>
            <w:hideMark/>
          </w:tcPr>
          <w:p w14:paraId="4BD05763" w14:textId="7533CF32" w:rsidR="004D28A6" w:rsidRPr="004D28A6" w:rsidRDefault="004D28A6" w:rsidP="004D28A6">
            <w:pPr>
              <w:jc w:val="right"/>
              <w:rPr>
                <w:rFonts w:cstheme="minorHAnsi"/>
                <w:szCs w:val="24"/>
              </w:rPr>
            </w:pPr>
            <w:r w:rsidRPr="004D28A6">
              <w:rPr>
                <w:rFonts w:cstheme="minorHAnsi"/>
                <w:kern w:val="24"/>
                <w:szCs w:val="24"/>
              </w:rPr>
              <w:t>75%</w:t>
            </w:r>
          </w:p>
        </w:tc>
        <w:tc>
          <w:tcPr>
            <w:tcW w:w="704" w:type="dxa"/>
            <w:vAlign w:val="bottom"/>
            <w:hideMark/>
          </w:tcPr>
          <w:p w14:paraId="12B54C61" w14:textId="3187E311" w:rsidR="004D28A6" w:rsidRPr="004D28A6" w:rsidRDefault="004D28A6" w:rsidP="004D28A6">
            <w:pPr>
              <w:jc w:val="right"/>
              <w:rPr>
                <w:rFonts w:cstheme="minorHAnsi"/>
                <w:szCs w:val="24"/>
              </w:rPr>
            </w:pPr>
            <w:r w:rsidRPr="004D28A6">
              <w:rPr>
                <w:rFonts w:cstheme="minorHAnsi"/>
                <w:kern w:val="24"/>
                <w:szCs w:val="24"/>
              </w:rPr>
              <w:t>60</w:t>
            </w:r>
          </w:p>
        </w:tc>
        <w:tc>
          <w:tcPr>
            <w:tcW w:w="704" w:type="dxa"/>
            <w:vAlign w:val="bottom"/>
            <w:hideMark/>
          </w:tcPr>
          <w:p w14:paraId="503FEFCB" w14:textId="4C6AD01E" w:rsidR="004D28A6" w:rsidRPr="004D28A6" w:rsidRDefault="004D28A6" w:rsidP="004D28A6">
            <w:pPr>
              <w:jc w:val="right"/>
              <w:rPr>
                <w:rFonts w:cstheme="minorHAnsi"/>
                <w:szCs w:val="24"/>
              </w:rPr>
            </w:pPr>
            <w:r w:rsidRPr="004D28A6">
              <w:rPr>
                <w:rFonts w:cstheme="minorHAnsi"/>
                <w:kern w:val="24"/>
                <w:szCs w:val="24"/>
              </w:rPr>
              <w:t>67%</w:t>
            </w:r>
          </w:p>
        </w:tc>
        <w:tc>
          <w:tcPr>
            <w:tcW w:w="704" w:type="dxa"/>
            <w:shd w:val="clear" w:color="auto" w:fill="DEEAF6" w:themeFill="accent5" w:themeFillTint="33"/>
            <w:vAlign w:val="bottom"/>
            <w:hideMark/>
          </w:tcPr>
          <w:p w14:paraId="3FDF0E52" w14:textId="0CFC62F8" w:rsidR="004D28A6" w:rsidRPr="004D28A6" w:rsidRDefault="004D28A6" w:rsidP="004D28A6">
            <w:pPr>
              <w:jc w:val="right"/>
              <w:rPr>
                <w:rFonts w:cstheme="minorHAnsi"/>
                <w:szCs w:val="24"/>
              </w:rPr>
            </w:pPr>
            <w:r w:rsidRPr="004D28A6">
              <w:rPr>
                <w:rFonts w:cstheme="minorHAnsi"/>
                <w:kern w:val="24"/>
                <w:szCs w:val="24"/>
              </w:rPr>
              <w:t>36</w:t>
            </w:r>
          </w:p>
        </w:tc>
        <w:tc>
          <w:tcPr>
            <w:tcW w:w="704" w:type="dxa"/>
            <w:shd w:val="clear" w:color="auto" w:fill="DEEAF6" w:themeFill="accent5" w:themeFillTint="33"/>
            <w:vAlign w:val="bottom"/>
            <w:hideMark/>
          </w:tcPr>
          <w:p w14:paraId="6B3535E1" w14:textId="06579BD0" w:rsidR="004D28A6" w:rsidRPr="004D28A6" w:rsidRDefault="004D28A6" w:rsidP="004D28A6">
            <w:pPr>
              <w:jc w:val="right"/>
              <w:rPr>
                <w:rFonts w:cstheme="minorHAnsi"/>
                <w:szCs w:val="24"/>
              </w:rPr>
            </w:pPr>
            <w:r w:rsidRPr="004D28A6">
              <w:rPr>
                <w:rFonts w:cstheme="minorHAnsi"/>
                <w:kern w:val="24"/>
                <w:szCs w:val="24"/>
              </w:rPr>
              <w:t>67%</w:t>
            </w:r>
          </w:p>
        </w:tc>
      </w:tr>
      <w:tr w:rsidR="001067E9" w:rsidRPr="00991A6F" w14:paraId="4A3DC36F" w14:textId="77777777" w:rsidTr="003014B5">
        <w:trPr>
          <w:trHeight w:val="20"/>
        </w:trPr>
        <w:tc>
          <w:tcPr>
            <w:tcW w:w="2322" w:type="dxa"/>
            <w:hideMark/>
          </w:tcPr>
          <w:p w14:paraId="6888FAC0" w14:textId="77777777" w:rsidR="004D28A6" w:rsidRPr="004D28A6" w:rsidRDefault="004D28A6" w:rsidP="004D28A6">
            <w:pPr>
              <w:rPr>
                <w:szCs w:val="24"/>
              </w:rPr>
            </w:pPr>
            <w:r w:rsidRPr="004D28A6">
              <w:rPr>
                <w:szCs w:val="24"/>
              </w:rPr>
              <w:t>Black NH</w:t>
            </w:r>
          </w:p>
        </w:tc>
        <w:tc>
          <w:tcPr>
            <w:tcW w:w="703" w:type="dxa"/>
            <w:shd w:val="clear" w:color="auto" w:fill="DEEAF6" w:themeFill="accent5" w:themeFillTint="33"/>
            <w:vAlign w:val="bottom"/>
            <w:hideMark/>
          </w:tcPr>
          <w:p w14:paraId="6A0879AE" w14:textId="48927B5A" w:rsidR="004D28A6" w:rsidRPr="004D28A6" w:rsidRDefault="004D28A6" w:rsidP="004D28A6">
            <w:pPr>
              <w:jc w:val="right"/>
              <w:rPr>
                <w:rFonts w:cstheme="minorHAnsi"/>
                <w:szCs w:val="24"/>
              </w:rPr>
            </w:pPr>
            <w:r w:rsidRPr="004D28A6">
              <w:rPr>
                <w:rFonts w:cstheme="minorHAnsi"/>
                <w:kern w:val="24"/>
                <w:szCs w:val="24"/>
              </w:rPr>
              <w:t>11</w:t>
            </w:r>
          </w:p>
        </w:tc>
        <w:tc>
          <w:tcPr>
            <w:tcW w:w="704" w:type="dxa"/>
            <w:shd w:val="clear" w:color="auto" w:fill="DEEAF6" w:themeFill="accent5" w:themeFillTint="33"/>
            <w:vAlign w:val="bottom"/>
            <w:hideMark/>
          </w:tcPr>
          <w:p w14:paraId="6230F18F" w14:textId="3F34625E" w:rsidR="004D28A6" w:rsidRPr="004D28A6" w:rsidRDefault="004D28A6" w:rsidP="004D28A6">
            <w:pPr>
              <w:jc w:val="right"/>
              <w:rPr>
                <w:rFonts w:cstheme="minorHAnsi"/>
                <w:szCs w:val="24"/>
              </w:rPr>
            </w:pPr>
            <w:r w:rsidRPr="004D28A6">
              <w:rPr>
                <w:rFonts w:cstheme="minorHAnsi"/>
                <w:kern w:val="24"/>
                <w:szCs w:val="24"/>
              </w:rPr>
              <w:t>10%</w:t>
            </w:r>
          </w:p>
        </w:tc>
        <w:tc>
          <w:tcPr>
            <w:tcW w:w="704" w:type="dxa"/>
            <w:vAlign w:val="bottom"/>
            <w:hideMark/>
          </w:tcPr>
          <w:p w14:paraId="0AAFE3A1" w14:textId="5D2469C3" w:rsidR="004D28A6" w:rsidRPr="004D28A6" w:rsidRDefault="004D28A6" w:rsidP="004D28A6">
            <w:pPr>
              <w:jc w:val="right"/>
              <w:rPr>
                <w:rFonts w:cstheme="minorHAnsi"/>
                <w:szCs w:val="24"/>
              </w:rPr>
            </w:pPr>
            <w:r w:rsidRPr="004D28A6">
              <w:rPr>
                <w:rFonts w:cstheme="minorHAnsi"/>
                <w:kern w:val="24"/>
                <w:szCs w:val="24"/>
              </w:rPr>
              <w:t>14</w:t>
            </w:r>
          </w:p>
        </w:tc>
        <w:tc>
          <w:tcPr>
            <w:tcW w:w="704" w:type="dxa"/>
            <w:vAlign w:val="bottom"/>
            <w:hideMark/>
          </w:tcPr>
          <w:p w14:paraId="18BC4173" w14:textId="15C05726" w:rsidR="004D28A6" w:rsidRPr="004D28A6" w:rsidRDefault="004D28A6" w:rsidP="004D28A6">
            <w:pPr>
              <w:jc w:val="right"/>
              <w:rPr>
                <w:rFonts w:cstheme="minorHAnsi"/>
                <w:szCs w:val="24"/>
              </w:rPr>
            </w:pPr>
            <w:r w:rsidRPr="004D28A6">
              <w:rPr>
                <w:rFonts w:cstheme="minorHAnsi"/>
                <w:kern w:val="24"/>
                <w:szCs w:val="24"/>
              </w:rPr>
              <w:t>17%</w:t>
            </w:r>
          </w:p>
        </w:tc>
        <w:tc>
          <w:tcPr>
            <w:tcW w:w="704" w:type="dxa"/>
            <w:shd w:val="clear" w:color="auto" w:fill="DEEAF6" w:themeFill="accent5" w:themeFillTint="33"/>
            <w:vAlign w:val="bottom"/>
            <w:hideMark/>
          </w:tcPr>
          <w:p w14:paraId="0927A7D5" w14:textId="29E0F1DF" w:rsidR="004D28A6" w:rsidRPr="004D28A6" w:rsidRDefault="004D28A6" w:rsidP="004D28A6">
            <w:pPr>
              <w:jc w:val="right"/>
              <w:rPr>
                <w:rFonts w:cstheme="minorHAnsi"/>
                <w:szCs w:val="24"/>
              </w:rPr>
            </w:pPr>
            <w:r w:rsidRPr="004D28A6">
              <w:rPr>
                <w:rFonts w:cstheme="minorHAnsi"/>
                <w:kern w:val="24"/>
                <w:szCs w:val="24"/>
              </w:rPr>
              <w:t>10</w:t>
            </w:r>
          </w:p>
        </w:tc>
        <w:tc>
          <w:tcPr>
            <w:tcW w:w="703" w:type="dxa"/>
            <w:shd w:val="clear" w:color="auto" w:fill="DEEAF6" w:themeFill="accent5" w:themeFillTint="33"/>
            <w:vAlign w:val="bottom"/>
            <w:hideMark/>
          </w:tcPr>
          <w:p w14:paraId="515E3BB1" w14:textId="19FD9C9F" w:rsidR="004D28A6" w:rsidRPr="004D28A6" w:rsidRDefault="004D28A6" w:rsidP="004D28A6">
            <w:pPr>
              <w:jc w:val="right"/>
              <w:rPr>
                <w:rFonts w:cstheme="minorHAnsi"/>
                <w:szCs w:val="24"/>
              </w:rPr>
            </w:pPr>
            <w:r w:rsidRPr="004D28A6">
              <w:rPr>
                <w:rFonts w:cstheme="minorHAnsi"/>
                <w:kern w:val="24"/>
                <w:szCs w:val="24"/>
              </w:rPr>
              <w:t>10%</w:t>
            </w:r>
          </w:p>
        </w:tc>
        <w:tc>
          <w:tcPr>
            <w:tcW w:w="704" w:type="dxa"/>
            <w:vAlign w:val="bottom"/>
            <w:hideMark/>
          </w:tcPr>
          <w:p w14:paraId="2724E0AD" w14:textId="6EEF3774" w:rsidR="004D28A6" w:rsidRPr="004D28A6" w:rsidRDefault="004D28A6" w:rsidP="004D28A6">
            <w:pPr>
              <w:jc w:val="right"/>
              <w:rPr>
                <w:rFonts w:cstheme="minorHAnsi"/>
                <w:szCs w:val="24"/>
              </w:rPr>
            </w:pPr>
            <w:r w:rsidRPr="004D28A6">
              <w:rPr>
                <w:rFonts w:cstheme="minorHAnsi"/>
                <w:kern w:val="24"/>
                <w:szCs w:val="24"/>
              </w:rPr>
              <w:t>10</w:t>
            </w:r>
          </w:p>
        </w:tc>
        <w:tc>
          <w:tcPr>
            <w:tcW w:w="704" w:type="dxa"/>
            <w:vAlign w:val="bottom"/>
            <w:hideMark/>
          </w:tcPr>
          <w:p w14:paraId="4CCC0B7D" w14:textId="35C96E8B" w:rsidR="004D28A6" w:rsidRPr="004D28A6" w:rsidRDefault="004D28A6" w:rsidP="004D28A6">
            <w:pPr>
              <w:jc w:val="right"/>
              <w:rPr>
                <w:rFonts w:cstheme="minorHAnsi"/>
                <w:szCs w:val="24"/>
              </w:rPr>
            </w:pPr>
            <w:r w:rsidRPr="004D28A6">
              <w:rPr>
                <w:rFonts w:cstheme="minorHAnsi"/>
                <w:kern w:val="24"/>
                <w:szCs w:val="24"/>
              </w:rPr>
              <w:t>11%</w:t>
            </w:r>
          </w:p>
        </w:tc>
        <w:tc>
          <w:tcPr>
            <w:tcW w:w="704" w:type="dxa"/>
            <w:shd w:val="clear" w:color="auto" w:fill="DEEAF6" w:themeFill="accent5" w:themeFillTint="33"/>
            <w:vAlign w:val="bottom"/>
            <w:hideMark/>
          </w:tcPr>
          <w:p w14:paraId="4AE18E8E" w14:textId="76768C38" w:rsidR="004D28A6" w:rsidRPr="004D28A6" w:rsidRDefault="004D28A6" w:rsidP="004D28A6">
            <w:pPr>
              <w:jc w:val="right"/>
              <w:rPr>
                <w:rFonts w:cstheme="minorHAnsi"/>
                <w:szCs w:val="24"/>
              </w:rPr>
            </w:pPr>
            <w:r w:rsidRPr="004D28A6">
              <w:rPr>
                <w:rFonts w:cstheme="minorHAnsi"/>
                <w:kern w:val="24"/>
                <w:szCs w:val="24"/>
              </w:rPr>
              <w:t>2</w:t>
            </w:r>
          </w:p>
        </w:tc>
        <w:tc>
          <w:tcPr>
            <w:tcW w:w="704" w:type="dxa"/>
            <w:shd w:val="clear" w:color="auto" w:fill="DEEAF6" w:themeFill="accent5" w:themeFillTint="33"/>
            <w:vAlign w:val="bottom"/>
            <w:hideMark/>
          </w:tcPr>
          <w:p w14:paraId="4A26B6C0" w14:textId="173E19ED" w:rsidR="004D28A6" w:rsidRPr="004D28A6" w:rsidRDefault="004D28A6" w:rsidP="004D28A6">
            <w:pPr>
              <w:jc w:val="right"/>
              <w:rPr>
                <w:rFonts w:cstheme="minorHAnsi"/>
                <w:szCs w:val="24"/>
              </w:rPr>
            </w:pPr>
            <w:r w:rsidRPr="004D28A6">
              <w:rPr>
                <w:rFonts w:cstheme="minorHAnsi"/>
                <w:kern w:val="24"/>
                <w:szCs w:val="24"/>
              </w:rPr>
              <w:t>4%</w:t>
            </w:r>
          </w:p>
        </w:tc>
      </w:tr>
      <w:tr w:rsidR="001067E9" w:rsidRPr="00991A6F" w14:paraId="3D2A27FF" w14:textId="77777777" w:rsidTr="003014B5">
        <w:trPr>
          <w:trHeight w:val="20"/>
        </w:trPr>
        <w:tc>
          <w:tcPr>
            <w:tcW w:w="2322" w:type="dxa"/>
            <w:hideMark/>
          </w:tcPr>
          <w:p w14:paraId="3E7F5171" w14:textId="77777777" w:rsidR="004D28A6" w:rsidRPr="004D28A6" w:rsidRDefault="004D28A6" w:rsidP="004D28A6">
            <w:pPr>
              <w:rPr>
                <w:szCs w:val="24"/>
              </w:rPr>
            </w:pPr>
            <w:r w:rsidRPr="004D28A6">
              <w:rPr>
                <w:szCs w:val="24"/>
              </w:rPr>
              <w:t>Hispanic/Latino</w:t>
            </w:r>
          </w:p>
        </w:tc>
        <w:tc>
          <w:tcPr>
            <w:tcW w:w="703" w:type="dxa"/>
            <w:shd w:val="clear" w:color="auto" w:fill="DEEAF6" w:themeFill="accent5" w:themeFillTint="33"/>
            <w:vAlign w:val="bottom"/>
            <w:hideMark/>
          </w:tcPr>
          <w:p w14:paraId="356426E8" w14:textId="6703E729" w:rsidR="004D28A6" w:rsidRPr="004D28A6" w:rsidRDefault="004D28A6" w:rsidP="004D28A6">
            <w:pPr>
              <w:jc w:val="right"/>
              <w:rPr>
                <w:rFonts w:cstheme="minorHAnsi"/>
                <w:szCs w:val="24"/>
              </w:rPr>
            </w:pPr>
            <w:r w:rsidRPr="004D28A6">
              <w:rPr>
                <w:rFonts w:cstheme="minorHAnsi"/>
                <w:kern w:val="24"/>
                <w:szCs w:val="24"/>
              </w:rPr>
              <w:t>32</w:t>
            </w:r>
          </w:p>
        </w:tc>
        <w:tc>
          <w:tcPr>
            <w:tcW w:w="704" w:type="dxa"/>
            <w:shd w:val="clear" w:color="auto" w:fill="DEEAF6" w:themeFill="accent5" w:themeFillTint="33"/>
            <w:vAlign w:val="bottom"/>
            <w:hideMark/>
          </w:tcPr>
          <w:p w14:paraId="5E35575D" w14:textId="6446CA74" w:rsidR="004D28A6" w:rsidRPr="004D28A6" w:rsidRDefault="004D28A6" w:rsidP="004D28A6">
            <w:pPr>
              <w:jc w:val="right"/>
              <w:rPr>
                <w:rFonts w:cstheme="minorHAnsi"/>
                <w:szCs w:val="24"/>
              </w:rPr>
            </w:pPr>
            <w:r w:rsidRPr="004D28A6">
              <w:rPr>
                <w:rFonts w:cstheme="minorHAnsi"/>
                <w:kern w:val="24"/>
                <w:szCs w:val="24"/>
              </w:rPr>
              <w:t>29%</w:t>
            </w:r>
          </w:p>
        </w:tc>
        <w:tc>
          <w:tcPr>
            <w:tcW w:w="704" w:type="dxa"/>
            <w:vAlign w:val="bottom"/>
            <w:hideMark/>
          </w:tcPr>
          <w:p w14:paraId="3F6576C2" w14:textId="26E894E2" w:rsidR="004D28A6" w:rsidRPr="004D28A6" w:rsidRDefault="004D28A6" w:rsidP="004D28A6">
            <w:pPr>
              <w:jc w:val="right"/>
              <w:rPr>
                <w:rFonts w:cstheme="minorHAnsi"/>
                <w:szCs w:val="24"/>
              </w:rPr>
            </w:pPr>
            <w:r w:rsidRPr="004D28A6">
              <w:rPr>
                <w:rFonts w:cstheme="minorHAnsi"/>
                <w:kern w:val="24"/>
                <w:szCs w:val="24"/>
              </w:rPr>
              <w:t>15</w:t>
            </w:r>
          </w:p>
        </w:tc>
        <w:tc>
          <w:tcPr>
            <w:tcW w:w="704" w:type="dxa"/>
            <w:vAlign w:val="bottom"/>
            <w:hideMark/>
          </w:tcPr>
          <w:p w14:paraId="3289C080" w14:textId="156D9E2B" w:rsidR="004D28A6" w:rsidRPr="004D28A6" w:rsidRDefault="004D28A6" w:rsidP="004D28A6">
            <w:pPr>
              <w:jc w:val="right"/>
              <w:rPr>
                <w:rFonts w:cstheme="minorHAnsi"/>
                <w:szCs w:val="24"/>
              </w:rPr>
            </w:pPr>
            <w:r w:rsidRPr="004D28A6">
              <w:rPr>
                <w:rFonts w:cstheme="minorHAnsi"/>
                <w:kern w:val="24"/>
                <w:szCs w:val="24"/>
              </w:rPr>
              <w:t>18%</w:t>
            </w:r>
          </w:p>
        </w:tc>
        <w:tc>
          <w:tcPr>
            <w:tcW w:w="704" w:type="dxa"/>
            <w:shd w:val="clear" w:color="auto" w:fill="DEEAF6" w:themeFill="accent5" w:themeFillTint="33"/>
            <w:vAlign w:val="bottom"/>
            <w:hideMark/>
          </w:tcPr>
          <w:p w14:paraId="69AAC809" w14:textId="6E398D39" w:rsidR="004D28A6" w:rsidRPr="004D28A6" w:rsidRDefault="004D28A6" w:rsidP="004D28A6">
            <w:pPr>
              <w:jc w:val="right"/>
              <w:rPr>
                <w:rFonts w:cstheme="minorHAnsi"/>
                <w:szCs w:val="24"/>
              </w:rPr>
            </w:pPr>
            <w:r w:rsidRPr="004D28A6">
              <w:rPr>
                <w:rFonts w:cstheme="minorHAnsi"/>
                <w:kern w:val="24"/>
                <w:szCs w:val="24"/>
              </w:rPr>
              <w:t>15</w:t>
            </w:r>
          </w:p>
        </w:tc>
        <w:tc>
          <w:tcPr>
            <w:tcW w:w="703" w:type="dxa"/>
            <w:shd w:val="clear" w:color="auto" w:fill="DEEAF6" w:themeFill="accent5" w:themeFillTint="33"/>
            <w:vAlign w:val="bottom"/>
            <w:hideMark/>
          </w:tcPr>
          <w:p w14:paraId="57C903CB" w14:textId="5BCB213A" w:rsidR="004D28A6" w:rsidRPr="004D28A6" w:rsidRDefault="004D28A6" w:rsidP="004D28A6">
            <w:pPr>
              <w:jc w:val="right"/>
              <w:rPr>
                <w:rFonts w:cstheme="minorHAnsi"/>
                <w:szCs w:val="24"/>
              </w:rPr>
            </w:pPr>
            <w:r w:rsidRPr="004D28A6">
              <w:rPr>
                <w:rFonts w:cstheme="minorHAnsi"/>
                <w:kern w:val="24"/>
                <w:szCs w:val="24"/>
              </w:rPr>
              <w:t>15%</w:t>
            </w:r>
          </w:p>
        </w:tc>
        <w:tc>
          <w:tcPr>
            <w:tcW w:w="704" w:type="dxa"/>
            <w:vAlign w:val="bottom"/>
            <w:hideMark/>
          </w:tcPr>
          <w:p w14:paraId="55A36C9E" w14:textId="4E0DDF2B" w:rsidR="004D28A6" w:rsidRPr="004D28A6" w:rsidRDefault="004D28A6" w:rsidP="004D28A6">
            <w:pPr>
              <w:jc w:val="right"/>
              <w:rPr>
                <w:rFonts w:cstheme="minorHAnsi"/>
                <w:szCs w:val="24"/>
              </w:rPr>
            </w:pPr>
            <w:r w:rsidRPr="004D28A6">
              <w:rPr>
                <w:rFonts w:cstheme="minorHAnsi"/>
                <w:kern w:val="24"/>
                <w:szCs w:val="24"/>
              </w:rPr>
              <w:t>18</w:t>
            </w:r>
          </w:p>
        </w:tc>
        <w:tc>
          <w:tcPr>
            <w:tcW w:w="704" w:type="dxa"/>
            <w:vAlign w:val="bottom"/>
            <w:hideMark/>
          </w:tcPr>
          <w:p w14:paraId="798ADC7C" w14:textId="370EA7ED" w:rsidR="004D28A6" w:rsidRPr="004D28A6" w:rsidRDefault="004D28A6" w:rsidP="004D28A6">
            <w:pPr>
              <w:jc w:val="right"/>
              <w:rPr>
                <w:rFonts w:cstheme="minorHAnsi"/>
                <w:szCs w:val="24"/>
              </w:rPr>
            </w:pPr>
            <w:r w:rsidRPr="004D28A6">
              <w:rPr>
                <w:rFonts w:cstheme="minorHAnsi"/>
                <w:kern w:val="24"/>
                <w:szCs w:val="24"/>
              </w:rPr>
              <w:t>20%</w:t>
            </w:r>
          </w:p>
        </w:tc>
        <w:tc>
          <w:tcPr>
            <w:tcW w:w="704" w:type="dxa"/>
            <w:shd w:val="clear" w:color="auto" w:fill="DEEAF6" w:themeFill="accent5" w:themeFillTint="33"/>
            <w:vAlign w:val="bottom"/>
            <w:hideMark/>
          </w:tcPr>
          <w:p w14:paraId="5F39813F" w14:textId="4D7F5AD1" w:rsidR="004D28A6" w:rsidRPr="004D28A6" w:rsidRDefault="004D28A6" w:rsidP="004D28A6">
            <w:pPr>
              <w:jc w:val="right"/>
              <w:rPr>
                <w:rFonts w:cstheme="minorHAnsi"/>
                <w:szCs w:val="24"/>
              </w:rPr>
            </w:pPr>
            <w:r w:rsidRPr="004D28A6">
              <w:rPr>
                <w:rFonts w:cstheme="minorHAnsi"/>
                <w:kern w:val="24"/>
                <w:szCs w:val="24"/>
              </w:rPr>
              <w:t>14</w:t>
            </w:r>
          </w:p>
        </w:tc>
        <w:tc>
          <w:tcPr>
            <w:tcW w:w="704" w:type="dxa"/>
            <w:shd w:val="clear" w:color="auto" w:fill="DEEAF6" w:themeFill="accent5" w:themeFillTint="33"/>
            <w:vAlign w:val="bottom"/>
            <w:hideMark/>
          </w:tcPr>
          <w:p w14:paraId="3C2045FF" w14:textId="0E85C8AE" w:rsidR="004D28A6" w:rsidRPr="004D28A6" w:rsidRDefault="004D28A6" w:rsidP="004D28A6">
            <w:pPr>
              <w:jc w:val="right"/>
              <w:rPr>
                <w:rFonts w:cstheme="minorHAnsi"/>
                <w:szCs w:val="24"/>
              </w:rPr>
            </w:pPr>
            <w:r w:rsidRPr="004D28A6">
              <w:rPr>
                <w:rFonts w:cstheme="minorHAnsi"/>
                <w:kern w:val="24"/>
                <w:szCs w:val="24"/>
              </w:rPr>
              <w:t>26%</w:t>
            </w:r>
          </w:p>
        </w:tc>
      </w:tr>
      <w:tr w:rsidR="001067E9" w:rsidRPr="00991A6F" w14:paraId="4469A55B" w14:textId="77777777" w:rsidTr="003014B5">
        <w:trPr>
          <w:trHeight w:val="20"/>
        </w:trPr>
        <w:tc>
          <w:tcPr>
            <w:tcW w:w="2322" w:type="dxa"/>
            <w:hideMark/>
          </w:tcPr>
          <w:p w14:paraId="154D2BBE" w14:textId="53F64F94" w:rsidR="004D28A6" w:rsidRPr="004D28A6" w:rsidRDefault="004D28A6" w:rsidP="004D28A6">
            <w:r w:rsidRPr="004D28A6">
              <w:t>Asian/Pacific Islander NH</w:t>
            </w:r>
          </w:p>
        </w:tc>
        <w:tc>
          <w:tcPr>
            <w:tcW w:w="703" w:type="dxa"/>
            <w:shd w:val="clear" w:color="auto" w:fill="DEEAF6" w:themeFill="accent5" w:themeFillTint="33"/>
            <w:vAlign w:val="bottom"/>
            <w:hideMark/>
          </w:tcPr>
          <w:p w14:paraId="4C93E426" w14:textId="1B9B5B66" w:rsidR="004D28A6" w:rsidRPr="004D28A6" w:rsidRDefault="004D28A6" w:rsidP="004D28A6">
            <w:pPr>
              <w:jc w:val="right"/>
              <w:rPr>
                <w:rFonts w:cstheme="minorHAnsi"/>
                <w:szCs w:val="24"/>
              </w:rPr>
            </w:pPr>
            <w:r w:rsidRPr="004D28A6">
              <w:rPr>
                <w:rFonts w:cstheme="minorHAnsi"/>
                <w:kern w:val="24"/>
                <w:szCs w:val="24"/>
              </w:rPr>
              <w:t>0</w:t>
            </w:r>
          </w:p>
        </w:tc>
        <w:tc>
          <w:tcPr>
            <w:tcW w:w="704" w:type="dxa"/>
            <w:shd w:val="clear" w:color="auto" w:fill="DEEAF6" w:themeFill="accent5" w:themeFillTint="33"/>
            <w:vAlign w:val="bottom"/>
            <w:hideMark/>
          </w:tcPr>
          <w:p w14:paraId="60A4749F" w14:textId="624CF603" w:rsidR="004D28A6" w:rsidRPr="004D28A6" w:rsidRDefault="004D28A6" w:rsidP="004D28A6">
            <w:pPr>
              <w:jc w:val="right"/>
              <w:rPr>
                <w:rFonts w:cstheme="minorHAnsi"/>
                <w:szCs w:val="24"/>
              </w:rPr>
            </w:pPr>
            <w:r w:rsidRPr="004D28A6">
              <w:rPr>
                <w:rFonts w:cstheme="minorHAnsi"/>
                <w:kern w:val="24"/>
                <w:szCs w:val="24"/>
              </w:rPr>
              <w:t>0%</w:t>
            </w:r>
          </w:p>
        </w:tc>
        <w:tc>
          <w:tcPr>
            <w:tcW w:w="704" w:type="dxa"/>
            <w:vAlign w:val="bottom"/>
            <w:hideMark/>
          </w:tcPr>
          <w:p w14:paraId="201AEA67" w14:textId="763DB141" w:rsidR="004D28A6" w:rsidRPr="004D28A6" w:rsidRDefault="004D28A6" w:rsidP="004D28A6">
            <w:pPr>
              <w:jc w:val="right"/>
              <w:rPr>
                <w:rFonts w:cstheme="minorHAnsi"/>
                <w:szCs w:val="24"/>
              </w:rPr>
            </w:pPr>
            <w:r w:rsidRPr="004D28A6">
              <w:rPr>
                <w:rFonts w:cstheme="minorHAnsi"/>
                <w:kern w:val="24"/>
                <w:szCs w:val="24"/>
              </w:rPr>
              <w:t>2</w:t>
            </w:r>
          </w:p>
        </w:tc>
        <w:tc>
          <w:tcPr>
            <w:tcW w:w="704" w:type="dxa"/>
            <w:vAlign w:val="bottom"/>
            <w:hideMark/>
          </w:tcPr>
          <w:p w14:paraId="439F47CF" w14:textId="41F3389C" w:rsidR="004D28A6" w:rsidRPr="004D28A6" w:rsidRDefault="004D28A6" w:rsidP="004D28A6">
            <w:pPr>
              <w:jc w:val="right"/>
              <w:rPr>
                <w:rFonts w:cstheme="minorHAnsi"/>
                <w:szCs w:val="24"/>
              </w:rPr>
            </w:pPr>
            <w:r w:rsidRPr="004D28A6">
              <w:rPr>
                <w:rFonts w:cstheme="minorHAnsi"/>
                <w:kern w:val="24"/>
                <w:szCs w:val="24"/>
              </w:rPr>
              <w:t>2%</w:t>
            </w:r>
          </w:p>
        </w:tc>
        <w:tc>
          <w:tcPr>
            <w:tcW w:w="704" w:type="dxa"/>
            <w:shd w:val="clear" w:color="auto" w:fill="DEEAF6" w:themeFill="accent5" w:themeFillTint="33"/>
            <w:vAlign w:val="bottom"/>
            <w:hideMark/>
          </w:tcPr>
          <w:p w14:paraId="5092BA99" w14:textId="76EFABDF" w:rsidR="004D28A6" w:rsidRPr="004D28A6" w:rsidRDefault="004D28A6" w:rsidP="004D28A6">
            <w:pPr>
              <w:jc w:val="right"/>
              <w:rPr>
                <w:rFonts w:cstheme="minorHAnsi"/>
                <w:szCs w:val="24"/>
              </w:rPr>
            </w:pPr>
            <w:r w:rsidRPr="004D28A6">
              <w:rPr>
                <w:rFonts w:cstheme="minorHAnsi"/>
                <w:kern w:val="24"/>
                <w:szCs w:val="24"/>
              </w:rPr>
              <w:t>0</w:t>
            </w:r>
          </w:p>
        </w:tc>
        <w:tc>
          <w:tcPr>
            <w:tcW w:w="703" w:type="dxa"/>
            <w:shd w:val="clear" w:color="auto" w:fill="DEEAF6" w:themeFill="accent5" w:themeFillTint="33"/>
            <w:vAlign w:val="bottom"/>
            <w:hideMark/>
          </w:tcPr>
          <w:p w14:paraId="280D56BA" w14:textId="47FB093F" w:rsidR="004D28A6" w:rsidRPr="004D28A6" w:rsidRDefault="004D28A6" w:rsidP="004D28A6">
            <w:pPr>
              <w:jc w:val="right"/>
              <w:rPr>
                <w:rFonts w:cstheme="minorHAnsi"/>
                <w:szCs w:val="24"/>
              </w:rPr>
            </w:pPr>
            <w:r w:rsidRPr="004D28A6">
              <w:rPr>
                <w:rFonts w:cstheme="minorHAnsi"/>
                <w:kern w:val="24"/>
                <w:szCs w:val="24"/>
              </w:rPr>
              <w:t>0%</w:t>
            </w:r>
          </w:p>
        </w:tc>
        <w:tc>
          <w:tcPr>
            <w:tcW w:w="704" w:type="dxa"/>
            <w:vAlign w:val="bottom"/>
            <w:hideMark/>
          </w:tcPr>
          <w:p w14:paraId="22C4DA90" w14:textId="520543DA" w:rsidR="004D28A6" w:rsidRPr="004D28A6" w:rsidRDefault="004D28A6" w:rsidP="004D28A6">
            <w:pPr>
              <w:jc w:val="right"/>
              <w:rPr>
                <w:rFonts w:cstheme="minorHAnsi"/>
                <w:szCs w:val="24"/>
              </w:rPr>
            </w:pPr>
            <w:r w:rsidRPr="004D28A6">
              <w:rPr>
                <w:rFonts w:cstheme="minorHAnsi"/>
                <w:kern w:val="24"/>
                <w:szCs w:val="24"/>
              </w:rPr>
              <w:t>0</w:t>
            </w:r>
          </w:p>
        </w:tc>
        <w:tc>
          <w:tcPr>
            <w:tcW w:w="704" w:type="dxa"/>
            <w:vAlign w:val="bottom"/>
            <w:hideMark/>
          </w:tcPr>
          <w:p w14:paraId="75019A9B" w14:textId="05C24AD8" w:rsidR="004D28A6" w:rsidRPr="004D28A6" w:rsidRDefault="004D28A6" w:rsidP="004D28A6">
            <w:pPr>
              <w:jc w:val="right"/>
              <w:rPr>
                <w:rFonts w:cstheme="minorHAnsi"/>
                <w:szCs w:val="24"/>
              </w:rPr>
            </w:pPr>
            <w:r w:rsidRPr="004D28A6">
              <w:rPr>
                <w:rFonts w:cstheme="minorHAnsi"/>
                <w:kern w:val="24"/>
                <w:szCs w:val="24"/>
              </w:rPr>
              <w:t>0%</w:t>
            </w:r>
          </w:p>
        </w:tc>
        <w:tc>
          <w:tcPr>
            <w:tcW w:w="704" w:type="dxa"/>
            <w:shd w:val="clear" w:color="auto" w:fill="DEEAF6" w:themeFill="accent5" w:themeFillTint="33"/>
            <w:vAlign w:val="bottom"/>
            <w:hideMark/>
          </w:tcPr>
          <w:p w14:paraId="59951369" w14:textId="595264EB" w:rsidR="004D28A6" w:rsidRPr="004D28A6" w:rsidRDefault="004D28A6" w:rsidP="004D28A6">
            <w:pPr>
              <w:jc w:val="right"/>
              <w:rPr>
                <w:rFonts w:cstheme="minorHAnsi"/>
                <w:szCs w:val="24"/>
              </w:rPr>
            </w:pPr>
            <w:r w:rsidRPr="004D28A6">
              <w:rPr>
                <w:rFonts w:cstheme="minorHAnsi"/>
                <w:kern w:val="24"/>
                <w:szCs w:val="24"/>
              </w:rPr>
              <w:t>0</w:t>
            </w:r>
          </w:p>
        </w:tc>
        <w:tc>
          <w:tcPr>
            <w:tcW w:w="704" w:type="dxa"/>
            <w:shd w:val="clear" w:color="auto" w:fill="DEEAF6" w:themeFill="accent5" w:themeFillTint="33"/>
            <w:vAlign w:val="bottom"/>
            <w:hideMark/>
          </w:tcPr>
          <w:p w14:paraId="47167A96" w14:textId="317B646F" w:rsidR="004D28A6" w:rsidRPr="004D28A6" w:rsidRDefault="004D28A6" w:rsidP="004D28A6">
            <w:pPr>
              <w:jc w:val="right"/>
              <w:rPr>
                <w:rFonts w:cstheme="minorHAnsi"/>
                <w:szCs w:val="24"/>
              </w:rPr>
            </w:pPr>
            <w:r w:rsidRPr="004D28A6">
              <w:rPr>
                <w:rFonts w:cstheme="minorHAnsi"/>
                <w:kern w:val="24"/>
                <w:szCs w:val="24"/>
              </w:rPr>
              <w:t>0%</w:t>
            </w:r>
          </w:p>
        </w:tc>
      </w:tr>
      <w:tr w:rsidR="001067E9" w:rsidRPr="00991A6F" w14:paraId="2FB190A6" w14:textId="77777777" w:rsidTr="003014B5">
        <w:trPr>
          <w:trHeight w:val="20"/>
        </w:trPr>
        <w:tc>
          <w:tcPr>
            <w:tcW w:w="2322" w:type="dxa"/>
            <w:hideMark/>
          </w:tcPr>
          <w:p w14:paraId="23F97E3C" w14:textId="1A2E7546" w:rsidR="004D28A6" w:rsidRPr="004D28A6" w:rsidRDefault="004D28A6" w:rsidP="004D28A6">
            <w:r w:rsidRPr="004D28A6">
              <w:t>Other NH/Unknown</w:t>
            </w:r>
          </w:p>
        </w:tc>
        <w:tc>
          <w:tcPr>
            <w:tcW w:w="703" w:type="dxa"/>
            <w:shd w:val="clear" w:color="auto" w:fill="DEEAF6" w:themeFill="accent5" w:themeFillTint="33"/>
            <w:vAlign w:val="bottom"/>
            <w:hideMark/>
          </w:tcPr>
          <w:p w14:paraId="356C8609" w14:textId="62F257EC" w:rsidR="004D28A6" w:rsidRPr="004D28A6" w:rsidRDefault="004D28A6" w:rsidP="004D28A6">
            <w:pPr>
              <w:jc w:val="right"/>
              <w:rPr>
                <w:rFonts w:cstheme="minorHAnsi"/>
                <w:szCs w:val="24"/>
              </w:rPr>
            </w:pPr>
            <w:r w:rsidRPr="004D28A6">
              <w:rPr>
                <w:rFonts w:cstheme="minorHAnsi"/>
                <w:kern w:val="24"/>
                <w:szCs w:val="24"/>
              </w:rPr>
              <w:t>0</w:t>
            </w:r>
          </w:p>
        </w:tc>
        <w:tc>
          <w:tcPr>
            <w:tcW w:w="704" w:type="dxa"/>
            <w:shd w:val="clear" w:color="auto" w:fill="DEEAF6" w:themeFill="accent5" w:themeFillTint="33"/>
            <w:vAlign w:val="bottom"/>
            <w:hideMark/>
          </w:tcPr>
          <w:p w14:paraId="1F5ED0A0" w14:textId="28017B30" w:rsidR="004D28A6" w:rsidRPr="004D28A6" w:rsidRDefault="004D28A6" w:rsidP="004D28A6">
            <w:pPr>
              <w:jc w:val="right"/>
              <w:rPr>
                <w:rFonts w:cstheme="minorHAnsi"/>
                <w:szCs w:val="24"/>
              </w:rPr>
            </w:pPr>
            <w:r w:rsidRPr="004D28A6">
              <w:rPr>
                <w:rFonts w:cstheme="minorHAnsi"/>
                <w:kern w:val="24"/>
                <w:szCs w:val="24"/>
              </w:rPr>
              <w:t>0%</w:t>
            </w:r>
          </w:p>
        </w:tc>
        <w:tc>
          <w:tcPr>
            <w:tcW w:w="704" w:type="dxa"/>
            <w:vAlign w:val="bottom"/>
            <w:hideMark/>
          </w:tcPr>
          <w:p w14:paraId="13765D4C" w14:textId="2DBB4CD7" w:rsidR="004D28A6" w:rsidRPr="004D28A6" w:rsidRDefault="004D28A6" w:rsidP="004D28A6">
            <w:pPr>
              <w:jc w:val="right"/>
              <w:rPr>
                <w:rFonts w:cstheme="minorHAnsi"/>
                <w:szCs w:val="24"/>
              </w:rPr>
            </w:pPr>
            <w:r w:rsidRPr="004D28A6">
              <w:rPr>
                <w:rFonts w:cstheme="minorHAnsi"/>
                <w:kern w:val="24"/>
                <w:szCs w:val="24"/>
              </w:rPr>
              <w:t>3</w:t>
            </w:r>
          </w:p>
        </w:tc>
        <w:tc>
          <w:tcPr>
            <w:tcW w:w="704" w:type="dxa"/>
            <w:vAlign w:val="bottom"/>
            <w:hideMark/>
          </w:tcPr>
          <w:p w14:paraId="3EE5F7EA" w14:textId="0E71CC64" w:rsidR="004D28A6" w:rsidRPr="004D28A6" w:rsidRDefault="004D28A6" w:rsidP="004D28A6">
            <w:pPr>
              <w:jc w:val="right"/>
              <w:rPr>
                <w:rFonts w:cstheme="minorHAnsi"/>
                <w:szCs w:val="24"/>
              </w:rPr>
            </w:pPr>
            <w:r w:rsidRPr="004D28A6">
              <w:rPr>
                <w:rFonts w:cstheme="minorHAnsi"/>
                <w:kern w:val="24"/>
                <w:szCs w:val="24"/>
              </w:rPr>
              <w:t>4%</w:t>
            </w:r>
          </w:p>
        </w:tc>
        <w:tc>
          <w:tcPr>
            <w:tcW w:w="704" w:type="dxa"/>
            <w:shd w:val="clear" w:color="auto" w:fill="DEEAF6" w:themeFill="accent5" w:themeFillTint="33"/>
            <w:vAlign w:val="bottom"/>
            <w:hideMark/>
          </w:tcPr>
          <w:p w14:paraId="1764948B" w14:textId="201804C7" w:rsidR="004D28A6" w:rsidRPr="004D28A6" w:rsidRDefault="004D28A6" w:rsidP="004D28A6">
            <w:pPr>
              <w:jc w:val="right"/>
              <w:rPr>
                <w:rFonts w:cstheme="minorHAnsi"/>
                <w:szCs w:val="24"/>
              </w:rPr>
            </w:pPr>
            <w:r w:rsidRPr="004D28A6">
              <w:rPr>
                <w:rFonts w:cstheme="minorHAnsi"/>
                <w:kern w:val="24"/>
                <w:szCs w:val="24"/>
              </w:rPr>
              <w:t>0</w:t>
            </w:r>
          </w:p>
        </w:tc>
        <w:tc>
          <w:tcPr>
            <w:tcW w:w="703" w:type="dxa"/>
            <w:shd w:val="clear" w:color="auto" w:fill="DEEAF6" w:themeFill="accent5" w:themeFillTint="33"/>
            <w:vAlign w:val="bottom"/>
            <w:hideMark/>
          </w:tcPr>
          <w:p w14:paraId="08A34562" w14:textId="33942774" w:rsidR="004D28A6" w:rsidRPr="004D28A6" w:rsidRDefault="004D28A6" w:rsidP="004D28A6">
            <w:pPr>
              <w:jc w:val="right"/>
              <w:rPr>
                <w:rFonts w:cstheme="minorHAnsi"/>
                <w:szCs w:val="24"/>
              </w:rPr>
            </w:pPr>
            <w:r w:rsidRPr="004D28A6">
              <w:rPr>
                <w:rFonts w:cstheme="minorHAnsi"/>
                <w:kern w:val="24"/>
                <w:szCs w:val="24"/>
              </w:rPr>
              <w:t>0%</w:t>
            </w:r>
          </w:p>
        </w:tc>
        <w:tc>
          <w:tcPr>
            <w:tcW w:w="704" w:type="dxa"/>
            <w:vAlign w:val="bottom"/>
            <w:hideMark/>
          </w:tcPr>
          <w:p w14:paraId="7AA96C82" w14:textId="6B219BF3" w:rsidR="004D28A6" w:rsidRPr="004D28A6" w:rsidRDefault="004D28A6" w:rsidP="004D28A6">
            <w:pPr>
              <w:jc w:val="right"/>
              <w:rPr>
                <w:rFonts w:cstheme="minorHAnsi"/>
                <w:szCs w:val="24"/>
              </w:rPr>
            </w:pPr>
            <w:r w:rsidRPr="004D28A6">
              <w:rPr>
                <w:rFonts w:cstheme="minorHAnsi"/>
                <w:kern w:val="24"/>
                <w:szCs w:val="24"/>
              </w:rPr>
              <w:t>1</w:t>
            </w:r>
          </w:p>
        </w:tc>
        <w:tc>
          <w:tcPr>
            <w:tcW w:w="704" w:type="dxa"/>
            <w:vAlign w:val="bottom"/>
            <w:hideMark/>
          </w:tcPr>
          <w:p w14:paraId="50B4A200" w14:textId="5F3C87EC" w:rsidR="004D28A6" w:rsidRPr="004D28A6" w:rsidRDefault="004D28A6" w:rsidP="004D28A6">
            <w:pPr>
              <w:jc w:val="right"/>
              <w:rPr>
                <w:rFonts w:cstheme="minorHAnsi"/>
                <w:szCs w:val="24"/>
              </w:rPr>
            </w:pPr>
            <w:r w:rsidRPr="004D28A6">
              <w:rPr>
                <w:rFonts w:cstheme="minorHAnsi"/>
                <w:kern w:val="24"/>
                <w:szCs w:val="24"/>
              </w:rPr>
              <w:t>1%</w:t>
            </w:r>
          </w:p>
        </w:tc>
        <w:tc>
          <w:tcPr>
            <w:tcW w:w="704" w:type="dxa"/>
            <w:shd w:val="clear" w:color="auto" w:fill="DEEAF6" w:themeFill="accent5" w:themeFillTint="33"/>
            <w:vAlign w:val="bottom"/>
            <w:hideMark/>
          </w:tcPr>
          <w:p w14:paraId="3CB7ADB2" w14:textId="52F373B8" w:rsidR="004D28A6" w:rsidRPr="004D28A6" w:rsidRDefault="004D28A6" w:rsidP="004D28A6">
            <w:pPr>
              <w:jc w:val="right"/>
              <w:rPr>
                <w:rFonts w:cstheme="minorHAnsi"/>
                <w:szCs w:val="24"/>
              </w:rPr>
            </w:pPr>
            <w:r w:rsidRPr="004D28A6">
              <w:rPr>
                <w:rFonts w:cstheme="minorHAnsi"/>
                <w:kern w:val="24"/>
                <w:szCs w:val="24"/>
              </w:rPr>
              <w:t>2</w:t>
            </w:r>
          </w:p>
        </w:tc>
        <w:tc>
          <w:tcPr>
            <w:tcW w:w="704" w:type="dxa"/>
            <w:shd w:val="clear" w:color="auto" w:fill="DEEAF6" w:themeFill="accent5" w:themeFillTint="33"/>
            <w:vAlign w:val="bottom"/>
            <w:hideMark/>
          </w:tcPr>
          <w:p w14:paraId="6D8F5B61" w14:textId="25EFCF76" w:rsidR="004D28A6" w:rsidRPr="004D28A6" w:rsidRDefault="004D28A6" w:rsidP="004D28A6">
            <w:pPr>
              <w:jc w:val="right"/>
              <w:rPr>
                <w:rFonts w:cstheme="minorHAnsi"/>
                <w:szCs w:val="24"/>
              </w:rPr>
            </w:pPr>
            <w:r w:rsidRPr="004D28A6">
              <w:rPr>
                <w:rFonts w:cstheme="minorHAnsi"/>
                <w:kern w:val="24"/>
                <w:szCs w:val="24"/>
              </w:rPr>
              <w:t>4%</w:t>
            </w:r>
          </w:p>
        </w:tc>
      </w:tr>
      <w:tr w:rsidR="001067E9" w:rsidRPr="00991A6F" w14:paraId="365BF4F2" w14:textId="77777777" w:rsidTr="003014B5">
        <w:trPr>
          <w:trHeight w:val="20"/>
        </w:trPr>
        <w:tc>
          <w:tcPr>
            <w:tcW w:w="2322" w:type="dxa"/>
            <w:hideMark/>
          </w:tcPr>
          <w:p w14:paraId="4A07063F" w14:textId="77777777" w:rsidR="004D28A6" w:rsidRPr="004D28A6" w:rsidRDefault="004D28A6" w:rsidP="004D28A6">
            <w:pPr>
              <w:rPr>
                <w:szCs w:val="24"/>
              </w:rPr>
            </w:pPr>
            <w:r w:rsidRPr="004D28A6">
              <w:rPr>
                <w:b/>
                <w:bCs/>
                <w:szCs w:val="24"/>
              </w:rPr>
              <w:t>Age:</w:t>
            </w:r>
          </w:p>
        </w:tc>
        <w:tc>
          <w:tcPr>
            <w:tcW w:w="703" w:type="dxa"/>
            <w:shd w:val="clear" w:color="auto" w:fill="DEEAF6" w:themeFill="accent5" w:themeFillTint="33"/>
            <w:vAlign w:val="bottom"/>
            <w:hideMark/>
          </w:tcPr>
          <w:p w14:paraId="0A8785D7"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0C26529D" w14:textId="77777777" w:rsidR="004D28A6" w:rsidRPr="004D28A6" w:rsidRDefault="004D28A6" w:rsidP="004D28A6">
            <w:pPr>
              <w:jc w:val="right"/>
              <w:rPr>
                <w:rFonts w:cstheme="minorHAnsi"/>
                <w:szCs w:val="24"/>
              </w:rPr>
            </w:pPr>
          </w:p>
        </w:tc>
        <w:tc>
          <w:tcPr>
            <w:tcW w:w="704" w:type="dxa"/>
            <w:vAlign w:val="bottom"/>
            <w:hideMark/>
          </w:tcPr>
          <w:p w14:paraId="353C0BC8" w14:textId="77777777" w:rsidR="004D28A6" w:rsidRPr="004D28A6" w:rsidRDefault="004D28A6" w:rsidP="004D28A6">
            <w:pPr>
              <w:jc w:val="right"/>
              <w:rPr>
                <w:rFonts w:cstheme="minorHAnsi"/>
                <w:szCs w:val="24"/>
              </w:rPr>
            </w:pPr>
          </w:p>
        </w:tc>
        <w:tc>
          <w:tcPr>
            <w:tcW w:w="704" w:type="dxa"/>
            <w:vAlign w:val="bottom"/>
            <w:hideMark/>
          </w:tcPr>
          <w:p w14:paraId="5B9CBAB7"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26B3EE20" w14:textId="77777777" w:rsidR="004D28A6" w:rsidRPr="004D28A6" w:rsidRDefault="004D28A6" w:rsidP="004D28A6">
            <w:pPr>
              <w:jc w:val="right"/>
              <w:rPr>
                <w:rFonts w:cstheme="minorHAnsi"/>
                <w:szCs w:val="24"/>
              </w:rPr>
            </w:pPr>
          </w:p>
        </w:tc>
        <w:tc>
          <w:tcPr>
            <w:tcW w:w="703" w:type="dxa"/>
            <w:shd w:val="clear" w:color="auto" w:fill="DEEAF6" w:themeFill="accent5" w:themeFillTint="33"/>
            <w:vAlign w:val="bottom"/>
            <w:hideMark/>
          </w:tcPr>
          <w:p w14:paraId="5FC30DD3" w14:textId="77777777" w:rsidR="004D28A6" w:rsidRPr="004D28A6" w:rsidRDefault="004D28A6" w:rsidP="004D28A6">
            <w:pPr>
              <w:jc w:val="right"/>
              <w:rPr>
                <w:rFonts w:cstheme="minorHAnsi"/>
                <w:szCs w:val="24"/>
              </w:rPr>
            </w:pPr>
          </w:p>
        </w:tc>
        <w:tc>
          <w:tcPr>
            <w:tcW w:w="704" w:type="dxa"/>
            <w:vAlign w:val="bottom"/>
            <w:hideMark/>
          </w:tcPr>
          <w:p w14:paraId="58F64D70" w14:textId="77777777" w:rsidR="004D28A6" w:rsidRPr="004D28A6" w:rsidRDefault="004D28A6" w:rsidP="004D28A6">
            <w:pPr>
              <w:jc w:val="right"/>
              <w:rPr>
                <w:rFonts w:cstheme="minorHAnsi"/>
                <w:szCs w:val="24"/>
              </w:rPr>
            </w:pPr>
          </w:p>
        </w:tc>
        <w:tc>
          <w:tcPr>
            <w:tcW w:w="704" w:type="dxa"/>
            <w:vAlign w:val="bottom"/>
            <w:hideMark/>
          </w:tcPr>
          <w:p w14:paraId="7C05B034"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0145B806"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6AB17ED7" w14:textId="77777777" w:rsidR="004D28A6" w:rsidRPr="004D28A6" w:rsidRDefault="004D28A6" w:rsidP="004D28A6">
            <w:pPr>
              <w:jc w:val="right"/>
              <w:rPr>
                <w:rFonts w:cstheme="minorHAnsi"/>
                <w:szCs w:val="24"/>
              </w:rPr>
            </w:pPr>
          </w:p>
        </w:tc>
      </w:tr>
      <w:tr w:rsidR="001067E9" w:rsidRPr="00991A6F" w14:paraId="3F467CBD" w14:textId="77777777" w:rsidTr="003014B5">
        <w:trPr>
          <w:trHeight w:val="20"/>
        </w:trPr>
        <w:tc>
          <w:tcPr>
            <w:tcW w:w="2322" w:type="dxa"/>
            <w:hideMark/>
          </w:tcPr>
          <w:p w14:paraId="00D0AA01" w14:textId="77777777" w:rsidR="004D28A6" w:rsidRPr="004D28A6" w:rsidRDefault="004D28A6" w:rsidP="004D28A6">
            <w:pPr>
              <w:rPr>
                <w:szCs w:val="24"/>
              </w:rPr>
            </w:pPr>
            <w:r w:rsidRPr="004D28A6">
              <w:rPr>
                <w:szCs w:val="24"/>
              </w:rPr>
              <w:t>13-19 years</w:t>
            </w:r>
          </w:p>
        </w:tc>
        <w:tc>
          <w:tcPr>
            <w:tcW w:w="703" w:type="dxa"/>
            <w:shd w:val="clear" w:color="auto" w:fill="DEEAF6" w:themeFill="accent5" w:themeFillTint="33"/>
            <w:vAlign w:val="bottom"/>
            <w:hideMark/>
          </w:tcPr>
          <w:p w14:paraId="6016A3C8" w14:textId="3E533C90" w:rsidR="004D28A6" w:rsidRPr="004D28A6" w:rsidRDefault="004D28A6" w:rsidP="004D28A6">
            <w:pPr>
              <w:jc w:val="right"/>
              <w:rPr>
                <w:rFonts w:cstheme="minorHAnsi"/>
                <w:szCs w:val="24"/>
              </w:rPr>
            </w:pPr>
            <w:r w:rsidRPr="004D28A6">
              <w:rPr>
                <w:rFonts w:cstheme="minorHAnsi"/>
                <w:kern w:val="24"/>
                <w:szCs w:val="24"/>
              </w:rPr>
              <w:t>1</w:t>
            </w:r>
          </w:p>
        </w:tc>
        <w:tc>
          <w:tcPr>
            <w:tcW w:w="704" w:type="dxa"/>
            <w:shd w:val="clear" w:color="auto" w:fill="DEEAF6" w:themeFill="accent5" w:themeFillTint="33"/>
            <w:vAlign w:val="bottom"/>
            <w:hideMark/>
          </w:tcPr>
          <w:p w14:paraId="5F960B11" w14:textId="39387FB8" w:rsidR="004D28A6" w:rsidRPr="004D28A6" w:rsidRDefault="004D28A6" w:rsidP="004D28A6">
            <w:pPr>
              <w:jc w:val="right"/>
              <w:rPr>
                <w:rFonts w:cstheme="minorHAnsi"/>
                <w:szCs w:val="24"/>
              </w:rPr>
            </w:pPr>
            <w:r w:rsidRPr="004D28A6">
              <w:rPr>
                <w:rFonts w:cstheme="minorHAnsi"/>
                <w:kern w:val="24"/>
                <w:szCs w:val="24"/>
              </w:rPr>
              <w:t>1%</w:t>
            </w:r>
          </w:p>
        </w:tc>
        <w:tc>
          <w:tcPr>
            <w:tcW w:w="704" w:type="dxa"/>
            <w:vAlign w:val="bottom"/>
            <w:hideMark/>
          </w:tcPr>
          <w:p w14:paraId="1A33878F" w14:textId="5E337047" w:rsidR="004D28A6" w:rsidRPr="004D28A6" w:rsidRDefault="004D28A6" w:rsidP="004D28A6">
            <w:pPr>
              <w:jc w:val="right"/>
              <w:rPr>
                <w:rFonts w:cstheme="minorHAnsi"/>
                <w:szCs w:val="24"/>
              </w:rPr>
            </w:pPr>
            <w:r w:rsidRPr="004D28A6">
              <w:rPr>
                <w:rFonts w:cstheme="minorHAnsi"/>
                <w:kern w:val="24"/>
                <w:szCs w:val="24"/>
              </w:rPr>
              <w:t>0</w:t>
            </w:r>
          </w:p>
        </w:tc>
        <w:tc>
          <w:tcPr>
            <w:tcW w:w="704" w:type="dxa"/>
            <w:vAlign w:val="bottom"/>
            <w:hideMark/>
          </w:tcPr>
          <w:p w14:paraId="45E44081" w14:textId="718797EA" w:rsidR="004D28A6" w:rsidRPr="004D28A6" w:rsidRDefault="004D28A6" w:rsidP="004D28A6">
            <w:pPr>
              <w:jc w:val="right"/>
              <w:rPr>
                <w:rFonts w:cstheme="minorHAnsi"/>
                <w:szCs w:val="24"/>
              </w:rPr>
            </w:pPr>
            <w:r w:rsidRPr="004D28A6">
              <w:rPr>
                <w:rFonts w:cstheme="minorHAnsi"/>
                <w:kern w:val="24"/>
                <w:szCs w:val="24"/>
              </w:rPr>
              <w:t>0%</w:t>
            </w:r>
          </w:p>
        </w:tc>
        <w:tc>
          <w:tcPr>
            <w:tcW w:w="704" w:type="dxa"/>
            <w:shd w:val="clear" w:color="auto" w:fill="DEEAF6" w:themeFill="accent5" w:themeFillTint="33"/>
            <w:vAlign w:val="bottom"/>
            <w:hideMark/>
          </w:tcPr>
          <w:p w14:paraId="608B809C" w14:textId="0363B7FE" w:rsidR="004D28A6" w:rsidRPr="004D28A6" w:rsidRDefault="004D28A6" w:rsidP="004D28A6">
            <w:pPr>
              <w:jc w:val="right"/>
              <w:rPr>
                <w:rFonts w:cstheme="minorHAnsi"/>
                <w:szCs w:val="24"/>
              </w:rPr>
            </w:pPr>
            <w:r w:rsidRPr="004D28A6">
              <w:rPr>
                <w:rFonts w:cstheme="minorHAnsi"/>
                <w:kern w:val="24"/>
                <w:szCs w:val="24"/>
              </w:rPr>
              <w:t>0</w:t>
            </w:r>
          </w:p>
        </w:tc>
        <w:tc>
          <w:tcPr>
            <w:tcW w:w="703" w:type="dxa"/>
            <w:shd w:val="clear" w:color="auto" w:fill="DEEAF6" w:themeFill="accent5" w:themeFillTint="33"/>
            <w:vAlign w:val="bottom"/>
            <w:hideMark/>
          </w:tcPr>
          <w:p w14:paraId="62D1C227" w14:textId="53E13538" w:rsidR="004D28A6" w:rsidRPr="004D28A6" w:rsidRDefault="004D28A6" w:rsidP="004D28A6">
            <w:pPr>
              <w:jc w:val="right"/>
              <w:rPr>
                <w:rFonts w:cstheme="minorHAnsi"/>
                <w:szCs w:val="24"/>
              </w:rPr>
            </w:pPr>
            <w:r w:rsidRPr="004D28A6">
              <w:rPr>
                <w:rFonts w:cstheme="minorHAnsi"/>
                <w:kern w:val="24"/>
                <w:szCs w:val="24"/>
              </w:rPr>
              <w:t>0%</w:t>
            </w:r>
          </w:p>
        </w:tc>
        <w:tc>
          <w:tcPr>
            <w:tcW w:w="704" w:type="dxa"/>
            <w:vAlign w:val="bottom"/>
            <w:hideMark/>
          </w:tcPr>
          <w:p w14:paraId="24123813" w14:textId="4288D00B" w:rsidR="004D28A6" w:rsidRPr="004D28A6" w:rsidRDefault="004D28A6" w:rsidP="004D28A6">
            <w:pPr>
              <w:jc w:val="right"/>
              <w:rPr>
                <w:rFonts w:cstheme="minorHAnsi"/>
                <w:szCs w:val="24"/>
              </w:rPr>
            </w:pPr>
            <w:r w:rsidRPr="004D28A6">
              <w:rPr>
                <w:rFonts w:cstheme="minorHAnsi"/>
                <w:kern w:val="24"/>
                <w:szCs w:val="24"/>
              </w:rPr>
              <w:t>0</w:t>
            </w:r>
          </w:p>
        </w:tc>
        <w:tc>
          <w:tcPr>
            <w:tcW w:w="704" w:type="dxa"/>
            <w:vAlign w:val="bottom"/>
            <w:hideMark/>
          </w:tcPr>
          <w:p w14:paraId="69FDE593" w14:textId="02890CFA" w:rsidR="004D28A6" w:rsidRPr="004D28A6" w:rsidRDefault="004D28A6" w:rsidP="004D28A6">
            <w:pPr>
              <w:jc w:val="right"/>
              <w:rPr>
                <w:rFonts w:cstheme="minorHAnsi"/>
                <w:szCs w:val="24"/>
              </w:rPr>
            </w:pPr>
            <w:r w:rsidRPr="004D28A6">
              <w:rPr>
                <w:rFonts w:cstheme="minorHAnsi"/>
                <w:kern w:val="24"/>
                <w:szCs w:val="24"/>
              </w:rPr>
              <w:t>0%</w:t>
            </w:r>
          </w:p>
        </w:tc>
        <w:tc>
          <w:tcPr>
            <w:tcW w:w="704" w:type="dxa"/>
            <w:shd w:val="clear" w:color="auto" w:fill="DEEAF6" w:themeFill="accent5" w:themeFillTint="33"/>
            <w:vAlign w:val="bottom"/>
            <w:hideMark/>
          </w:tcPr>
          <w:p w14:paraId="4C5D2CD7" w14:textId="0DCD45BE" w:rsidR="004D28A6" w:rsidRPr="004D28A6" w:rsidRDefault="004D28A6" w:rsidP="004D28A6">
            <w:pPr>
              <w:jc w:val="right"/>
              <w:rPr>
                <w:rFonts w:cstheme="minorHAnsi"/>
                <w:szCs w:val="24"/>
              </w:rPr>
            </w:pPr>
            <w:r w:rsidRPr="004D28A6">
              <w:rPr>
                <w:rFonts w:cstheme="minorHAnsi"/>
                <w:kern w:val="24"/>
                <w:szCs w:val="24"/>
              </w:rPr>
              <w:t>0</w:t>
            </w:r>
          </w:p>
        </w:tc>
        <w:tc>
          <w:tcPr>
            <w:tcW w:w="704" w:type="dxa"/>
            <w:shd w:val="clear" w:color="auto" w:fill="DEEAF6" w:themeFill="accent5" w:themeFillTint="33"/>
            <w:vAlign w:val="bottom"/>
            <w:hideMark/>
          </w:tcPr>
          <w:p w14:paraId="2D8E1849" w14:textId="7656BF87" w:rsidR="004D28A6" w:rsidRPr="004D28A6" w:rsidRDefault="004D28A6" w:rsidP="004D28A6">
            <w:pPr>
              <w:jc w:val="right"/>
              <w:rPr>
                <w:rFonts w:cstheme="minorHAnsi"/>
                <w:szCs w:val="24"/>
              </w:rPr>
            </w:pPr>
            <w:r w:rsidRPr="004D28A6">
              <w:rPr>
                <w:rFonts w:cstheme="minorHAnsi"/>
                <w:kern w:val="24"/>
                <w:szCs w:val="24"/>
              </w:rPr>
              <w:t>0%</w:t>
            </w:r>
          </w:p>
        </w:tc>
      </w:tr>
      <w:tr w:rsidR="001067E9" w:rsidRPr="00991A6F" w14:paraId="6308B263" w14:textId="77777777" w:rsidTr="003014B5">
        <w:trPr>
          <w:trHeight w:val="20"/>
        </w:trPr>
        <w:tc>
          <w:tcPr>
            <w:tcW w:w="2322" w:type="dxa"/>
            <w:hideMark/>
          </w:tcPr>
          <w:p w14:paraId="0E2C3ECC" w14:textId="77777777" w:rsidR="004D28A6" w:rsidRPr="004D28A6" w:rsidRDefault="004D28A6" w:rsidP="004D28A6">
            <w:pPr>
              <w:rPr>
                <w:szCs w:val="24"/>
              </w:rPr>
            </w:pPr>
            <w:r w:rsidRPr="004D28A6">
              <w:rPr>
                <w:szCs w:val="24"/>
              </w:rPr>
              <w:t>20-29 years</w:t>
            </w:r>
          </w:p>
        </w:tc>
        <w:tc>
          <w:tcPr>
            <w:tcW w:w="703" w:type="dxa"/>
            <w:shd w:val="clear" w:color="auto" w:fill="DEEAF6" w:themeFill="accent5" w:themeFillTint="33"/>
            <w:vAlign w:val="bottom"/>
            <w:hideMark/>
          </w:tcPr>
          <w:p w14:paraId="5271CD4F" w14:textId="57945077" w:rsidR="004D28A6" w:rsidRPr="004D28A6" w:rsidRDefault="004D28A6" w:rsidP="004D28A6">
            <w:pPr>
              <w:jc w:val="right"/>
              <w:rPr>
                <w:rFonts w:cstheme="minorHAnsi"/>
                <w:szCs w:val="24"/>
              </w:rPr>
            </w:pPr>
            <w:r w:rsidRPr="004D28A6">
              <w:rPr>
                <w:rFonts w:cstheme="minorHAnsi"/>
                <w:kern w:val="24"/>
                <w:szCs w:val="24"/>
              </w:rPr>
              <w:t>29</w:t>
            </w:r>
          </w:p>
        </w:tc>
        <w:tc>
          <w:tcPr>
            <w:tcW w:w="704" w:type="dxa"/>
            <w:shd w:val="clear" w:color="auto" w:fill="DEEAF6" w:themeFill="accent5" w:themeFillTint="33"/>
            <w:vAlign w:val="bottom"/>
            <w:hideMark/>
          </w:tcPr>
          <w:p w14:paraId="72DE2830" w14:textId="772D5623" w:rsidR="004D28A6" w:rsidRPr="004D28A6" w:rsidRDefault="004D28A6" w:rsidP="004D28A6">
            <w:pPr>
              <w:jc w:val="right"/>
              <w:rPr>
                <w:rFonts w:cstheme="minorHAnsi"/>
                <w:szCs w:val="24"/>
              </w:rPr>
            </w:pPr>
            <w:r w:rsidRPr="004D28A6">
              <w:rPr>
                <w:rFonts w:cstheme="minorHAnsi"/>
                <w:kern w:val="24"/>
                <w:szCs w:val="24"/>
              </w:rPr>
              <w:t>27%</w:t>
            </w:r>
          </w:p>
        </w:tc>
        <w:tc>
          <w:tcPr>
            <w:tcW w:w="704" w:type="dxa"/>
            <w:vAlign w:val="bottom"/>
            <w:hideMark/>
          </w:tcPr>
          <w:p w14:paraId="4FB8A722" w14:textId="5A072188" w:rsidR="004D28A6" w:rsidRPr="004D28A6" w:rsidRDefault="004D28A6" w:rsidP="004D28A6">
            <w:pPr>
              <w:jc w:val="right"/>
              <w:rPr>
                <w:rFonts w:cstheme="minorHAnsi"/>
                <w:szCs w:val="24"/>
              </w:rPr>
            </w:pPr>
            <w:r w:rsidRPr="004D28A6">
              <w:rPr>
                <w:rFonts w:cstheme="minorHAnsi"/>
                <w:kern w:val="24"/>
                <w:szCs w:val="24"/>
              </w:rPr>
              <w:t>21</w:t>
            </w:r>
          </w:p>
        </w:tc>
        <w:tc>
          <w:tcPr>
            <w:tcW w:w="704" w:type="dxa"/>
            <w:vAlign w:val="bottom"/>
            <w:hideMark/>
          </w:tcPr>
          <w:p w14:paraId="79F09A31" w14:textId="79A69A9D" w:rsidR="004D28A6" w:rsidRPr="004D28A6" w:rsidRDefault="004D28A6" w:rsidP="004D28A6">
            <w:pPr>
              <w:jc w:val="right"/>
              <w:rPr>
                <w:rFonts w:cstheme="minorHAnsi"/>
                <w:szCs w:val="24"/>
              </w:rPr>
            </w:pPr>
            <w:r w:rsidRPr="004D28A6">
              <w:rPr>
                <w:rFonts w:cstheme="minorHAnsi"/>
                <w:kern w:val="24"/>
                <w:szCs w:val="24"/>
              </w:rPr>
              <w:t>26%</w:t>
            </w:r>
          </w:p>
        </w:tc>
        <w:tc>
          <w:tcPr>
            <w:tcW w:w="704" w:type="dxa"/>
            <w:shd w:val="clear" w:color="auto" w:fill="DEEAF6" w:themeFill="accent5" w:themeFillTint="33"/>
            <w:vAlign w:val="bottom"/>
            <w:hideMark/>
          </w:tcPr>
          <w:p w14:paraId="1E5837A6" w14:textId="49C3EEEA" w:rsidR="004D28A6" w:rsidRPr="004D28A6" w:rsidRDefault="004D28A6" w:rsidP="004D28A6">
            <w:pPr>
              <w:jc w:val="right"/>
              <w:rPr>
                <w:rFonts w:cstheme="minorHAnsi"/>
                <w:szCs w:val="24"/>
              </w:rPr>
            </w:pPr>
            <w:r w:rsidRPr="004D28A6">
              <w:rPr>
                <w:rFonts w:cstheme="minorHAnsi"/>
                <w:kern w:val="24"/>
                <w:szCs w:val="24"/>
              </w:rPr>
              <w:t>19</w:t>
            </w:r>
          </w:p>
        </w:tc>
        <w:tc>
          <w:tcPr>
            <w:tcW w:w="703" w:type="dxa"/>
            <w:shd w:val="clear" w:color="auto" w:fill="DEEAF6" w:themeFill="accent5" w:themeFillTint="33"/>
            <w:vAlign w:val="bottom"/>
            <w:hideMark/>
          </w:tcPr>
          <w:p w14:paraId="395B99DF" w14:textId="3BA0D938" w:rsidR="004D28A6" w:rsidRPr="004D28A6" w:rsidRDefault="004D28A6" w:rsidP="004D28A6">
            <w:pPr>
              <w:jc w:val="right"/>
              <w:rPr>
                <w:rFonts w:cstheme="minorHAnsi"/>
                <w:szCs w:val="24"/>
              </w:rPr>
            </w:pPr>
            <w:r w:rsidRPr="004D28A6">
              <w:rPr>
                <w:rFonts w:cstheme="minorHAnsi"/>
                <w:kern w:val="24"/>
                <w:szCs w:val="24"/>
              </w:rPr>
              <w:t>19%</w:t>
            </w:r>
          </w:p>
        </w:tc>
        <w:tc>
          <w:tcPr>
            <w:tcW w:w="704" w:type="dxa"/>
            <w:vAlign w:val="bottom"/>
            <w:hideMark/>
          </w:tcPr>
          <w:p w14:paraId="0A2ACD31" w14:textId="12E8F374" w:rsidR="004D28A6" w:rsidRPr="004D28A6" w:rsidRDefault="004D28A6" w:rsidP="004D28A6">
            <w:pPr>
              <w:jc w:val="right"/>
              <w:rPr>
                <w:rFonts w:cstheme="minorHAnsi"/>
                <w:szCs w:val="24"/>
              </w:rPr>
            </w:pPr>
            <w:r w:rsidRPr="004D28A6">
              <w:rPr>
                <w:rFonts w:cstheme="minorHAnsi"/>
                <w:kern w:val="24"/>
                <w:szCs w:val="24"/>
              </w:rPr>
              <w:t>8</w:t>
            </w:r>
          </w:p>
        </w:tc>
        <w:tc>
          <w:tcPr>
            <w:tcW w:w="704" w:type="dxa"/>
            <w:vAlign w:val="bottom"/>
            <w:hideMark/>
          </w:tcPr>
          <w:p w14:paraId="270E87BA" w14:textId="1018CD12" w:rsidR="004D28A6" w:rsidRPr="004D28A6" w:rsidRDefault="004D28A6" w:rsidP="004D28A6">
            <w:pPr>
              <w:jc w:val="right"/>
              <w:rPr>
                <w:rFonts w:cstheme="minorHAnsi"/>
                <w:szCs w:val="24"/>
              </w:rPr>
            </w:pPr>
            <w:r w:rsidRPr="004D28A6">
              <w:rPr>
                <w:rFonts w:cstheme="minorHAnsi"/>
                <w:kern w:val="24"/>
                <w:szCs w:val="24"/>
              </w:rPr>
              <w:t>9%</w:t>
            </w:r>
          </w:p>
        </w:tc>
        <w:tc>
          <w:tcPr>
            <w:tcW w:w="704" w:type="dxa"/>
            <w:shd w:val="clear" w:color="auto" w:fill="DEEAF6" w:themeFill="accent5" w:themeFillTint="33"/>
            <w:vAlign w:val="bottom"/>
            <w:hideMark/>
          </w:tcPr>
          <w:p w14:paraId="7379A383" w14:textId="1EFD29BB" w:rsidR="004D28A6" w:rsidRPr="004D28A6" w:rsidRDefault="004D28A6" w:rsidP="004D28A6">
            <w:pPr>
              <w:jc w:val="right"/>
              <w:rPr>
                <w:rFonts w:cstheme="minorHAnsi"/>
                <w:szCs w:val="24"/>
              </w:rPr>
            </w:pPr>
            <w:r w:rsidRPr="004D28A6">
              <w:rPr>
                <w:rFonts w:cstheme="minorHAnsi"/>
                <w:kern w:val="24"/>
                <w:szCs w:val="24"/>
              </w:rPr>
              <w:t>9</w:t>
            </w:r>
          </w:p>
        </w:tc>
        <w:tc>
          <w:tcPr>
            <w:tcW w:w="704" w:type="dxa"/>
            <w:shd w:val="clear" w:color="auto" w:fill="DEEAF6" w:themeFill="accent5" w:themeFillTint="33"/>
            <w:vAlign w:val="bottom"/>
            <w:hideMark/>
          </w:tcPr>
          <w:p w14:paraId="1C82DA98" w14:textId="59565D92" w:rsidR="004D28A6" w:rsidRPr="004D28A6" w:rsidRDefault="004D28A6" w:rsidP="004D28A6">
            <w:pPr>
              <w:jc w:val="right"/>
              <w:rPr>
                <w:rFonts w:cstheme="minorHAnsi"/>
                <w:szCs w:val="24"/>
              </w:rPr>
            </w:pPr>
            <w:r w:rsidRPr="004D28A6">
              <w:rPr>
                <w:rFonts w:cstheme="minorHAnsi"/>
                <w:kern w:val="24"/>
                <w:szCs w:val="24"/>
              </w:rPr>
              <w:t>17%</w:t>
            </w:r>
          </w:p>
        </w:tc>
      </w:tr>
      <w:tr w:rsidR="001067E9" w:rsidRPr="00991A6F" w14:paraId="23875189" w14:textId="77777777" w:rsidTr="003014B5">
        <w:trPr>
          <w:trHeight w:val="20"/>
        </w:trPr>
        <w:tc>
          <w:tcPr>
            <w:tcW w:w="2322" w:type="dxa"/>
            <w:hideMark/>
          </w:tcPr>
          <w:p w14:paraId="5FB07081" w14:textId="77777777" w:rsidR="004D28A6" w:rsidRPr="004D28A6" w:rsidRDefault="004D28A6" w:rsidP="004D28A6">
            <w:pPr>
              <w:rPr>
                <w:szCs w:val="24"/>
              </w:rPr>
            </w:pPr>
            <w:r w:rsidRPr="004D28A6">
              <w:rPr>
                <w:szCs w:val="24"/>
              </w:rPr>
              <w:t>30-39 years</w:t>
            </w:r>
          </w:p>
        </w:tc>
        <w:tc>
          <w:tcPr>
            <w:tcW w:w="703" w:type="dxa"/>
            <w:shd w:val="clear" w:color="auto" w:fill="DEEAF6" w:themeFill="accent5" w:themeFillTint="33"/>
            <w:vAlign w:val="bottom"/>
            <w:hideMark/>
          </w:tcPr>
          <w:p w14:paraId="0ED8FE53" w14:textId="6BD6FE44" w:rsidR="004D28A6" w:rsidRPr="004D28A6" w:rsidRDefault="004D28A6" w:rsidP="004D28A6">
            <w:pPr>
              <w:jc w:val="right"/>
              <w:rPr>
                <w:rFonts w:cstheme="minorHAnsi"/>
                <w:szCs w:val="24"/>
              </w:rPr>
            </w:pPr>
            <w:r w:rsidRPr="004D28A6">
              <w:rPr>
                <w:rFonts w:cstheme="minorHAnsi"/>
                <w:kern w:val="24"/>
                <w:szCs w:val="24"/>
              </w:rPr>
              <w:t>39</w:t>
            </w:r>
          </w:p>
        </w:tc>
        <w:tc>
          <w:tcPr>
            <w:tcW w:w="704" w:type="dxa"/>
            <w:shd w:val="clear" w:color="auto" w:fill="DEEAF6" w:themeFill="accent5" w:themeFillTint="33"/>
            <w:vAlign w:val="bottom"/>
            <w:hideMark/>
          </w:tcPr>
          <w:p w14:paraId="35A17A7D" w14:textId="48ED4C9A" w:rsidR="004D28A6" w:rsidRPr="004D28A6" w:rsidRDefault="004D28A6" w:rsidP="004D28A6">
            <w:pPr>
              <w:jc w:val="right"/>
              <w:rPr>
                <w:rFonts w:cstheme="minorHAnsi"/>
                <w:szCs w:val="24"/>
              </w:rPr>
            </w:pPr>
            <w:r w:rsidRPr="004D28A6">
              <w:rPr>
                <w:rFonts w:cstheme="minorHAnsi"/>
                <w:kern w:val="24"/>
                <w:szCs w:val="24"/>
              </w:rPr>
              <w:t>36%</w:t>
            </w:r>
          </w:p>
        </w:tc>
        <w:tc>
          <w:tcPr>
            <w:tcW w:w="704" w:type="dxa"/>
            <w:vAlign w:val="bottom"/>
            <w:hideMark/>
          </w:tcPr>
          <w:p w14:paraId="0EE4DA11" w14:textId="7168B17E" w:rsidR="004D28A6" w:rsidRPr="004D28A6" w:rsidRDefault="004D28A6" w:rsidP="004D28A6">
            <w:pPr>
              <w:jc w:val="right"/>
              <w:rPr>
                <w:rFonts w:cstheme="minorHAnsi"/>
                <w:szCs w:val="24"/>
              </w:rPr>
            </w:pPr>
            <w:r w:rsidRPr="004D28A6">
              <w:rPr>
                <w:rFonts w:cstheme="minorHAnsi"/>
                <w:kern w:val="24"/>
                <w:szCs w:val="24"/>
              </w:rPr>
              <w:t>35</w:t>
            </w:r>
          </w:p>
        </w:tc>
        <w:tc>
          <w:tcPr>
            <w:tcW w:w="704" w:type="dxa"/>
            <w:vAlign w:val="bottom"/>
            <w:hideMark/>
          </w:tcPr>
          <w:p w14:paraId="7C8E6AAE" w14:textId="16889915" w:rsidR="004D28A6" w:rsidRPr="004D28A6" w:rsidRDefault="004D28A6" w:rsidP="004D28A6">
            <w:pPr>
              <w:jc w:val="right"/>
              <w:rPr>
                <w:rFonts w:cstheme="minorHAnsi"/>
                <w:szCs w:val="24"/>
              </w:rPr>
            </w:pPr>
            <w:r w:rsidRPr="004D28A6">
              <w:rPr>
                <w:rFonts w:cstheme="minorHAnsi"/>
                <w:kern w:val="24"/>
                <w:szCs w:val="24"/>
              </w:rPr>
              <w:t>43%</w:t>
            </w:r>
          </w:p>
        </w:tc>
        <w:tc>
          <w:tcPr>
            <w:tcW w:w="704" w:type="dxa"/>
            <w:shd w:val="clear" w:color="auto" w:fill="DEEAF6" w:themeFill="accent5" w:themeFillTint="33"/>
            <w:vAlign w:val="bottom"/>
            <w:hideMark/>
          </w:tcPr>
          <w:p w14:paraId="7E9F915D" w14:textId="7F73C2FB" w:rsidR="004D28A6" w:rsidRPr="004D28A6" w:rsidRDefault="004D28A6" w:rsidP="004D28A6">
            <w:pPr>
              <w:jc w:val="right"/>
              <w:rPr>
                <w:rFonts w:cstheme="minorHAnsi"/>
                <w:szCs w:val="24"/>
              </w:rPr>
            </w:pPr>
            <w:r w:rsidRPr="004D28A6">
              <w:rPr>
                <w:rFonts w:cstheme="minorHAnsi"/>
                <w:kern w:val="24"/>
                <w:szCs w:val="24"/>
              </w:rPr>
              <w:t>54</w:t>
            </w:r>
          </w:p>
        </w:tc>
        <w:tc>
          <w:tcPr>
            <w:tcW w:w="703" w:type="dxa"/>
            <w:shd w:val="clear" w:color="auto" w:fill="DEEAF6" w:themeFill="accent5" w:themeFillTint="33"/>
            <w:vAlign w:val="bottom"/>
            <w:hideMark/>
          </w:tcPr>
          <w:p w14:paraId="4A989C3D" w14:textId="4437F62A" w:rsidR="004D28A6" w:rsidRPr="004D28A6" w:rsidRDefault="004D28A6" w:rsidP="004D28A6">
            <w:pPr>
              <w:jc w:val="right"/>
              <w:rPr>
                <w:rFonts w:cstheme="minorHAnsi"/>
                <w:szCs w:val="24"/>
              </w:rPr>
            </w:pPr>
            <w:r w:rsidRPr="004D28A6">
              <w:rPr>
                <w:rFonts w:cstheme="minorHAnsi"/>
                <w:kern w:val="24"/>
                <w:szCs w:val="24"/>
              </w:rPr>
              <w:t>55%</w:t>
            </w:r>
          </w:p>
        </w:tc>
        <w:tc>
          <w:tcPr>
            <w:tcW w:w="704" w:type="dxa"/>
            <w:vAlign w:val="bottom"/>
            <w:hideMark/>
          </w:tcPr>
          <w:p w14:paraId="5BAEA8F3" w14:textId="3444B9EB" w:rsidR="004D28A6" w:rsidRPr="004D28A6" w:rsidRDefault="004D28A6" w:rsidP="004D28A6">
            <w:pPr>
              <w:jc w:val="right"/>
              <w:rPr>
                <w:rFonts w:cstheme="minorHAnsi"/>
                <w:szCs w:val="24"/>
              </w:rPr>
            </w:pPr>
            <w:r w:rsidRPr="004D28A6">
              <w:rPr>
                <w:rFonts w:cstheme="minorHAnsi"/>
                <w:kern w:val="24"/>
                <w:szCs w:val="24"/>
              </w:rPr>
              <w:t>45</w:t>
            </w:r>
          </w:p>
        </w:tc>
        <w:tc>
          <w:tcPr>
            <w:tcW w:w="704" w:type="dxa"/>
            <w:vAlign w:val="bottom"/>
            <w:hideMark/>
          </w:tcPr>
          <w:p w14:paraId="5694557B" w14:textId="68B2D8C8" w:rsidR="004D28A6" w:rsidRPr="004D28A6" w:rsidRDefault="004D28A6" w:rsidP="004D28A6">
            <w:pPr>
              <w:jc w:val="right"/>
              <w:rPr>
                <w:rFonts w:cstheme="minorHAnsi"/>
                <w:szCs w:val="24"/>
              </w:rPr>
            </w:pPr>
            <w:r w:rsidRPr="004D28A6">
              <w:rPr>
                <w:rFonts w:cstheme="minorHAnsi"/>
                <w:kern w:val="24"/>
                <w:szCs w:val="24"/>
              </w:rPr>
              <w:t>51%</w:t>
            </w:r>
          </w:p>
        </w:tc>
        <w:tc>
          <w:tcPr>
            <w:tcW w:w="704" w:type="dxa"/>
            <w:shd w:val="clear" w:color="auto" w:fill="DEEAF6" w:themeFill="accent5" w:themeFillTint="33"/>
            <w:vAlign w:val="bottom"/>
            <w:hideMark/>
          </w:tcPr>
          <w:p w14:paraId="13A03C68" w14:textId="3F66A624" w:rsidR="004D28A6" w:rsidRPr="004D28A6" w:rsidRDefault="004D28A6" w:rsidP="004D28A6">
            <w:pPr>
              <w:jc w:val="right"/>
              <w:rPr>
                <w:rFonts w:cstheme="minorHAnsi"/>
                <w:szCs w:val="24"/>
              </w:rPr>
            </w:pPr>
            <w:r w:rsidRPr="004D28A6">
              <w:rPr>
                <w:rFonts w:cstheme="minorHAnsi"/>
                <w:kern w:val="24"/>
                <w:szCs w:val="24"/>
              </w:rPr>
              <w:t>26</w:t>
            </w:r>
          </w:p>
        </w:tc>
        <w:tc>
          <w:tcPr>
            <w:tcW w:w="704" w:type="dxa"/>
            <w:shd w:val="clear" w:color="auto" w:fill="DEEAF6" w:themeFill="accent5" w:themeFillTint="33"/>
            <w:vAlign w:val="bottom"/>
            <w:hideMark/>
          </w:tcPr>
          <w:p w14:paraId="053A2AC4" w14:textId="0CC3EC3B" w:rsidR="004D28A6" w:rsidRPr="004D28A6" w:rsidRDefault="004D28A6" w:rsidP="004D28A6">
            <w:pPr>
              <w:jc w:val="right"/>
              <w:rPr>
                <w:rFonts w:cstheme="minorHAnsi"/>
                <w:szCs w:val="24"/>
              </w:rPr>
            </w:pPr>
            <w:r w:rsidRPr="004D28A6">
              <w:rPr>
                <w:rFonts w:cstheme="minorHAnsi"/>
                <w:kern w:val="24"/>
                <w:szCs w:val="24"/>
              </w:rPr>
              <w:t>48%</w:t>
            </w:r>
          </w:p>
        </w:tc>
      </w:tr>
      <w:tr w:rsidR="001067E9" w:rsidRPr="00991A6F" w14:paraId="4C25295B" w14:textId="77777777" w:rsidTr="003014B5">
        <w:trPr>
          <w:trHeight w:val="20"/>
        </w:trPr>
        <w:tc>
          <w:tcPr>
            <w:tcW w:w="2322" w:type="dxa"/>
            <w:hideMark/>
          </w:tcPr>
          <w:p w14:paraId="194FAE51" w14:textId="77777777" w:rsidR="004D28A6" w:rsidRPr="004D28A6" w:rsidRDefault="004D28A6" w:rsidP="004D28A6">
            <w:pPr>
              <w:rPr>
                <w:szCs w:val="24"/>
              </w:rPr>
            </w:pPr>
            <w:r w:rsidRPr="004D28A6">
              <w:rPr>
                <w:szCs w:val="24"/>
              </w:rPr>
              <w:t>40-49 years</w:t>
            </w:r>
          </w:p>
        </w:tc>
        <w:tc>
          <w:tcPr>
            <w:tcW w:w="703" w:type="dxa"/>
            <w:shd w:val="clear" w:color="auto" w:fill="DEEAF6" w:themeFill="accent5" w:themeFillTint="33"/>
            <w:vAlign w:val="bottom"/>
            <w:hideMark/>
          </w:tcPr>
          <w:p w14:paraId="20DF2016" w14:textId="66A5A6C0" w:rsidR="004D28A6" w:rsidRPr="004D28A6" w:rsidRDefault="004D28A6" w:rsidP="004D28A6">
            <w:pPr>
              <w:jc w:val="right"/>
              <w:rPr>
                <w:rFonts w:cstheme="minorHAnsi"/>
                <w:szCs w:val="24"/>
              </w:rPr>
            </w:pPr>
            <w:r w:rsidRPr="004D28A6">
              <w:rPr>
                <w:rFonts w:cstheme="minorHAnsi"/>
                <w:kern w:val="24"/>
                <w:szCs w:val="24"/>
              </w:rPr>
              <w:t>24</w:t>
            </w:r>
          </w:p>
        </w:tc>
        <w:tc>
          <w:tcPr>
            <w:tcW w:w="704" w:type="dxa"/>
            <w:shd w:val="clear" w:color="auto" w:fill="DEEAF6" w:themeFill="accent5" w:themeFillTint="33"/>
            <w:vAlign w:val="bottom"/>
            <w:hideMark/>
          </w:tcPr>
          <w:p w14:paraId="2ADEAA7C" w14:textId="670BCDE9" w:rsidR="004D28A6" w:rsidRPr="004D28A6" w:rsidRDefault="004D28A6" w:rsidP="004D28A6">
            <w:pPr>
              <w:jc w:val="right"/>
              <w:rPr>
                <w:rFonts w:cstheme="minorHAnsi"/>
                <w:szCs w:val="24"/>
              </w:rPr>
            </w:pPr>
            <w:r w:rsidRPr="004D28A6">
              <w:rPr>
                <w:rFonts w:cstheme="minorHAnsi"/>
                <w:kern w:val="24"/>
                <w:szCs w:val="24"/>
              </w:rPr>
              <w:t>22%</w:t>
            </w:r>
          </w:p>
        </w:tc>
        <w:tc>
          <w:tcPr>
            <w:tcW w:w="704" w:type="dxa"/>
            <w:vAlign w:val="bottom"/>
            <w:hideMark/>
          </w:tcPr>
          <w:p w14:paraId="3B3F1D41" w14:textId="266D75DB" w:rsidR="004D28A6" w:rsidRPr="004D28A6" w:rsidRDefault="004D28A6" w:rsidP="004D28A6">
            <w:pPr>
              <w:jc w:val="right"/>
              <w:rPr>
                <w:rFonts w:cstheme="minorHAnsi"/>
                <w:szCs w:val="24"/>
              </w:rPr>
            </w:pPr>
            <w:r w:rsidRPr="004D28A6">
              <w:rPr>
                <w:rFonts w:cstheme="minorHAnsi"/>
                <w:kern w:val="24"/>
                <w:szCs w:val="24"/>
              </w:rPr>
              <w:t>17</w:t>
            </w:r>
          </w:p>
        </w:tc>
        <w:tc>
          <w:tcPr>
            <w:tcW w:w="704" w:type="dxa"/>
            <w:vAlign w:val="bottom"/>
            <w:hideMark/>
          </w:tcPr>
          <w:p w14:paraId="7F522804" w14:textId="058CF794" w:rsidR="004D28A6" w:rsidRPr="004D28A6" w:rsidRDefault="004D28A6" w:rsidP="004D28A6">
            <w:pPr>
              <w:jc w:val="right"/>
              <w:rPr>
                <w:rFonts w:cstheme="minorHAnsi"/>
                <w:szCs w:val="24"/>
              </w:rPr>
            </w:pPr>
            <w:r w:rsidRPr="004D28A6">
              <w:rPr>
                <w:rFonts w:cstheme="minorHAnsi"/>
                <w:kern w:val="24"/>
                <w:szCs w:val="24"/>
              </w:rPr>
              <w:t>21%</w:t>
            </w:r>
          </w:p>
        </w:tc>
        <w:tc>
          <w:tcPr>
            <w:tcW w:w="704" w:type="dxa"/>
            <w:shd w:val="clear" w:color="auto" w:fill="DEEAF6" w:themeFill="accent5" w:themeFillTint="33"/>
            <w:vAlign w:val="bottom"/>
            <w:hideMark/>
          </w:tcPr>
          <w:p w14:paraId="0DD626C1" w14:textId="5CC33617" w:rsidR="004D28A6" w:rsidRPr="004D28A6" w:rsidRDefault="004D28A6" w:rsidP="004D28A6">
            <w:pPr>
              <w:jc w:val="right"/>
              <w:rPr>
                <w:rFonts w:cstheme="minorHAnsi"/>
                <w:szCs w:val="24"/>
              </w:rPr>
            </w:pPr>
            <w:r w:rsidRPr="004D28A6">
              <w:rPr>
                <w:rFonts w:cstheme="minorHAnsi"/>
                <w:kern w:val="24"/>
                <w:szCs w:val="24"/>
              </w:rPr>
              <w:t>15</w:t>
            </w:r>
          </w:p>
        </w:tc>
        <w:tc>
          <w:tcPr>
            <w:tcW w:w="703" w:type="dxa"/>
            <w:shd w:val="clear" w:color="auto" w:fill="DEEAF6" w:themeFill="accent5" w:themeFillTint="33"/>
            <w:vAlign w:val="bottom"/>
            <w:hideMark/>
          </w:tcPr>
          <w:p w14:paraId="6B9972FB" w14:textId="19209533" w:rsidR="004D28A6" w:rsidRPr="004D28A6" w:rsidRDefault="004D28A6" w:rsidP="004D28A6">
            <w:pPr>
              <w:jc w:val="right"/>
              <w:rPr>
                <w:rFonts w:cstheme="minorHAnsi"/>
                <w:szCs w:val="24"/>
              </w:rPr>
            </w:pPr>
            <w:r w:rsidRPr="004D28A6">
              <w:rPr>
                <w:rFonts w:cstheme="minorHAnsi"/>
                <w:kern w:val="24"/>
                <w:szCs w:val="24"/>
              </w:rPr>
              <w:t>15%</w:t>
            </w:r>
          </w:p>
        </w:tc>
        <w:tc>
          <w:tcPr>
            <w:tcW w:w="704" w:type="dxa"/>
            <w:vAlign w:val="bottom"/>
            <w:hideMark/>
          </w:tcPr>
          <w:p w14:paraId="78DD0236" w14:textId="6E94B94D" w:rsidR="004D28A6" w:rsidRPr="004D28A6" w:rsidRDefault="004D28A6" w:rsidP="004D28A6">
            <w:pPr>
              <w:jc w:val="right"/>
              <w:rPr>
                <w:rFonts w:cstheme="minorHAnsi"/>
                <w:szCs w:val="24"/>
              </w:rPr>
            </w:pPr>
            <w:r w:rsidRPr="004D28A6">
              <w:rPr>
                <w:rFonts w:cstheme="minorHAnsi"/>
                <w:kern w:val="24"/>
                <w:szCs w:val="24"/>
              </w:rPr>
              <w:t>17</w:t>
            </w:r>
          </w:p>
        </w:tc>
        <w:tc>
          <w:tcPr>
            <w:tcW w:w="704" w:type="dxa"/>
            <w:vAlign w:val="bottom"/>
            <w:hideMark/>
          </w:tcPr>
          <w:p w14:paraId="51AADBB6" w14:textId="3DF0B1CD" w:rsidR="004D28A6" w:rsidRPr="004D28A6" w:rsidRDefault="004D28A6" w:rsidP="004D28A6">
            <w:pPr>
              <w:jc w:val="right"/>
              <w:rPr>
                <w:rFonts w:cstheme="minorHAnsi"/>
                <w:szCs w:val="24"/>
              </w:rPr>
            </w:pPr>
            <w:r w:rsidRPr="004D28A6">
              <w:rPr>
                <w:rFonts w:cstheme="minorHAnsi"/>
                <w:kern w:val="24"/>
                <w:szCs w:val="24"/>
              </w:rPr>
              <w:t>19%</w:t>
            </w:r>
          </w:p>
        </w:tc>
        <w:tc>
          <w:tcPr>
            <w:tcW w:w="704" w:type="dxa"/>
            <w:shd w:val="clear" w:color="auto" w:fill="DEEAF6" w:themeFill="accent5" w:themeFillTint="33"/>
            <w:vAlign w:val="bottom"/>
            <w:hideMark/>
          </w:tcPr>
          <w:p w14:paraId="22BBA5F8" w14:textId="55CDAB65" w:rsidR="004D28A6" w:rsidRPr="004D28A6" w:rsidRDefault="004D28A6" w:rsidP="004D28A6">
            <w:pPr>
              <w:jc w:val="right"/>
              <w:rPr>
                <w:rFonts w:cstheme="minorHAnsi"/>
                <w:szCs w:val="24"/>
              </w:rPr>
            </w:pPr>
            <w:r w:rsidRPr="004D28A6">
              <w:rPr>
                <w:rFonts w:cstheme="minorHAnsi"/>
                <w:kern w:val="24"/>
                <w:szCs w:val="24"/>
              </w:rPr>
              <w:t>8</w:t>
            </w:r>
          </w:p>
        </w:tc>
        <w:tc>
          <w:tcPr>
            <w:tcW w:w="704" w:type="dxa"/>
            <w:shd w:val="clear" w:color="auto" w:fill="DEEAF6" w:themeFill="accent5" w:themeFillTint="33"/>
            <w:vAlign w:val="bottom"/>
            <w:hideMark/>
          </w:tcPr>
          <w:p w14:paraId="13DACE33" w14:textId="6A987219" w:rsidR="004D28A6" w:rsidRPr="004D28A6" w:rsidRDefault="004D28A6" w:rsidP="004D28A6">
            <w:pPr>
              <w:jc w:val="right"/>
              <w:rPr>
                <w:rFonts w:cstheme="minorHAnsi"/>
                <w:szCs w:val="24"/>
              </w:rPr>
            </w:pPr>
            <w:r w:rsidRPr="004D28A6">
              <w:rPr>
                <w:rFonts w:cstheme="minorHAnsi"/>
                <w:kern w:val="24"/>
                <w:szCs w:val="24"/>
              </w:rPr>
              <w:t>15%</w:t>
            </w:r>
          </w:p>
        </w:tc>
      </w:tr>
      <w:tr w:rsidR="001067E9" w:rsidRPr="00991A6F" w14:paraId="5CDF3DE2" w14:textId="77777777" w:rsidTr="003014B5">
        <w:trPr>
          <w:trHeight w:val="20"/>
        </w:trPr>
        <w:tc>
          <w:tcPr>
            <w:tcW w:w="2322" w:type="dxa"/>
            <w:hideMark/>
          </w:tcPr>
          <w:p w14:paraId="48B0760E" w14:textId="77777777" w:rsidR="004D28A6" w:rsidRPr="004D28A6" w:rsidRDefault="004D28A6" w:rsidP="004D28A6">
            <w:pPr>
              <w:rPr>
                <w:szCs w:val="24"/>
              </w:rPr>
            </w:pPr>
            <w:r w:rsidRPr="004D28A6">
              <w:rPr>
                <w:szCs w:val="24"/>
              </w:rPr>
              <w:t>50+ years</w:t>
            </w:r>
          </w:p>
        </w:tc>
        <w:tc>
          <w:tcPr>
            <w:tcW w:w="703" w:type="dxa"/>
            <w:shd w:val="clear" w:color="auto" w:fill="DEEAF6" w:themeFill="accent5" w:themeFillTint="33"/>
            <w:vAlign w:val="bottom"/>
            <w:hideMark/>
          </w:tcPr>
          <w:p w14:paraId="34ADC370" w14:textId="3369407C" w:rsidR="004D28A6" w:rsidRPr="004D28A6" w:rsidRDefault="004D28A6" w:rsidP="004D28A6">
            <w:pPr>
              <w:jc w:val="right"/>
              <w:rPr>
                <w:rFonts w:cstheme="minorHAnsi"/>
                <w:szCs w:val="24"/>
              </w:rPr>
            </w:pPr>
            <w:r w:rsidRPr="004D28A6">
              <w:rPr>
                <w:rFonts w:cstheme="minorHAnsi"/>
                <w:kern w:val="24"/>
                <w:szCs w:val="24"/>
              </w:rPr>
              <w:t>16</w:t>
            </w:r>
          </w:p>
        </w:tc>
        <w:tc>
          <w:tcPr>
            <w:tcW w:w="704" w:type="dxa"/>
            <w:shd w:val="clear" w:color="auto" w:fill="DEEAF6" w:themeFill="accent5" w:themeFillTint="33"/>
            <w:vAlign w:val="bottom"/>
            <w:hideMark/>
          </w:tcPr>
          <w:p w14:paraId="092F7D0D" w14:textId="6F642812" w:rsidR="004D28A6" w:rsidRPr="004D28A6" w:rsidRDefault="004D28A6" w:rsidP="004D28A6">
            <w:pPr>
              <w:jc w:val="right"/>
              <w:rPr>
                <w:rFonts w:cstheme="minorHAnsi"/>
                <w:szCs w:val="24"/>
              </w:rPr>
            </w:pPr>
            <w:r w:rsidRPr="004D28A6">
              <w:rPr>
                <w:rFonts w:cstheme="minorHAnsi"/>
                <w:kern w:val="24"/>
                <w:szCs w:val="24"/>
              </w:rPr>
              <w:t>15%</w:t>
            </w:r>
          </w:p>
        </w:tc>
        <w:tc>
          <w:tcPr>
            <w:tcW w:w="704" w:type="dxa"/>
            <w:vAlign w:val="bottom"/>
            <w:hideMark/>
          </w:tcPr>
          <w:p w14:paraId="7DDD1BA2" w14:textId="7ECE524F" w:rsidR="004D28A6" w:rsidRPr="004D28A6" w:rsidRDefault="004D28A6" w:rsidP="004D28A6">
            <w:pPr>
              <w:jc w:val="right"/>
              <w:rPr>
                <w:rFonts w:cstheme="minorHAnsi"/>
                <w:szCs w:val="24"/>
              </w:rPr>
            </w:pPr>
            <w:r w:rsidRPr="004D28A6">
              <w:rPr>
                <w:rFonts w:cstheme="minorHAnsi"/>
                <w:kern w:val="24"/>
                <w:szCs w:val="24"/>
              </w:rPr>
              <w:t>9</w:t>
            </w:r>
          </w:p>
        </w:tc>
        <w:tc>
          <w:tcPr>
            <w:tcW w:w="704" w:type="dxa"/>
            <w:vAlign w:val="bottom"/>
            <w:hideMark/>
          </w:tcPr>
          <w:p w14:paraId="267A13BC" w14:textId="31766734" w:rsidR="004D28A6" w:rsidRPr="004D28A6" w:rsidRDefault="004D28A6" w:rsidP="004D28A6">
            <w:pPr>
              <w:jc w:val="right"/>
              <w:rPr>
                <w:rFonts w:cstheme="minorHAnsi"/>
                <w:szCs w:val="24"/>
              </w:rPr>
            </w:pPr>
            <w:r w:rsidRPr="004D28A6">
              <w:rPr>
                <w:rFonts w:cstheme="minorHAnsi"/>
                <w:kern w:val="24"/>
                <w:szCs w:val="24"/>
              </w:rPr>
              <w:t>11%</w:t>
            </w:r>
          </w:p>
        </w:tc>
        <w:tc>
          <w:tcPr>
            <w:tcW w:w="704" w:type="dxa"/>
            <w:shd w:val="clear" w:color="auto" w:fill="DEEAF6" w:themeFill="accent5" w:themeFillTint="33"/>
            <w:vAlign w:val="bottom"/>
            <w:hideMark/>
          </w:tcPr>
          <w:p w14:paraId="3453CCC5" w14:textId="19673D1A" w:rsidR="004D28A6" w:rsidRPr="004D28A6" w:rsidRDefault="004D28A6" w:rsidP="004D28A6">
            <w:pPr>
              <w:jc w:val="right"/>
              <w:rPr>
                <w:rFonts w:cstheme="minorHAnsi"/>
                <w:szCs w:val="24"/>
              </w:rPr>
            </w:pPr>
            <w:r w:rsidRPr="004D28A6">
              <w:rPr>
                <w:rFonts w:cstheme="minorHAnsi"/>
                <w:kern w:val="24"/>
                <w:szCs w:val="24"/>
              </w:rPr>
              <w:t>11</w:t>
            </w:r>
          </w:p>
        </w:tc>
        <w:tc>
          <w:tcPr>
            <w:tcW w:w="703" w:type="dxa"/>
            <w:shd w:val="clear" w:color="auto" w:fill="DEEAF6" w:themeFill="accent5" w:themeFillTint="33"/>
            <w:vAlign w:val="bottom"/>
            <w:hideMark/>
          </w:tcPr>
          <w:p w14:paraId="0DE36142" w14:textId="15E1D543" w:rsidR="004D28A6" w:rsidRPr="004D28A6" w:rsidRDefault="004D28A6" w:rsidP="004D28A6">
            <w:pPr>
              <w:jc w:val="right"/>
              <w:rPr>
                <w:rFonts w:cstheme="minorHAnsi"/>
                <w:szCs w:val="24"/>
              </w:rPr>
            </w:pPr>
            <w:r w:rsidRPr="004D28A6">
              <w:rPr>
                <w:rFonts w:cstheme="minorHAnsi"/>
                <w:kern w:val="24"/>
                <w:szCs w:val="24"/>
              </w:rPr>
              <w:t>11%</w:t>
            </w:r>
          </w:p>
        </w:tc>
        <w:tc>
          <w:tcPr>
            <w:tcW w:w="704" w:type="dxa"/>
            <w:vAlign w:val="bottom"/>
            <w:hideMark/>
          </w:tcPr>
          <w:p w14:paraId="6716E396" w14:textId="24AC7982" w:rsidR="004D28A6" w:rsidRPr="004D28A6" w:rsidRDefault="004D28A6" w:rsidP="004D28A6">
            <w:pPr>
              <w:jc w:val="right"/>
              <w:rPr>
                <w:rFonts w:cstheme="minorHAnsi"/>
                <w:szCs w:val="24"/>
              </w:rPr>
            </w:pPr>
            <w:r w:rsidRPr="004D28A6">
              <w:rPr>
                <w:rFonts w:cstheme="minorHAnsi"/>
                <w:kern w:val="24"/>
                <w:szCs w:val="24"/>
              </w:rPr>
              <w:t>19</w:t>
            </w:r>
          </w:p>
        </w:tc>
        <w:tc>
          <w:tcPr>
            <w:tcW w:w="704" w:type="dxa"/>
            <w:vAlign w:val="bottom"/>
            <w:hideMark/>
          </w:tcPr>
          <w:p w14:paraId="7425DDB0" w14:textId="259494BE" w:rsidR="004D28A6" w:rsidRPr="004D28A6" w:rsidRDefault="004D28A6" w:rsidP="004D28A6">
            <w:pPr>
              <w:jc w:val="right"/>
              <w:rPr>
                <w:rFonts w:cstheme="minorHAnsi"/>
                <w:szCs w:val="24"/>
              </w:rPr>
            </w:pPr>
            <w:r w:rsidRPr="004D28A6">
              <w:rPr>
                <w:rFonts w:cstheme="minorHAnsi"/>
                <w:kern w:val="24"/>
                <w:szCs w:val="24"/>
              </w:rPr>
              <w:t>21%</w:t>
            </w:r>
          </w:p>
        </w:tc>
        <w:tc>
          <w:tcPr>
            <w:tcW w:w="704" w:type="dxa"/>
            <w:shd w:val="clear" w:color="auto" w:fill="DEEAF6" w:themeFill="accent5" w:themeFillTint="33"/>
            <w:vAlign w:val="bottom"/>
            <w:hideMark/>
          </w:tcPr>
          <w:p w14:paraId="6BB68DDD" w14:textId="39D8D300" w:rsidR="004D28A6" w:rsidRPr="004D28A6" w:rsidRDefault="004D28A6" w:rsidP="004D28A6">
            <w:pPr>
              <w:jc w:val="right"/>
              <w:rPr>
                <w:rFonts w:cstheme="minorHAnsi"/>
                <w:szCs w:val="24"/>
              </w:rPr>
            </w:pPr>
            <w:r w:rsidRPr="004D28A6">
              <w:rPr>
                <w:rFonts w:cstheme="minorHAnsi"/>
                <w:kern w:val="24"/>
                <w:szCs w:val="24"/>
              </w:rPr>
              <w:t>11</w:t>
            </w:r>
          </w:p>
        </w:tc>
        <w:tc>
          <w:tcPr>
            <w:tcW w:w="704" w:type="dxa"/>
            <w:shd w:val="clear" w:color="auto" w:fill="DEEAF6" w:themeFill="accent5" w:themeFillTint="33"/>
            <w:vAlign w:val="bottom"/>
            <w:hideMark/>
          </w:tcPr>
          <w:p w14:paraId="556D4AE6" w14:textId="44181E02" w:rsidR="004D28A6" w:rsidRPr="004D28A6" w:rsidRDefault="004D28A6" w:rsidP="004D28A6">
            <w:pPr>
              <w:jc w:val="right"/>
              <w:rPr>
                <w:rFonts w:cstheme="minorHAnsi"/>
                <w:szCs w:val="24"/>
              </w:rPr>
            </w:pPr>
            <w:r w:rsidRPr="004D28A6">
              <w:rPr>
                <w:rFonts w:cstheme="minorHAnsi"/>
                <w:kern w:val="24"/>
                <w:szCs w:val="24"/>
              </w:rPr>
              <w:t>20%</w:t>
            </w:r>
          </w:p>
        </w:tc>
      </w:tr>
      <w:tr w:rsidR="001067E9" w:rsidRPr="00991A6F" w14:paraId="251BB808" w14:textId="77777777" w:rsidTr="003014B5">
        <w:trPr>
          <w:trHeight w:val="20"/>
        </w:trPr>
        <w:tc>
          <w:tcPr>
            <w:tcW w:w="2322" w:type="dxa"/>
            <w:hideMark/>
          </w:tcPr>
          <w:p w14:paraId="7B55E941" w14:textId="024137E0" w:rsidR="004D28A6" w:rsidRPr="004D28A6" w:rsidRDefault="004D28A6" w:rsidP="004D28A6">
            <w:r w:rsidRPr="004D28A6">
              <w:rPr>
                <w:b/>
                <w:bCs/>
              </w:rPr>
              <w:t xml:space="preserve">HIV </w:t>
            </w:r>
            <w:r w:rsidRPr="004D28A6">
              <w:rPr>
                <w:b/>
              </w:rPr>
              <w:t>Exposure Mode:</w:t>
            </w:r>
          </w:p>
        </w:tc>
        <w:tc>
          <w:tcPr>
            <w:tcW w:w="703" w:type="dxa"/>
            <w:shd w:val="clear" w:color="auto" w:fill="DEEAF6" w:themeFill="accent5" w:themeFillTint="33"/>
            <w:vAlign w:val="bottom"/>
            <w:hideMark/>
          </w:tcPr>
          <w:p w14:paraId="29E260DE"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6CAB0108" w14:textId="77777777" w:rsidR="004D28A6" w:rsidRPr="004D28A6" w:rsidRDefault="004D28A6" w:rsidP="004D28A6">
            <w:pPr>
              <w:jc w:val="right"/>
              <w:rPr>
                <w:rFonts w:cstheme="minorHAnsi"/>
                <w:szCs w:val="24"/>
              </w:rPr>
            </w:pPr>
          </w:p>
        </w:tc>
        <w:tc>
          <w:tcPr>
            <w:tcW w:w="704" w:type="dxa"/>
            <w:vAlign w:val="bottom"/>
            <w:hideMark/>
          </w:tcPr>
          <w:p w14:paraId="77538EAF" w14:textId="77777777" w:rsidR="004D28A6" w:rsidRPr="004D28A6" w:rsidRDefault="004D28A6" w:rsidP="004D28A6">
            <w:pPr>
              <w:jc w:val="right"/>
              <w:rPr>
                <w:rFonts w:cstheme="minorHAnsi"/>
                <w:szCs w:val="24"/>
              </w:rPr>
            </w:pPr>
          </w:p>
        </w:tc>
        <w:tc>
          <w:tcPr>
            <w:tcW w:w="704" w:type="dxa"/>
            <w:vAlign w:val="bottom"/>
            <w:hideMark/>
          </w:tcPr>
          <w:p w14:paraId="5B95B64D"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197F8303" w14:textId="77777777" w:rsidR="004D28A6" w:rsidRPr="004D28A6" w:rsidRDefault="004D28A6" w:rsidP="004D28A6">
            <w:pPr>
              <w:jc w:val="right"/>
              <w:rPr>
                <w:rFonts w:cstheme="minorHAnsi"/>
                <w:szCs w:val="24"/>
              </w:rPr>
            </w:pPr>
          </w:p>
        </w:tc>
        <w:tc>
          <w:tcPr>
            <w:tcW w:w="703" w:type="dxa"/>
            <w:shd w:val="clear" w:color="auto" w:fill="DEEAF6" w:themeFill="accent5" w:themeFillTint="33"/>
            <w:vAlign w:val="bottom"/>
            <w:hideMark/>
          </w:tcPr>
          <w:p w14:paraId="4BD1D82A" w14:textId="77777777" w:rsidR="004D28A6" w:rsidRPr="004D28A6" w:rsidRDefault="004D28A6" w:rsidP="004D28A6">
            <w:pPr>
              <w:jc w:val="right"/>
              <w:rPr>
                <w:rFonts w:cstheme="minorHAnsi"/>
                <w:szCs w:val="24"/>
              </w:rPr>
            </w:pPr>
          </w:p>
        </w:tc>
        <w:tc>
          <w:tcPr>
            <w:tcW w:w="704" w:type="dxa"/>
            <w:vAlign w:val="bottom"/>
            <w:hideMark/>
          </w:tcPr>
          <w:p w14:paraId="4C5EA770" w14:textId="77777777" w:rsidR="004D28A6" w:rsidRPr="004D28A6" w:rsidRDefault="004D28A6" w:rsidP="004D28A6">
            <w:pPr>
              <w:jc w:val="right"/>
              <w:rPr>
                <w:rFonts w:cstheme="minorHAnsi"/>
                <w:szCs w:val="24"/>
              </w:rPr>
            </w:pPr>
          </w:p>
        </w:tc>
        <w:tc>
          <w:tcPr>
            <w:tcW w:w="704" w:type="dxa"/>
            <w:vAlign w:val="bottom"/>
            <w:hideMark/>
          </w:tcPr>
          <w:p w14:paraId="664A47E8"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4AB56F6A" w14:textId="77777777" w:rsidR="004D28A6" w:rsidRPr="004D28A6" w:rsidRDefault="004D28A6" w:rsidP="004D28A6">
            <w:pPr>
              <w:jc w:val="right"/>
              <w:rPr>
                <w:rFonts w:cstheme="minorHAnsi"/>
                <w:szCs w:val="24"/>
              </w:rPr>
            </w:pPr>
          </w:p>
        </w:tc>
        <w:tc>
          <w:tcPr>
            <w:tcW w:w="704" w:type="dxa"/>
            <w:shd w:val="clear" w:color="auto" w:fill="DEEAF6" w:themeFill="accent5" w:themeFillTint="33"/>
            <w:vAlign w:val="bottom"/>
            <w:hideMark/>
          </w:tcPr>
          <w:p w14:paraId="2D801112" w14:textId="77777777" w:rsidR="004D28A6" w:rsidRPr="004D28A6" w:rsidRDefault="004D28A6" w:rsidP="004D28A6">
            <w:pPr>
              <w:jc w:val="right"/>
              <w:rPr>
                <w:rFonts w:cstheme="minorHAnsi"/>
                <w:szCs w:val="24"/>
              </w:rPr>
            </w:pPr>
          </w:p>
        </w:tc>
      </w:tr>
      <w:tr w:rsidR="001067E9" w:rsidRPr="00991A6F" w14:paraId="4B5BEA97" w14:textId="77777777" w:rsidTr="003014B5">
        <w:trPr>
          <w:trHeight w:val="20"/>
        </w:trPr>
        <w:tc>
          <w:tcPr>
            <w:tcW w:w="2322" w:type="dxa"/>
            <w:hideMark/>
          </w:tcPr>
          <w:p w14:paraId="336FD23D" w14:textId="2225BE6E" w:rsidR="00131470" w:rsidRPr="004D28A6" w:rsidRDefault="00131470" w:rsidP="00131470">
            <w:r w:rsidRPr="004D28A6">
              <w:t>MSM</w:t>
            </w:r>
          </w:p>
        </w:tc>
        <w:tc>
          <w:tcPr>
            <w:tcW w:w="703" w:type="dxa"/>
            <w:shd w:val="clear" w:color="auto" w:fill="DEEAF6" w:themeFill="accent5" w:themeFillTint="33"/>
            <w:vAlign w:val="bottom"/>
            <w:hideMark/>
          </w:tcPr>
          <w:p w14:paraId="63E14500" w14:textId="5542C685" w:rsidR="00131470" w:rsidRPr="00131470" w:rsidRDefault="00131470" w:rsidP="00131470">
            <w:pPr>
              <w:jc w:val="right"/>
              <w:rPr>
                <w:rFonts w:cstheme="minorHAnsi"/>
                <w:szCs w:val="24"/>
              </w:rPr>
            </w:pPr>
            <w:r w:rsidRPr="00131470">
              <w:rPr>
                <w:rFonts w:cstheme="minorHAnsi"/>
                <w:color w:val="000000"/>
                <w:kern w:val="24"/>
                <w:sz w:val="22"/>
              </w:rPr>
              <w:t>9</w:t>
            </w:r>
          </w:p>
        </w:tc>
        <w:tc>
          <w:tcPr>
            <w:tcW w:w="704" w:type="dxa"/>
            <w:shd w:val="clear" w:color="auto" w:fill="DEEAF6" w:themeFill="accent5" w:themeFillTint="33"/>
            <w:vAlign w:val="bottom"/>
            <w:hideMark/>
          </w:tcPr>
          <w:p w14:paraId="5420FED8" w14:textId="4C88DFB8" w:rsidR="00131470" w:rsidRPr="00131470" w:rsidRDefault="00131470" w:rsidP="00131470">
            <w:pPr>
              <w:jc w:val="right"/>
              <w:rPr>
                <w:rFonts w:cstheme="minorHAnsi"/>
                <w:szCs w:val="24"/>
              </w:rPr>
            </w:pPr>
            <w:r w:rsidRPr="00131470">
              <w:rPr>
                <w:rFonts w:cstheme="minorHAnsi"/>
                <w:color w:val="000000"/>
                <w:kern w:val="24"/>
                <w:sz w:val="22"/>
              </w:rPr>
              <w:t>8%</w:t>
            </w:r>
          </w:p>
        </w:tc>
        <w:tc>
          <w:tcPr>
            <w:tcW w:w="704" w:type="dxa"/>
            <w:vAlign w:val="bottom"/>
            <w:hideMark/>
          </w:tcPr>
          <w:p w14:paraId="10DD8940" w14:textId="7DBEE0D4" w:rsidR="00131470" w:rsidRPr="00131470" w:rsidRDefault="00131470" w:rsidP="00131470">
            <w:pPr>
              <w:jc w:val="right"/>
              <w:rPr>
                <w:rFonts w:cstheme="minorHAnsi"/>
                <w:szCs w:val="24"/>
              </w:rPr>
            </w:pPr>
            <w:r w:rsidRPr="00131470">
              <w:rPr>
                <w:rFonts w:cstheme="minorHAnsi"/>
                <w:color w:val="000000"/>
                <w:kern w:val="24"/>
                <w:sz w:val="22"/>
              </w:rPr>
              <w:t>6</w:t>
            </w:r>
          </w:p>
        </w:tc>
        <w:tc>
          <w:tcPr>
            <w:tcW w:w="704" w:type="dxa"/>
            <w:vAlign w:val="bottom"/>
            <w:hideMark/>
          </w:tcPr>
          <w:p w14:paraId="1DE71B7E" w14:textId="669DDE09" w:rsidR="00131470" w:rsidRPr="00131470" w:rsidRDefault="00131470" w:rsidP="00131470">
            <w:pPr>
              <w:jc w:val="right"/>
              <w:rPr>
                <w:rFonts w:cstheme="minorHAnsi"/>
                <w:szCs w:val="24"/>
              </w:rPr>
            </w:pPr>
            <w:r w:rsidRPr="00131470">
              <w:rPr>
                <w:rFonts w:cstheme="minorHAnsi"/>
                <w:color w:val="000000"/>
                <w:kern w:val="24"/>
                <w:sz w:val="22"/>
              </w:rPr>
              <w:t>7%</w:t>
            </w:r>
          </w:p>
        </w:tc>
        <w:tc>
          <w:tcPr>
            <w:tcW w:w="704" w:type="dxa"/>
            <w:shd w:val="clear" w:color="auto" w:fill="DEEAF6" w:themeFill="accent5" w:themeFillTint="33"/>
            <w:vAlign w:val="bottom"/>
            <w:hideMark/>
          </w:tcPr>
          <w:p w14:paraId="46166FF0" w14:textId="4F620DC7" w:rsidR="00131470" w:rsidRPr="00131470" w:rsidRDefault="00131470" w:rsidP="00131470">
            <w:pPr>
              <w:jc w:val="right"/>
              <w:rPr>
                <w:rFonts w:cstheme="minorHAnsi"/>
                <w:szCs w:val="24"/>
              </w:rPr>
            </w:pPr>
            <w:r w:rsidRPr="00131470">
              <w:rPr>
                <w:rFonts w:cstheme="minorHAnsi"/>
                <w:color w:val="000000"/>
                <w:kern w:val="24"/>
                <w:sz w:val="22"/>
              </w:rPr>
              <w:t>10</w:t>
            </w:r>
          </w:p>
        </w:tc>
        <w:tc>
          <w:tcPr>
            <w:tcW w:w="703" w:type="dxa"/>
            <w:shd w:val="clear" w:color="auto" w:fill="DEEAF6" w:themeFill="accent5" w:themeFillTint="33"/>
            <w:vAlign w:val="bottom"/>
            <w:hideMark/>
          </w:tcPr>
          <w:p w14:paraId="65D128BF" w14:textId="3AEEACAB" w:rsidR="00131470" w:rsidRPr="00131470" w:rsidRDefault="00131470" w:rsidP="00131470">
            <w:pPr>
              <w:jc w:val="right"/>
              <w:rPr>
                <w:rFonts w:cstheme="minorHAnsi"/>
                <w:szCs w:val="24"/>
              </w:rPr>
            </w:pPr>
            <w:r w:rsidRPr="00131470">
              <w:rPr>
                <w:rFonts w:cstheme="minorHAnsi"/>
                <w:color w:val="000000"/>
                <w:kern w:val="24"/>
                <w:sz w:val="22"/>
              </w:rPr>
              <w:t>10%</w:t>
            </w:r>
          </w:p>
        </w:tc>
        <w:tc>
          <w:tcPr>
            <w:tcW w:w="704" w:type="dxa"/>
            <w:vAlign w:val="bottom"/>
            <w:hideMark/>
          </w:tcPr>
          <w:p w14:paraId="24150A12" w14:textId="7CE46BA3"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vAlign w:val="bottom"/>
            <w:hideMark/>
          </w:tcPr>
          <w:p w14:paraId="5630107B" w14:textId="0F28E061"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shd w:val="clear" w:color="auto" w:fill="DEEAF6" w:themeFill="accent5" w:themeFillTint="33"/>
            <w:vAlign w:val="bottom"/>
            <w:hideMark/>
          </w:tcPr>
          <w:p w14:paraId="0CF52484" w14:textId="31A99E75"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shd w:val="clear" w:color="auto" w:fill="DEEAF6" w:themeFill="accent5" w:themeFillTint="33"/>
            <w:vAlign w:val="bottom"/>
            <w:hideMark/>
          </w:tcPr>
          <w:p w14:paraId="338689A9" w14:textId="10AB1358"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r>
      <w:tr w:rsidR="001067E9" w:rsidRPr="00991A6F" w14:paraId="52926E46" w14:textId="77777777" w:rsidTr="003014B5">
        <w:trPr>
          <w:trHeight w:val="20"/>
        </w:trPr>
        <w:tc>
          <w:tcPr>
            <w:tcW w:w="2322" w:type="dxa"/>
            <w:hideMark/>
          </w:tcPr>
          <w:p w14:paraId="204386AA" w14:textId="77777777" w:rsidR="00131470" w:rsidRPr="004D28A6" w:rsidRDefault="00131470" w:rsidP="00131470">
            <w:pPr>
              <w:rPr>
                <w:szCs w:val="24"/>
              </w:rPr>
            </w:pPr>
            <w:r w:rsidRPr="004D28A6">
              <w:rPr>
                <w:szCs w:val="24"/>
              </w:rPr>
              <w:t>IDU</w:t>
            </w:r>
          </w:p>
        </w:tc>
        <w:tc>
          <w:tcPr>
            <w:tcW w:w="703" w:type="dxa"/>
            <w:shd w:val="clear" w:color="auto" w:fill="DEEAF6" w:themeFill="accent5" w:themeFillTint="33"/>
            <w:vAlign w:val="bottom"/>
            <w:hideMark/>
          </w:tcPr>
          <w:p w14:paraId="5991D922" w14:textId="5BD2661C" w:rsidR="00131470" w:rsidRPr="00131470" w:rsidRDefault="00131470" w:rsidP="00131470">
            <w:pPr>
              <w:jc w:val="right"/>
              <w:rPr>
                <w:rFonts w:cstheme="minorHAnsi"/>
                <w:szCs w:val="24"/>
              </w:rPr>
            </w:pPr>
            <w:r w:rsidRPr="00131470">
              <w:rPr>
                <w:rFonts w:cstheme="minorHAnsi"/>
                <w:color w:val="000000"/>
                <w:kern w:val="24"/>
                <w:sz w:val="22"/>
              </w:rPr>
              <w:t>79</w:t>
            </w:r>
          </w:p>
        </w:tc>
        <w:tc>
          <w:tcPr>
            <w:tcW w:w="704" w:type="dxa"/>
            <w:shd w:val="clear" w:color="auto" w:fill="DEEAF6" w:themeFill="accent5" w:themeFillTint="33"/>
            <w:vAlign w:val="bottom"/>
            <w:hideMark/>
          </w:tcPr>
          <w:p w14:paraId="4B43E217" w14:textId="0280747F" w:rsidR="00131470" w:rsidRPr="00131470" w:rsidRDefault="00131470" w:rsidP="00131470">
            <w:pPr>
              <w:jc w:val="right"/>
              <w:rPr>
                <w:rFonts w:cstheme="minorHAnsi"/>
                <w:szCs w:val="24"/>
              </w:rPr>
            </w:pPr>
            <w:r w:rsidRPr="00131470">
              <w:rPr>
                <w:rFonts w:cstheme="minorHAnsi"/>
                <w:color w:val="000000"/>
                <w:kern w:val="24"/>
                <w:sz w:val="22"/>
              </w:rPr>
              <w:t>72%</w:t>
            </w:r>
          </w:p>
        </w:tc>
        <w:tc>
          <w:tcPr>
            <w:tcW w:w="704" w:type="dxa"/>
            <w:vAlign w:val="bottom"/>
            <w:hideMark/>
          </w:tcPr>
          <w:p w14:paraId="0645660C" w14:textId="012C1B66" w:rsidR="00131470" w:rsidRPr="00131470" w:rsidRDefault="00131470" w:rsidP="00131470">
            <w:pPr>
              <w:jc w:val="right"/>
              <w:rPr>
                <w:rFonts w:cstheme="minorHAnsi"/>
                <w:szCs w:val="24"/>
              </w:rPr>
            </w:pPr>
            <w:r w:rsidRPr="00131470">
              <w:rPr>
                <w:rFonts w:cstheme="minorHAnsi"/>
                <w:color w:val="000000"/>
                <w:kern w:val="24"/>
                <w:sz w:val="22"/>
              </w:rPr>
              <w:t>52</w:t>
            </w:r>
          </w:p>
        </w:tc>
        <w:tc>
          <w:tcPr>
            <w:tcW w:w="704" w:type="dxa"/>
            <w:vAlign w:val="bottom"/>
            <w:hideMark/>
          </w:tcPr>
          <w:p w14:paraId="2F689E19" w14:textId="3BB9F84A" w:rsidR="00131470" w:rsidRPr="00131470" w:rsidRDefault="00131470" w:rsidP="00131470">
            <w:pPr>
              <w:jc w:val="right"/>
              <w:rPr>
                <w:rFonts w:cstheme="minorHAnsi"/>
                <w:szCs w:val="24"/>
              </w:rPr>
            </w:pPr>
            <w:r w:rsidRPr="00131470">
              <w:rPr>
                <w:rFonts w:cstheme="minorHAnsi"/>
                <w:color w:val="000000"/>
                <w:kern w:val="24"/>
                <w:sz w:val="22"/>
              </w:rPr>
              <w:t>63%</w:t>
            </w:r>
          </w:p>
        </w:tc>
        <w:tc>
          <w:tcPr>
            <w:tcW w:w="704" w:type="dxa"/>
            <w:shd w:val="clear" w:color="auto" w:fill="DEEAF6" w:themeFill="accent5" w:themeFillTint="33"/>
            <w:vAlign w:val="bottom"/>
            <w:hideMark/>
          </w:tcPr>
          <w:p w14:paraId="5B85E059" w14:textId="3664A7B6" w:rsidR="00131470" w:rsidRPr="00131470" w:rsidRDefault="00131470" w:rsidP="00131470">
            <w:pPr>
              <w:jc w:val="right"/>
              <w:rPr>
                <w:rFonts w:cstheme="minorHAnsi"/>
                <w:szCs w:val="24"/>
              </w:rPr>
            </w:pPr>
            <w:r w:rsidRPr="00131470">
              <w:rPr>
                <w:rFonts w:cstheme="minorHAnsi"/>
                <w:color w:val="000000"/>
                <w:kern w:val="24"/>
                <w:sz w:val="22"/>
              </w:rPr>
              <w:t>73</w:t>
            </w:r>
          </w:p>
        </w:tc>
        <w:tc>
          <w:tcPr>
            <w:tcW w:w="703" w:type="dxa"/>
            <w:shd w:val="clear" w:color="auto" w:fill="DEEAF6" w:themeFill="accent5" w:themeFillTint="33"/>
            <w:vAlign w:val="bottom"/>
            <w:hideMark/>
          </w:tcPr>
          <w:p w14:paraId="39FCAA2C" w14:textId="08A0027A" w:rsidR="00131470" w:rsidRPr="00131470" w:rsidRDefault="00131470" w:rsidP="00131470">
            <w:pPr>
              <w:jc w:val="right"/>
              <w:rPr>
                <w:rFonts w:cstheme="minorHAnsi"/>
                <w:szCs w:val="24"/>
              </w:rPr>
            </w:pPr>
            <w:r w:rsidRPr="00131470">
              <w:rPr>
                <w:rFonts w:cstheme="minorHAnsi"/>
                <w:color w:val="000000"/>
                <w:kern w:val="24"/>
                <w:sz w:val="22"/>
              </w:rPr>
              <w:t>74%</w:t>
            </w:r>
          </w:p>
        </w:tc>
        <w:tc>
          <w:tcPr>
            <w:tcW w:w="704" w:type="dxa"/>
            <w:vAlign w:val="bottom"/>
            <w:hideMark/>
          </w:tcPr>
          <w:p w14:paraId="2D192CC8" w14:textId="725FF513" w:rsidR="00131470" w:rsidRPr="00131470" w:rsidRDefault="00131470" w:rsidP="00131470">
            <w:pPr>
              <w:jc w:val="right"/>
              <w:rPr>
                <w:rFonts w:cstheme="minorHAnsi"/>
                <w:szCs w:val="24"/>
              </w:rPr>
            </w:pPr>
            <w:r w:rsidRPr="00131470">
              <w:rPr>
                <w:rFonts w:cstheme="minorHAnsi"/>
                <w:color w:val="000000"/>
                <w:kern w:val="24"/>
                <w:sz w:val="22"/>
              </w:rPr>
              <w:t>75</w:t>
            </w:r>
          </w:p>
        </w:tc>
        <w:tc>
          <w:tcPr>
            <w:tcW w:w="704" w:type="dxa"/>
            <w:vAlign w:val="bottom"/>
            <w:hideMark/>
          </w:tcPr>
          <w:p w14:paraId="39D7C37B" w14:textId="3783AF1D" w:rsidR="00131470" w:rsidRPr="00131470" w:rsidRDefault="00131470" w:rsidP="00131470">
            <w:pPr>
              <w:jc w:val="right"/>
              <w:rPr>
                <w:rFonts w:cstheme="minorHAnsi"/>
                <w:szCs w:val="24"/>
              </w:rPr>
            </w:pPr>
            <w:r w:rsidRPr="00131470">
              <w:rPr>
                <w:rFonts w:cstheme="minorHAnsi"/>
                <w:color w:val="000000"/>
                <w:kern w:val="24"/>
                <w:sz w:val="22"/>
              </w:rPr>
              <w:t>84%</w:t>
            </w:r>
          </w:p>
        </w:tc>
        <w:tc>
          <w:tcPr>
            <w:tcW w:w="704" w:type="dxa"/>
            <w:shd w:val="clear" w:color="auto" w:fill="DEEAF6" w:themeFill="accent5" w:themeFillTint="33"/>
            <w:vAlign w:val="bottom"/>
            <w:hideMark/>
          </w:tcPr>
          <w:p w14:paraId="257322D2" w14:textId="59CE8E8B" w:rsidR="00131470" w:rsidRPr="00131470" w:rsidRDefault="00131470" w:rsidP="00131470">
            <w:pPr>
              <w:jc w:val="right"/>
              <w:rPr>
                <w:rFonts w:cstheme="minorHAnsi"/>
                <w:szCs w:val="24"/>
              </w:rPr>
            </w:pPr>
            <w:r w:rsidRPr="00131470">
              <w:rPr>
                <w:rFonts w:cstheme="minorHAnsi"/>
                <w:color w:val="000000"/>
                <w:kern w:val="24"/>
                <w:sz w:val="22"/>
              </w:rPr>
              <w:t>38</w:t>
            </w:r>
          </w:p>
        </w:tc>
        <w:tc>
          <w:tcPr>
            <w:tcW w:w="704" w:type="dxa"/>
            <w:shd w:val="clear" w:color="auto" w:fill="DEEAF6" w:themeFill="accent5" w:themeFillTint="33"/>
            <w:vAlign w:val="bottom"/>
            <w:hideMark/>
          </w:tcPr>
          <w:p w14:paraId="4D0BA3A9" w14:textId="6A69C632" w:rsidR="00131470" w:rsidRPr="00131470" w:rsidRDefault="00131470" w:rsidP="00131470">
            <w:pPr>
              <w:jc w:val="right"/>
              <w:rPr>
                <w:rFonts w:cstheme="minorHAnsi"/>
                <w:szCs w:val="24"/>
              </w:rPr>
            </w:pPr>
            <w:r w:rsidRPr="00131470">
              <w:rPr>
                <w:rFonts w:cstheme="minorHAnsi"/>
                <w:color w:val="000000"/>
                <w:kern w:val="24"/>
                <w:sz w:val="22"/>
              </w:rPr>
              <w:t>70%</w:t>
            </w:r>
          </w:p>
        </w:tc>
      </w:tr>
      <w:tr w:rsidR="001067E9" w:rsidRPr="00991A6F" w14:paraId="24242B77" w14:textId="77777777" w:rsidTr="003014B5">
        <w:trPr>
          <w:trHeight w:val="20"/>
        </w:trPr>
        <w:tc>
          <w:tcPr>
            <w:tcW w:w="2322" w:type="dxa"/>
            <w:hideMark/>
          </w:tcPr>
          <w:p w14:paraId="569D5223" w14:textId="77777777" w:rsidR="00131470" w:rsidRPr="004D28A6" w:rsidRDefault="00131470" w:rsidP="00131470">
            <w:pPr>
              <w:rPr>
                <w:szCs w:val="24"/>
              </w:rPr>
            </w:pPr>
            <w:r w:rsidRPr="004D28A6">
              <w:rPr>
                <w:szCs w:val="24"/>
              </w:rPr>
              <w:t>MSM/IDU</w:t>
            </w:r>
          </w:p>
        </w:tc>
        <w:tc>
          <w:tcPr>
            <w:tcW w:w="703" w:type="dxa"/>
            <w:shd w:val="clear" w:color="auto" w:fill="DEEAF6" w:themeFill="accent5" w:themeFillTint="33"/>
            <w:vAlign w:val="bottom"/>
            <w:hideMark/>
          </w:tcPr>
          <w:p w14:paraId="6C64F954" w14:textId="58F15589" w:rsidR="00131470" w:rsidRPr="00131470" w:rsidRDefault="00131470" w:rsidP="00131470">
            <w:pPr>
              <w:jc w:val="right"/>
              <w:rPr>
                <w:rFonts w:cstheme="minorHAnsi"/>
                <w:szCs w:val="24"/>
              </w:rPr>
            </w:pPr>
            <w:r w:rsidRPr="00131470">
              <w:rPr>
                <w:rFonts w:cstheme="minorHAnsi"/>
                <w:color w:val="000000"/>
                <w:kern w:val="24"/>
                <w:sz w:val="22"/>
              </w:rPr>
              <w:t>7</w:t>
            </w:r>
          </w:p>
        </w:tc>
        <w:tc>
          <w:tcPr>
            <w:tcW w:w="704" w:type="dxa"/>
            <w:shd w:val="clear" w:color="auto" w:fill="DEEAF6" w:themeFill="accent5" w:themeFillTint="33"/>
            <w:vAlign w:val="bottom"/>
            <w:hideMark/>
          </w:tcPr>
          <w:p w14:paraId="78BE0BF1" w14:textId="5AF7BD87" w:rsidR="00131470" w:rsidRPr="00131470" w:rsidRDefault="00131470" w:rsidP="00131470">
            <w:pPr>
              <w:jc w:val="right"/>
              <w:rPr>
                <w:rFonts w:cstheme="minorHAnsi"/>
                <w:szCs w:val="24"/>
              </w:rPr>
            </w:pPr>
            <w:r w:rsidRPr="00131470">
              <w:rPr>
                <w:rFonts w:cstheme="minorHAnsi"/>
                <w:color w:val="000000"/>
                <w:kern w:val="24"/>
                <w:sz w:val="22"/>
              </w:rPr>
              <w:t>6%</w:t>
            </w:r>
          </w:p>
        </w:tc>
        <w:tc>
          <w:tcPr>
            <w:tcW w:w="704" w:type="dxa"/>
            <w:vAlign w:val="bottom"/>
            <w:hideMark/>
          </w:tcPr>
          <w:p w14:paraId="2DDD0347" w14:textId="35CCD20D" w:rsidR="00131470" w:rsidRPr="00131470" w:rsidRDefault="00131470" w:rsidP="00131470">
            <w:pPr>
              <w:jc w:val="right"/>
              <w:rPr>
                <w:rFonts w:cstheme="minorHAnsi"/>
                <w:szCs w:val="24"/>
              </w:rPr>
            </w:pPr>
            <w:r w:rsidRPr="00131470">
              <w:rPr>
                <w:rFonts w:cstheme="minorHAnsi"/>
                <w:color w:val="000000"/>
                <w:kern w:val="24"/>
                <w:sz w:val="22"/>
              </w:rPr>
              <w:t>11</w:t>
            </w:r>
          </w:p>
        </w:tc>
        <w:tc>
          <w:tcPr>
            <w:tcW w:w="704" w:type="dxa"/>
            <w:vAlign w:val="bottom"/>
            <w:hideMark/>
          </w:tcPr>
          <w:p w14:paraId="12D395D5" w14:textId="413B8B4D" w:rsidR="00131470" w:rsidRPr="00131470" w:rsidRDefault="00131470" w:rsidP="00131470">
            <w:pPr>
              <w:jc w:val="right"/>
              <w:rPr>
                <w:rFonts w:cstheme="minorHAnsi"/>
                <w:szCs w:val="24"/>
              </w:rPr>
            </w:pPr>
            <w:r w:rsidRPr="00131470">
              <w:rPr>
                <w:rFonts w:cstheme="minorHAnsi"/>
                <w:color w:val="000000"/>
                <w:kern w:val="24"/>
                <w:sz w:val="22"/>
              </w:rPr>
              <w:t>13%</w:t>
            </w:r>
          </w:p>
        </w:tc>
        <w:tc>
          <w:tcPr>
            <w:tcW w:w="704" w:type="dxa"/>
            <w:shd w:val="clear" w:color="auto" w:fill="DEEAF6" w:themeFill="accent5" w:themeFillTint="33"/>
            <w:vAlign w:val="bottom"/>
            <w:hideMark/>
          </w:tcPr>
          <w:p w14:paraId="5A27DA74" w14:textId="720DEEC5" w:rsidR="00131470" w:rsidRPr="00131470" w:rsidRDefault="00131470" w:rsidP="00131470">
            <w:pPr>
              <w:jc w:val="right"/>
              <w:rPr>
                <w:rFonts w:cstheme="minorHAnsi"/>
                <w:szCs w:val="24"/>
              </w:rPr>
            </w:pPr>
            <w:r w:rsidRPr="00131470">
              <w:rPr>
                <w:rFonts w:cstheme="minorHAnsi"/>
                <w:color w:val="000000"/>
                <w:kern w:val="24"/>
                <w:sz w:val="22"/>
              </w:rPr>
              <w:t>11</w:t>
            </w:r>
          </w:p>
        </w:tc>
        <w:tc>
          <w:tcPr>
            <w:tcW w:w="703" w:type="dxa"/>
            <w:shd w:val="clear" w:color="auto" w:fill="DEEAF6" w:themeFill="accent5" w:themeFillTint="33"/>
            <w:vAlign w:val="bottom"/>
            <w:hideMark/>
          </w:tcPr>
          <w:p w14:paraId="45F47852" w14:textId="2E5A24D6" w:rsidR="00131470" w:rsidRPr="00131470" w:rsidRDefault="00131470" w:rsidP="00131470">
            <w:pPr>
              <w:jc w:val="right"/>
              <w:rPr>
                <w:rFonts w:cstheme="minorHAnsi"/>
                <w:szCs w:val="24"/>
              </w:rPr>
            </w:pPr>
            <w:r w:rsidRPr="00131470">
              <w:rPr>
                <w:rFonts w:cstheme="minorHAnsi"/>
                <w:color w:val="000000"/>
                <w:kern w:val="24"/>
                <w:sz w:val="22"/>
              </w:rPr>
              <w:t>11%</w:t>
            </w:r>
          </w:p>
        </w:tc>
        <w:tc>
          <w:tcPr>
            <w:tcW w:w="704" w:type="dxa"/>
            <w:vAlign w:val="bottom"/>
            <w:hideMark/>
          </w:tcPr>
          <w:p w14:paraId="4EB8B602" w14:textId="6FF0887C"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vAlign w:val="bottom"/>
            <w:hideMark/>
          </w:tcPr>
          <w:p w14:paraId="1F2B4ADD" w14:textId="11F3DFD6"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shd w:val="clear" w:color="auto" w:fill="DEEAF6" w:themeFill="accent5" w:themeFillTint="33"/>
            <w:vAlign w:val="bottom"/>
            <w:hideMark/>
          </w:tcPr>
          <w:p w14:paraId="5AE3B57C" w14:textId="256BD5BE" w:rsidR="00131470" w:rsidRPr="00131470" w:rsidRDefault="00131470" w:rsidP="00131470">
            <w:pPr>
              <w:jc w:val="right"/>
              <w:rPr>
                <w:rFonts w:cstheme="minorHAnsi"/>
                <w:szCs w:val="24"/>
              </w:rPr>
            </w:pPr>
            <w:r w:rsidRPr="00131470">
              <w:rPr>
                <w:rFonts w:cstheme="minorHAnsi"/>
                <w:color w:val="000000"/>
                <w:kern w:val="24"/>
                <w:sz w:val="22"/>
              </w:rPr>
              <w:t>8</w:t>
            </w:r>
          </w:p>
        </w:tc>
        <w:tc>
          <w:tcPr>
            <w:tcW w:w="704" w:type="dxa"/>
            <w:shd w:val="clear" w:color="auto" w:fill="DEEAF6" w:themeFill="accent5" w:themeFillTint="33"/>
            <w:vAlign w:val="bottom"/>
            <w:hideMark/>
          </w:tcPr>
          <w:p w14:paraId="6CB62E89" w14:textId="7F2EF1AB" w:rsidR="00131470" w:rsidRPr="00131470" w:rsidRDefault="00131470" w:rsidP="00131470">
            <w:pPr>
              <w:jc w:val="right"/>
              <w:rPr>
                <w:rFonts w:cstheme="minorHAnsi"/>
                <w:szCs w:val="24"/>
              </w:rPr>
            </w:pPr>
            <w:r w:rsidRPr="00131470">
              <w:rPr>
                <w:rFonts w:cstheme="minorHAnsi"/>
                <w:color w:val="000000"/>
                <w:kern w:val="24"/>
                <w:sz w:val="22"/>
              </w:rPr>
              <w:t>15%</w:t>
            </w:r>
          </w:p>
        </w:tc>
      </w:tr>
      <w:tr w:rsidR="001067E9" w:rsidRPr="00991A6F" w14:paraId="2EED0B6B" w14:textId="77777777" w:rsidTr="003014B5">
        <w:trPr>
          <w:trHeight w:val="20"/>
        </w:trPr>
        <w:tc>
          <w:tcPr>
            <w:tcW w:w="2322" w:type="dxa"/>
            <w:hideMark/>
          </w:tcPr>
          <w:p w14:paraId="1AA44B13" w14:textId="77777777" w:rsidR="00131470" w:rsidRPr="004D28A6" w:rsidRDefault="00131470" w:rsidP="00131470">
            <w:pPr>
              <w:rPr>
                <w:szCs w:val="24"/>
              </w:rPr>
            </w:pPr>
            <w:r w:rsidRPr="004D28A6">
              <w:rPr>
                <w:szCs w:val="24"/>
              </w:rPr>
              <w:t>HTSX</w:t>
            </w:r>
          </w:p>
        </w:tc>
        <w:tc>
          <w:tcPr>
            <w:tcW w:w="703" w:type="dxa"/>
            <w:shd w:val="clear" w:color="auto" w:fill="DEEAF6" w:themeFill="accent5" w:themeFillTint="33"/>
            <w:vAlign w:val="bottom"/>
            <w:hideMark/>
          </w:tcPr>
          <w:p w14:paraId="2BE0DF63" w14:textId="05452AF0" w:rsidR="00131470" w:rsidRPr="00131470" w:rsidRDefault="00131470" w:rsidP="00131470">
            <w:pPr>
              <w:jc w:val="right"/>
              <w:rPr>
                <w:rFonts w:cstheme="minorHAnsi"/>
                <w:szCs w:val="24"/>
              </w:rPr>
            </w:pPr>
            <w:r w:rsidRPr="00131470">
              <w:rPr>
                <w:rFonts w:cstheme="minorHAnsi"/>
                <w:color w:val="000000"/>
                <w:kern w:val="24"/>
                <w:sz w:val="22"/>
              </w:rPr>
              <w:t>6</w:t>
            </w:r>
          </w:p>
        </w:tc>
        <w:tc>
          <w:tcPr>
            <w:tcW w:w="704" w:type="dxa"/>
            <w:shd w:val="clear" w:color="auto" w:fill="DEEAF6" w:themeFill="accent5" w:themeFillTint="33"/>
            <w:vAlign w:val="bottom"/>
            <w:hideMark/>
          </w:tcPr>
          <w:p w14:paraId="6CE69761" w14:textId="413186F8" w:rsidR="00131470" w:rsidRPr="00131470" w:rsidRDefault="00131470" w:rsidP="00131470">
            <w:pPr>
              <w:jc w:val="right"/>
              <w:rPr>
                <w:rFonts w:cstheme="minorHAnsi"/>
                <w:szCs w:val="24"/>
              </w:rPr>
            </w:pPr>
            <w:r w:rsidRPr="00131470">
              <w:rPr>
                <w:rFonts w:cstheme="minorHAnsi"/>
                <w:color w:val="000000"/>
                <w:kern w:val="24"/>
                <w:sz w:val="22"/>
              </w:rPr>
              <w:t>6%</w:t>
            </w:r>
          </w:p>
        </w:tc>
        <w:tc>
          <w:tcPr>
            <w:tcW w:w="704" w:type="dxa"/>
            <w:vAlign w:val="bottom"/>
            <w:hideMark/>
          </w:tcPr>
          <w:p w14:paraId="654A49D7" w14:textId="22C34DD1"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vAlign w:val="bottom"/>
            <w:hideMark/>
          </w:tcPr>
          <w:p w14:paraId="6DFFA2A1" w14:textId="746F7FE7"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shd w:val="clear" w:color="auto" w:fill="DEEAF6" w:themeFill="accent5" w:themeFillTint="33"/>
            <w:vAlign w:val="bottom"/>
            <w:hideMark/>
          </w:tcPr>
          <w:p w14:paraId="030EFF6A" w14:textId="06E6990E" w:rsidR="00131470" w:rsidRPr="00131470" w:rsidRDefault="00131470" w:rsidP="00131470">
            <w:pPr>
              <w:jc w:val="right"/>
              <w:rPr>
                <w:rFonts w:cstheme="minorHAnsi"/>
                <w:szCs w:val="24"/>
              </w:rPr>
            </w:pPr>
            <w:r w:rsidRPr="00131470">
              <w:rPr>
                <w:rFonts w:cstheme="minorHAnsi"/>
                <w:color w:val="000000"/>
                <w:kern w:val="24"/>
                <w:sz w:val="22"/>
              </w:rPr>
              <w:t>0</w:t>
            </w:r>
          </w:p>
        </w:tc>
        <w:tc>
          <w:tcPr>
            <w:tcW w:w="703" w:type="dxa"/>
            <w:shd w:val="clear" w:color="auto" w:fill="DEEAF6" w:themeFill="accent5" w:themeFillTint="33"/>
            <w:vAlign w:val="bottom"/>
            <w:hideMark/>
          </w:tcPr>
          <w:p w14:paraId="716941F9" w14:textId="71C52EE1" w:rsidR="00131470" w:rsidRPr="00131470" w:rsidRDefault="00131470" w:rsidP="00131470">
            <w:pPr>
              <w:jc w:val="right"/>
              <w:rPr>
                <w:rFonts w:cstheme="minorHAnsi"/>
                <w:szCs w:val="24"/>
              </w:rPr>
            </w:pPr>
            <w:r w:rsidRPr="00131470">
              <w:rPr>
                <w:rFonts w:cstheme="minorHAnsi"/>
                <w:color w:val="000000"/>
                <w:kern w:val="24"/>
                <w:sz w:val="22"/>
              </w:rPr>
              <w:t>0%</w:t>
            </w:r>
          </w:p>
        </w:tc>
        <w:tc>
          <w:tcPr>
            <w:tcW w:w="704" w:type="dxa"/>
            <w:vAlign w:val="bottom"/>
            <w:hideMark/>
          </w:tcPr>
          <w:p w14:paraId="6E14DDB3" w14:textId="225CD0D6"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vAlign w:val="bottom"/>
            <w:hideMark/>
          </w:tcPr>
          <w:p w14:paraId="318A10B1" w14:textId="518465D1"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shd w:val="clear" w:color="auto" w:fill="DEEAF6" w:themeFill="accent5" w:themeFillTint="33"/>
            <w:vAlign w:val="bottom"/>
            <w:hideMark/>
          </w:tcPr>
          <w:p w14:paraId="18AF2919" w14:textId="216450AA"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shd w:val="clear" w:color="auto" w:fill="DEEAF6" w:themeFill="accent5" w:themeFillTint="33"/>
            <w:vAlign w:val="bottom"/>
            <w:hideMark/>
          </w:tcPr>
          <w:p w14:paraId="12C872E9" w14:textId="1BE4BC68"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r>
      <w:tr w:rsidR="001067E9" w:rsidRPr="00991A6F" w14:paraId="1B119EDB" w14:textId="77777777" w:rsidTr="003014B5">
        <w:trPr>
          <w:trHeight w:val="20"/>
        </w:trPr>
        <w:tc>
          <w:tcPr>
            <w:tcW w:w="2322" w:type="dxa"/>
            <w:hideMark/>
          </w:tcPr>
          <w:p w14:paraId="56DBD93E" w14:textId="77777777" w:rsidR="00131470" w:rsidRPr="004D28A6" w:rsidRDefault="00131470" w:rsidP="00131470">
            <w:pPr>
              <w:rPr>
                <w:szCs w:val="24"/>
              </w:rPr>
            </w:pPr>
            <w:r w:rsidRPr="004D28A6">
              <w:rPr>
                <w:szCs w:val="24"/>
              </w:rPr>
              <w:t>Pres. HTSX</w:t>
            </w:r>
          </w:p>
        </w:tc>
        <w:tc>
          <w:tcPr>
            <w:tcW w:w="703" w:type="dxa"/>
            <w:shd w:val="clear" w:color="auto" w:fill="DEEAF6" w:themeFill="accent5" w:themeFillTint="33"/>
            <w:vAlign w:val="bottom"/>
            <w:hideMark/>
          </w:tcPr>
          <w:p w14:paraId="4B2A0367" w14:textId="347C49C6"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shd w:val="clear" w:color="auto" w:fill="DEEAF6" w:themeFill="accent5" w:themeFillTint="33"/>
            <w:vAlign w:val="bottom"/>
            <w:hideMark/>
          </w:tcPr>
          <w:p w14:paraId="25D16521" w14:textId="362E6C40"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vAlign w:val="bottom"/>
            <w:hideMark/>
          </w:tcPr>
          <w:p w14:paraId="6D216D3D" w14:textId="29E74BA5"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vAlign w:val="bottom"/>
            <w:hideMark/>
          </w:tcPr>
          <w:p w14:paraId="3668BD97" w14:textId="24972E24"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shd w:val="clear" w:color="auto" w:fill="DEEAF6" w:themeFill="accent5" w:themeFillTint="33"/>
            <w:vAlign w:val="bottom"/>
            <w:hideMark/>
          </w:tcPr>
          <w:p w14:paraId="6B3E0A37" w14:textId="49F68EDF"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3" w:type="dxa"/>
            <w:shd w:val="clear" w:color="auto" w:fill="DEEAF6" w:themeFill="accent5" w:themeFillTint="33"/>
            <w:vAlign w:val="bottom"/>
            <w:hideMark/>
          </w:tcPr>
          <w:p w14:paraId="461AE14F" w14:textId="629424FB"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vAlign w:val="bottom"/>
            <w:hideMark/>
          </w:tcPr>
          <w:p w14:paraId="10425AF6" w14:textId="1CFF3F30"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vAlign w:val="bottom"/>
            <w:hideMark/>
          </w:tcPr>
          <w:p w14:paraId="5CA838E0" w14:textId="1E12F7D3"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shd w:val="clear" w:color="auto" w:fill="DEEAF6" w:themeFill="accent5" w:themeFillTint="33"/>
            <w:vAlign w:val="bottom"/>
            <w:hideMark/>
          </w:tcPr>
          <w:p w14:paraId="3C9ADB57" w14:textId="7961E56F" w:rsidR="00131470" w:rsidRPr="00131470" w:rsidRDefault="00131470" w:rsidP="00131470">
            <w:pPr>
              <w:jc w:val="right"/>
              <w:rPr>
                <w:rFonts w:cstheme="minorHAnsi"/>
                <w:szCs w:val="24"/>
              </w:rPr>
            </w:pPr>
            <w:r w:rsidRPr="00131470">
              <w:rPr>
                <w:rFonts w:cstheme="minorHAnsi"/>
                <w:color w:val="000000"/>
                <w:kern w:val="24"/>
                <w:sz w:val="22"/>
              </w:rPr>
              <w:t>0</w:t>
            </w:r>
          </w:p>
        </w:tc>
        <w:tc>
          <w:tcPr>
            <w:tcW w:w="704" w:type="dxa"/>
            <w:shd w:val="clear" w:color="auto" w:fill="DEEAF6" w:themeFill="accent5" w:themeFillTint="33"/>
            <w:vAlign w:val="bottom"/>
            <w:hideMark/>
          </w:tcPr>
          <w:p w14:paraId="1BDD7D03" w14:textId="4A8E0BD3" w:rsidR="00131470" w:rsidRPr="00131470" w:rsidRDefault="00131470" w:rsidP="00131470">
            <w:pPr>
              <w:jc w:val="right"/>
              <w:rPr>
                <w:rFonts w:cstheme="minorHAnsi"/>
                <w:szCs w:val="24"/>
              </w:rPr>
            </w:pPr>
            <w:r w:rsidRPr="00131470">
              <w:rPr>
                <w:rFonts w:cstheme="minorHAnsi"/>
                <w:color w:val="000000"/>
                <w:kern w:val="24"/>
                <w:sz w:val="22"/>
              </w:rPr>
              <w:t>0%</w:t>
            </w:r>
          </w:p>
        </w:tc>
      </w:tr>
      <w:tr w:rsidR="001067E9" w:rsidRPr="00991A6F" w14:paraId="3E87EBF4" w14:textId="77777777" w:rsidTr="003014B5">
        <w:trPr>
          <w:trHeight w:val="20"/>
        </w:trPr>
        <w:tc>
          <w:tcPr>
            <w:tcW w:w="2322" w:type="dxa"/>
            <w:hideMark/>
          </w:tcPr>
          <w:p w14:paraId="0E07E4F8" w14:textId="77777777" w:rsidR="00131470" w:rsidRPr="004D28A6" w:rsidRDefault="00131470" w:rsidP="00131470">
            <w:pPr>
              <w:rPr>
                <w:szCs w:val="24"/>
              </w:rPr>
            </w:pPr>
            <w:r w:rsidRPr="004D28A6">
              <w:rPr>
                <w:szCs w:val="24"/>
              </w:rPr>
              <w:t>NIR</w:t>
            </w:r>
          </w:p>
        </w:tc>
        <w:tc>
          <w:tcPr>
            <w:tcW w:w="703" w:type="dxa"/>
            <w:shd w:val="clear" w:color="auto" w:fill="DEEAF6" w:themeFill="accent5" w:themeFillTint="33"/>
            <w:vAlign w:val="bottom"/>
            <w:hideMark/>
          </w:tcPr>
          <w:p w14:paraId="5FE7B46A" w14:textId="333DF19B" w:rsidR="00131470" w:rsidRPr="00131470" w:rsidRDefault="00131470" w:rsidP="00131470">
            <w:pPr>
              <w:jc w:val="right"/>
              <w:rPr>
                <w:rFonts w:cstheme="minorHAnsi"/>
                <w:szCs w:val="24"/>
              </w:rPr>
            </w:pPr>
            <w:r w:rsidRPr="00F345D5">
              <w:rPr>
                <w:rFonts w:eastAsiaTheme="minorEastAsia" w:cstheme="minorHAnsi"/>
                <w:color w:val="000000" w:themeColor="dark1"/>
                <w:kern w:val="24"/>
                <w:sz w:val="22"/>
              </w:rPr>
              <w:t>≥</w:t>
            </w:r>
            <w:r w:rsidRPr="00131470">
              <w:rPr>
                <w:rFonts w:eastAsiaTheme="minorEastAsia" w:cstheme="minorHAnsi"/>
                <w:color w:val="000000"/>
                <w:kern w:val="24"/>
                <w:sz w:val="22"/>
              </w:rPr>
              <w:t>5</w:t>
            </w:r>
          </w:p>
        </w:tc>
        <w:tc>
          <w:tcPr>
            <w:tcW w:w="704" w:type="dxa"/>
            <w:shd w:val="clear" w:color="auto" w:fill="DEEAF6" w:themeFill="accent5" w:themeFillTint="33"/>
            <w:vAlign w:val="bottom"/>
            <w:hideMark/>
          </w:tcPr>
          <w:p w14:paraId="57013ACC" w14:textId="17E5DE48"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vAlign w:val="bottom"/>
            <w:hideMark/>
          </w:tcPr>
          <w:p w14:paraId="65397A5A" w14:textId="0A8B64CB" w:rsidR="00131470" w:rsidRPr="00131470" w:rsidRDefault="00131470" w:rsidP="00131470">
            <w:pPr>
              <w:jc w:val="right"/>
              <w:rPr>
                <w:rFonts w:cstheme="minorHAnsi"/>
                <w:szCs w:val="24"/>
              </w:rPr>
            </w:pPr>
            <w:r w:rsidRPr="00131470">
              <w:rPr>
                <w:rFonts w:cstheme="minorHAnsi"/>
                <w:color w:val="000000"/>
                <w:kern w:val="24"/>
                <w:sz w:val="22"/>
              </w:rPr>
              <w:t>10</w:t>
            </w:r>
          </w:p>
        </w:tc>
        <w:tc>
          <w:tcPr>
            <w:tcW w:w="704" w:type="dxa"/>
            <w:vAlign w:val="bottom"/>
            <w:hideMark/>
          </w:tcPr>
          <w:p w14:paraId="6917AB28" w14:textId="2D097E98" w:rsidR="00131470" w:rsidRPr="00131470" w:rsidRDefault="00131470" w:rsidP="00131470">
            <w:pPr>
              <w:jc w:val="right"/>
              <w:rPr>
                <w:rFonts w:cstheme="minorHAnsi"/>
                <w:szCs w:val="24"/>
              </w:rPr>
            </w:pPr>
            <w:r w:rsidRPr="00131470">
              <w:rPr>
                <w:rFonts w:cstheme="minorHAnsi"/>
                <w:color w:val="000000"/>
                <w:kern w:val="24"/>
                <w:sz w:val="22"/>
              </w:rPr>
              <w:t>12%</w:t>
            </w:r>
          </w:p>
        </w:tc>
        <w:tc>
          <w:tcPr>
            <w:tcW w:w="704" w:type="dxa"/>
            <w:shd w:val="clear" w:color="auto" w:fill="DEEAF6" w:themeFill="accent5" w:themeFillTint="33"/>
            <w:vAlign w:val="bottom"/>
            <w:hideMark/>
          </w:tcPr>
          <w:p w14:paraId="4C0DFCEA" w14:textId="21749B38"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3" w:type="dxa"/>
            <w:shd w:val="clear" w:color="auto" w:fill="DEEAF6" w:themeFill="accent5" w:themeFillTint="33"/>
            <w:vAlign w:val="bottom"/>
            <w:hideMark/>
          </w:tcPr>
          <w:p w14:paraId="4FAC7F9D" w14:textId="14982851"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c>
          <w:tcPr>
            <w:tcW w:w="704" w:type="dxa"/>
            <w:vAlign w:val="bottom"/>
            <w:hideMark/>
          </w:tcPr>
          <w:p w14:paraId="27A88560" w14:textId="7BEA363C" w:rsidR="00131470" w:rsidRPr="00131470" w:rsidRDefault="00131470" w:rsidP="00131470">
            <w:pPr>
              <w:jc w:val="right"/>
              <w:rPr>
                <w:rFonts w:cstheme="minorHAnsi"/>
                <w:szCs w:val="24"/>
              </w:rPr>
            </w:pPr>
            <w:r w:rsidRPr="00131470">
              <w:rPr>
                <w:rFonts w:cstheme="minorHAnsi"/>
                <w:color w:val="000000"/>
                <w:kern w:val="24"/>
                <w:sz w:val="22"/>
              </w:rPr>
              <w:t>6</w:t>
            </w:r>
          </w:p>
        </w:tc>
        <w:tc>
          <w:tcPr>
            <w:tcW w:w="704" w:type="dxa"/>
            <w:vAlign w:val="bottom"/>
            <w:hideMark/>
          </w:tcPr>
          <w:p w14:paraId="07117777" w14:textId="31C5FD19" w:rsidR="00131470" w:rsidRPr="00131470" w:rsidRDefault="00131470" w:rsidP="00131470">
            <w:pPr>
              <w:jc w:val="right"/>
              <w:rPr>
                <w:rFonts w:cstheme="minorHAnsi"/>
                <w:szCs w:val="24"/>
              </w:rPr>
            </w:pPr>
            <w:r w:rsidRPr="00131470">
              <w:rPr>
                <w:rFonts w:cstheme="minorHAnsi"/>
                <w:color w:val="000000"/>
                <w:kern w:val="24"/>
                <w:sz w:val="22"/>
              </w:rPr>
              <w:t>7%</w:t>
            </w:r>
          </w:p>
        </w:tc>
        <w:tc>
          <w:tcPr>
            <w:tcW w:w="704" w:type="dxa"/>
            <w:shd w:val="clear" w:color="auto" w:fill="DEEAF6" w:themeFill="accent5" w:themeFillTint="33"/>
            <w:vAlign w:val="bottom"/>
            <w:hideMark/>
          </w:tcPr>
          <w:p w14:paraId="4420BD90" w14:textId="6A8B2653" w:rsidR="00131470" w:rsidRPr="00131470" w:rsidRDefault="00131470" w:rsidP="00131470">
            <w:pPr>
              <w:jc w:val="right"/>
              <w:rPr>
                <w:rFonts w:cstheme="minorHAnsi"/>
                <w:szCs w:val="24"/>
              </w:rPr>
            </w:pPr>
            <w:r w:rsidRPr="00131470">
              <w:rPr>
                <w:rFonts w:eastAsiaTheme="minorEastAsia" w:cstheme="minorHAnsi"/>
                <w:color w:val="000000"/>
                <w:kern w:val="24"/>
                <w:sz w:val="22"/>
              </w:rPr>
              <w:t>&lt;5</w:t>
            </w:r>
          </w:p>
        </w:tc>
        <w:tc>
          <w:tcPr>
            <w:tcW w:w="704" w:type="dxa"/>
            <w:shd w:val="clear" w:color="auto" w:fill="DEEAF6" w:themeFill="accent5" w:themeFillTint="33"/>
            <w:vAlign w:val="bottom"/>
            <w:hideMark/>
          </w:tcPr>
          <w:p w14:paraId="37151308" w14:textId="75EDDEBD" w:rsidR="00131470" w:rsidRPr="00131470" w:rsidRDefault="00131470" w:rsidP="00131470">
            <w:pPr>
              <w:jc w:val="right"/>
              <w:rPr>
                <w:rFonts w:cstheme="minorHAnsi"/>
                <w:szCs w:val="24"/>
              </w:rPr>
            </w:pPr>
            <w:r w:rsidRPr="00131470">
              <w:rPr>
                <w:rFonts w:eastAsiaTheme="minorEastAsia" w:cstheme="minorHAnsi"/>
                <w:color w:val="000000"/>
                <w:kern w:val="24"/>
                <w:sz w:val="22"/>
              </w:rPr>
              <w:t>N/A</w:t>
            </w:r>
          </w:p>
        </w:tc>
      </w:tr>
      <w:tr w:rsidR="001067E9" w:rsidRPr="00991A6F" w14:paraId="48772A25" w14:textId="77777777" w:rsidTr="003014B5">
        <w:trPr>
          <w:trHeight w:val="20"/>
        </w:trPr>
        <w:tc>
          <w:tcPr>
            <w:tcW w:w="2322" w:type="dxa"/>
            <w:hideMark/>
          </w:tcPr>
          <w:p w14:paraId="7F73C581" w14:textId="77777777" w:rsidR="00131470" w:rsidRPr="004D28A6" w:rsidRDefault="00131470" w:rsidP="00131470">
            <w:pPr>
              <w:rPr>
                <w:szCs w:val="24"/>
              </w:rPr>
            </w:pPr>
            <w:r w:rsidRPr="004D28A6">
              <w:rPr>
                <w:b/>
                <w:bCs/>
                <w:szCs w:val="24"/>
              </w:rPr>
              <w:t>Total:</w:t>
            </w:r>
          </w:p>
        </w:tc>
        <w:tc>
          <w:tcPr>
            <w:tcW w:w="703" w:type="dxa"/>
            <w:shd w:val="clear" w:color="auto" w:fill="DEEAF6" w:themeFill="accent5" w:themeFillTint="33"/>
            <w:vAlign w:val="bottom"/>
            <w:hideMark/>
          </w:tcPr>
          <w:p w14:paraId="176CEC36" w14:textId="6E1DB509" w:rsidR="00131470" w:rsidRPr="00131470" w:rsidRDefault="00131470" w:rsidP="00131470">
            <w:pPr>
              <w:jc w:val="right"/>
              <w:rPr>
                <w:rFonts w:cstheme="minorHAnsi"/>
                <w:b/>
                <w:bCs/>
                <w:szCs w:val="24"/>
              </w:rPr>
            </w:pPr>
            <w:r w:rsidRPr="00131470">
              <w:rPr>
                <w:rFonts w:cstheme="minorHAnsi"/>
                <w:b/>
                <w:bCs/>
                <w:color w:val="000000"/>
                <w:kern w:val="24"/>
                <w:sz w:val="22"/>
              </w:rPr>
              <w:t>109</w:t>
            </w:r>
          </w:p>
        </w:tc>
        <w:tc>
          <w:tcPr>
            <w:tcW w:w="704" w:type="dxa"/>
            <w:shd w:val="clear" w:color="auto" w:fill="DEEAF6" w:themeFill="accent5" w:themeFillTint="33"/>
            <w:vAlign w:val="bottom"/>
            <w:hideMark/>
          </w:tcPr>
          <w:p w14:paraId="48AEA151" w14:textId="7CED2364" w:rsidR="00131470" w:rsidRPr="00131470" w:rsidRDefault="00131470" w:rsidP="00131470">
            <w:pPr>
              <w:jc w:val="right"/>
              <w:rPr>
                <w:rFonts w:cstheme="minorHAnsi"/>
                <w:b/>
                <w:bCs/>
                <w:szCs w:val="24"/>
              </w:rPr>
            </w:pPr>
            <w:r w:rsidRPr="00131470">
              <w:rPr>
                <w:rFonts w:cstheme="minorHAnsi"/>
                <w:b/>
                <w:bCs/>
                <w:color w:val="000000"/>
                <w:kern w:val="24"/>
                <w:sz w:val="22"/>
              </w:rPr>
              <w:t>100%</w:t>
            </w:r>
          </w:p>
        </w:tc>
        <w:tc>
          <w:tcPr>
            <w:tcW w:w="704" w:type="dxa"/>
            <w:vAlign w:val="bottom"/>
            <w:hideMark/>
          </w:tcPr>
          <w:p w14:paraId="6E6F8820" w14:textId="61735D76" w:rsidR="00131470" w:rsidRPr="00131470" w:rsidRDefault="00131470" w:rsidP="00131470">
            <w:pPr>
              <w:jc w:val="right"/>
              <w:rPr>
                <w:rFonts w:cstheme="minorHAnsi"/>
                <w:b/>
                <w:bCs/>
                <w:szCs w:val="24"/>
              </w:rPr>
            </w:pPr>
            <w:r w:rsidRPr="00131470">
              <w:rPr>
                <w:rFonts w:cstheme="minorHAnsi"/>
                <w:b/>
                <w:bCs/>
                <w:color w:val="000000"/>
                <w:kern w:val="24"/>
                <w:sz w:val="22"/>
              </w:rPr>
              <w:t>82</w:t>
            </w:r>
          </w:p>
        </w:tc>
        <w:tc>
          <w:tcPr>
            <w:tcW w:w="704" w:type="dxa"/>
            <w:vAlign w:val="bottom"/>
            <w:hideMark/>
          </w:tcPr>
          <w:p w14:paraId="47C61C73" w14:textId="0FE2FBF9" w:rsidR="00131470" w:rsidRPr="00131470" w:rsidRDefault="00131470" w:rsidP="00131470">
            <w:pPr>
              <w:jc w:val="right"/>
              <w:rPr>
                <w:rFonts w:cstheme="minorHAnsi"/>
                <w:b/>
                <w:bCs/>
                <w:szCs w:val="24"/>
              </w:rPr>
            </w:pPr>
            <w:r w:rsidRPr="00131470">
              <w:rPr>
                <w:rFonts w:cstheme="minorHAnsi"/>
                <w:b/>
                <w:bCs/>
                <w:color w:val="000000"/>
                <w:kern w:val="24"/>
                <w:sz w:val="22"/>
              </w:rPr>
              <w:t>100%</w:t>
            </w:r>
          </w:p>
        </w:tc>
        <w:tc>
          <w:tcPr>
            <w:tcW w:w="704" w:type="dxa"/>
            <w:shd w:val="clear" w:color="auto" w:fill="DEEAF6" w:themeFill="accent5" w:themeFillTint="33"/>
            <w:vAlign w:val="bottom"/>
            <w:hideMark/>
          </w:tcPr>
          <w:p w14:paraId="163E461D" w14:textId="3A062FFD" w:rsidR="00131470" w:rsidRPr="00131470" w:rsidRDefault="00131470" w:rsidP="00131470">
            <w:pPr>
              <w:jc w:val="right"/>
              <w:rPr>
                <w:rFonts w:cstheme="minorHAnsi"/>
                <w:b/>
                <w:bCs/>
                <w:szCs w:val="24"/>
              </w:rPr>
            </w:pPr>
            <w:r w:rsidRPr="00131470">
              <w:rPr>
                <w:rFonts w:cstheme="minorHAnsi"/>
                <w:b/>
                <w:bCs/>
                <w:color w:val="000000"/>
                <w:kern w:val="24"/>
                <w:sz w:val="22"/>
              </w:rPr>
              <w:t>99</w:t>
            </w:r>
          </w:p>
        </w:tc>
        <w:tc>
          <w:tcPr>
            <w:tcW w:w="703" w:type="dxa"/>
            <w:shd w:val="clear" w:color="auto" w:fill="DEEAF6" w:themeFill="accent5" w:themeFillTint="33"/>
            <w:vAlign w:val="bottom"/>
            <w:hideMark/>
          </w:tcPr>
          <w:p w14:paraId="6E14944F" w14:textId="35767CCB" w:rsidR="00131470" w:rsidRPr="00131470" w:rsidRDefault="00131470" w:rsidP="00131470">
            <w:pPr>
              <w:jc w:val="right"/>
              <w:rPr>
                <w:rFonts w:cstheme="minorHAnsi"/>
                <w:b/>
                <w:bCs/>
                <w:szCs w:val="24"/>
              </w:rPr>
            </w:pPr>
            <w:r w:rsidRPr="00131470">
              <w:rPr>
                <w:rFonts w:cstheme="minorHAnsi"/>
                <w:b/>
                <w:bCs/>
                <w:color w:val="000000"/>
                <w:kern w:val="24"/>
                <w:sz w:val="22"/>
              </w:rPr>
              <w:t>100%</w:t>
            </w:r>
          </w:p>
        </w:tc>
        <w:tc>
          <w:tcPr>
            <w:tcW w:w="704" w:type="dxa"/>
            <w:vAlign w:val="bottom"/>
            <w:hideMark/>
          </w:tcPr>
          <w:p w14:paraId="268A895F" w14:textId="5E5091CA" w:rsidR="00131470" w:rsidRPr="00131470" w:rsidRDefault="00131470" w:rsidP="00131470">
            <w:pPr>
              <w:jc w:val="right"/>
              <w:rPr>
                <w:rFonts w:cstheme="minorHAnsi"/>
                <w:b/>
                <w:bCs/>
                <w:szCs w:val="24"/>
              </w:rPr>
            </w:pPr>
            <w:r w:rsidRPr="00131470">
              <w:rPr>
                <w:rFonts w:cstheme="minorHAnsi"/>
                <w:b/>
                <w:bCs/>
                <w:color w:val="000000"/>
                <w:kern w:val="24"/>
                <w:sz w:val="22"/>
              </w:rPr>
              <w:t>89</w:t>
            </w:r>
          </w:p>
        </w:tc>
        <w:tc>
          <w:tcPr>
            <w:tcW w:w="704" w:type="dxa"/>
            <w:vAlign w:val="bottom"/>
            <w:hideMark/>
          </w:tcPr>
          <w:p w14:paraId="2BC4BFEE" w14:textId="1CA1DF17" w:rsidR="00131470" w:rsidRPr="00131470" w:rsidRDefault="00131470" w:rsidP="00131470">
            <w:pPr>
              <w:jc w:val="right"/>
              <w:rPr>
                <w:rFonts w:cstheme="minorHAnsi"/>
                <w:b/>
                <w:bCs/>
                <w:szCs w:val="24"/>
              </w:rPr>
            </w:pPr>
            <w:r w:rsidRPr="00131470">
              <w:rPr>
                <w:rFonts w:cstheme="minorHAnsi"/>
                <w:b/>
                <w:bCs/>
                <w:color w:val="000000"/>
                <w:kern w:val="24"/>
                <w:sz w:val="22"/>
              </w:rPr>
              <w:t>100%</w:t>
            </w:r>
          </w:p>
        </w:tc>
        <w:tc>
          <w:tcPr>
            <w:tcW w:w="704" w:type="dxa"/>
            <w:shd w:val="clear" w:color="auto" w:fill="DEEAF6" w:themeFill="accent5" w:themeFillTint="33"/>
            <w:vAlign w:val="bottom"/>
            <w:hideMark/>
          </w:tcPr>
          <w:p w14:paraId="3603CCB4" w14:textId="35908A8A" w:rsidR="00131470" w:rsidRPr="00131470" w:rsidRDefault="00131470" w:rsidP="00131470">
            <w:pPr>
              <w:jc w:val="right"/>
              <w:rPr>
                <w:rFonts w:cstheme="minorHAnsi"/>
                <w:b/>
                <w:bCs/>
                <w:szCs w:val="24"/>
              </w:rPr>
            </w:pPr>
            <w:r w:rsidRPr="00131470">
              <w:rPr>
                <w:rFonts w:cstheme="minorHAnsi"/>
                <w:b/>
                <w:bCs/>
                <w:color w:val="000000"/>
                <w:kern w:val="24"/>
                <w:sz w:val="22"/>
              </w:rPr>
              <w:t>54</w:t>
            </w:r>
          </w:p>
        </w:tc>
        <w:tc>
          <w:tcPr>
            <w:tcW w:w="704" w:type="dxa"/>
            <w:shd w:val="clear" w:color="auto" w:fill="DEEAF6" w:themeFill="accent5" w:themeFillTint="33"/>
            <w:vAlign w:val="bottom"/>
            <w:hideMark/>
          </w:tcPr>
          <w:p w14:paraId="4AD0D48E" w14:textId="2A97A954" w:rsidR="00131470" w:rsidRPr="00131470" w:rsidRDefault="00131470" w:rsidP="00131470">
            <w:pPr>
              <w:jc w:val="right"/>
              <w:rPr>
                <w:rFonts w:cstheme="minorHAnsi"/>
                <w:b/>
                <w:bCs/>
                <w:szCs w:val="24"/>
              </w:rPr>
            </w:pPr>
            <w:r w:rsidRPr="00131470">
              <w:rPr>
                <w:rFonts w:cstheme="minorHAnsi"/>
                <w:b/>
                <w:bCs/>
                <w:color w:val="000000"/>
                <w:kern w:val="24"/>
                <w:sz w:val="22"/>
              </w:rPr>
              <w:t>100%</w:t>
            </w:r>
          </w:p>
        </w:tc>
      </w:tr>
    </w:tbl>
    <w:p w14:paraId="1A372BB6" w14:textId="6BD051E2" w:rsidR="00EF0049" w:rsidRPr="004D28A6" w:rsidRDefault="00EF0049" w:rsidP="007C2C42">
      <w:pPr>
        <w:rPr>
          <w:rFonts w:ascii="Calibri" w:eastAsia="Calibri" w:hAnsi="Calibri" w:cs="Calibri"/>
          <w:sz w:val="20"/>
          <w:szCs w:val="20"/>
        </w:rPr>
      </w:pPr>
      <w:r w:rsidRPr="004D28A6">
        <w:rPr>
          <w:sz w:val="20"/>
          <w:szCs w:val="20"/>
        </w:rPr>
        <w:t>MSM=Male-to-Male Sex, IDU=Injection Drug Use, HTSX=Heterosexual Sex, Pres.=Presumed, NIR=No Identified Risk</w:t>
      </w:r>
      <w:r w:rsidR="0335A195" w:rsidRPr="004D28A6">
        <w:rPr>
          <w:sz w:val="20"/>
          <w:szCs w:val="20"/>
        </w:rPr>
        <w:t>.</w:t>
      </w:r>
      <w:r w:rsidR="0335A195" w:rsidRPr="004D28A6">
        <w:rPr>
          <w:rFonts w:ascii="Calibri" w:eastAsia="Calibri" w:hAnsi="Calibri" w:cs="Calibri"/>
          <w:sz w:val="20"/>
          <w:szCs w:val="20"/>
        </w:rPr>
        <w:t xml:space="preserve"> For more information, see HIV primary exposure mode definitions in Interpreting HIV, STD, and Viral Hepatitis Data, on page 72.</w:t>
      </w:r>
    </w:p>
    <w:p w14:paraId="51949333" w14:textId="140E8E70" w:rsidR="00EF0049" w:rsidRPr="004D28A6" w:rsidRDefault="00131470" w:rsidP="007C2C42">
      <w:pPr>
        <w:spacing w:after="120"/>
        <w:rPr>
          <w:sz w:val="20"/>
          <w:szCs w:val="20"/>
        </w:rPr>
      </w:pPr>
      <w:r w:rsidRPr="00131470">
        <w:rPr>
          <w:sz w:val="20"/>
          <w:szCs w:val="20"/>
        </w:rPr>
        <w:t>*Values one through four are suppressed for denominator populations less than 50,000 or for unknown population sizes. Additional values of zero and greater than or equal to five may be suppressed to prevent back calculation.</w:t>
      </w:r>
      <w:r>
        <w:rPr>
          <w:sz w:val="20"/>
          <w:szCs w:val="20"/>
        </w:rPr>
        <w:t xml:space="preserve"> </w:t>
      </w:r>
      <w:r w:rsidR="00EF0049" w:rsidRPr="004D28A6">
        <w:rPr>
          <w:sz w:val="20"/>
          <w:szCs w:val="20"/>
        </w:rPr>
        <w:t xml:space="preserve">Data Source: Bureau of Infectious Disease and Laboratory Sciences, data are current as of </w:t>
      </w:r>
      <w:r w:rsidR="004D28A6" w:rsidRPr="004D28A6">
        <w:rPr>
          <w:sz w:val="20"/>
          <w:szCs w:val="20"/>
        </w:rPr>
        <w:t>8</w:t>
      </w:r>
      <w:r w:rsidR="001F75D4" w:rsidRPr="004D28A6">
        <w:rPr>
          <w:sz w:val="20"/>
          <w:szCs w:val="20"/>
        </w:rPr>
        <w:t>/</w:t>
      </w:r>
      <w:r w:rsidR="004D28A6" w:rsidRPr="004D28A6">
        <w:rPr>
          <w:sz w:val="20"/>
          <w:szCs w:val="20"/>
        </w:rPr>
        <w:t>2</w:t>
      </w:r>
      <w:r w:rsidR="001F75D4" w:rsidRPr="004D28A6">
        <w:rPr>
          <w:sz w:val="20"/>
          <w:szCs w:val="20"/>
        </w:rPr>
        <w:t>/2023</w:t>
      </w:r>
      <w:r w:rsidR="00EF0049" w:rsidRPr="004D28A6">
        <w:rPr>
          <w:sz w:val="20"/>
          <w:szCs w:val="20"/>
        </w:rPr>
        <w:t xml:space="preserve"> and subject to </w:t>
      </w:r>
      <w:r w:rsidR="00E63192" w:rsidRPr="004D28A6">
        <w:rPr>
          <w:sz w:val="20"/>
          <w:szCs w:val="20"/>
        </w:rPr>
        <w:t>change.</w:t>
      </w:r>
    </w:p>
    <w:p w14:paraId="549EBDE6" w14:textId="7537C03B" w:rsidR="0015777B" w:rsidRPr="0015777B" w:rsidRDefault="043BB783" w:rsidP="0015777B">
      <w:pPr>
        <w:pStyle w:val="spaced6"/>
      </w:pPr>
      <w:r w:rsidRPr="0015777B">
        <w:t>From 201</w:t>
      </w:r>
      <w:r w:rsidR="004D28A6" w:rsidRPr="0015777B">
        <w:t>8</w:t>
      </w:r>
      <w:r w:rsidRPr="0015777B">
        <w:t xml:space="preserve"> to 202</w:t>
      </w:r>
      <w:r w:rsidR="004D28A6" w:rsidRPr="0015777B">
        <w:t>2</w:t>
      </w:r>
      <w:r w:rsidRPr="0015777B">
        <w:t>,</w:t>
      </w:r>
      <w:r w:rsidR="00EF0049" w:rsidRPr="0015777B">
        <w:rPr>
          <w:rStyle w:val="FootnoteReference"/>
        </w:rPr>
        <w:footnoteReference w:id="88"/>
      </w:r>
      <w:r w:rsidRPr="0015777B">
        <w:rPr>
          <w:vertAlign w:val="superscript"/>
        </w:rPr>
        <w:t>,</w:t>
      </w:r>
      <w:r w:rsidR="00EF0049" w:rsidRPr="0015777B">
        <w:rPr>
          <w:rStyle w:val="FootnoteReference"/>
        </w:rPr>
        <w:footnoteReference w:id="89"/>
      </w:r>
      <w:r w:rsidRPr="0015777B">
        <w:t xml:space="preserve"> </w:t>
      </w:r>
      <w:r w:rsidR="0015777B" w:rsidRPr="0015777B">
        <w:t>the proportion of individuals co-infected with HIV/HCV who were assigned male at birth increased from 64% to 76</w:t>
      </w:r>
      <w:r w:rsidR="00391D95">
        <w:t>%</w:t>
      </w:r>
      <w:r w:rsidR="0015777B" w:rsidRPr="0015777B">
        <w:t xml:space="preserve">. During the same </w:t>
      </w:r>
      <w:r w:rsidR="0BFEC643" w:rsidRPr="0015777B">
        <w:t>period</w:t>
      </w:r>
      <w:r w:rsidR="0015777B" w:rsidRPr="0015777B">
        <w:t xml:space="preserve">, the proportion of </w:t>
      </w:r>
      <w:r w:rsidR="0015777B" w:rsidRPr="0015777B">
        <w:lastRenderedPageBreak/>
        <w:t>30</w:t>
      </w:r>
      <w:r w:rsidR="00391D95">
        <w:t>-39</w:t>
      </w:r>
      <w:r w:rsidR="0015777B" w:rsidRPr="0015777B">
        <w:t xml:space="preserve"> year-olds increased from 36% to 48%, while the proportion of 20</w:t>
      </w:r>
      <w:r w:rsidR="001C0CC3">
        <w:t>-29</w:t>
      </w:r>
      <w:r w:rsidR="0015777B" w:rsidRPr="0015777B">
        <w:t xml:space="preserve"> year-olds decreased from 27% to 17%, and the proportion of 40</w:t>
      </w:r>
      <w:r w:rsidR="001C0CC3">
        <w:t>-49</w:t>
      </w:r>
      <w:r w:rsidR="0015777B" w:rsidRPr="0015777B">
        <w:t xml:space="preserve"> year-olds decreased from 22% to 15%. The proportion of individuals co-infected with HIV/HCV with IDU exposure mode likely reflected two separate HIV outbreaks among persons who inject drugs (PWID), decreasing from 72% in 2018 to 63% in 2019, increasing to 84% in 2021 and then decreasing again to 70% in 2022. </w:t>
      </w:r>
    </w:p>
    <w:p w14:paraId="68E7F825" w14:textId="0F57C847" w:rsidR="0015777B" w:rsidRPr="0015777B" w:rsidRDefault="0015777B" w:rsidP="0015777B">
      <w:pPr>
        <w:pStyle w:val="spaced6"/>
      </w:pPr>
      <w:r w:rsidRPr="0015777B">
        <w:t>The distribution of individuals co-infected with HIV/HCV infection by race/ethnicity remained relatively stable from 2018 to 2022, with white (non-Hispanic) individuals accounting for the majority of cases each year (59</w:t>
      </w:r>
      <w:r w:rsidR="006C371C">
        <w:t>-67</w:t>
      </w:r>
      <w:r w:rsidRPr="0015777B">
        <w:t xml:space="preserve">%). </w:t>
      </w:r>
    </w:p>
    <w:p w14:paraId="42AB81F0" w14:textId="26278A3F" w:rsidR="007C2C42" w:rsidRPr="00991A6F" w:rsidRDefault="00EF0049" w:rsidP="0015777B">
      <w:pPr>
        <w:pStyle w:val="spaced6"/>
        <w:rPr>
          <w:color w:val="FF0000"/>
        </w:rPr>
      </w:pPr>
      <w:r w:rsidRPr="00991A6F">
        <w:rPr>
          <w:color w:val="FF0000"/>
        </w:rPr>
        <w:br w:type="page"/>
      </w:r>
    </w:p>
    <w:p w14:paraId="7DEC7705" w14:textId="1362085E" w:rsidR="00A95DB2" w:rsidRPr="00677D3A" w:rsidRDefault="007C2C42" w:rsidP="007C2C42">
      <w:pPr>
        <w:pStyle w:val="Heading2"/>
      </w:pPr>
      <w:bookmarkStart w:id="43" w:name="_Toc154057146"/>
      <w:r>
        <w:lastRenderedPageBreak/>
        <w:t>HIV/HEPATITIS C – PERCENTAGE CO-INFECTED</w:t>
      </w:r>
      <w:bookmarkEnd w:id="43"/>
    </w:p>
    <w:p w14:paraId="69FED1CE" w14:textId="72D43DFE" w:rsidR="007C2C42" w:rsidRPr="00677D3A" w:rsidRDefault="007C2C42" w:rsidP="007C2C42">
      <w:pPr>
        <w:rPr>
          <w:szCs w:val="24"/>
        </w:rPr>
      </w:pPr>
      <w:r w:rsidRPr="00677D3A">
        <w:rPr>
          <w:b/>
          <w:bCs/>
          <w:szCs w:val="24"/>
        </w:rPr>
        <w:t xml:space="preserve">Table 4. </w:t>
      </w:r>
      <w:r w:rsidRPr="00677D3A">
        <w:rPr>
          <w:szCs w:val="24"/>
        </w:rPr>
        <w:t>Percentage of 202</w:t>
      </w:r>
      <w:r w:rsidR="00677D3A" w:rsidRPr="00677D3A">
        <w:rPr>
          <w:szCs w:val="24"/>
        </w:rPr>
        <w:t>2</w:t>
      </w:r>
      <w:r w:rsidRPr="00677D3A">
        <w:rPr>
          <w:szCs w:val="24"/>
        </w:rPr>
        <w:t xml:space="preserve"> HIV infection diagnoses ever co-infected with HCV by gender, race/ethnicity, age, and HIV exposure mode</w:t>
      </w:r>
    </w:p>
    <w:tbl>
      <w:tblPr>
        <w:tblStyle w:val="TableGrid"/>
        <w:tblW w:w="9560" w:type="dxa"/>
        <w:tblLook w:val="0420" w:firstRow="1" w:lastRow="0" w:firstColumn="0" w:lastColumn="0" w:noHBand="0" w:noVBand="1"/>
        <w:tblCaption w:val="Table 4. Percentage of 2022 HIV infection diagnoses ever co-infected with HCV by gender, race/ethnicity, age, and HIV exposure mode"/>
        <w:tblDescription w:val="The table displays the number of HIV diagnoses (N=527), the number of HIV/HCV co-infections (N=54) and the percentage of HIV cases co-infected with HCV by assigned sex at birth, race/ethnicity, age and HIV exposure mode.&#10;"/>
      </w:tblPr>
      <w:tblGrid>
        <w:gridCol w:w="2515"/>
        <w:gridCol w:w="2348"/>
        <w:gridCol w:w="2348"/>
        <w:gridCol w:w="2349"/>
      </w:tblGrid>
      <w:tr w:rsidR="00677D3A" w:rsidRPr="00677D3A" w14:paraId="0405798A" w14:textId="77777777" w:rsidTr="388E5C6E">
        <w:trPr>
          <w:trHeight w:val="715"/>
        </w:trPr>
        <w:tc>
          <w:tcPr>
            <w:tcW w:w="2515" w:type="dxa"/>
            <w:hideMark/>
          </w:tcPr>
          <w:p w14:paraId="2039121C" w14:textId="77777777" w:rsidR="007C2C42" w:rsidRPr="00677D3A" w:rsidRDefault="007C2C42" w:rsidP="007C2C42">
            <w:pPr>
              <w:rPr>
                <w:rFonts w:cstheme="minorHAnsi"/>
              </w:rPr>
            </w:pPr>
          </w:p>
        </w:tc>
        <w:tc>
          <w:tcPr>
            <w:tcW w:w="2348" w:type="dxa"/>
            <w:hideMark/>
          </w:tcPr>
          <w:p w14:paraId="48788AEC" w14:textId="13493349" w:rsidR="007C2C42" w:rsidRPr="00677D3A" w:rsidRDefault="5067CFA9" w:rsidP="38A4F72D">
            <w:pPr>
              <w:jc w:val="center"/>
              <w:rPr>
                <w:sz w:val="22"/>
              </w:rPr>
            </w:pPr>
            <w:r w:rsidRPr="388E5C6E">
              <w:rPr>
                <w:rFonts w:eastAsia="Calibri"/>
                <w:b/>
                <w:bCs/>
                <w:sz w:val="22"/>
              </w:rPr>
              <w:t xml:space="preserve"> HIV/HCV Co-infections</w:t>
            </w:r>
            <w:r w:rsidR="007C2C42" w:rsidRPr="388E5C6E">
              <w:rPr>
                <w:rStyle w:val="FootnoteReference"/>
                <w:sz w:val="22"/>
              </w:rPr>
              <w:footnoteReference w:id="90"/>
            </w:r>
          </w:p>
        </w:tc>
        <w:tc>
          <w:tcPr>
            <w:tcW w:w="2348" w:type="dxa"/>
            <w:hideMark/>
          </w:tcPr>
          <w:p w14:paraId="7DCA5468" w14:textId="4F675EFF" w:rsidR="007C2C42" w:rsidRPr="00677D3A" w:rsidRDefault="1B91B182" w:rsidP="38A4F72D">
            <w:pPr>
              <w:jc w:val="center"/>
              <w:rPr>
                <w:rStyle w:val="FootnoteReference"/>
                <w:rFonts w:eastAsia="Calibri"/>
                <w:b/>
                <w:bCs/>
                <w:sz w:val="22"/>
              </w:rPr>
            </w:pPr>
            <w:r w:rsidRPr="2F702A1B">
              <w:rPr>
                <w:rFonts w:eastAsia="Calibri"/>
                <w:b/>
                <w:bCs/>
                <w:kern w:val="24"/>
                <w:sz w:val="22"/>
              </w:rPr>
              <w:t>HIV</w:t>
            </w:r>
            <w:r w:rsidR="34F960A4" w:rsidRPr="2F702A1B">
              <w:rPr>
                <w:rFonts w:eastAsia="Calibri"/>
                <w:b/>
                <w:bCs/>
                <w:kern w:val="24"/>
                <w:sz w:val="22"/>
              </w:rPr>
              <w:t xml:space="preserve"> Diagnoses</w:t>
            </w:r>
          </w:p>
        </w:tc>
        <w:tc>
          <w:tcPr>
            <w:tcW w:w="2349" w:type="dxa"/>
            <w:hideMark/>
          </w:tcPr>
          <w:p w14:paraId="79ADF098" w14:textId="77777777" w:rsidR="007C2C42" w:rsidRPr="00677D3A" w:rsidRDefault="007C2C42" w:rsidP="007C2C42">
            <w:pPr>
              <w:pStyle w:val="NormalWeb"/>
              <w:spacing w:before="0" w:beforeAutospacing="0" w:after="0" w:afterAutospacing="0"/>
              <w:jc w:val="center"/>
              <w:rPr>
                <w:rFonts w:asciiTheme="minorHAnsi" w:hAnsiTheme="minorHAnsi" w:cstheme="minorHAnsi"/>
                <w:sz w:val="22"/>
                <w:szCs w:val="22"/>
              </w:rPr>
            </w:pPr>
            <w:r w:rsidRPr="00677D3A">
              <w:rPr>
                <w:rFonts w:asciiTheme="minorHAnsi" w:hAnsiTheme="minorHAnsi" w:cstheme="minorHAnsi"/>
                <w:b/>
                <w:bCs/>
                <w:kern w:val="24"/>
                <w:sz w:val="22"/>
                <w:szCs w:val="22"/>
              </w:rPr>
              <w:t xml:space="preserve">% of HIV Diagnoses </w:t>
            </w:r>
          </w:p>
          <w:p w14:paraId="561523A6" w14:textId="20F3FEB1" w:rsidR="007C2C42" w:rsidRPr="00677D3A" w:rsidRDefault="63DD4F2F" w:rsidP="034544F5">
            <w:pPr>
              <w:jc w:val="center"/>
              <w:rPr>
                <w:sz w:val="22"/>
              </w:rPr>
            </w:pPr>
            <w:r w:rsidRPr="034544F5">
              <w:rPr>
                <w:b/>
                <w:bCs/>
                <w:kern w:val="24"/>
                <w:sz w:val="22"/>
              </w:rPr>
              <w:t>Co-infected with HCV</w:t>
            </w:r>
          </w:p>
        </w:tc>
      </w:tr>
      <w:tr w:rsidR="38A4F72D" w14:paraId="3EF94F7B" w14:textId="77777777" w:rsidTr="388E5C6E">
        <w:trPr>
          <w:trHeight w:val="20"/>
        </w:trPr>
        <w:tc>
          <w:tcPr>
            <w:tcW w:w="2515" w:type="dxa"/>
            <w:hideMark/>
          </w:tcPr>
          <w:p w14:paraId="33A3D22A" w14:textId="4BFA88E2" w:rsidR="70A59215" w:rsidRDefault="70A59215" w:rsidP="38A4F72D">
            <w:pPr>
              <w:rPr>
                <w:b/>
                <w:bCs/>
                <w:sz w:val="22"/>
              </w:rPr>
            </w:pPr>
            <w:r w:rsidRPr="38A4F72D">
              <w:rPr>
                <w:b/>
                <w:bCs/>
                <w:sz w:val="22"/>
              </w:rPr>
              <w:t>Total</w:t>
            </w:r>
          </w:p>
        </w:tc>
        <w:tc>
          <w:tcPr>
            <w:tcW w:w="2348" w:type="dxa"/>
            <w:hideMark/>
          </w:tcPr>
          <w:p w14:paraId="068566D3" w14:textId="77AE9402" w:rsidR="70A59215" w:rsidRDefault="70A59215" w:rsidP="38A4F72D">
            <w:pPr>
              <w:jc w:val="center"/>
              <w:rPr>
                <w:sz w:val="22"/>
              </w:rPr>
            </w:pPr>
            <w:r w:rsidRPr="38A4F72D">
              <w:rPr>
                <w:sz w:val="22"/>
              </w:rPr>
              <w:t>54</w:t>
            </w:r>
          </w:p>
        </w:tc>
        <w:tc>
          <w:tcPr>
            <w:tcW w:w="2348" w:type="dxa"/>
            <w:hideMark/>
          </w:tcPr>
          <w:p w14:paraId="0F40E03B" w14:textId="2234F35C" w:rsidR="70A59215" w:rsidRDefault="70A59215" w:rsidP="38A4F72D">
            <w:pPr>
              <w:jc w:val="center"/>
              <w:rPr>
                <w:sz w:val="22"/>
              </w:rPr>
            </w:pPr>
            <w:r w:rsidRPr="38A4F72D">
              <w:rPr>
                <w:sz w:val="22"/>
              </w:rPr>
              <w:t>527</w:t>
            </w:r>
          </w:p>
        </w:tc>
        <w:tc>
          <w:tcPr>
            <w:tcW w:w="2349" w:type="dxa"/>
            <w:hideMark/>
          </w:tcPr>
          <w:p w14:paraId="53E1503B" w14:textId="0A52E1B3" w:rsidR="38A4F72D" w:rsidRDefault="00E63192" w:rsidP="38A4F72D">
            <w:pPr>
              <w:jc w:val="center"/>
              <w:rPr>
                <w:sz w:val="22"/>
              </w:rPr>
            </w:pPr>
            <w:r>
              <w:rPr>
                <w:sz w:val="22"/>
              </w:rPr>
              <w:t>10%</w:t>
            </w:r>
          </w:p>
        </w:tc>
      </w:tr>
      <w:tr w:rsidR="00677D3A" w:rsidRPr="00677D3A" w14:paraId="0E6025C9" w14:textId="77777777" w:rsidTr="388E5C6E">
        <w:trPr>
          <w:trHeight w:val="20"/>
        </w:trPr>
        <w:tc>
          <w:tcPr>
            <w:tcW w:w="2515" w:type="dxa"/>
            <w:hideMark/>
          </w:tcPr>
          <w:p w14:paraId="61145BA1" w14:textId="1A3C19A1" w:rsidR="007C2C42" w:rsidRPr="00677D3A" w:rsidRDefault="007C2C42" w:rsidP="007C2C42">
            <w:pPr>
              <w:rPr>
                <w:rFonts w:cstheme="minorHAnsi"/>
                <w:sz w:val="22"/>
              </w:rPr>
            </w:pPr>
            <w:r w:rsidRPr="00677D3A">
              <w:rPr>
                <w:rFonts w:cstheme="minorHAnsi"/>
                <w:b/>
                <w:bCs/>
                <w:kern w:val="24"/>
                <w:sz w:val="22"/>
              </w:rPr>
              <w:t>Assigned Sex at Birth:</w:t>
            </w:r>
          </w:p>
        </w:tc>
        <w:tc>
          <w:tcPr>
            <w:tcW w:w="2348" w:type="dxa"/>
            <w:hideMark/>
          </w:tcPr>
          <w:p w14:paraId="650C07AD" w14:textId="77777777" w:rsidR="007C2C42" w:rsidRPr="00677D3A" w:rsidRDefault="007C2C42" w:rsidP="007C2C42">
            <w:pPr>
              <w:jc w:val="center"/>
              <w:rPr>
                <w:rFonts w:cstheme="minorHAnsi"/>
                <w:sz w:val="22"/>
              </w:rPr>
            </w:pPr>
          </w:p>
        </w:tc>
        <w:tc>
          <w:tcPr>
            <w:tcW w:w="2348" w:type="dxa"/>
            <w:hideMark/>
          </w:tcPr>
          <w:p w14:paraId="198F7009" w14:textId="77777777" w:rsidR="007C2C42" w:rsidRPr="00677D3A" w:rsidRDefault="007C2C42" w:rsidP="007C2C42">
            <w:pPr>
              <w:jc w:val="center"/>
              <w:rPr>
                <w:rFonts w:cstheme="minorHAnsi"/>
                <w:sz w:val="22"/>
              </w:rPr>
            </w:pPr>
          </w:p>
        </w:tc>
        <w:tc>
          <w:tcPr>
            <w:tcW w:w="2349" w:type="dxa"/>
            <w:hideMark/>
          </w:tcPr>
          <w:p w14:paraId="2EC9CA3C" w14:textId="77777777" w:rsidR="007C2C42" w:rsidRPr="00677D3A" w:rsidRDefault="007C2C42" w:rsidP="007C2C42">
            <w:pPr>
              <w:jc w:val="center"/>
              <w:rPr>
                <w:rFonts w:cstheme="minorHAnsi"/>
                <w:sz w:val="22"/>
              </w:rPr>
            </w:pPr>
          </w:p>
        </w:tc>
      </w:tr>
      <w:tr w:rsidR="00677D3A" w:rsidRPr="00677D3A" w14:paraId="74B3C2B3" w14:textId="77777777" w:rsidTr="388E5C6E">
        <w:trPr>
          <w:trHeight w:val="20"/>
        </w:trPr>
        <w:tc>
          <w:tcPr>
            <w:tcW w:w="2515" w:type="dxa"/>
            <w:hideMark/>
          </w:tcPr>
          <w:p w14:paraId="19963629" w14:textId="0E04B7D8" w:rsidR="00677D3A" w:rsidRPr="00677D3A" w:rsidRDefault="00677D3A" w:rsidP="00677D3A">
            <w:pPr>
              <w:rPr>
                <w:rFonts w:cstheme="minorHAnsi"/>
                <w:sz w:val="22"/>
              </w:rPr>
            </w:pPr>
            <w:r w:rsidRPr="00677D3A">
              <w:rPr>
                <w:rFonts w:cstheme="minorHAnsi"/>
                <w:kern w:val="24"/>
                <w:sz w:val="22"/>
              </w:rPr>
              <w:t>Male</w:t>
            </w:r>
          </w:p>
        </w:tc>
        <w:tc>
          <w:tcPr>
            <w:tcW w:w="2348" w:type="dxa"/>
            <w:vAlign w:val="bottom"/>
            <w:hideMark/>
          </w:tcPr>
          <w:p w14:paraId="14387BC7" w14:textId="743D159B" w:rsidR="38A4F72D" w:rsidRDefault="38A4F72D" w:rsidP="00F345D5">
            <w:pPr>
              <w:jc w:val="center"/>
              <w:rPr>
                <w:rFonts w:ascii="Calibri" w:eastAsia="Calibri" w:hAnsi="Calibri" w:cs="Calibri"/>
                <w:sz w:val="22"/>
              </w:rPr>
            </w:pPr>
            <w:r w:rsidRPr="38A4F72D">
              <w:rPr>
                <w:rFonts w:ascii="Calibri" w:eastAsia="Calibri" w:hAnsi="Calibri" w:cs="Calibri"/>
                <w:sz w:val="22"/>
              </w:rPr>
              <w:t>41</w:t>
            </w:r>
          </w:p>
        </w:tc>
        <w:tc>
          <w:tcPr>
            <w:tcW w:w="2348" w:type="dxa"/>
            <w:vAlign w:val="bottom"/>
            <w:hideMark/>
          </w:tcPr>
          <w:p w14:paraId="36367313" w14:textId="5F6A0008" w:rsidR="38A4F72D" w:rsidRDefault="38A4F72D" w:rsidP="00F345D5">
            <w:pPr>
              <w:jc w:val="center"/>
              <w:rPr>
                <w:rFonts w:ascii="Calibri" w:eastAsia="Calibri" w:hAnsi="Calibri" w:cs="Calibri"/>
                <w:sz w:val="22"/>
              </w:rPr>
            </w:pPr>
            <w:r w:rsidRPr="38A4F72D">
              <w:rPr>
                <w:rFonts w:ascii="Calibri" w:eastAsia="Calibri" w:hAnsi="Calibri" w:cs="Calibri"/>
                <w:sz w:val="22"/>
              </w:rPr>
              <w:t>386</w:t>
            </w:r>
          </w:p>
        </w:tc>
        <w:tc>
          <w:tcPr>
            <w:tcW w:w="2349" w:type="dxa"/>
            <w:vAlign w:val="bottom"/>
            <w:hideMark/>
          </w:tcPr>
          <w:p w14:paraId="057500FE" w14:textId="497CCEF3" w:rsidR="00677D3A" w:rsidRPr="00677D3A" w:rsidRDefault="00677D3A" w:rsidP="00677D3A">
            <w:pPr>
              <w:jc w:val="center"/>
              <w:rPr>
                <w:rFonts w:cstheme="minorHAnsi"/>
                <w:sz w:val="22"/>
              </w:rPr>
            </w:pPr>
            <w:r w:rsidRPr="00677D3A">
              <w:rPr>
                <w:rFonts w:cstheme="minorHAnsi"/>
                <w:kern w:val="24"/>
                <w:sz w:val="22"/>
              </w:rPr>
              <w:t>11%</w:t>
            </w:r>
          </w:p>
        </w:tc>
      </w:tr>
      <w:tr w:rsidR="00677D3A" w:rsidRPr="00677D3A" w14:paraId="427744CE" w14:textId="77777777" w:rsidTr="388E5C6E">
        <w:trPr>
          <w:trHeight w:val="20"/>
        </w:trPr>
        <w:tc>
          <w:tcPr>
            <w:tcW w:w="2515" w:type="dxa"/>
            <w:hideMark/>
          </w:tcPr>
          <w:p w14:paraId="2F41303C" w14:textId="33043925" w:rsidR="00677D3A" w:rsidRPr="00677D3A" w:rsidRDefault="00677D3A" w:rsidP="00677D3A">
            <w:pPr>
              <w:rPr>
                <w:rFonts w:cstheme="minorHAnsi"/>
                <w:sz w:val="22"/>
              </w:rPr>
            </w:pPr>
            <w:r w:rsidRPr="00677D3A">
              <w:rPr>
                <w:rFonts w:cstheme="minorHAnsi"/>
                <w:kern w:val="24"/>
                <w:sz w:val="22"/>
              </w:rPr>
              <w:t>Female</w:t>
            </w:r>
          </w:p>
        </w:tc>
        <w:tc>
          <w:tcPr>
            <w:tcW w:w="2348" w:type="dxa"/>
            <w:vAlign w:val="bottom"/>
            <w:hideMark/>
          </w:tcPr>
          <w:p w14:paraId="63DEA0EF" w14:textId="0FF39DA5" w:rsidR="38A4F72D" w:rsidRDefault="38A4F72D" w:rsidP="00F345D5">
            <w:pPr>
              <w:jc w:val="center"/>
              <w:rPr>
                <w:rFonts w:ascii="Calibri" w:eastAsia="Calibri" w:hAnsi="Calibri" w:cs="Calibri"/>
                <w:sz w:val="22"/>
              </w:rPr>
            </w:pPr>
            <w:r w:rsidRPr="38A4F72D">
              <w:rPr>
                <w:rFonts w:ascii="Calibri" w:eastAsia="Calibri" w:hAnsi="Calibri" w:cs="Calibri"/>
                <w:sz w:val="22"/>
              </w:rPr>
              <w:t>13</w:t>
            </w:r>
          </w:p>
        </w:tc>
        <w:tc>
          <w:tcPr>
            <w:tcW w:w="2348" w:type="dxa"/>
            <w:vAlign w:val="bottom"/>
            <w:hideMark/>
          </w:tcPr>
          <w:p w14:paraId="7D0F2D14" w14:textId="2A970818" w:rsidR="38A4F72D" w:rsidRDefault="38A4F72D" w:rsidP="00F345D5">
            <w:pPr>
              <w:jc w:val="center"/>
              <w:rPr>
                <w:rFonts w:ascii="Calibri" w:eastAsia="Calibri" w:hAnsi="Calibri" w:cs="Calibri"/>
                <w:sz w:val="22"/>
              </w:rPr>
            </w:pPr>
            <w:r w:rsidRPr="38A4F72D">
              <w:rPr>
                <w:rFonts w:ascii="Calibri" w:eastAsia="Calibri" w:hAnsi="Calibri" w:cs="Calibri"/>
                <w:sz w:val="22"/>
              </w:rPr>
              <w:t>141</w:t>
            </w:r>
          </w:p>
        </w:tc>
        <w:tc>
          <w:tcPr>
            <w:tcW w:w="2349" w:type="dxa"/>
            <w:vAlign w:val="bottom"/>
            <w:hideMark/>
          </w:tcPr>
          <w:p w14:paraId="360D976F" w14:textId="599ECD12" w:rsidR="00677D3A" w:rsidRPr="00677D3A" w:rsidRDefault="00677D3A" w:rsidP="00677D3A">
            <w:pPr>
              <w:jc w:val="center"/>
              <w:rPr>
                <w:rFonts w:cstheme="minorHAnsi"/>
                <w:sz w:val="22"/>
              </w:rPr>
            </w:pPr>
            <w:r w:rsidRPr="00677D3A">
              <w:rPr>
                <w:rFonts w:cstheme="minorHAnsi"/>
                <w:kern w:val="24"/>
                <w:sz w:val="22"/>
              </w:rPr>
              <w:t>9%</w:t>
            </w:r>
          </w:p>
        </w:tc>
      </w:tr>
      <w:tr w:rsidR="00677D3A" w:rsidRPr="00677D3A" w14:paraId="288B56AF" w14:textId="77777777" w:rsidTr="388E5C6E">
        <w:trPr>
          <w:trHeight w:val="20"/>
        </w:trPr>
        <w:tc>
          <w:tcPr>
            <w:tcW w:w="2515" w:type="dxa"/>
            <w:hideMark/>
          </w:tcPr>
          <w:p w14:paraId="7497779D" w14:textId="5D5B42A6" w:rsidR="00677D3A" w:rsidRPr="00677D3A" w:rsidRDefault="00677D3A" w:rsidP="00677D3A">
            <w:pPr>
              <w:rPr>
                <w:rFonts w:cstheme="minorHAnsi"/>
                <w:sz w:val="22"/>
              </w:rPr>
            </w:pPr>
            <w:r w:rsidRPr="00677D3A">
              <w:rPr>
                <w:rFonts w:cstheme="minorHAnsi"/>
                <w:b/>
                <w:bCs/>
                <w:kern w:val="24"/>
                <w:sz w:val="22"/>
              </w:rPr>
              <w:t>Race/Ethnicity:</w:t>
            </w:r>
          </w:p>
        </w:tc>
        <w:tc>
          <w:tcPr>
            <w:tcW w:w="2348" w:type="dxa"/>
            <w:vAlign w:val="bottom"/>
            <w:hideMark/>
          </w:tcPr>
          <w:p w14:paraId="4CA2944C" w14:textId="3625C7ED" w:rsidR="38A4F72D" w:rsidRDefault="38A4F72D"/>
        </w:tc>
        <w:tc>
          <w:tcPr>
            <w:tcW w:w="2348" w:type="dxa"/>
            <w:vAlign w:val="bottom"/>
            <w:hideMark/>
          </w:tcPr>
          <w:p w14:paraId="76149952" w14:textId="78260F93" w:rsidR="38A4F72D" w:rsidRDefault="38A4F72D"/>
        </w:tc>
        <w:tc>
          <w:tcPr>
            <w:tcW w:w="2349" w:type="dxa"/>
            <w:vAlign w:val="bottom"/>
            <w:hideMark/>
          </w:tcPr>
          <w:p w14:paraId="7A2640A8" w14:textId="0382C1EF" w:rsidR="00677D3A" w:rsidRPr="00677D3A" w:rsidRDefault="00677D3A" w:rsidP="00677D3A">
            <w:pPr>
              <w:jc w:val="center"/>
              <w:rPr>
                <w:rFonts w:cstheme="minorHAnsi"/>
                <w:sz w:val="22"/>
              </w:rPr>
            </w:pPr>
          </w:p>
        </w:tc>
      </w:tr>
      <w:tr w:rsidR="00677D3A" w:rsidRPr="00677D3A" w14:paraId="32752974" w14:textId="77777777" w:rsidTr="388E5C6E">
        <w:trPr>
          <w:trHeight w:val="20"/>
        </w:trPr>
        <w:tc>
          <w:tcPr>
            <w:tcW w:w="2515" w:type="dxa"/>
            <w:hideMark/>
          </w:tcPr>
          <w:p w14:paraId="04892F8D" w14:textId="7D648E5C" w:rsidR="00677D3A" w:rsidRPr="00677D3A" w:rsidRDefault="00677D3A" w:rsidP="00677D3A">
            <w:pPr>
              <w:rPr>
                <w:rFonts w:cstheme="minorHAnsi"/>
                <w:sz w:val="22"/>
              </w:rPr>
            </w:pPr>
            <w:r w:rsidRPr="00677D3A">
              <w:rPr>
                <w:rFonts w:cstheme="minorHAnsi"/>
                <w:kern w:val="24"/>
                <w:sz w:val="22"/>
              </w:rPr>
              <w:t>White NH</w:t>
            </w:r>
          </w:p>
        </w:tc>
        <w:tc>
          <w:tcPr>
            <w:tcW w:w="2348" w:type="dxa"/>
            <w:vAlign w:val="bottom"/>
            <w:hideMark/>
          </w:tcPr>
          <w:p w14:paraId="22EEDC6B" w14:textId="17E93E41" w:rsidR="38A4F72D" w:rsidRDefault="38A4F72D" w:rsidP="00F345D5">
            <w:pPr>
              <w:jc w:val="center"/>
              <w:rPr>
                <w:rFonts w:ascii="Calibri" w:eastAsia="Calibri" w:hAnsi="Calibri" w:cs="Calibri"/>
                <w:sz w:val="22"/>
              </w:rPr>
            </w:pPr>
            <w:r w:rsidRPr="38A4F72D">
              <w:rPr>
                <w:rFonts w:ascii="Calibri" w:eastAsia="Calibri" w:hAnsi="Calibri" w:cs="Calibri"/>
                <w:sz w:val="22"/>
              </w:rPr>
              <w:t>36</w:t>
            </w:r>
          </w:p>
        </w:tc>
        <w:tc>
          <w:tcPr>
            <w:tcW w:w="2348" w:type="dxa"/>
            <w:vAlign w:val="bottom"/>
            <w:hideMark/>
          </w:tcPr>
          <w:p w14:paraId="03294214" w14:textId="3DFA074F" w:rsidR="38A4F72D" w:rsidRDefault="38A4F72D" w:rsidP="00F345D5">
            <w:pPr>
              <w:jc w:val="center"/>
              <w:rPr>
                <w:rFonts w:ascii="Calibri" w:eastAsia="Calibri" w:hAnsi="Calibri" w:cs="Calibri"/>
                <w:sz w:val="22"/>
              </w:rPr>
            </w:pPr>
            <w:r w:rsidRPr="38A4F72D">
              <w:rPr>
                <w:rFonts w:ascii="Calibri" w:eastAsia="Calibri" w:hAnsi="Calibri" w:cs="Calibri"/>
                <w:sz w:val="22"/>
              </w:rPr>
              <w:t>149</w:t>
            </w:r>
          </w:p>
        </w:tc>
        <w:tc>
          <w:tcPr>
            <w:tcW w:w="2349" w:type="dxa"/>
            <w:vAlign w:val="bottom"/>
            <w:hideMark/>
          </w:tcPr>
          <w:p w14:paraId="74170704" w14:textId="4180A54B" w:rsidR="00677D3A" w:rsidRPr="00677D3A" w:rsidRDefault="00677D3A" w:rsidP="00677D3A">
            <w:pPr>
              <w:jc w:val="center"/>
              <w:rPr>
                <w:rFonts w:cstheme="minorHAnsi"/>
                <w:sz w:val="22"/>
              </w:rPr>
            </w:pPr>
            <w:r w:rsidRPr="00677D3A">
              <w:rPr>
                <w:rFonts w:cstheme="minorHAnsi"/>
                <w:kern w:val="24"/>
                <w:sz w:val="22"/>
              </w:rPr>
              <w:t>24%</w:t>
            </w:r>
          </w:p>
        </w:tc>
      </w:tr>
      <w:tr w:rsidR="00677D3A" w:rsidRPr="00677D3A" w14:paraId="4D1BD5EB" w14:textId="77777777" w:rsidTr="388E5C6E">
        <w:trPr>
          <w:trHeight w:val="20"/>
        </w:trPr>
        <w:tc>
          <w:tcPr>
            <w:tcW w:w="2515" w:type="dxa"/>
            <w:hideMark/>
          </w:tcPr>
          <w:p w14:paraId="53C40A80" w14:textId="0D1E15E1" w:rsidR="00677D3A" w:rsidRPr="00677D3A" w:rsidRDefault="00677D3A" w:rsidP="00677D3A">
            <w:pPr>
              <w:rPr>
                <w:rFonts w:cstheme="minorHAnsi"/>
                <w:sz w:val="22"/>
              </w:rPr>
            </w:pPr>
            <w:r w:rsidRPr="00677D3A">
              <w:rPr>
                <w:rFonts w:cstheme="minorHAnsi"/>
                <w:kern w:val="24"/>
                <w:sz w:val="22"/>
              </w:rPr>
              <w:t>Black NH</w:t>
            </w:r>
          </w:p>
        </w:tc>
        <w:tc>
          <w:tcPr>
            <w:tcW w:w="2348" w:type="dxa"/>
            <w:vAlign w:val="bottom"/>
            <w:hideMark/>
          </w:tcPr>
          <w:p w14:paraId="676A33BE" w14:textId="0EA2002A" w:rsidR="38A4F72D" w:rsidRDefault="38A4F72D" w:rsidP="00F345D5">
            <w:pPr>
              <w:jc w:val="center"/>
              <w:rPr>
                <w:rFonts w:ascii="Calibri" w:eastAsia="Calibri" w:hAnsi="Calibri" w:cs="Calibri"/>
                <w:sz w:val="22"/>
              </w:rPr>
            </w:pPr>
            <w:r w:rsidRPr="38A4F72D">
              <w:rPr>
                <w:rFonts w:ascii="Calibri" w:eastAsia="Calibri" w:hAnsi="Calibri" w:cs="Calibri"/>
                <w:sz w:val="22"/>
              </w:rPr>
              <w:t>2</w:t>
            </w:r>
          </w:p>
        </w:tc>
        <w:tc>
          <w:tcPr>
            <w:tcW w:w="2348" w:type="dxa"/>
            <w:vAlign w:val="bottom"/>
            <w:hideMark/>
          </w:tcPr>
          <w:p w14:paraId="36680698" w14:textId="6F0CE42A" w:rsidR="38A4F72D" w:rsidRDefault="38A4F72D" w:rsidP="00F345D5">
            <w:pPr>
              <w:jc w:val="center"/>
              <w:rPr>
                <w:rFonts w:ascii="Calibri" w:eastAsia="Calibri" w:hAnsi="Calibri" w:cs="Calibri"/>
                <w:sz w:val="22"/>
              </w:rPr>
            </w:pPr>
            <w:r w:rsidRPr="38A4F72D">
              <w:rPr>
                <w:rFonts w:ascii="Calibri" w:eastAsia="Calibri" w:hAnsi="Calibri" w:cs="Calibri"/>
                <w:sz w:val="22"/>
              </w:rPr>
              <w:t>180</w:t>
            </w:r>
          </w:p>
        </w:tc>
        <w:tc>
          <w:tcPr>
            <w:tcW w:w="2349" w:type="dxa"/>
            <w:vAlign w:val="bottom"/>
            <w:hideMark/>
          </w:tcPr>
          <w:p w14:paraId="4838FBAC" w14:textId="2CFA1203" w:rsidR="00677D3A" w:rsidRPr="00677D3A" w:rsidRDefault="1F97101C" w:rsidP="38A4F72D">
            <w:pPr>
              <w:jc w:val="center"/>
              <w:rPr>
                <w:rFonts w:ascii="Calibri" w:eastAsia="Calibri" w:hAnsi="Calibri" w:cs="Calibri"/>
                <w:sz w:val="22"/>
              </w:rPr>
            </w:pPr>
            <w:r w:rsidRPr="38A4F72D">
              <w:rPr>
                <w:sz w:val="22"/>
              </w:rPr>
              <w:t>N/A</w:t>
            </w:r>
          </w:p>
        </w:tc>
      </w:tr>
      <w:tr w:rsidR="00677D3A" w:rsidRPr="00677D3A" w14:paraId="0CECD8B1" w14:textId="77777777" w:rsidTr="388E5C6E">
        <w:trPr>
          <w:trHeight w:val="20"/>
        </w:trPr>
        <w:tc>
          <w:tcPr>
            <w:tcW w:w="2515" w:type="dxa"/>
            <w:hideMark/>
          </w:tcPr>
          <w:p w14:paraId="3FEA6972" w14:textId="0A24A07A" w:rsidR="00677D3A" w:rsidRPr="00677D3A" w:rsidRDefault="00677D3A" w:rsidP="00677D3A">
            <w:pPr>
              <w:rPr>
                <w:rFonts w:cstheme="minorHAnsi"/>
                <w:sz w:val="22"/>
              </w:rPr>
            </w:pPr>
            <w:r w:rsidRPr="00677D3A">
              <w:rPr>
                <w:rFonts w:cstheme="minorHAnsi"/>
                <w:kern w:val="24"/>
                <w:sz w:val="22"/>
              </w:rPr>
              <w:t>Hispanic/Latino</w:t>
            </w:r>
          </w:p>
        </w:tc>
        <w:tc>
          <w:tcPr>
            <w:tcW w:w="2348" w:type="dxa"/>
            <w:vAlign w:val="bottom"/>
            <w:hideMark/>
          </w:tcPr>
          <w:p w14:paraId="117404B1" w14:textId="1B0D9483" w:rsidR="38A4F72D" w:rsidRDefault="38A4F72D" w:rsidP="00F345D5">
            <w:pPr>
              <w:jc w:val="center"/>
              <w:rPr>
                <w:rFonts w:ascii="Calibri" w:eastAsia="Calibri" w:hAnsi="Calibri" w:cs="Calibri"/>
                <w:sz w:val="22"/>
              </w:rPr>
            </w:pPr>
            <w:r w:rsidRPr="38A4F72D">
              <w:rPr>
                <w:rFonts w:ascii="Calibri" w:eastAsia="Calibri" w:hAnsi="Calibri" w:cs="Calibri"/>
                <w:sz w:val="22"/>
              </w:rPr>
              <w:t>14</w:t>
            </w:r>
          </w:p>
        </w:tc>
        <w:tc>
          <w:tcPr>
            <w:tcW w:w="2348" w:type="dxa"/>
            <w:vAlign w:val="bottom"/>
            <w:hideMark/>
          </w:tcPr>
          <w:p w14:paraId="0128D87F" w14:textId="318E2279" w:rsidR="38A4F72D" w:rsidRDefault="38A4F72D" w:rsidP="00F345D5">
            <w:pPr>
              <w:jc w:val="center"/>
              <w:rPr>
                <w:rFonts w:ascii="Calibri" w:eastAsia="Calibri" w:hAnsi="Calibri" w:cs="Calibri"/>
                <w:sz w:val="22"/>
              </w:rPr>
            </w:pPr>
            <w:r w:rsidRPr="38A4F72D">
              <w:rPr>
                <w:rFonts w:ascii="Calibri" w:eastAsia="Calibri" w:hAnsi="Calibri" w:cs="Calibri"/>
                <w:sz w:val="22"/>
              </w:rPr>
              <w:t>169</w:t>
            </w:r>
          </w:p>
        </w:tc>
        <w:tc>
          <w:tcPr>
            <w:tcW w:w="2349" w:type="dxa"/>
            <w:vAlign w:val="bottom"/>
            <w:hideMark/>
          </w:tcPr>
          <w:p w14:paraId="679CFEEE" w14:textId="0BC6FA16" w:rsidR="00677D3A" w:rsidRPr="00677D3A" w:rsidRDefault="00677D3A" w:rsidP="00677D3A">
            <w:pPr>
              <w:jc w:val="center"/>
              <w:rPr>
                <w:rFonts w:cstheme="minorHAnsi"/>
                <w:sz w:val="22"/>
              </w:rPr>
            </w:pPr>
            <w:r w:rsidRPr="00677D3A">
              <w:rPr>
                <w:rFonts w:cstheme="minorHAnsi"/>
                <w:kern w:val="24"/>
                <w:sz w:val="22"/>
              </w:rPr>
              <w:t>8%</w:t>
            </w:r>
          </w:p>
        </w:tc>
      </w:tr>
      <w:tr w:rsidR="00677D3A" w:rsidRPr="00677D3A" w14:paraId="01754218" w14:textId="77777777" w:rsidTr="388E5C6E">
        <w:trPr>
          <w:trHeight w:val="20"/>
        </w:trPr>
        <w:tc>
          <w:tcPr>
            <w:tcW w:w="2515" w:type="dxa"/>
            <w:hideMark/>
          </w:tcPr>
          <w:p w14:paraId="7541A4D0" w14:textId="737F9BD0" w:rsidR="00677D3A" w:rsidRPr="00677D3A" w:rsidRDefault="00677D3A" w:rsidP="00677D3A">
            <w:pPr>
              <w:rPr>
                <w:sz w:val="22"/>
              </w:rPr>
            </w:pPr>
            <w:r w:rsidRPr="00677D3A">
              <w:rPr>
                <w:kern w:val="24"/>
                <w:sz w:val="22"/>
              </w:rPr>
              <w:t>Asian/Pacific Islander NH</w:t>
            </w:r>
          </w:p>
        </w:tc>
        <w:tc>
          <w:tcPr>
            <w:tcW w:w="2348" w:type="dxa"/>
            <w:vAlign w:val="bottom"/>
            <w:hideMark/>
          </w:tcPr>
          <w:p w14:paraId="13EF35BE" w14:textId="6BFD5628" w:rsidR="38A4F72D" w:rsidRDefault="38A4F72D" w:rsidP="00F345D5">
            <w:pPr>
              <w:jc w:val="center"/>
              <w:rPr>
                <w:rFonts w:ascii="Calibri" w:eastAsia="Calibri" w:hAnsi="Calibri" w:cs="Calibri"/>
                <w:sz w:val="22"/>
              </w:rPr>
            </w:pPr>
            <w:r w:rsidRPr="38A4F72D">
              <w:rPr>
                <w:rFonts w:ascii="Calibri" w:eastAsia="Calibri" w:hAnsi="Calibri" w:cs="Calibri"/>
                <w:sz w:val="22"/>
              </w:rPr>
              <w:t>0</w:t>
            </w:r>
          </w:p>
        </w:tc>
        <w:tc>
          <w:tcPr>
            <w:tcW w:w="2348" w:type="dxa"/>
            <w:vAlign w:val="bottom"/>
            <w:hideMark/>
          </w:tcPr>
          <w:p w14:paraId="2BA7A00C" w14:textId="3AE0296A" w:rsidR="38A4F72D" w:rsidRDefault="38A4F72D" w:rsidP="00F345D5">
            <w:pPr>
              <w:jc w:val="center"/>
              <w:rPr>
                <w:rFonts w:ascii="Calibri" w:eastAsia="Calibri" w:hAnsi="Calibri" w:cs="Calibri"/>
                <w:sz w:val="22"/>
              </w:rPr>
            </w:pPr>
            <w:r w:rsidRPr="38A4F72D">
              <w:rPr>
                <w:rFonts w:ascii="Calibri" w:eastAsia="Calibri" w:hAnsi="Calibri" w:cs="Calibri"/>
                <w:sz w:val="22"/>
              </w:rPr>
              <w:t>16</w:t>
            </w:r>
          </w:p>
        </w:tc>
        <w:tc>
          <w:tcPr>
            <w:tcW w:w="2349" w:type="dxa"/>
            <w:vAlign w:val="bottom"/>
            <w:hideMark/>
          </w:tcPr>
          <w:p w14:paraId="13CED95B" w14:textId="183A0AB3" w:rsidR="00677D3A" w:rsidRPr="00677D3A" w:rsidRDefault="00677D3A" w:rsidP="00677D3A">
            <w:pPr>
              <w:jc w:val="center"/>
              <w:rPr>
                <w:rFonts w:cstheme="minorHAnsi"/>
                <w:sz w:val="22"/>
              </w:rPr>
            </w:pPr>
            <w:r w:rsidRPr="00677D3A">
              <w:rPr>
                <w:rFonts w:cstheme="minorHAnsi"/>
                <w:kern w:val="24"/>
                <w:sz w:val="22"/>
              </w:rPr>
              <w:t>0%</w:t>
            </w:r>
          </w:p>
        </w:tc>
      </w:tr>
      <w:tr w:rsidR="00677D3A" w:rsidRPr="00677D3A" w14:paraId="626277D3" w14:textId="77777777" w:rsidTr="388E5C6E">
        <w:trPr>
          <w:trHeight w:val="20"/>
        </w:trPr>
        <w:tc>
          <w:tcPr>
            <w:tcW w:w="2515" w:type="dxa"/>
            <w:hideMark/>
          </w:tcPr>
          <w:p w14:paraId="0A753185" w14:textId="51CD82E4" w:rsidR="00677D3A" w:rsidRPr="00677D3A" w:rsidRDefault="00677D3A" w:rsidP="00677D3A">
            <w:pPr>
              <w:rPr>
                <w:sz w:val="22"/>
              </w:rPr>
            </w:pPr>
            <w:r w:rsidRPr="00677D3A">
              <w:rPr>
                <w:kern w:val="24"/>
                <w:sz w:val="22"/>
              </w:rPr>
              <w:t>Other NH/Unknown</w:t>
            </w:r>
          </w:p>
        </w:tc>
        <w:tc>
          <w:tcPr>
            <w:tcW w:w="2348" w:type="dxa"/>
            <w:vAlign w:val="bottom"/>
            <w:hideMark/>
          </w:tcPr>
          <w:p w14:paraId="473337DB" w14:textId="454B8358" w:rsidR="38A4F72D" w:rsidRDefault="38A4F72D" w:rsidP="00F345D5">
            <w:pPr>
              <w:jc w:val="center"/>
              <w:rPr>
                <w:rFonts w:ascii="Calibri" w:eastAsia="Calibri" w:hAnsi="Calibri" w:cs="Calibri"/>
                <w:sz w:val="22"/>
              </w:rPr>
            </w:pPr>
            <w:r w:rsidRPr="38A4F72D">
              <w:rPr>
                <w:rFonts w:ascii="Calibri" w:eastAsia="Calibri" w:hAnsi="Calibri" w:cs="Calibri"/>
                <w:sz w:val="22"/>
              </w:rPr>
              <w:t>2</w:t>
            </w:r>
          </w:p>
        </w:tc>
        <w:tc>
          <w:tcPr>
            <w:tcW w:w="2348" w:type="dxa"/>
            <w:vAlign w:val="bottom"/>
            <w:hideMark/>
          </w:tcPr>
          <w:p w14:paraId="55B80CFD" w14:textId="7934832D" w:rsidR="38A4F72D" w:rsidRDefault="38A4F72D" w:rsidP="00F345D5">
            <w:pPr>
              <w:jc w:val="center"/>
              <w:rPr>
                <w:rFonts w:ascii="Calibri" w:eastAsia="Calibri" w:hAnsi="Calibri" w:cs="Calibri"/>
                <w:sz w:val="22"/>
              </w:rPr>
            </w:pPr>
            <w:r w:rsidRPr="38A4F72D">
              <w:rPr>
                <w:rFonts w:ascii="Calibri" w:eastAsia="Calibri" w:hAnsi="Calibri" w:cs="Calibri"/>
                <w:sz w:val="22"/>
              </w:rPr>
              <w:t>13</w:t>
            </w:r>
          </w:p>
        </w:tc>
        <w:tc>
          <w:tcPr>
            <w:tcW w:w="2349" w:type="dxa"/>
            <w:vAlign w:val="bottom"/>
            <w:hideMark/>
          </w:tcPr>
          <w:p w14:paraId="4FF76ECC" w14:textId="1091C7F2" w:rsidR="00677D3A" w:rsidRPr="00677D3A" w:rsidRDefault="1E24FECA">
            <w:pPr>
              <w:jc w:val="center"/>
              <w:rPr>
                <w:rFonts w:ascii="Calibri" w:eastAsia="Calibri" w:hAnsi="Calibri" w:cs="Calibri"/>
                <w:sz w:val="22"/>
              </w:rPr>
            </w:pPr>
            <w:r w:rsidRPr="034544F5">
              <w:rPr>
                <w:sz w:val="22"/>
              </w:rPr>
              <w:t>N/A</w:t>
            </w:r>
          </w:p>
        </w:tc>
      </w:tr>
      <w:tr w:rsidR="00677D3A" w:rsidRPr="00677D3A" w14:paraId="7B73D18A" w14:textId="77777777" w:rsidTr="388E5C6E">
        <w:trPr>
          <w:trHeight w:val="20"/>
        </w:trPr>
        <w:tc>
          <w:tcPr>
            <w:tcW w:w="2515" w:type="dxa"/>
            <w:hideMark/>
          </w:tcPr>
          <w:p w14:paraId="769BD32F" w14:textId="68AC19F3" w:rsidR="00677D3A" w:rsidRPr="00677D3A" w:rsidRDefault="00677D3A" w:rsidP="00677D3A">
            <w:pPr>
              <w:rPr>
                <w:rFonts w:cstheme="minorHAnsi"/>
                <w:sz w:val="22"/>
              </w:rPr>
            </w:pPr>
            <w:r w:rsidRPr="00677D3A">
              <w:rPr>
                <w:rFonts w:cstheme="minorHAnsi"/>
                <w:b/>
                <w:bCs/>
                <w:kern w:val="24"/>
                <w:sz w:val="22"/>
              </w:rPr>
              <w:t>Age:</w:t>
            </w:r>
          </w:p>
        </w:tc>
        <w:tc>
          <w:tcPr>
            <w:tcW w:w="2348" w:type="dxa"/>
            <w:vAlign w:val="bottom"/>
            <w:hideMark/>
          </w:tcPr>
          <w:p w14:paraId="01C7C61B" w14:textId="5531224F" w:rsidR="38A4F72D" w:rsidRDefault="38A4F72D"/>
        </w:tc>
        <w:tc>
          <w:tcPr>
            <w:tcW w:w="2348" w:type="dxa"/>
            <w:vAlign w:val="bottom"/>
            <w:hideMark/>
          </w:tcPr>
          <w:p w14:paraId="580208B5" w14:textId="2B5DFF86" w:rsidR="38A4F72D" w:rsidRDefault="38A4F72D"/>
        </w:tc>
        <w:tc>
          <w:tcPr>
            <w:tcW w:w="2349" w:type="dxa"/>
            <w:vAlign w:val="bottom"/>
            <w:hideMark/>
          </w:tcPr>
          <w:p w14:paraId="176792B4" w14:textId="69D87344" w:rsidR="00677D3A" w:rsidRPr="00677D3A" w:rsidRDefault="00677D3A" w:rsidP="00677D3A">
            <w:pPr>
              <w:jc w:val="center"/>
              <w:rPr>
                <w:rFonts w:cstheme="minorHAnsi"/>
                <w:sz w:val="22"/>
              </w:rPr>
            </w:pPr>
          </w:p>
        </w:tc>
      </w:tr>
      <w:tr w:rsidR="00677D3A" w:rsidRPr="00677D3A" w14:paraId="33F79E8A" w14:textId="77777777" w:rsidTr="388E5C6E">
        <w:trPr>
          <w:trHeight w:val="20"/>
        </w:trPr>
        <w:tc>
          <w:tcPr>
            <w:tcW w:w="2515" w:type="dxa"/>
            <w:hideMark/>
          </w:tcPr>
          <w:p w14:paraId="253A91C9" w14:textId="31A659EF" w:rsidR="00677D3A" w:rsidRPr="00677D3A" w:rsidRDefault="00677D3A" w:rsidP="00677D3A">
            <w:pPr>
              <w:rPr>
                <w:rFonts w:cstheme="minorHAnsi"/>
                <w:b/>
                <w:bCs/>
                <w:sz w:val="22"/>
              </w:rPr>
            </w:pPr>
            <w:r w:rsidRPr="00677D3A">
              <w:rPr>
                <w:rFonts w:cstheme="minorHAnsi"/>
                <w:kern w:val="24"/>
                <w:sz w:val="22"/>
              </w:rPr>
              <w:t>13–19 years</w:t>
            </w:r>
          </w:p>
        </w:tc>
        <w:tc>
          <w:tcPr>
            <w:tcW w:w="2348" w:type="dxa"/>
            <w:vAlign w:val="bottom"/>
            <w:hideMark/>
          </w:tcPr>
          <w:p w14:paraId="30C1AE76" w14:textId="6DAD5B7D" w:rsidR="38A4F72D" w:rsidRDefault="38A4F72D" w:rsidP="00F345D5">
            <w:pPr>
              <w:jc w:val="center"/>
              <w:rPr>
                <w:rFonts w:ascii="Calibri" w:eastAsia="Calibri" w:hAnsi="Calibri" w:cs="Calibri"/>
                <w:sz w:val="22"/>
              </w:rPr>
            </w:pPr>
            <w:r w:rsidRPr="38A4F72D">
              <w:rPr>
                <w:rFonts w:ascii="Calibri" w:eastAsia="Calibri" w:hAnsi="Calibri" w:cs="Calibri"/>
                <w:sz w:val="22"/>
              </w:rPr>
              <w:t>0</w:t>
            </w:r>
          </w:p>
        </w:tc>
        <w:tc>
          <w:tcPr>
            <w:tcW w:w="2348" w:type="dxa"/>
            <w:vAlign w:val="bottom"/>
            <w:hideMark/>
          </w:tcPr>
          <w:p w14:paraId="12BC996E" w14:textId="2AECF2A3" w:rsidR="38A4F72D" w:rsidRDefault="38A4F72D" w:rsidP="00F345D5">
            <w:pPr>
              <w:jc w:val="center"/>
              <w:rPr>
                <w:rFonts w:ascii="Calibri" w:eastAsia="Calibri" w:hAnsi="Calibri" w:cs="Calibri"/>
                <w:sz w:val="22"/>
              </w:rPr>
            </w:pPr>
            <w:r w:rsidRPr="38A4F72D">
              <w:rPr>
                <w:rFonts w:ascii="Calibri" w:eastAsia="Calibri" w:hAnsi="Calibri" w:cs="Calibri"/>
                <w:sz w:val="22"/>
              </w:rPr>
              <w:t>5</w:t>
            </w:r>
          </w:p>
        </w:tc>
        <w:tc>
          <w:tcPr>
            <w:tcW w:w="2349" w:type="dxa"/>
            <w:vAlign w:val="bottom"/>
            <w:hideMark/>
          </w:tcPr>
          <w:p w14:paraId="3C30B75F" w14:textId="0D19A6CD" w:rsidR="00677D3A" w:rsidRPr="00677D3A" w:rsidRDefault="00677D3A" w:rsidP="00677D3A">
            <w:pPr>
              <w:jc w:val="center"/>
              <w:rPr>
                <w:rFonts w:cstheme="minorHAnsi"/>
                <w:sz w:val="22"/>
              </w:rPr>
            </w:pPr>
            <w:r w:rsidRPr="00677D3A">
              <w:rPr>
                <w:rFonts w:cstheme="minorHAnsi"/>
                <w:kern w:val="24"/>
                <w:sz w:val="22"/>
              </w:rPr>
              <w:t>0%</w:t>
            </w:r>
          </w:p>
        </w:tc>
      </w:tr>
      <w:tr w:rsidR="00677D3A" w:rsidRPr="00677D3A" w14:paraId="33C59CDC" w14:textId="77777777" w:rsidTr="388E5C6E">
        <w:trPr>
          <w:trHeight w:val="20"/>
        </w:trPr>
        <w:tc>
          <w:tcPr>
            <w:tcW w:w="2515" w:type="dxa"/>
            <w:hideMark/>
          </w:tcPr>
          <w:p w14:paraId="3D89E49B" w14:textId="63789B6F" w:rsidR="00677D3A" w:rsidRPr="00677D3A" w:rsidRDefault="00677D3A" w:rsidP="00677D3A">
            <w:pPr>
              <w:rPr>
                <w:rFonts w:cstheme="minorHAnsi"/>
                <w:sz w:val="22"/>
              </w:rPr>
            </w:pPr>
            <w:r w:rsidRPr="00677D3A">
              <w:rPr>
                <w:rFonts w:cstheme="minorHAnsi"/>
                <w:kern w:val="24"/>
                <w:sz w:val="22"/>
              </w:rPr>
              <w:t>20–29 years</w:t>
            </w:r>
          </w:p>
        </w:tc>
        <w:tc>
          <w:tcPr>
            <w:tcW w:w="2348" w:type="dxa"/>
            <w:vAlign w:val="bottom"/>
            <w:hideMark/>
          </w:tcPr>
          <w:p w14:paraId="2D79B40D" w14:textId="0C8DDDA1" w:rsidR="38A4F72D" w:rsidRDefault="38A4F72D" w:rsidP="00F345D5">
            <w:pPr>
              <w:jc w:val="center"/>
              <w:rPr>
                <w:rFonts w:ascii="Calibri" w:eastAsia="Calibri" w:hAnsi="Calibri" w:cs="Calibri"/>
                <w:sz w:val="22"/>
              </w:rPr>
            </w:pPr>
            <w:r w:rsidRPr="38A4F72D">
              <w:rPr>
                <w:rFonts w:ascii="Calibri" w:eastAsia="Calibri" w:hAnsi="Calibri" w:cs="Calibri"/>
                <w:sz w:val="22"/>
              </w:rPr>
              <w:t>9</w:t>
            </w:r>
          </w:p>
        </w:tc>
        <w:tc>
          <w:tcPr>
            <w:tcW w:w="2348" w:type="dxa"/>
            <w:vAlign w:val="bottom"/>
            <w:hideMark/>
          </w:tcPr>
          <w:p w14:paraId="3986679E" w14:textId="38AD9B88" w:rsidR="38A4F72D" w:rsidRDefault="38A4F72D" w:rsidP="00F345D5">
            <w:pPr>
              <w:jc w:val="center"/>
              <w:rPr>
                <w:rFonts w:ascii="Calibri" w:eastAsia="Calibri" w:hAnsi="Calibri" w:cs="Calibri"/>
                <w:sz w:val="22"/>
              </w:rPr>
            </w:pPr>
            <w:r w:rsidRPr="38A4F72D">
              <w:rPr>
                <w:rFonts w:ascii="Calibri" w:eastAsia="Calibri" w:hAnsi="Calibri" w:cs="Calibri"/>
                <w:sz w:val="22"/>
              </w:rPr>
              <w:t>140</w:t>
            </w:r>
          </w:p>
        </w:tc>
        <w:tc>
          <w:tcPr>
            <w:tcW w:w="2349" w:type="dxa"/>
            <w:vAlign w:val="bottom"/>
            <w:hideMark/>
          </w:tcPr>
          <w:p w14:paraId="7FC1401D" w14:textId="760DB529" w:rsidR="00677D3A" w:rsidRPr="00677D3A" w:rsidRDefault="00677D3A" w:rsidP="00677D3A">
            <w:pPr>
              <w:jc w:val="center"/>
              <w:rPr>
                <w:rFonts w:cstheme="minorHAnsi"/>
                <w:sz w:val="22"/>
              </w:rPr>
            </w:pPr>
            <w:r w:rsidRPr="00677D3A">
              <w:rPr>
                <w:rFonts w:cstheme="minorHAnsi"/>
                <w:kern w:val="24"/>
                <w:sz w:val="22"/>
              </w:rPr>
              <w:t>6%</w:t>
            </w:r>
          </w:p>
        </w:tc>
      </w:tr>
      <w:tr w:rsidR="00677D3A" w:rsidRPr="00677D3A" w14:paraId="50253692" w14:textId="77777777" w:rsidTr="388E5C6E">
        <w:trPr>
          <w:trHeight w:val="20"/>
        </w:trPr>
        <w:tc>
          <w:tcPr>
            <w:tcW w:w="2515" w:type="dxa"/>
            <w:hideMark/>
          </w:tcPr>
          <w:p w14:paraId="3F1F755F" w14:textId="2074035C" w:rsidR="00677D3A" w:rsidRPr="00677D3A" w:rsidRDefault="00677D3A" w:rsidP="00677D3A">
            <w:pPr>
              <w:rPr>
                <w:rFonts w:cstheme="minorHAnsi"/>
                <w:sz w:val="22"/>
              </w:rPr>
            </w:pPr>
            <w:r w:rsidRPr="00677D3A">
              <w:rPr>
                <w:rFonts w:cstheme="minorHAnsi"/>
                <w:kern w:val="24"/>
                <w:sz w:val="22"/>
              </w:rPr>
              <w:t>30–39 years</w:t>
            </w:r>
          </w:p>
        </w:tc>
        <w:tc>
          <w:tcPr>
            <w:tcW w:w="2348" w:type="dxa"/>
            <w:vAlign w:val="bottom"/>
            <w:hideMark/>
          </w:tcPr>
          <w:p w14:paraId="5AA3EAE7" w14:textId="694FF96D" w:rsidR="38A4F72D" w:rsidRDefault="38A4F72D" w:rsidP="00F345D5">
            <w:pPr>
              <w:jc w:val="center"/>
              <w:rPr>
                <w:rFonts w:ascii="Calibri" w:eastAsia="Calibri" w:hAnsi="Calibri" w:cs="Calibri"/>
                <w:sz w:val="22"/>
              </w:rPr>
            </w:pPr>
            <w:r w:rsidRPr="38A4F72D">
              <w:rPr>
                <w:rFonts w:ascii="Calibri" w:eastAsia="Calibri" w:hAnsi="Calibri" w:cs="Calibri"/>
                <w:sz w:val="22"/>
              </w:rPr>
              <w:t>26</w:t>
            </w:r>
          </w:p>
        </w:tc>
        <w:tc>
          <w:tcPr>
            <w:tcW w:w="2348" w:type="dxa"/>
            <w:vAlign w:val="bottom"/>
            <w:hideMark/>
          </w:tcPr>
          <w:p w14:paraId="1901FE83" w14:textId="67DD86E3" w:rsidR="38A4F72D" w:rsidRDefault="38A4F72D" w:rsidP="00F345D5">
            <w:pPr>
              <w:jc w:val="center"/>
              <w:rPr>
                <w:rFonts w:ascii="Calibri" w:eastAsia="Calibri" w:hAnsi="Calibri" w:cs="Calibri"/>
                <w:sz w:val="22"/>
              </w:rPr>
            </w:pPr>
            <w:r w:rsidRPr="38A4F72D">
              <w:rPr>
                <w:rFonts w:ascii="Calibri" w:eastAsia="Calibri" w:hAnsi="Calibri" w:cs="Calibri"/>
                <w:sz w:val="22"/>
              </w:rPr>
              <w:t>189</w:t>
            </w:r>
          </w:p>
        </w:tc>
        <w:tc>
          <w:tcPr>
            <w:tcW w:w="2349" w:type="dxa"/>
            <w:vAlign w:val="bottom"/>
            <w:hideMark/>
          </w:tcPr>
          <w:p w14:paraId="0660F1B4" w14:textId="395362AF" w:rsidR="00677D3A" w:rsidRPr="00677D3A" w:rsidRDefault="00677D3A" w:rsidP="00677D3A">
            <w:pPr>
              <w:jc w:val="center"/>
              <w:rPr>
                <w:rFonts w:cstheme="minorHAnsi"/>
                <w:sz w:val="22"/>
              </w:rPr>
            </w:pPr>
            <w:r w:rsidRPr="00677D3A">
              <w:rPr>
                <w:rFonts w:cstheme="minorHAnsi"/>
                <w:kern w:val="24"/>
                <w:sz w:val="22"/>
              </w:rPr>
              <w:t>14%</w:t>
            </w:r>
          </w:p>
        </w:tc>
      </w:tr>
      <w:tr w:rsidR="00677D3A" w:rsidRPr="00677D3A" w14:paraId="27A20FA6" w14:textId="77777777" w:rsidTr="388E5C6E">
        <w:trPr>
          <w:trHeight w:val="20"/>
        </w:trPr>
        <w:tc>
          <w:tcPr>
            <w:tcW w:w="2515" w:type="dxa"/>
            <w:hideMark/>
          </w:tcPr>
          <w:p w14:paraId="3EAB5103" w14:textId="43D689F2" w:rsidR="00677D3A" w:rsidRPr="00677D3A" w:rsidRDefault="00677D3A" w:rsidP="00677D3A">
            <w:pPr>
              <w:rPr>
                <w:rFonts w:cstheme="minorHAnsi"/>
                <w:sz w:val="22"/>
              </w:rPr>
            </w:pPr>
            <w:r w:rsidRPr="00677D3A">
              <w:rPr>
                <w:rFonts w:cstheme="minorHAnsi"/>
                <w:kern w:val="24"/>
                <w:sz w:val="22"/>
              </w:rPr>
              <w:t>40–49 years</w:t>
            </w:r>
          </w:p>
        </w:tc>
        <w:tc>
          <w:tcPr>
            <w:tcW w:w="2348" w:type="dxa"/>
            <w:vAlign w:val="bottom"/>
            <w:hideMark/>
          </w:tcPr>
          <w:p w14:paraId="21B37E79" w14:textId="442BA7D1" w:rsidR="38A4F72D" w:rsidRDefault="38A4F72D" w:rsidP="00F345D5">
            <w:pPr>
              <w:jc w:val="center"/>
              <w:rPr>
                <w:rFonts w:ascii="Calibri" w:eastAsia="Calibri" w:hAnsi="Calibri" w:cs="Calibri"/>
                <w:sz w:val="22"/>
              </w:rPr>
            </w:pPr>
            <w:r w:rsidRPr="38A4F72D">
              <w:rPr>
                <w:rFonts w:ascii="Calibri" w:eastAsia="Calibri" w:hAnsi="Calibri" w:cs="Calibri"/>
                <w:sz w:val="22"/>
              </w:rPr>
              <w:t>8</w:t>
            </w:r>
          </w:p>
        </w:tc>
        <w:tc>
          <w:tcPr>
            <w:tcW w:w="2348" w:type="dxa"/>
            <w:vAlign w:val="bottom"/>
            <w:hideMark/>
          </w:tcPr>
          <w:p w14:paraId="28C153BA" w14:textId="454F5D91" w:rsidR="38A4F72D" w:rsidRDefault="38A4F72D" w:rsidP="00F345D5">
            <w:pPr>
              <w:jc w:val="center"/>
              <w:rPr>
                <w:rFonts w:ascii="Calibri" w:eastAsia="Calibri" w:hAnsi="Calibri" w:cs="Calibri"/>
                <w:sz w:val="22"/>
              </w:rPr>
            </w:pPr>
            <w:r w:rsidRPr="38A4F72D">
              <w:rPr>
                <w:rFonts w:ascii="Calibri" w:eastAsia="Calibri" w:hAnsi="Calibri" w:cs="Calibri"/>
                <w:sz w:val="22"/>
              </w:rPr>
              <w:t>89</w:t>
            </w:r>
          </w:p>
        </w:tc>
        <w:tc>
          <w:tcPr>
            <w:tcW w:w="2349" w:type="dxa"/>
            <w:vAlign w:val="bottom"/>
            <w:hideMark/>
          </w:tcPr>
          <w:p w14:paraId="601BDAB4" w14:textId="1EA1D7ED" w:rsidR="00677D3A" w:rsidRPr="00677D3A" w:rsidRDefault="00677D3A" w:rsidP="00677D3A">
            <w:pPr>
              <w:jc w:val="center"/>
              <w:rPr>
                <w:rFonts w:cstheme="minorHAnsi"/>
                <w:sz w:val="22"/>
              </w:rPr>
            </w:pPr>
            <w:r w:rsidRPr="00677D3A">
              <w:rPr>
                <w:rFonts w:cstheme="minorHAnsi"/>
                <w:kern w:val="24"/>
                <w:sz w:val="22"/>
              </w:rPr>
              <w:t>9%</w:t>
            </w:r>
          </w:p>
        </w:tc>
      </w:tr>
      <w:tr w:rsidR="00677D3A" w:rsidRPr="00677D3A" w14:paraId="62D282FD" w14:textId="77777777" w:rsidTr="388E5C6E">
        <w:trPr>
          <w:trHeight w:val="20"/>
        </w:trPr>
        <w:tc>
          <w:tcPr>
            <w:tcW w:w="2515" w:type="dxa"/>
            <w:hideMark/>
          </w:tcPr>
          <w:p w14:paraId="0F3F0822" w14:textId="24FF8B1D" w:rsidR="00677D3A" w:rsidRPr="00677D3A" w:rsidRDefault="00677D3A" w:rsidP="00677D3A">
            <w:pPr>
              <w:rPr>
                <w:rFonts w:cstheme="minorHAnsi"/>
                <w:sz w:val="22"/>
              </w:rPr>
            </w:pPr>
            <w:r w:rsidRPr="00677D3A">
              <w:rPr>
                <w:rFonts w:cstheme="minorHAnsi"/>
                <w:kern w:val="24"/>
                <w:sz w:val="22"/>
              </w:rPr>
              <w:t xml:space="preserve">50+ years </w:t>
            </w:r>
          </w:p>
        </w:tc>
        <w:tc>
          <w:tcPr>
            <w:tcW w:w="2348" w:type="dxa"/>
            <w:vAlign w:val="bottom"/>
            <w:hideMark/>
          </w:tcPr>
          <w:p w14:paraId="0006C799" w14:textId="543FF357" w:rsidR="38A4F72D" w:rsidRDefault="38A4F72D" w:rsidP="00F345D5">
            <w:pPr>
              <w:jc w:val="center"/>
              <w:rPr>
                <w:rFonts w:ascii="Calibri" w:eastAsia="Calibri" w:hAnsi="Calibri" w:cs="Calibri"/>
                <w:sz w:val="22"/>
              </w:rPr>
            </w:pPr>
            <w:r w:rsidRPr="38A4F72D">
              <w:rPr>
                <w:rFonts w:ascii="Calibri" w:eastAsia="Calibri" w:hAnsi="Calibri" w:cs="Calibri"/>
                <w:sz w:val="22"/>
              </w:rPr>
              <w:t>11</w:t>
            </w:r>
          </w:p>
        </w:tc>
        <w:tc>
          <w:tcPr>
            <w:tcW w:w="2348" w:type="dxa"/>
            <w:vAlign w:val="bottom"/>
            <w:hideMark/>
          </w:tcPr>
          <w:p w14:paraId="67D3671A" w14:textId="2D45A077" w:rsidR="38A4F72D" w:rsidRDefault="38A4F72D" w:rsidP="00F345D5">
            <w:pPr>
              <w:jc w:val="center"/>
              <w:rPr>
                <w:rFonts w:ascii="Calibri" w:eastAsia="Calibri" w:hAnsi="Calibri" w:cs="Calibri"/>
                <w:sz w:val="22"/>
              </w:rPr>
            </w:pPr>
            <w:r w:rsidRPr="38A4F72D">
              <w:rPr>
                <w:rFonts w:ascii="Calibri" w:eastAsia="Calibri" w:hAnsi="Calibri" w:cs="Calibri"/>
                <w:sz w:val="22"/>
              </w:rPr>
              <w:t>103</w:t>
            </w:r>
          </w:p>
        </w:tc>
        <w:tc>
          <w:tcPr>
            <w:tcW w:w="2349" w:type="dxa"/>
            <w:vAlign w:val="bottom"/>
            <w:hideMark/>
          </w:tcPr>
          <w:p w14:paraId="11EA4129" w14:textId="774D062A" w:rsidR="00677D3A" w:rsidRPr="00677D3A" w:rsidRDefault="00677D3A" w:rsidP="00677D3A">
            <w:pPr>
              <w:jc w:val="center"/>
              <w:rPr>
                <w:rFonts w:cstheme="minorHAnsi"/>
                <w:sz w:val="22"/>
              </w:rPr>
            </w:pPr>
            <w:r w:rsidRPr="00677D3A">
              <w:rPr>
                <w:rFonts w:cstheme="minorHAnsi"/>
                <w:kern w:val="24"/>
                <w:sz w:val="22"/>
              </w:rPr>
              <w:t>11%</w:t>
            </w:r>
          </w:p>
        </w:tc>
      </w:tr>
      <w:tr w:rsidR="00677D3A" w:rsidRPr="00677D3A" w14:paraId="15637641" w14:textId="77777777" w:rsidTr="388E5C6E">
        <w:trPr>
          <w:trHeight w:val="20"/>
        </w:trPr>
        <w:tc>
          <w:tcPr>
            <w:tcW w:w="2515" w:type="dxa"/>
            <w:hideMark/>
          </w:tcPr>
          <w:p w14:paraId="40F7FFAE" w14:textId="60BB2D01" w:rsidR="00677D3A" w:rsidRPr="00677D3A" w:rsidRDefault="00677D3A" w:rsidP="00677D3A">
            <w:pPr>
              <w:rPr>
                <w:rFonts w:cstheme="minorHAnsi"/>
                <w:sz w:val="22"/>
              </w:rPr>
            </w:pPr>
            <w:r w:rsidRPr="00677D3A">
              <w:rPr>
                <w:rFonts w:cstheme="minorHAnsi"/>
                <w:b/>
                <w:bCs/>
                <w:kern w:val="24"/>
                <w:sz w:val="22"/>
              </w:rPr>
              <w:t>HIV Exposure Mode:</w:t>
            </w:r>
          </w:p>
        </w:tc>
        <w:tc>
          <w:tcPr>
            <w:tcW w:w="2348" w:type="dxa"/>
            <w:vAlign w:val="bottom"/>
            <w:hideMark/>
          </w:tcPr>
          <w:p w14:paraId="2D9E51C0" w14:textId="4862D0A8" w:rsidR="38A4F72D" w:rsidRDefault="38A4F72D"/>
        </w:tc>
        <w:tc>
          <w:tcPr>
            <w:tcW w:w="2348" w:type="dxa"/>
            <w:vAlign w:val="bottom"/>
            <w:hideMark/>
          </w:tcPr>
          <w:p w14:paraId="4C84A99B" w14:textId="4E57A75A" w:rsidR="38A4F72D" w:rsidRDefault="38A4F72D"/>
        </w:tc>
        <w:tc>
          <w:tcPr>
            <w:tcW w:w="2349" w:type="dxa"/>
            <w:vAlign w:val="bottom"/>
            <w:hideMark/>
          </w:tcPr>
          <w:p w14:paraId="4F01DC0B" w14:textId="66F588DB" w:rsidR="00677D3A" w:rsidRPr="00677D3A" w:rsidRDefault="00677D3A" w:rsidP="00677D3A">
            <w:pPr>
              <w:jc w:val="center"/>
              <w:rPr>
                <w:rFonts w:cstheme="minorHAnsi"/>
                <w:sz w:val="22"/>
              </w:rPr>
            </w:pPr>
          </w:p>
        </w:tc>
      </w:tr>
      <w:tr w:rsidR="00131470" w:rsidRPr="00677D3A" w14:paraId="1E92461F" w14:textId="77777777" w:rsidTr="388E5C6E">
        <w:trPr>
          <w:trHeight w:val="20"/>
        </w:trPr>
        <w:tc>
          <w:tcPr>
            <w:tcW w:w="2515" w:type="dxa"/>
            <w:hideMark/>
          </w:tcPr>
          <w:p w14:paraId="23BC5071" w14:textId="294AFA41" w:rsidR="00131470" w:rsidRPr="00677D3A" w:rsidRDefault="00131470" w:rsidP="00131470">
            <w:pPr>
              <w:rPr>
                <w:rFonts w:cstheme="minorHAnsi"/>
                <w:sz w:val="22"/>
              </w:rPr>
            </w:pPr>
            <w:r w:rsidRPr="00677D3A">
              <w:rPr>
                <w:rFonts w:cstheme="minorHAnsi"/>
                <w:kern w:val="24"/>
                <w:sz w:val="22"/>
              </w:rPr>
              <w:t>MSM</w:t>
            </w:r>
          </w:p>
        </w:tc>
        <w:tc>
          <w:tcPr>
            <w:tcW w:w="2348" w:type="dxa"/>
            <w:vAlign w:val="bottom"/>
            <w:hideMark/>
          </w:tcPr>
          <w:p w14:paraId="0DE12186" w14:textId="265570C2" w:rsidR="38A4F72D" w:rsidRDefault="38A4F72D" w:rsidP="00F345D5">
            <w:pPr>
              <w:jc w:val="center"/>
              <w:rPr>
                <w:rFonts w:ascii="Calibri" w:eastAsia="Calibri" w:hAnsi="Calibri" w:cs="Calibri"/>
                <w:color w:val="000000" w:themeColor="text1"/>
                <w:sz w:val="22"/>
              </w:rPr>
            </w:pPr>
            <w:r w:rsidRPr="38A4F72D">
              <w:rPr>
                <w:rFonts w:ascii="Calibri" w:eastAsia="Calibri" w:hAnsi="Calibri" w:cs="Calibri"/>
                <w:color w:val="000000" w:themeColor="text1"/>
                <w:sz w:val="22"/>
              </w:rPr>
              <w:t>&lt;5</w:t>
            </w:r>
          </w:p>
        </w:tc>
        <w:tc>
          <w:tcPr>
            <w:tcW w:w="2348" w:type="dxa"/>
            <w:vAlign w:val="bottom"/>
            <w:hideMark/>
          </w:tcPr>
          <w:p w14:paraId="6B4B48B5" w14:textId="28D16249" w:rsidR="38A4F72D" w:rsidRDefault="38A4F72D" w:rsidP="00F345D5">
            <w:pPr>
              <w:jc w:val="center"/>
              <w:rPr>
                <w:rFonts w:ascii="Calibri" w:eastAsia="Calibri" w:hAnsi="Calibri" w:cs="Calibri"/>
                <w:sz w:val="22"/>
              </w:rPr>
            </w:pPr>
            <w:r w:rsidRPr="38A4F72D">
              <w:rPr>
                <w:rFonts w:ascii="Calibri" w:eastAsia="Calibri" w:hAnsi="Calibri" w:cs="Calibri"/>
                <w:sz w:val="22"/>
              </w:rPr>
              <w:t>209</w:t>
            </w:r>
          </w:p>
        </w:tc>
        <w:tc>
          <w:tcPr>
            <w:tcW w:w="2349" w:type="dxa"/>
            <w:vAlign w:val="bottom"/>
            <w:hideMark/>
          </w:tcPr>
          <w:p w14:paraId="25F762B3" w14:textId="641DE408" w:rsidR="00131470" w:rsidRPr="00131470" w:rsidRDefault="00131470" w:rsidP="00131470">
            <w:pPr>
              <w:jc w:val="center"/>
              <w:rPr>
                <w:rFonts w:cstheme="minorHAnsi"/>
                <w:sz w:val="22"/>
              </w:rPr>
            </w:pPr>
            <w:r w:rsidRPr="00131470">
              <w:rPr>
                <w:rFonts w:eastAsiaTheme="minorEastAsia" w:cstheme="minorHAnsi"/>
                <w:color w:val="000000"/>
                <w:kern w:val="24"/>
                <w:sz w:val="22"/>
              </w:rPr>
              <w:t>N/A*</w:t>
            </w:r>
          </w:p>
        </w:tc>
      </w:tr>
      <w:tr w:rsidR="00131470" w:rsidRPr="00677D3A" w14:paraId="39FE655B" w14:textId="77777777" w:rsidTr="388E5C6E">
        <w:trPr>
          <w:trHeight w:val="20"/>
        </w:trPr>
        <w:tc>
          <w:tcPr>
            <w:tcW w:w="2515" w:type="dxa"/>
          </w:tcPr>
          <w:p w14:paraId="6C98C59C" w14:textId="17C3291C" w:rsidR="00131470" w:rsidRPr="00677D3A" w:rsidRDefault="00131470" w:rsidP="00131470">
            <w:pPr>
              <w:rPr>
                <w:rFonts w:cstheme="minorHAnsi"/>
                <w:sz w:val="22"/>
              </w:rPr>
            </w:pPr>
            <w:r w:rsidRPr="00677D3A">
              <w:rPr>
                <w:rFonts w:cstheme="minorHAnsi"/>
                <w:kern w:val="24"/>
                <w:sz w:val="22"/>
              </w:rPr>
              <w:t>IDU</w:t>
            </w:r>
          </w:p>
        </w:tc>
        <w:tc>
          <w:tcPr>
            <w:tcW w:w="2348" w:type="dxa"/>
            <w:vAlign w:val="bottom"/>
          </w:tcPr>
          <w:p w14:paraId="7F7ABBBB" w14:textId="2886FDBC" w:rsidR="38A4F72D" w:rsidRDefault="38A4F72D" w:rsidP="00F345D5">
            <w:pPr>
              <w:jc w:val="center"/>
              <w:rPr>
                <w:rFonts w:ascii="Calibri" w:eastAsia="Calibri" w:hAnsi="Calibri" w:cs="Calibri"/>
                <w:color w:val="000000" w:themeColor="text1"/>
                <w:sz w:val="22"/>
              </w:rPr>
            </w:pPr>
            <w:r w:rsidRPr="38A4F72D">
              <w:rPr>
                <w:rFonts w:ascii="Calibri" w:eastAsia="Calibri" w:hAnsi="Calibri" w:cs="Calibri"/>
                <w:color w:val="000000" w:themeColor="text1"/>
                <w:sz w:val="22"/>
              </w:rPr>
              <w:t>38</w:t>
            </w:r>
          </w:p>
        </w:tc>
        <w:tc>
          <w:tcPr>
            <w:tcW w:w="2348" w:type="dxa"/>
            <w:vAlign w:val="bottom"/>
          </w:tcPr>
          <w:p w14:paraId="7F99C470" w14:textId="49C1B136" w:rsidR="38A4F72D" w:rsidRDefault="38A4F72D" w:rsidP="00F345D5">
            <w:pPr>
              <w:jc w:val="center"/>
              <w:rPr>
                <w:rFonts w:ascii="Calibri" w:eastAsia="Calibri" w:hAnsi="Calibri" w:cs="Calibri"/>
                <w:sz w:val="22"/>
              </w:rPr>
            </w:pPr>
            <w:r w:rsidRPr="38A4F72D">
              <w:rPr>
                <w:rFonts w:ascii="Calibri" w:eastAsia="Calibri" w:hAnsi="Calibri" w:cs="Calibri"/>
                <w:sz w:val="22"/>
              </w:rPr>
              <w:t>46</w:t>
            </w:r>
          </w:p>
        </w:tc>
        <w:tc>
          <w:tcPr>
            <w:tcW w:w="2349" w:type="dxa"/>
            <w:vAlign w:val="bottom"/>
          </w:tcPr>
          <w:p w14:paraId="48BDF21F" w14:textId="792C6C7D" w:rsidR="00131470" w:rsidRPr="00131470" w:rsidRDefault="00131470" w:rsidP="00131470">
            <w:pPr>
              <w:jc w:val="center"/>
              <w:rPr>
                <w:rFonts w:cstheme="minorHAnsi"/>
                <w:sz w:val="22"/>
              </w:rPr>
            </w:pPr>
            <w:r w:rsidRPr="00131470">
              <w:rPr>
                <w:rFonts w:cstheme="minorHAnsi"/>
                <w:color w:val="000000"/>
                <w:kern w:val="24"/>
                <w:sz w:val="22"/>
              </w:rPr>
              <w:t>83%</w:t>
            </w:r>
          </w:p>
        </w:tc>
      </w:tr>
      <w:tr w:rsidR="00131470" w:rsidRPr="00677D3A" w14:paraId="2508D8A5" w14:textId="77777777" w:rsidTr="388E5C6E">
        <w:trPr>
          <w:trHeight w:val="20"/>
        </w:trPr>
        <w:tc>
          <w:tcPr>
            <w:tcW w:w="2515" w:type="dxa"/>
          </w:tcPr>
          <w:p w14:paraId="3D70011D" w14:textId="3E4454E5" w:rsidR="00131470" w:rsidRPr="00677D3A" w:rsidRDefault="00131470" w:rsidP="00131470">
            <w:pPr>
              <w:rPr>
                <w:rFonts w:cstheme="minorHAnsi"/>
                <w:kern w:val="24"/>
                <w:sz w:val="22"/>
              </w:rPr>
            </w:pPr>
            <w:r w:rsidRPr="00677D3A">
              <w:rPr>
                <w:rFonts w:cstheme="minorHAnsi"/>
                <w:kern w:val="24"/>
                <w:sz w:val="22"/>
              </w:rPr>
              <w:t>MSM/IDU</w:t>
            </w:r>
          </w:p>
        </w:tc>
        <w:tc>
          <w:tcPr>
            <w:tcW w:w="2348" w:type="dxa"/>
            <w:vAlign w:val="bottom"/>
          </w:tcPr>
          <w:p w14:paraId="59D25F27" w14:textId="5221C7CB" w:rsidR="38A4F72D" w:rsidRDefault="38A4F72D" w:rsidP="00F345D5">
            <w:pPr>
              <w:jc w:val="center"/>
              <w:rPr>
                <w:rFonts w:ascii="Calibri" w:eastAsia="Calibri" w:hAnsi="Calibri" w:cs="Calibri"/>
                <w:color w:val="000000" w:themeColor="text1"/>
                <w:sz w:val="22"/>
              </w:rPr>
            </w:pPr>
            <w:r w:rsidRPr="38A4F72D">
              <w:rPr>
                <w:rFonts w:ascii="Calibri" w:eastAsia="Calibri" w:hAnsi="Calibri" w:cs="Calibri"/>
                <w:color w:val="000000" w:themeColor="text1"/>
                <w:sz w:val="22"/>
              </w:rPr>
              <w:t>8</w:t>
            </w:r>
          </w:p>
        </w:tc>
        <w:tc>
          <w:tcPr>
            <w:tcW w:w="2348" w:type="dxa"/>
            <w:vAlign w:val="bottom"/>
          </w:tcPr>
          <w:p w14:paraId="3A920A86" w14:textId="33974546" w:rsidR="38A4F72D" w:rsidRDefault="38A4F72D" w:rsidP="00F345D5">
            <w:pPr>
              <w:jc w:val="center"/>
              <w:rPr>
                <w:rFonts w:ascii="Calibri" w:eastAsia="Calibri" w:hAnsi="Calibri" w:cs="Calibri"/>
                <w:sz w:val="22"/>
              </w:rPr>
            </w:pPr>
            <w:r w:rsidRPr="38A4F72D">
              <w:rPr>
                <w:rFonts w:ascii="Calibri" w:eastAsia="Calibri" w:hAnsi="Calibri" w:cs="Calibri"/>
                <w:sz w:val="22"/>
              </w:rPr>
              <w:t>18</w:t>
            </w:r>
          </w:p>
        </w:tc>
        <w:tc>
          <w:tcPr>
            <w:tcW w:w="2349" w:type="dxa"/>
            <w:vAlign w:val="bottom"/>
          </w:tcPr>
          <w:p w14:paraId="23EF0E6B" w14:textId="65B0ABAA" w:rsidR="00131470" w:rsidRPr="00131470" w:rsidRDefault="00131470" w:rsidP="00131470">
            <w:pPr>
              <w:jc w:val="center"/>
              <w:rPr>
                <w:rFonts w:eastAsia="Calibri" w:cstheme="minorHAnsi"/>
                <w:kern w:val="24"/>
                <w:sz w:val="22"/>
              </w:rPr>
            </w:pPr>
            <w:r w:rsidRPr="00131470">
              <w:rPr>
                <w:rFonts w:cstheme="minorHAnsi"/>
                <w:color w:val="000000"/>
                <w:kern w:val="24"/>
                <w:sz w:val="22"/>
              </w:rPr>
              <w:t>44%</w:t>
            </w:r>
          </w:p>
        </w:tc>
      </w:tr>
      <w:tr w:rsidR="00131470" w:rsidRPr="00677D3A" w14:paraId="504A63F5" w14:textId="77777777" w:rsidTr="388E5C6E">
        <w:trPr>
          <w:trHeight w:val="20"/>
        </w:trPr>
        <w:tc>
          <w:tcPr>
            <w:tcW w:w="2515" w:type="dxa"/>
          </w:tcPr>
          <w:p w14:paraId="740C018A" w14:textId="5E799E9F" w:rsidR="00131470" w:rsidRPr="00677D3A" w:rsidRDefault="00131470" w:rsidP="00131470">
            <w:pPr>
              <w:rPr>
                <w:rFonts w:cstheme="minorHAnsi"/>
                <w:kern w:val="24"/>
                <w:sz w:val="22"/>
              </w:rPr>
            </w:pPr>
            <w:r w:rsidRPr="00677D3A">
              <w:rPr>
                <w:rFonts w:cstheme="minorHAnsi"/>
                <w:kern w:val="24"/>
                <w:sz w:val="22"/>
              </w:rPr>
              <w:t>HTSX</w:t>
            </w:r>
          </w:p>
        </w:tc>
        <w:tc>
          <w:tcPr>
            <w:tcW w:w="2348" w:type="dxa"/>
            <w:vAlign w:val="bottom"/>
          </w:tcPr>
          <w:p w14:paraId="33921B87" w14:textId="7978EA95" w:rsidR="38A4F72D" w:rsidRDefault="38A4F72D" w:rsidP="00F345D5">
            <w:pPr>
              <w:jc w:val="center"/>
              <w:rPr>
                <w:rFonts w:ascii="Calibri" w:eastAsia="Calibri" w:hAnsi="Calibri" w:cs="Calibri"/>
                <w:color w:val="000000" w:themeColor="text1"/>
                <w:sz w:val="22"/>
              </w:rPr>
            </w:pPr>
            <w:r w:rsidRPr="38A4F72D">
              <w:rPr>
                <w:rFonts w:ascii="Calibri" w:eastAsia="Calibri" w:hAnsi="Calibri" w:cs="Calibri"/>
                <w:color w:val="000000" w:themeColor="text1"/>
                <w:sz w:val="22"/>
              </w:rPr>
              <w:t>&lt;5</w:t>
            </w:r>
          </w:p>
        </w:tc>
        <w:tc>
          <w:tcPr>
            <w:tcW w:w="2348" w:type="dxa"/>
            <w:vAlign w:val="bottom"/>
          </w:tcPr>
          <w:p w14:paraId="46F092EA" w14:textId="188D070A" w:rsidR="38A4F72D" w:rsidRDefault="38A4F72D" w:rsidP="00F345D5">
            <w:pPr>
              <w:jc w:val="center"/>
              <w:rPr>
                <w:rFonts w:ascii="Calibri" w:eastAsia="Calibri" w:hAnsi="Calibri" w:cs="Calibri"/>
                <w:sz w:val="22"/>
              </w:rPr>
            </w:pPr>
            <w:r w:rsidRPr="38A4F72D">
              <w:rPr>
                <w:rFonts w:ascii="Calibri" w:eastAsia="Calibri" w:hAnsi="Calibri" w:cs="Calibri"/>
                <w:sz w:val="22"/>
              </w:rPr>
              <w:t>26</w:t>
            </w:r>
          </w:p>
        </w:tc>
        <w:tc>
          <w:tcPr>
            <w:tcW w:w="2349" w:type="dxa"/>
            <w:vAlign w:val="bottom"/>
          </w:tcPr>
          <w:p w14:paraId="10816D4A" w14:textId="46D40591" w:rsidR="00131470" w:rsidRPr="00131470" w:rsidRDefault="00131470" w:rsidP="00131470">
            <w:pPr>
              <w:jc w:val="center"/>
              <w:rPr>
                <w:rFonts w:eastAsia="Calibri" w:cstheme="minorHAnsi"/>
                <w:kern w:val="24"/>
                <w:sz w:val="22"/>
              </w:rPr>
            </w:pPr>
            <w:r w:rsidRPr="00131470">
              <w:rPr>
                <w:rFonts w:eastAsiaTheme="minorEastAsia" w:cstheme="minorHAnsi"/>
                <w:color w:val="000000"/>
                <w:kern w:val="24"/>
                <w:sz w:val="22"/>
              </w:rPr>
              <w:t>N/A</w:t>
            </w:r>
          </w:p>
        </w:tc>
      </w:tr>
      <w:tr w:rsidR="00131470" w:rsidRPr="00677D3A" w14:paraId="6088464A" w14:textId="77777777" w:rsidTr="388E5C6E">
        <w:trPr>
          <w:trHeight w:val="20"/>
        </w:trPr>
        <w:tc>
          <w:tcPr>
            <w:tcW w:w="2515" w:type="dxa"/>
          </w:tcPr>
          <w:p w14:paraId="7AEB986D" w14:textId="7AC713E6" w:rsidR="00131470" w:rsidRPr="00677D3A" w:rsidRDefault="00131470" w:rsidP="00131470">
            <w:pPr>
              <w:rPr>
                <w:rFonts w:cstheme="minorHAnsi"/>
                <w:kern w:val="24"/>
                <w:sz w:val="22"/>
              </w:rPr>
            </w:pPr>
            <w:r w:rsidRPr="00677D3A">
              <w:rPr>
                <w:rFonts w:cstheme="minorHAnsi"/>
                <w:kern w:val="24"/>
                <w:sz w:val="22"/>
              </w:rPr>
              <w:t>Pres. HTSX</w:t>
            </w:r>
          </w:p>
        </w:tc>
        <w:tc>
          <w:tcPr>
            <w:tcW w:w="2348" w:type="dxa"/>
            <w:vAlign w:val="bottom"/>
          </w:tcPr>
          <w:p w14:paraId="74C23B99" w14:textId="7A03AA2D" w:rsidR="38A4F72D" w:rsidRDefault="38A4F72D" w:rsidP="00F345D5">
            <w:pPr>
              <w:jc w:val="center"/>
              <w:rPr>
                <w:rFonts w:ascii="Calibri" w:eastAsia="Calibri" w:hAnsi="Calibri" w:cs="Calibri"/>
                <w:color w:val="000000" w:themeColor="text1"/>
                <w:sz w:val="22"/>
              </w:rPr>
            </w:pPr>
            <w:r w:rsidRPr="38A4F72D">
              <w:rPr>
                <w:rFonts w:ascii="Calibri" w:eastAsia="Calibri" w:hAnsi="Calibri" w:cs="Calibri"/>
                <w:color w:val="000000" w:themeColor="text1"/>
                <w:sz w:val="22"/>
              </w:rPr>
              <w:t>0</w:t>
            </w:r>
          </w:p>
        </w:tc>
        <w:tc>
          <w:tcPr>
            <w:tcW w:w="2348" w:type="dxa"/>
            <w:vAlign w:val="bottom"/>
          </w:tcPr>
          <w:p w14:paraId="4158FA32" w14:textId="3E86AB75" w:rsidR="38A4F72D" w:rsidRDefault="38A4F72D" w:rsidP="00F345D5">
            <w:pPr>
              <w:jc w:val="center"/>
              <w:rPr>
                <w:rFonts w:ascii="Calibri" w:eastAsia="Calibri" w:hAnsi="Calibri" w:cs="Calibri"/>
                <w:sz w:val="22"/>
              </w:rPr>
            </w:pPr>
            <w:r w:rsidRPr="38A4F72D">
              <w:rPr>
                <w:rFonts w:ascii="Calibri" w:eastAsia="Calibri" w:hAnsi="Calibri" w:cs="Calibri"/>
                <w:sz w:val="22"/>
              </w:rPr>
              <w:t>69</w:t>
            </w:r>
          </w:p>
        </w:tc>
        <w:tc>
          <w:tcPr>
            <w:tcW w:w="2349" w:type="dxa"/>
            <w:vAlign w:val="bottom"/>
          </w:tcPr>
          <w:p w14:paraId="228EEF8A" w14:textId="31432EBD" w:rsidR="00131470" w:rsidRPr="00131470" w:rsidRDefault="00131470" w:rsidP="00131470">
            <w:pPr>
              <w:jc w:val="center"/>
              <w:rPr>
                <w:rFonts w:eastAsia="Calibri" w:cstheme="minorHAnsi"/>
                <w:kern w:val="24"/>
                <w:sz w:val="22"/>
              </w:rPr>
            </w:pPr>
            <w:r w:rsidRPr="00131470">
              <w:rPr>
                <w:rFonts w:cstheme="minorHAnsi"/>
                <w:color w:val="000000"/>
                <w:kern w:val="24"/>
                <w:sz w:val="22"/>
              </w:rPr>
              <w:t>0%</w:t>
            </w:r>
          </w:p>
        </w:tc>
      </w:tr>
      <w:tr w:rsidR="00131470" w:rsidRPr="00677D3A" w14:paraId="3231250C" w14:textId="77777777" w:rsidTr="388E5C6E">
        <w:trPr>
          <w:trHeight w:val="20"/>
        </w:trPr>
        <w:tc>
          <w:tcPr>
            <w:tcW w:w="2515" w:type="dxa"/>
          </w:tcPr>
          <w:p w14:paraId="5E64E758" w14:textId="42534C1A" w:rsidR="00131470" w:rsidRPr="00677D3A" w:rsidRDefault="00131470" w:rsidP="00131470">
            <w:pPr>
              <w:rPr>
                <w:rFonts w:cstheme="minorHAnsi"/>
                <w:kern w:val="24"/>
                <w:sz w:val="22"/>
              </w:rPr>
            </w:pPr>
            <w:r w:rsidRPr="00677D3A">
              <w:rPr>
                <w:rFonts w:cstheme="minorHAnsi"/>
                <w:kern w:val="24"/>
                <w:sz w:val="22"/>
              </w:rPr>
              <w:t>NIR</w:t>
            </w:r>
          </w:p>
        </w:tc>
        <w:tc>
          <w:tcPr>
            <w:tcW w:w="2348" w:type="dxa"/>
            <w:vAlign w:val="bottom"/>
          </w:tcPr>
          <w:p w14:paraId="48A9D462" w14:textId="6CAC56F0" w:rsidR="38A4F72D" w:rsidRDefault="38A4F72D" w:rsidP="00F345D5">
            <w:pPr>
              <w:jc w:val="center"/>
              <w:rPr>
                <w:rFonts w:ascii="Calibri" w:eastAsia="Calibri" w:hAnsi="Calibri" w:cs="Calibri"/>
                <w:color w:val="000000" w:themeColor="text1"/>
                <w:sz w:val="22"/>
              </w:rPr>
            </w:pPr>
            <w:r w:rsidRPr="38A4F72D">
              <w:rPr>
                <w:rFonts w:ascii="Calibri" w:eastAsia="Calibri" w:hAnsi="Calibri" w:cs="Calibri"/>
                <w:color w:val="000000" w:themeColor="text1"/>
                <w:sz w:val="22"/>
              </w:rPr>
              <w:t>&lt;5</w:t>
            </w:r>
          </w:p>
        </w:tc>
        <w:tc>
          <w:tcPr>
            <w:tcW w:w="2348" w:type="dxa"/>
            <w:vAlign w:val="bottom"/>
          </w:tcPr>
          <w:p w14:paraId="16422F16" w14:textId="28A749E6" w:rsidR="38A4F72D" w:rsidRDefault="38A4F72D" w:rsidP="00F345D5">
            <w:pPr>
              <w:jc w:val="center"/>
              <w:rPr>
                <w:rFonts w:ascii="Calibri" w:eastAsia="Calibri" w:hAnsi="Calibri" w:cs="Calibri"/>
                <w:sz w:val="22"/>
              </w:rPr>
            </w:pPr>
            <w:r w:rsidRPr="38A4F72D">
              <w:rPr>
                <w:rFonts w:ascii="Calibri" w:eastAsia="Calibri" w:hAnsi="Calibri" w:cs="Calibri"/>
                <w:sz w:val="22"/>
              </w:rPr>
              <w:t>158</w:t>
            </w:r>
          </w:p>
        </w:tc>
        <w:tc>
          <w:tcPr>
            <w:tcW w:w="2349" w:type="dxa"/>
            <w:vAlign w:val="bottom"/>
          </w:tcPr>
          <w:p w14:paraId="33F752D3" w14:textId="083B95B5" w:rsidR="00131470" w:rsidRPr="00131470" w:rsidRDefault="00131470" w:rsidP="00131470">
            <w:pPr>
              <w:jc w:val="center"/>
              <w:rPr>
                <w:rFonts w:eastAsia="Calibri" w:cstheme="minorHAnsi"/>
                <w:kern w:val="24"/>
                <w:sz w:val="22"/>
              </w:rPr>
            </w:pPr>
            <w:r w:rsidRPr="00131470">
              <w:rPr>
                <w:rFonts w:eastAsiaTheme="minorEastAsia" w:cstheme="minorHAnsi"/>
                <w:color w:val="000000"/>
                <w:kern w:val="24"/>
                <w:sz w:val="22"/>
              </w:rPr>
              <w:t>N/A</w:t>
            </w:r>
          </w:p>
        </w:tc>
      </w:tr>
    </w:tbl>
    <w:p w14:paraId="087AAE5C" w14:textId="32945DF0" w:rsidR="00AA2304" w:rsidRPr="00677D3A" w:rsidRDefault="00AA2304" w:rsidP="00AA2304">
      <w:pPr>
        <w:rPr>
          <w:sz w:val="20"/>
          <w:szCs w:val="20"/>
        </w:rPr>
      </w:pPr>
      <w:r w:rsidRPr="00677D3A">
        <w:rPr>
          <w:sz w:val="20"/>
          <w:szCs w:val="20"/>
        </w:rPr>
        <w:t>MSM=Male-to-Male Sex and Men Who Have Sex with Men, IDU=Injection Drug Use, HTSX=Heterosexual Sex, Pres.=Presumed, NIR=No Identified Risk</w:t>
      </w:r>
      <w:r w:rsidR="00131470">
        <w:rPr>
          <w:sz w:val="20"/>
          <w:szCs w:val="20"/>
        </w:rPr>
        <w:t xml:space="preserve">. </w:t>
      </w:r>
      <w:r w:rsidR="00131470" w:rsidRPr="00131470">
        <w:rPr>
          <w:sz w:val="20"/>
          <w:szCs w:val="20"/>
        </w:rPr>
        <w:t>*Values one through four are suppressed for denominator populations less than 50,000 or for unknown population sizes. Additional values of zero and greater than or equal to five may be suppressed to prevent back calculation.</w:t>
      </w:r>
    </w:p>
    <w:p w14:paraId="657FBA8A" w14:textId="28E8E9F5" w:rsidR="00AA2304" w:rsidRPr="00677D3A" w:rsidRDefault="00AA2304" w:rsidP="00AA2304">
      <w:pPr>
        <w:spacing w:after="120"/>
        <w:rPr>
          <w:sz w:val="20"/>
          <w:szCs w:val="20"/>
        </w:rPr>
      </w:pPr>
      <w:r w:rsidRPr="00677D3A">
        <w:rPr>
          <w:sz w:val="20"/>
          <w:szCs w:val="20"/>
        </w:rPr>
        <w:t xml:space="preserve">Data Source: Bureau of Infectious Disease and Laboratory Sciences, data are current as of </w:t>
      </w:r>
      <w:r w:rsidR="001F75D4" w:rsidRPr="00677D3A">
        <w:rPr>
          <w:sz w:val="20"/>
          <w:szCs w:val="20"/>
        </w:rPr>
        <w:t>7/1/2023</w:t>
      </w:r>
      <w:r w:rsidRPr="00677D3A">
        <w:rPr>
          <w:sz w:val="20"/>
          <w:szCs w:val="20"/>
        </w:rPr>
        <w:t xml:space="preserve"> and subject to change</w:t>
      </w:r>
      <w:r w:rsidR="00B1580A">
        <w:rPr>
          <w:sz w:val="20"/>
          <w:szCs w:val="20"/>
        </w:rPr>
        <w:t>.</w:t>
      </w:r>
    </w:p>
    <w:p w14:paraId="24E27E96" w14:textId="77777777" w:rsidR="00BF564D" w:rsidRPr="00BF564D" w:rsidRDefault="7D553B88" w:rsidP="00BF564D">
      <w:pPr>
        <w:pStyle w:val="spaced6"/>
      </w:pPr>
      <w:r w:rsidRPr="00BF564D">
        <w:t>In 202</w:t>
      </w:r>
      <w:r w:rsidR="00BF564D" w:rsidRPr="00BF564D">
        <w:t>2</w:t>
      </w:r>
      <w:r w:rsidRPr="00BF564D">
        <w:t>,</w:t>
      </w:r>
      <w:r w:rsidR="00B53A1C" w:rsidRPr="00BF564D">
        <w:rPr>
          <w:rStyle w:val="FootnoteReference"/>
        </w:rPr>
        <w:footnoteReference w:id="91"/>
      </w:r>
      <w:r w:rsidRPr="00BF564D">
        <w:t xml:space="preserve"> </w:t>
      </w:r>
      <w:r w:rsidR="00BF564D" w:rsidRPr="00BF564D">
        <w:t>among 527 individuals diagnosed with HIV infection, 10% (N=54/527) were ever co-infected with HCV.</w:t>
      </w:r>
    </w:p>
    <w:p w14:paraId="67BD2574" w14:textId="60C7E7C5" w:rsidR="007E3833" w:rsidRPr="00094D04" w:rsidRDefault="00BF564D" w:rsidP="00094D04">
      <w:pPr>
        <w:pStyle w:val="spaced6"/>
      </w:pPr>
      <w:r w:rsidRPr="00BF564D">
        <w:t>Among individuals diagnosed with HIV infection in 2022, higher rates of HCV co-infection were observed in white (non-Hispanic) individuals (24%), individuals aged 30–39 years (14%), and individuals with IDU exposure mode (83%), or MSM/IDU exposure mode (44%). Co-infection rates were similar for individuals assigned male at birth and individuals assigned female at birth.</w:t>
      </w:r>
      <w:r w:rsidR="00AA2304" w:rsidRPr="00094D04">
        <w:rPr>
          <w:color w:val="FF0000"/>
        </w:rPr>
        <w:br w:type="page"/>
      </w:r>
    </w:p>
    <w:p w14:paraId="69377CC4" w14:textId="5B18006A" w:rsidR="009232CF" w:rsidRPr="002B4BE9" w:rsidRDefault="007E3833" w:rsidP="009232CF">
      <w:pPr>
        <w:pStyle w:val="Heading1"/>
      </w:pPr>
      <w:bookmarkStart w:id="44" w:name="_Toc154057147"/>
      <w:r>
        <w:lastRenderedPageBreak/>
        <w:t>SPECIFIC POPULATIONS-</w:t>
      </w:r>
      <w:r w:rsidR="009232CF">
        <w:t xml:space="preserve"> </w:t>
      </w:r>
      <w:r>
        <w:t>ADOLESCENTS AND YOUNG ADULTS</w:t>
      </w:r>
      <w:bookmarkEnd w:id="44"/>
      <w:r>
        <w:t xml:space="preserve"> </w:t>
      </w:r>
    </w:p>
    <w:p w14:paraId="26A5D521" w14:textId="5D42DD7A" w:rsidR="007C2C42" w:rsidRPr="002B4BE9" w:rsidRDefault="007E3833" w:rsidP="009232CF">
      <w:pPr>
        <w:pStyle w:val="Heading2"/>
      </w:pPr>
      <w:bookmarkStart w:id="45" w:name="_Toc154057148"/>
      <w:r>
        <w:t>STD DIAGNOSES BY AGE</w:t>
      </w:r>
      <w:bookmarkEnd w:id="45"/>
    </w:p>
    <w:p w14:paraId="2F0C4EFE" w14:textId="40A0F522" w:rsidR="007E3833" w:rsidRPr="002B4BE9" w:rsidRDefault="31445B20" w:rsidP="2AF4F12E">
      <w:r w:rsidRPr="002B4BE9">
        <w:rPr>
          <w:b/>
          <w:bCs/>
        </w:rPr>
        <w:t xml:space="preserve">Figure </w:t>
      </w:r>
      <w:r w:rsidR="002B4BE9" w:rsidRPr="002B4BE9">
        <w:rPr>
          <w:b/>
          <w:bCs/>
        </w:rPr>
        <w:t>32</w:t>
      </w:r>
      <w:r w:rsidRPr="002B4BE9">
        <w:rPr>
          <w:b/>
          <w:bCs/>
        </w:rPr>
        <w:t xml:space="preserve">. </w:t>
      </w:r>
      <w:r w:rsidRPr="002B4BE9">
        <w:t>Distribution of confirmed chlamydia and gonorrhea cases reported by age group (years), Massachusetts 202</w:t>
      </w:r>
      <w:r w:rsidR="002B4BE9" w:rsidRPr="002B4BE9">
        <w:t>2</w:t>
      </w:r>
    </w:p>
    <w:p w14:paraId="7E65EBA0" w14:textId="56B4123D" w:rsidR="007E3833" w:rsidRPr="00991A6F" w:rsidRDefault="002B4BE9" w:rsidP="007E3833">
      <w:pPr>
        <w:rPr>
          <w:color w:val="FF0000"/>
        </w:rPr>
      </w:pPr>
      <w:r>
        <w:rPr>
          <w:noProof/>
          <w:color w:val="FF0000"/>
        </w:rPr>
        <w:drawing>
          <wp:inline distT="0" distB="0" distL="0" distR="0" wp14:anchorId="0089A465" wp14:editId="4933E080">
            <wp:extent cx="6407150" cy="3877310"/>
            <wp:effectExtent l="0" t="0" r="0" b="0"/>
            <wp:docPr id="1861310233" name="Picture 1861310233" descr="The figure is a set of two side by side pie charts displaying the distribution by age group (15-24 or 25+) for 2021 chlamydia cases (N = 28,380 Excludes 4 missing age) on the left and 2021 gonorrhea cases (N = 9,128&#10;Excludes 1 missing age)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10233" name="Picture 9" descr="The figure is a set of two side by side pie charts displaying the distribution by age group (15-24 or 25+) for 2021 chlamydia cases (N = 28,380 Excludes 4 missing age) on the left and 2021 gonorrhea cases (N = 9,128&#10;Excludes 1 missing age) on the right.&#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7150" cy="3877310"/>
                    </a:xfrm>
                    <a:prstGeom prst="rect">
                      <a:avLst/>
                    </a:prstGeom>
                    <a:noFill/>
                  </pic:spPr>
                </pic:pic>
              </a:graphicData>
            </a:graphic>
          </wp:inline>
        </w:drawing>
      </w:r>
    </w:p>
    <w:p w14:paraId="3BD2CD75" w14:textId="0A642F67" w:rsidR="007E3833" w:rsidRPr="00F23D94" w:rsidRDefault="007E3833" w:rsidP="007E3833">
      <w:pPr>
        <w:spacing w:after="120"/>
        <w:rPr>
          <w:sz w:val="20"/>
          <w:szCs w:val="20"/>
        </w:rPr>
      </w:pPr>
      <w:r w:rsidRPr="00F23D94">
        <w:rPr>
          <w:sz w:val="20"/>
          <w:szCs w:val="20"/>
        </w:rPr>
        <w:t>Data Source: Bureau of Infectious Disease and Laboratory Sciences, data are current as of 7/</w:t>
      </w:r>
      <w:r w:rsidR="00F23D94" w:rsidRPr="00F23D94">
        <w:rPr>
          <w:sz w:val="20"/>
          <w:szCs w:val="20"/>
        </w:rPr>
        <w:t>21</w:t>
      </w:r>
      <w:r w:rsidRPr="00F23D94">
        <w:rPr>
          <w:sz w:val="20"/>
          <w:szCs w:val="20"/>
        </w:rPr>
        <w:t>/202</w:t>
      </w:r>
      <w:r w:rsidR="00F23D94" w:rsidRPr="00F23D94">
        <w:rPr>
          <w:sz w:val="20"/>
          <w:szCs w:val="20"/>
        </w:rPr>
        <w:t>3</w:t>
      </w:r>
      <w:r w:rsidRPr="00F23D94">
        <w:rPr>
          <w:sz w:val="20"/>
          <w:szCs w:val="20"/>
        </w:rPr>
        <w:t xml:space="preserve"> and subject to change</w:t>
      </w:r>
      <w:r w:rsidR="00B1580A">
        <w:rPr>
          <w:sz w:val="20"/>
          <w:szCs w:val="20"/>
        </w:rPr>
        <w:t>.</w:t>
      </w:r>
    </w:p>
    <w:p w14:paraId="51705088" w14:textId="16B47D81" w:rsidR="00F23D94" w:rsidRPr="00F23D94" w:rsidRDefault="13BCBF38" w:rsidP="00F23D94">
      <w:pPr>
        <w:pStyle w:val="spaced6"/>
      </w:pPr>
      <w:r w:rsidRPr="00F23D94">
        <w:t>In 202</w:t>
      </w:r>
      <w:r w:rsidR="00F23D94" w:rsidRPr="00F23D94">
        <w:t>2</w:t>
      </w:r>
      <w:r w:rsidRPr="00F23D94">
        <w:t>,</w:t>
      </w:r>
      <w:r w:rsidR="007E3833" w:rsidRPr="00F23D94">
        <w:rPr>
          <w:rStyle w:val="FootnoteReference"/>
        </w:rPr>
        <w:footnoteReference w:id="92"/>
      </w:r>
      <w:r w:rsidRPr="00F23D94">
        <w:t xml:space="preserve"> </w:t>
      </w:r>
      <w:r w:rsidR="00F23D94" w:rsidRPr="00F23D94">
        <w:t xml:space="preserve">in Massachusetts, 56% of chlamydia cases and 35% of gonorrhea cases were reported among adolescents and young adults aged 15–24 years. </w:t>
      </w:r>
    </w:p>
    <w:p w14:paraId="0A78E71A" w14:textId="5CCE56EF" w:rsidR="007E3833" w:rsidRPr="00F23D94" w:rsidRDefault="00F23D94" w:rsidP="00F23D94">
      <w:pPr>
        <w:pStyle w:val="spaced6"/>
      </w:pPr>
      <w:r w:rsidRPr="00F23D94">
        <w:t>Nationally, 59% of chlamydia cases and 41% of gonorrhea cases were reported among adolescents and young adults aged 15–24 years in 2021</w:t>
      </w:r>
      <w:r w:rsidR="437C7907" w:rsidRPr="00F23D94">
        <w:t>.</w:t>
      </w:r>
      <w:r w:rsidR="007E3833" w:rsidRPr="00F23D94">
        <w:rPr>
          <w:rStyle w:val="FootnoteReference"/>
        </w:rPr>
        <w:footnoteReference w:id="93"/>
      </w:r>
      <w:r w:rsidR="437C7907" w:rsidRPr="00F23D94">
        <w:t xml:space="preserve">  </w:t>
      </w:r>
    </w:p>
    <w:p w14:paraId="42B36518" w14:textId="55A18582" w:rsidR="00B53EFB" w:rsidRPr="00991A6F" w:rsidRDefault="00B53EFB" w:rsidP="007E3833">
      <w:pPr>
        <w:rPr>
          <w:color w:val="FF0000"/>
          <w:szCs w:val="24"/>
        </w:rPr>
      </w:pPr>
      <w:r w:rsidRPr="00991A6F">
        <w:rPr>
          <w:color w:val="FF0000"/>
          <w:szCs w:val="24"/>
        </w:rPr>
        <w:br w:type="page"/>
      </w:r>
    </w:p>
    <w:p w14:paraId="66CE269C" w14:textId="77777777" w:rsidR="00B53EFB" w:rsidRPr="00794545" w:rsidRDefault="00B53EFB" w:rsidP="00A2586D">
      <w:pPr>
        <w:pStyle w:val="Heading2"/>
      </w:pPr>
      <w:bookmarkStart w:id="46" w:name="_Toc154057149"/>
      <w:r>
        <w:lastRenderedPageBreak/>
        <w:t>STD DIAGNOSES BY AGE AND GENDER</w:t>
      </w:r>
      <w:bookmarkEnd w:id="46"/>
    </w:p>
    <w:p w14:paraId="202C60F2" w14:textId="5920B5D6" w:rsidR="00A2586D" w:rsidRPr="00794545" w:rsidRDefault="721B1557" w:rsidP="2AF4F12E">
      <w:r w:rsidRPr="00794545">
        <w:rPr>
          <w:b/>
          <w:bCs/>
        </w:rPr>
        <w:t xml:space="preserve">Figure </w:t>
      </w:r>
      <w:r w:rsidR="00794545" w:rsidRPr="00794545">
        <w:rPr>
          <w:b/>
          <w:bCs/>
        </w:rPr>
        <w:t>33</w:t>
      </w:r>
      <w:r w:rsidRPr="00794545">
        <w:rPr>
          <w:b/>
          <w:bCs/>
        </w:rPr>
        <w:t xml:space="preserve">. </w:t>
      </w:r>
      <w:r w:rsidRPr="00794545">
        <w:t>Distribution of confirmed chlamydia and gonorrhea cases reported by age group (years) and gender, Massachusetts 202</w:t>
      </w:r>
      <w:r w:rsidR="00794545" w:rsidRPr="00794545">
        <w:t>2</w:t>
      </w:r>
    </w:p>
    <w:p w14:paraId="46D94E97" w14:textId="40028A62" w:rsidR="007E3833" w:rsidRPr="00991A6F" w:rsidRDefault="00794545" w:rsidP="007E3833">
      <w:pPr>
        <w:rPr>
          <w:color w:val="FF0000"/>
          <w:szCs w:val="24"/>
        </w:rPr>
      </w:pPr>
      <w:r>
        <w:rPr>
          <w:noProof/>
          <w:color w:val="FF0000"/>
          <w:szCs w:val="24"/>
        </w:rPr>
        <w:drawing>
          <wp:inline distT="0" distB="0" distL="0" distR="0" wp14:anchorId="2F3EB9CC" wp14:editId="158A3631">
            <wp:extent cx="6352540" cy="3663950"/>
            <wp:effectExtent l="0" t="0" r="0" b="0"/>
            <wp:docPr id="585667328" name="Picture 585667328" descr="The figure is a series of two stacked bar charts displaying the distribution by age group (&lt;15,15-24, 25-29, 30-39, 40-49, 50+) for four groups (male gender, female gender, transgender, and total) for 2022 chlamydia cases on the left and 2022 gonorrhea case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67328" name="Picture 10" descr="The figure is a series of two stacked bar charts displaying the distribution by age group (&lt;15,15-24, 25-29, 30-39, 40-49, 50+) for four groups (male gender, female gender, transgender, and total) for 2022 chlamydia cases on the left and 2022 gonorrhea cases on the right.&#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2540" cy="3663950"/>
                    </a:xfrm>
                    <a:prstGeom prst="rect">
                      <a:avLst/>
                    </a:prstGeom>
                    <a:noFill/>
                  </pic:spPr>
                </pic:pic>
              </a:graphicData>
            </a:graphic>
          </wp:inline>
        </w:drawing>
      </w:r>
    </w:p>
    <w:p w14:paraId="21665658" w14:textId="407B3C43" w:rsidR="00A2586D" w:rsidRPr="00794545" w:rsidRDefault="00A2586D" w:rsidP="00A2586D">
      <w:pPr>
        <w:spacing w:after="120"/>
        <w:rPr>
          <w:sz w:val="20"/>
          <w:szCs w:val="20"/>
        </w:rPr>
      </w:pPr>
      <w:r w:rsidRPr="00794545">
        <w:rPr>
          <w:sz w:val="20"/>
          <w:szCs w:val="20"/>
        </w:rPr>
        <w:t xml:space="preserve">Data Source: Bureau of Infectious Disease and Laboratory Sciences, data are current as of </w:t>
      </w:r>
      <w:r w:rsidR="00794545" w:rsidRPr="00794545">
        <w:rPr>
          <w:sz w:val="20"/>
          <w:szCs w:val="20"/>
        </w:rPr>
        <w:t>7/21/2023</w:t>
      </w:r>
      <w:r w:rsidRPr="00794545">
        <w:rPr>
          <w:sz w:val="20"/>
          <w:szCs w:val="20"/>
        </w:rPr>
        <w:t xml:space="preserve"> and subject to change</w:t>
      </w:r>
      <w:r w:rsidR="00B1580A">
        <w:rPr>
          <w:sz w:val="20"/>
          <w:szCs w:val="20"/>
        </w:rPr>
        <w:t>.</w:t>
      </w:r>
    </w:p>
    <w:p w14:paraId="719F67CA" w14:textId="2B2B46D8" w:rsidR="00794545" w:rsidRPr="00794545" w:rsidRDefault="76115FA0" w:rsidP="00794545">
      <w:pPr>
        <w:pStyle w:val="spaced6"/>
      </w:pPr>
      <w:r w:rsidRPr="00794545">
        <w:t>In 202</w:t>
      </w:r>
      <w:r w:rsidR="00794545" w:rsidRPr="00794545">
        <w:t>2</w:t>
      </w:r>
      <w:r w:rsidRPr="00794545">
        <w:t>,</w:t>
      </w:r>
      <w:r w:rsidR="00A2586D" w:rsidRPr="00794545">
        <w:rPr>
          <w:rStyle w:val="FootnoteReference"/>
        </w:rPr>
        <w:footnoteReference w:id="94"/>
      </w:r>
      <w:r w:rsidRPr="00794545">
        <w:t xml:space="preserve"> </w:t>
      </w:r>
      <w:r w:rsidR="00794545" w:rsidRPr="00794545">
        <w:t xml:space="preserve">in Massachusetts, 43% of chlamydia cases reported among males, 64% among females, 29% among individuals of transgender experience, and 56% of total cases were reported among adolescents and young adults aged 15–24 years. </w:t>
      </w:r>
    </w:p>
    <w:p w14:paraId="6E5F0F74" w14:textId="2285F932" w:rsidR="00A2586D" w:rsidRPr="00794545" w:rsidRDefault="00794545" w:rsidP="00794545">
      <w:pPr>
        <w:pStyle w:val="spaced6"/>
        <w:numPr>
          <w:ilvl w:val="1"/>
          <w:numId w:val="4"/>
        </w:numPr>
      </w:pPr>
      <w:r w:rsidRPr="00794545">
        <w:t>Nationally in 2021, 47% of chlamydia cases reported among males, 65% among females, and 59% of total cases were reported among adolescents and young adults aged 15–24 years</w:t>
      </w:r>
      <w:r w:rsidR="48DC76DE" w:rsidRPr="00794545">
        <w:t>.</w:t>
      </w:r>
    </w:p>
    <w:p w14:paraId="348C1BDF" w14:textId="77777777" w:rsidR="00794545" w:rsidRPr="00794545" w:rsidRDefault="00794545" w:rsidP="00794545">
      <w:pPr>
        <w:pStyle w:val="spaced6"/>
      </w:pPr>
      <w:r w:rsidRPr="00794545">
        <w:t xml:space="preserve">In 2022, in Massachusetts, 28% of gonorrhea cases reported among males, 51% among females, 37% among individuals of transgender experience, and 35% of total cases were reported among adolescents and young adults aged 15–24 years. </w:t>
      </w:r>
    </w:p>
    <w:p w14:paraId="1A470EF1" w14:textId="7E160DDA" w:rsidR="00FE4D0D" w:rsidRPr="00794545" w:rsidRDefault="00794545" w:rsidP="00794545">
      <w:pPr>
        <w:pStyle w:val="spaced6"/>
        <w:numPr>
          <w:ilvl w:val="1"/>
          <w:numId w:val="4"/>
        </w:numPr>
      </w:pPr>
      <w:r w:rsidRPr="00794545">
        <w:t>Nationally in 2021, 32% of gonorrhea cases reported among males, 52% among females, and 41% of total cases were reported among adolescents and young adults aged 15–24 years</w:t>
      </w:r>
      <w:r w:rsidR="60EE4A5E" w:rsidRPr="00794545">
        <w:t>.</w:t>
      </w:r>
      <w:r w:rsidR="0016072F" w:rsidRPr="00794545">
        <w:rPr>
          <w:rStyle w:val="FootnoteReference"/>
        </w:rPr>
        <w:footnoteReference w:id="95"/>
      </w:r>
      <w:r w:rsidR="00A2586D" w:rsidRPr="00794545">
        <w:br w:type="page"/>
      </w:r>
    </w:p>
    <w:p w14:paraId="6760631C" w14:textId="289EF8CE" w:rsidR="00A2586D" w:rsidRPr="001F75D4" w:rsidRDefault="00FE4D0D" w:rsidP="38A4F72D">
      <w:pPr>
        <w:pStyle w:val="Heading2"/>
      </w:pPr>
      <w:bookmarkStart w:id="47" w:name="_Toc154057150"/>
      <w:r>
        <w:lastRenderedPageBreak/>
        <w:t>HIV DIAGNOSES BY RACE/ETHNICITY AND EXPOSURE MODE</w:t>
      </w:r>
      <w:bookmarkEnd w:id="47"/>
    </w:p>
    <w:p w14:paraId="75BBD1F2" w14:textId="4B1980C8" w:rsidR="00FE4D0D" w:rsidRPr="00991A6F" w:rsidRDefault="39DB278F" w:rsidP="00FE4D0D">
      <w:pPr>
        <w:rPr>
          <w:color w:val="FF0000"/>
          <w:szCs w:val="24"/>
        </w:rPr>
      </w:pPr>
      <w:r w:rsidRPr="034544F5">
        <w:rPr>
          <w:b/>
          <w:bCs/>
        </w:rPr>
        <w:t xml:space="preserve">Figure 34. </w:t>
      </w:r>
      <w:r>
        <w:t>Distribution of HIV infection diagnoses in adolescents and young adults (aged 15–24 years) by race/ethnicity, exposure mode, place of birth, and sex assigned at birth, Massachusetts 2020–2022, N=142</w:t>
      </w:r>
    </w:p>
    <w:p w14:paraId="42430E94" w14:textId="6D502C4A" w:rsidR="001F75D4" w:rsidRDefault="001F75D4" w:rsidP="00FE4D0D">
      <w:pPr>
        <w:spacing w:after="120"/>
        <w:rPr>
          <w:color w:val="FF0000"/>
          <w:sz w:val="20"/>
          <w:szCs w:val="20"/>
        </w:rPr>
      </w:pPr>
      <w:r>
        <w:rPr>
          <w:noProof/>
          <w:color w:val="FF0000"/>
          <w:sz w:val="20"/>
          <w:szCs w:val="20"/>
        </w:rPr>
        <w:drawing>
          <wp:inline distT="0" distB="0" distL="0" distR="0" wp14:anchorId="24FD484F" wp14:editId="499B0ACD">
            <wp:extent cx="6675755" cy="5041900"/>
            <wp:effectExtent l="0" t="0" r="0" b="0"/>
            <wp:docPr id="592015405" name="Picture 592015405" descr="The figure is a series of four bar charts displaying the distribution of adolescents and young adults diagnosed with HIV infection by race/ethnicity, place of birth, sex assigned at birth,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15405" name="Picture 11" descr="The figure is a series of four bar charts displaying the distribution of adolescents and young adults diagnosed with HIV infection by race/ethnicity, place of birth, sex assigned at birth, and exposure mode.&#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75755" cy="5041900"/>
                    </a:xfrm>
                    <a:prstGeom prst="rect">
                      <a:avLst/>
                    </a:prstGeom>
                    <a:noFill/>
                  </pic:spPr>
                </pic:pic>
              </a:graphicData>
            </a:graphic>
          </wp:inline>
        </w:drawing>
      </w:r>
    </w:p>
    <w:p w14:paraId="481C0182" w14:textId="52C3B8DF" w:rsidR="00FE4D0D" w:rsidRPr="001F75D4" w:rsidRDefault="00FE4D0D" w:rsidP="00FE4D0D">
      <w:pPr>
        <w:spacing w:after="120"/>
        <w:rPr>
          <w:sz w:val="20"/>
          <w:szCs w:val="20"/>
        </w:rPr>
      </w:pPr>
      <w:r w:rsidRPr="001F75D4">
        <w:rPr>
          <w:sz w:val="20"/>
          <w:szCs w:val="20"/>
        </w:rPr>
        <w:t xml:space="preserve">Data Source: Bureau of Infectious Disease and Laboratory Sciences, data are current as of </w:t>
      </w:r>
      <w:r w:rsidR="001F75D4" w:rsidRPr="001F75D4">
        <w:rPr>
          <w:sz w:val="20"/>
          <w:szCs w:val="20"/>
        </w:rPr>
        <w:t>7/1/2023</w:t>
      </w:r>
      <w:r w:rsidRPr="001F75D4">
        <w:rPr>
          <w:sz w:val="20"/>
          <w:szCs w:val="20"/>
        </w:rPr>
        <w:t xml:space="preserve"> and subject to change</w:t>
      </w:r>
      <w:r w:rsidR="00B1580A">
        <w:rPr>
          <w:sz w:val="20"/>
          <w:szCs w:val="20"/>
        </w:rPr>
        <w:t>.</w:t>
      </w:r>
    </w:p>
    <w:p w14:paraId="61D5E422" w14:textId="77777777" w:rsidR="001F75D4" w:rsidRPr="001F75D4" w:rsidRDefault="0BDA7600" w:rsidP="001F75D4">
      <w:pPr>
        <w:pStyle w:val="spaced6"/>
      </w:pPr>
      <w:r w:rsidRPr="001F75D4">
        <w:t>During 20</w:t>
      </w:r>
      <w:r w:rsidR="001F75D4" w:rsidRPr="001F75D4">
        <w:t>20</w:t>
      </w:r>
      <w:r w:rsidRPr="001F75D4">
        <w:t xml:space="preserve"> to 202</w:t>
      </w:r>
      <w:r w:rsidR="001F75D4" w:rsidRPr="001F75D4">
        <w:t>2</w:t>
      </w:r>
      <w:r w:rsidRPr="001F75D4">
        <w:t>,</w:t>
      </w:r>
      <w:r w:rsidR="00FE4D0D" w:rsidRPr="001F75D4">
        <w:rPr>
          <w:rStyle w:val="FootnoteReference"/>
        </w:rPr>
        <w:footnoteReference w:id="96"/>
      </w:r>
      <w:r w:rsidRPr="001F75D4">
        <w:t xml:space="preserve"> </w:t>
      </w:r>
      <w:r w:rsidR="001F75D4" w:rsidRPr="001F75D4">
        <w:t xml:space="preserve">11% (N=142/1,330) of HIV infection diagnoses were reported among adolescents and young adults aged 15–24 years. </w:t>
      </w:r>
    </w:p>
    <w:p w14:paraId="659DDA6B" w14:textId="77777777" w:rsidR="001F75D4" w:rsidRPr="001F75D4" w:rsidRDefault="001F75D4" w:rsidP="001F75D4">
      <w:pPr>
        <w:pStyle w:val="spaced6"/>
      </w:pPr>
      <w:r w:rsidRPr="001F75D4">
        <w:t xml:space="preserve">Adolescent and young adults aged 15–24 years newly diagnosed with HIV infection in Massachusetts during 2020 to 2022 were predominantly Hispanic/Latinx (46%) or black (non-Hispanic) (27%), assigned male at birth (85%), and US born (65%), with an exposure mode of male-to-male sex (69%). </w:t>
      </w:r>
    </w:p>
    <w:p w14:paraId="541B25EC" w14:textId="73D1348D" w:rsidR="006E2F14" w:rsidRPr="00991A6F" w:rsidRDefault="006E2F14" w:rsidP="001F75D4">
      <w:pPr>
        <w:pStyle w:val="spaced6"/>
        <w:rPr>
          <w:color w:val="FF0000"/>
        </w:rPr>
      </w:pPr>
      <w:r w:rsidRPr="001F75D4">
        <w:br w:type="page"/>
      </w:r>
    </w:p>
    <w:p w14:paraId="456ED661" w14:textId="1271EAC3" w:rsidR="00FE4D0D" w:rsidRPr="00B333F2" w:rsidRDefault="003A6561" w:rsidP="003A6561">
      <w:pPr>
        <w:pStyle w:val="Heading2"/>
      </w:pPr>
      <w:bookmarkStart w:id="48" w:name="_Toc154057151"/>
      <w:r>
        <w:lastRenderedPageBreak/>
        <w:t>HEPATITIS C BY AGE AND GENDER</w:t>
      </w:r>
      <w:bookmarkEnd w:id="48"/>
    </w:p>
    <w:p w14:paraId="169DCB0E" w14:textId="78BEB49D" w:rsidR="003A6561" w:rsidRPr="00B333F2" w:rsidRDefault="3C02676E" w:rsidP="003A6561">
      <w:pPr>
        <w:rPr>
          <w:szCs w:val="24"/>
        </w:rPr>
      </w:pPr>
      <w:r w:rsidRPr="00B333F2">
        <w:rPr>
          <w:b/>
          <w:bCs/>
        </w:rPr>
        <w:t xml:space="preserve">Figure </w:t>
      </w:r>
      <w:r w:rsidR="00B333F2" w:rsidRPr="00B333F2">
        <w:rPr>
          <w:b/>
          <w:bCs/>
        </w:rPr>
        <w:t>35</w:t>
      </w:r>
      <w:r w:rsidRPr="00B333F2">
        <w:rPr>
          <w:b/>
          <w:bCs/>
        </w:rPr>
        <w:t xml:space="preserve">. </w:t>
      </w:r>
      <w:r w:rsidRPr="00B333F2">
        <w:t>Number of confirmed and probable hepatitis C cases reported by age and female and male gender, Massachusetts 2002, 2007, 202</w:t>
      </w:r>
      <w:r w:rsidR="00B333F2" w:rsidRPr="00B333F2">
        <w:t>2</w:t>
      </w:r>
      <w:r w:rsidR="003A6561" w:rsidRPr="00B333F2">
        <w:rPr>
          <w:rStyle w:val="FootnoteReference"/>
        </w:rPr>
        <w:footnoteReference w:id="97"/>
      </w:r>
    </w:p>
    <w:p w14:paraId="52B3FE19" w14:textId="1F33C982" w:rsidR="003A6561" w:rsidRPr="00991A6F" w:rsidRDefault="0AB20959" w:rsidP="034544F5">
      <w:pPr>
        <w:rPr>
          <w:color w:val="FF0000"/>
        </w:rPr>
      </w:pPr>
      <w:r>
        <w:rPr>
          <w:noProof/>
        </w:rPr>
        <w:drawing>
          <wp:inline distT="0" distB="0" distL="0" distR="0" wp14:anchorId="3D56D4CF" wp14:editId="66DF6BE9">
            <wp:extent cx="4379772" cy="6880860"/>
            <wp:effectExtent l="0" t="0" r="0" b="0"/>
            <wp:docPr id="1144099185" name="Picture 1144099185" descr="The figure is a series of three stacked bar charts displaying the number of both male and female hepatitis C cases reported at each age from 0 to 95 years for the years 2002, 2007 and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9">
                      <a:extLst>
                        <a:ext uri="{28A0092B-C50C-407E-A947-70E740481C1C}">
                          <a14:useLocalDpi xmlns:a14="http://schemas.microsoft.com/office/drawing/2010/main" val="0"/>
                        </a:ext>
                      </a:extLst>
                    </a:blip>
                    <a:stretch>
                      <a:fillRect/>
                    </a:stretch>
                  </pic:blipFill>
                  <pic:spPr>
                    <a:xfrm>
                      <a:off x="0" y="0"/>
                      <a:ext cx="4379772" cy="6880860"/>
                    </a:xfrm>
                    <a:prstGeom prst="rect">
                      <a:avLst/>
                    </a:prstGeom>
                  </pic:spPr>
                </pic:pic>
              </a:graphicData>
            </a:graphic>
          </wp:inline>
        </w:drawing>
      </w:r>
      <w:r w:rsidR="00B333F2" w:rsidRPr="034544F5">
        <w:rPr>
          <w:color w:val="FF0000"/>
        </w:rPr>
        <w:br w:type="page"/>
      </w:r>
    </w:p>
    <w:p w14:paraId="3EB19EAD" w14:textId="2C6E5053" w:rsidR="005D38C1" w:rsidRPr="005D38C1" w:rsidRDefault="005D38C1" w:rsidP="005D38C1">
      <w:pPr>
        <w:pStyle w:val="spaced6"/>
      </w:pPr>
      <w:r w:rsidRPr="005D38C1">
        <w:lastRenderedPageBreak/>
        <w:t>The age distribution of hepatitis C virus (HCV) cases reported in Massachusetts changed between 2002 and 2022</w:t>
      </w:r>
      <w:r w:rsidRPr="005D38C1">
        <w:rPr>
          <w:rStyle w:val="FootnoteReference"/>
        </w:rPr>
        <w:footnoteReference w:id="98"/>
      </w:r>
      <w:r w:rsidRPr="005D38C1">
        <w:t xml:space="preserve"> with a significant increase in cases among young persons who inject drugs. </w:t>
      </w:r>
    </w:p>
    <w:p w14:paraId="3F212066" w14:textId="77777777" w:rsidR="005D38C1" w:rsidRPr="005D38C1" w:rsidRDefault="005D38C1" w:rsidP="005D38C1">
      <w:pPr>
        <w:pStyle w:val="spaced6"/>
      </w:pPr>
      <w:r w:rsidRPr="005D38C1">
        <w:t xml:space="preserve">In 2002, reported HCV cases were distributed in a curve with one age peak at 44 years. </w:t>
      </w:r>
    </w:p>
    <w:p w14:paraId="74E4C2D1" w14:textId="77777777" w:rsidR="005D38C1" w:rsidRPr="005D38C1" w:rsidRDefault="005D38C1" w:rsidP="005D38C1">
      <w:pPr>
        <w:pStyle w:val="spaced6"/>
      </w:pPr>
      <w:r w:rsidRPr="005D38C1">
        <w:t xml:space="preserve">In 2007, reported cases of hepatitis C were distributed in a curve with two age peaks, with the lower peak at age 24 years and the higher peak at age 49 years. </w:t>
      </w:r>
    </w:p>
    <w:p w14:paraId="0712BCFF" w14:textId="77777777" w:rsidR="005D38C1" w:rsidRPr="005D38C1" w:rsidRDefault="005D38C1" w:rsidP="005D38C1">
      <w:pPr>
        <w:pStyle w:val="spaced6"/>
      </w:pPr>
      <w:r w:rsidRPr="005D38C1">
        <w:t>In 2022, HCV cases among young adults who inject drugs outnumbered newly reported cases among the older (“baby boomer”) age cohort.</w:t>
      </w:r>
    </w:p>
    <w:p w14:paraId="74E939DB" w14:textId="23FA6AA2" w:rsidR="005D38C1" w:rsidRPr="005D38C1" w:rsidRDefault="005D38C1" w:rsidP="005D38C1">
      <w:pPr>
        <w:pStyle w:val="spaced6"/>
      </w:pPr>
      <w:r w:rsidRPr="005D38C1">
        <w:t xml:space="preserve">The proportion of cases among young adults (aged </w:t>
      </w:r>
      <w:r w:rsidR="00AE384F">
        <w:t>20-39</w:t>
      </w:r>
      <w:r w:rsidRPr="005D38C1">
        <w:t xml:space="preserve"> years) was higher in 2007 (</w:t>
      </w:r>
      <w:r w:rsidR="006A58AF">
        <w:t>38</w:t>
      </w:r>
      <w:r w:rsidRPr="005D38C1">
        <w:t>%, N=</w:t>
      </w:r>
      <w:r w:rsidR="006A58AF">
        <w:t>3,178</w:t>
      </w:r>
      <w:r w:rsidRPr="005D38C1">
        <w:t>/</w:t>
      </w:r>
      <w:r w:rsidR="006A58AF">
        <w:t>8,259</w:t>
      </w:r>
      <w:r w:rsidRPr="005D38C1">
        <w:t>) and 2022 (</w:t>
      </w:r>
      <w:r w:rsidR="000350C2">
        <w:t>46</w:t>
      </w:r>
      <w:r w:rsidRPr="005D38C1">
        <w:t>%, N=</w:t>
      </w:r>
      <w:r w:rsidR="000350C2">
        <w:t>1,282</w:t>
      </w:r>
      <w:r w:rsidRPr="005D38C1">
        <w:t>/</w:t>
      </w:r>
      <w:r w:rsidR="000350C2">
        <w:t>2,807</w:t>
      </w:r>
      <w:r w:rsidRPr="005D38C1">
        <w:t>) compared to 2002 (</w:t>
      </w:r>
      <w:r w:rsidR="000350C2">
        <w:t>31</w:t>
      </w:r>
      <w:r w:rsidRPr="005D38C1">
        <w:t>%, N=</w:t>
      </w:r>
      <w:r w:rsidR="00747C45">
        <w:t>2,802</w:t>
      </w:r>
      <w:r w:rsidRPr="005D38C1">
        <w:t>/</w:t>
      </w:r>
      <w:r w:rsidR="00747C45">
        <w:t>9,039</w:t>
      </w:r>
      <w:r w:rsidRPr="005D38C1">
        <w:t>).</w:t>
      </w:r>
    </w:p>
    <w:p w14:paraId="325D81BE" w14:textId="58D9920E" w:rsidR="005D38C1" w:rsidRPr="005D38C1" w:rsidRDefault="005D38C1" w:rsidP="005D38C1">
      <w:pPr>
        <w:pStyle w:val="spaced6"/>
      </w:pPr>
      <w:r w:rsidRPr="005D38C1">
        <w:t>The primary risk for hepatitis C infection in younger adults is injection drug use.  While the primary exposure mode for HIV infection in younger adults is male-to-male sex, recent increases in the number of HIV infections attributed to injection drug use have been observed, particularly among young adults (aged 13</w:t>
      </w:r>
      <w:r w:rsidR="00156E88">
        <w:t>-</w:t>
      </w:r>
      <w:r w:rsidRPr="005D38C1">
        <w:t xml:space="preserve">29 years). </w:t>
      </w:r>
    </w:p>
    <w:p w14:paraId="4227A062" w14:textId="4847212D" w:rsidR="009E3E87" w:rsidRPr="005D38C1" w:rsidRDefault="009E3E87" w:rsidP="005D38C1">
      <w:pPr>
        <w:pStyle w:val="spaced6"/>
      </w:pPr>
      <w:r w:rsidRPr="005D38C1">
        <w:br w:type="page"/>
      </w:r>
    </w:p>
    <w:p w14:paraId="17FF9EB4" w14:textId="638EB30D" w:rsidR="00FE4D0D" w:rsidRPr="009378D7" w:rsidRDefault="009E3E87" w:rsidP="009E3E87">
      <w:pPr>
        <w:pStyle w:val="Heading2"/>
      </w:pPr>
      <w:bookmarkStart w:id="49" w:name="_Toc154057152"/>
      <w:r>
        <w:lastRenderedPageBreak/>
        <w:t>MASSACHUSETTS YOUTH RISK BEHAVIOR SURVEY</w:t>
      </w:r>
      <w:bookmarkEnd w:id="49"/>
    </w:p>
    <w:p w14:paraId="2C4DA8EF" w14:textId="4E36FDCE" w:rsidR="003A6561" w:rsidRPr="009378D7" w:rsidRDefault="009E3E87" w:rsidP="00FE4D0D">
      <w:pPr>
        <w:rPr>
          <w:szCs w:val="24"/>
        </w:rPr>
      </w:pPr>
      <w:r w:rsidRPr="009378D7">
        <w:rPr>
          <w:b/>
          <w:bCs/>
          <w:szCs w:val="24"/>
        </w:rPr>
        <w:t xml:space="preserve">Table 5. </w:t>
      </w:r>
      <w:r w:rsidRPr="009378D7">
        <w:rPr>
          <w:szCs w:val="24"/>
        </w:rPr>
        <w:t>Reported sexual behaviors among Massachusetts high school students, 201</w:t>
      </w:r>
      <w:r w:rsidR="009378D7" w:rsidRPr="009378D7">
        <w:rPr>
          <w:szCs w:val="24"/>
        </w:rPr>
        <w:t>3</w:t>
      </w:r>
      <w:r w:rsidRPr="009378D7">
        <w:rPr>
          <w:szCs w:val="24"/>
        </w:rPr>
        <w:t>–20</w:t>
      </w:r>
      <w:r w:rsidR="009378D7" w:rsidRPr="009378D7">
        <w:rPr>
          <w:szCs w:val="24"/>
        </w:rPr>
        <w:t>21</w:t>
      </w:r>
    </w:p>
    <w:tbl>
      <w:tblPr>
        <w:tblStyle w:val="TableGrid"/>
        <w:tblW w:w="9420" w:type="dxa"/>
        <w:tblLook w:val="04A0" w:firstRow="1" w:lastRow="0" w:firstColumn="1" w:lastColumn="0" w:noHBand="0" w:noVBand="1"/>
        <w:tblCaption w:val="Table 5. Reported sexual behaviors among Massachusetts high school students, 2013–2021"/>
        <w:tblDescription w:val="The table displays the percentage of high school students who reported: ever having sexual intercourse, having sexual intercourse before age 13, having had sexual intercourse with four or more partners during their life, using a condom at last sexual intercourse, drinking alcohol or using drugs before last sexual intercourse, or ever injecting any illegal drug in 2013, 2015, 2017, 2019, and 2021.&#10;"/>
      </w:tblPr>
      <w:tblGrid>
        <w:gridCol w:w="2505"/>
        <w:gridCol w:w="1383"/>
        <w:gridCol w:w="1383"/>
        <w:gridCol w:w="1383"/>
        <w:gridCol w:w="1383"/>
        <w:gridCol w:w="1383"/>
      </w:tblGrid>
      <w:tr w:rsidR="00991A6F" w:rsidRPr="00991A6F" w14:paraId="02B2E7AD" w14:textId="77777777" w:rsidTr="388E5C6E">
        <w:trPr>
          <w:trHeight w:val="207"/>
        </w:trPr>
        <w:tc>
          <w:tcPr>
            <w:tcW w:w="0" w:type="auto"/>
            <w:hideMark/>
          </w:tcPr>
          <w:p w14:paraId="10CD3DCB" w14:textId="77777777" w:rsidR="009E3E87" w:rsidRPr="009378D7" w:rsidRDefault="009E3E87" w:rsidP="0016095F"/>
        </w:tc>
        <w:tc>
          <w:tcPr>
            <w:tcW w:w="1383" w:type="dxa"/>
            <w:hideMark/>
          </w:tcPr>
          <w:p w14:paraId="2CC85051" w14:textId="565B31F0" w:rsidR="009E3E87" w:rsidRPr="009378D7" w:rsidRDefault="009E3E87" w:rsidP="0016095F">
            <w:pPr>
              <w:jc w:val="center"/>
            </w:pPr>
            <w:r w:rsidRPr="009378D7">
              <w:rPr>
                <w:b/>
                <w:bCs/>
              </w:rPr>
              <w:t>201</w:t>
            </w:r>
            <w:r w:rsidR="009378D7" w:rsidRPr="009378D7">
              <w:rPr>
                <w:b/>
                <w:bCs/>
              </w:rPr>
              <w:t>3</w:t>
            </w:r>
          </w:p>
        </w:tc>
        <w:tc>
          <w:tcPr>
            <w:tcW w:w="1383" w:type="dxa"/>
            <w:hideMark/>
          </w:tcPr>
          <w:p w14:paraId="1BBDF66A" w14:textId="6CFA88AA" w:rsidR="009E3E87" w:rsidRPr="009378D7" w:rsidRDefault="009E3E87" w:rsidP="0016095F">
            <w:pPr>
              <w:jc w:val="center"/>
            </w:pPr>
            <w:r w:rsidRPr="009378D7">
              <w:rPr>
                <w:b/>
                <w:bCs/>
              </w:rPr>
              <w:t>201</w:t>
            </w:r>
            <w:r w:rsidR="009378D7" w:rsidRPr="009378D7">
              <w:rPr>
                <w:b/>
                <w:bCs/>
              </w:rPr>
              <w:t>5</w:t>
            </w:r>
          </w:p>
        </w:tc>
        <w:tc>
          <w:tcPr>
            <w:tcW w:w="1383" w:type="dxa"/>
            <w:hideMark/>
          </w:tcPr>
          <w:p w14:paraId="61A302D1" w14:textId="522AE456" w:rsidR="009E3E87" w:rsidRPr="009378D7" w:rsidRDefault="009E3E87" w:rsidP="0016095F">
            <w:pPr>
              <w:jc w:val="center"/>
            </w:pPr>
            <w:r w:rsidRPr="009378D7">
              <w:rPr>
                <w:b/>
                <w:bCs/>
              </w:rPr>
              <w:t>201</w:t>
            </w:r>
            <w:r w:rsidR="009378D7" w:rsidRPr="009378D7">
              <w:rPr>
                <w:b/>
                <w:bCs/>
              </w:rPr>
              <w:t>7</w:t>
            </w:r>
          </w:p>
        </w:tc>
        <w:tc>
          <w:tcPr>
            <w:tcW w:w="1383" w:type="dxa"/>
            <w:hideMark/>
          </w:tcPr>
          <w:p w14:paraId="45B0029D" w14:textId="12F3BC36" w:rsidR="009E3E87" w:rsidRPr="009378D7" w:rsidRDefault="009E3E87" w:rsidP="0016095F">
            <w:pPr>
              <w:jc w:val="center"/>
            </w:pPr>
            <w:r w:rsidRPr="009378D7">
              <w:rPr>
                <w:b/>
                <w:bCs/>
              </w:rPr>
              <w:t>201</w:t>
            </w:r>
            <w:r w:rsidR="009378D7" w:rsidRPr="009378D7">
              <w:rPr>
                <w:b/>
                <w:bCs/>
              </w:rPr>
              <w:t>9</w:t>
            </w:r>
          </w:p>
        </w:tc>
        <w:tc>
          <w:tcPr>
            <w:tcW w:w="1383" w:type="dxa"/>
            <w:hideMark/>
          </w:tcPr>
          <w:p w14:paraId="0C611017" w14:textId="3396B672" w:rsidR="009E3E87" w:rsidRPr="009378D7" w:rsidRDefault="009E3E87" w:rsidP="0016095F">
            <w:pPr>
              <w:jc w:val="center"/>
            </w:pPr>
            <w:r w:rsidRPr="009378D7">
              <w:rPr>
                <w:b/>
                <w:bCs/>
              </w:rPr>
              <w:t>20</w:t>
            </w:r>
            <w:r w:rsidR="009378D7" w:rsidRPr="009378D7">
              <w:rPr>
                <w:b/>
                <w:bCs/>
              </w:rPr>
              <w:t>21</w:t>
            </w:r>
          </w:p>
        </w:tc>
      </w:tr>
      <w:tr w:rsidR="00991A6F" w:rsidRPr="00991A6F" w14:paraId="53431EBA" w14:textId="77777777" w:rsidTr="388E5C6E">
        <w:trPr>
          <w:trHeight w:val="759"/>
        </w:trPr>
        <w:tc>
          <w:tcPr>
            <w:tcW w:w="2505" w:type="dxa"/>
            <w:hideMark/>
          </w:tcPr>
          <w:p w14:paraId="246E767F" w14:textId="77777777" w:rsidR="009E3E87" w:rsidRPr="009378D7" w:rsidRDefault="009E3E87" w:rsidP="0016095F">
            <w:pPr>
              <w:rPr>
                <w:b/>
                <w:bCs/>
              </w:rPr>
            </w:pPr>
          </w:p>
          <w:p w14:paraId="3CC4A4C8" w14:textId="77777777" w:rsidR="009E3E87" w:rsidRPr="009378D7" w:rsidRDefault="009E3E87" w:rsidP="0016095F">
            <w:r w:rsidRPr="009378D7">
              <w:rPr>
                <w:b/>
                <w:bCs/>
              </w:rPr>
              <w:t>Percentage who reported:</w:t>
            </w:r>
          </w:p>
        </w:tc>
        <w:tc>
          <w:tcPr>
            <w:tcW w:w="1383" w:type="dxa"/>
            <w:hideMark/>
          </w:tcPr>
          <w:p w14:paraId="5EF25170" w14:textId="77777777" w:rsidR="009E3E87" w:rsidRPr="009378D7" w:rsidRDefault="009E3E87" w:rsidP="0016095F">
            <w:pPr>
              <w:jc w:val="center"/>
            </w:pPr>
            <w:r w:rsidRPr="009378D7">
              <w:rPr>
                <w:b/>
                <w:bCs/>
              </w:rPr>
              <w:t>%</w:t>
            </w:r>
          </w:p>
          <w:p w14:paraId="112B2C27" w14:textId="77777777" w:rsidR="009E3E87" w:rsidRPr="009378D7" w:rsidRDefault="009E3E87" w:rsidP="0016095F">
            <w:pPr>
              <w:jc w:val="center"/>
            </w:pPr>
            <w:r w:rsidRPr="009378D7">
              <w:rPr>
                <w:b/>
                <w:bCs/>
              </w:rPr>
              <w:t>(95% CI)</w:t>
            </w:r>
          </w:p>
          <w:p w14:paraId="40498E50" w14:textId="77777777" w:rsidR="009E3E87" w:rsidRPr="009378D7" w:rsidRDefault="03B211C5" w:rsidP="0016095F">
            <w:pPr>
              <w:jc w:val="center"/>
            </w:pPr>
            <w:r w:rsidRPr="009378D7">
              <w:rPr>
                <w:b/>
                <w:bCs/>
              </w:rPr>
              <w:t>n</w:t>
            </w:r>
            <w:r w:rsidR="009E3E87" w:rsidRPr="009378D7">
              <w:rPr>
                <w:rStyle w:val="FootnoteReference"/>
                <w:b/>
                <w:bCs/>
              </w:rPr>
              <w:footnoteReference w:id="99"/>
            </w:r>
          </w:p>
        </w:tc>
        <w:tc>
          <w:tcPr>
            <w:tcW w:w="1383" w:type="dxa"/>
            <w:hideMark/>
          </w:tcPr>
          <w:p w14:paraId="60E56B1A" w14:textId="77777777" w:rsidR="009E3E87" w:rsidRPr="009378D7" w:rsidRDefault="009E3E87" w:rsidP="0016095F">
            <w:pPr>
              <w:jc w:val="center"/>
            </w:pPr>
            <w:r w:rsidRPr="009378D7">
              <w:rPr>
                <w:b/>
                <w:bCs/>
              </w:rPr>
              <w:t>%</w:t>
            </w:r>
          </w:p>
          <w:p w14:paraId="5C4AAEB1" w14:textId="77777777" w:rsidR="009E3E87" w:rsidRPr="009378D7" w:rsidRDefault="009E3E87" w:rsidP="0016095F">
            <w:pPr>
              <w:jc w:val="center"/>
            </w:pPr>
            <w:r w:rsidRPr="009378D7">
              <w:rPr>
                <w:b/>
                <w:bCs/>
              </w:rPr>
              <w:t>(95% CI)</w:t>
            </w:r>
          </w:p>
          <w:p w14:paraId="381CABDF" w14:textId="77777777" w:rsidR="009E3E87" w:rsidRPr="009378D7" w:rsidRDefault="009E3E87" w:rsidP="0016095F">
            <w:pPr>
              <w:jc w:val="center"/>
            </w:pPr>
            <w:r w:rsidRPr="009378D7">
              <w:rPr>
                <w:b/>
                <w:bCs/>
              </w:rPr>
              <w:t>n</w:t>
            </w:r>
          </w:p>
        </w:tc>
        <w:tc>
          <w:tcPr>
            <w:tcW w:w="1383" w:type="dxa"/>
            <w:hideMark/>
          </w:tcPr>
          <w:p w14:paraId="3EFA4F3F" w14:textId="77777777" w:rsidR="009E3E87" w:rsidRPr="009378D7" w:rsidRDefault="009E3E87" w:rsidP="0016095F">
            <w:pPr>
              <w:jc w:val="center"/>
            </w:pPr>
            <w:r w:rsidRPr="009378D7">
              <w:rPr>
                <w:b/>
                <w:bCs/>
              </w:rPr>
              <w:t>%</w:t>
            </w:r>
          </w:p>
          <w:p w14:paraId="23BEF76F" w14:textId="77777777" w:rsidR="009E3E87" w:rsidRPr="009378D7" w:rsidRDefault="009E3E87" w:rsidP="0016095F">
            <w:pPr>
              <w:jc w:val="center"/>
            </w:pPr>
            <w:r w:rsidRPr="009378D7">
              <w:rPr>
                <w:b/>
                <w:bCs/>
              </w:rPr>
              <w:t>(95% CI)</w:t>
            </w:r>
          </w:p>
          <w:p w14:paraId="7027251A" w14:textId="77777777" w:rsidR="009E3E87" w:rsidRPr="009378D7" w:rsidRDefault="009E3E87" w:rsidP="0016095F">
            <w:pPr>
              <w:jc w:val="center"/>
            </w:pPr>
            <w:r w:rsidRPr="009378D7">
              <w:rPr>
                <w:b/>
                <w:bCs/>
              </w:rPr>
              <w:t>n</w:t>
            </w:r>
          </w:p>
        </w:tc>
        <w:tc>
          <w:tcPr>
            <w:tcW w:w="1383" w:type="dxa"/>
            <w:hideMark/>
          </w:tcPr>
          <w:p w14:paraId="28C75719" w14:textId="77777777" w:rsidR="009E3E87" w:rsidRPr="009378D7" w:rsidRDefault="009E3E87" w:rsidP="0016095F">
            <w:pPr>
              <w:jc w:val="center"/>
            </w:pPr>
            <w:r w:rsidRPr="009378D7">
              <w:rPr>
                <w:b/>
                <w:bCs/>
              </w:rPr>
              <w:t>%</w:t>
            </w:r>
          </w:p>
          <w:p w14:paraId="02652F48" w14:textId="77777777" w:rsidR="009E3E87" w:rsidRPr="009378D7" w:rsidRDefault="009E3E87" w:rsidP="0016095F">
            <w:pPr>
              <w:jc w:val="center"/>
            </w:pPr>
            <w:r w:rsidRPr="009378D7">
              <w:rPr>
                <w:b/>
                <w:bCs/>
              </w:rPr>
              <w:t>(95% CI)</w:t>
            </w:r>
          </w:p>
          <w:p w14:paraId="7ED37E6C" w14:textId="77777777" w:rsidR="009E3E87" w:rsidRPr="009378D7" w:rsidRDefault="009E3E87" w:rsidP="0016095F">
            <w:pPr>
              <w:jc w:val="center"/>
            </w:pPr>
            <w:r w:rsidRPr="009378D7">
              <w:rPr>
                <w:b/>
                <w:bCs/>
              </w:rPr>
              <w:t>n</w:t>
            </w:r>
          </w:p>
        </w:tc>
        <w:tc>
          <w:tcPr>
            <w:tcW w:w="1383" w:type="dxa"/>
            <w:hideMark/>
          </w:tcPr>
          <w:p w14:paraId="12A5E7F4" w14:textId="77777777" w:rsidR="009E3E87" w:rsidRPr="009378D7" w:rsidRDefault="009E3E87" w:rsidP="0016095F">
            <w:pPr>
              <w:jc w:val="center"/>
            </w:pPr>
            <w:r w:rsidRPr="009378D7">
              <w:rPr>
                <w:b/>
                <w:bCs/>
              </w:rPr>
              <w:t>%</w:t>
            </w:r>
          </w:p>
          <w:p w14:paraId="01C049A5" w14:textId="77777777" w:rsidR="009E3E87" w:rsidRPr="009378D7" w:rsidRDefault="009E3E87" w:rsidP="0016095F">
            <w:pPr>
              <w:jc w:val="center"/>
            </w:pPr>
            <w:r w:rsidRPr="009378D7">
              <w:rPr>
                <w:b/>
                <w:bCs/>
              </w:rPr>
              <w:t>(95% CI)</w:t>
            </w:r>
          </w:p>
          <w:p w14:paraId="48D5F5CA" w14:textId="77777777" w:rsidR="009E3E87" w:rsidRPr="009378D7" w:rsidRDefault="009E3E87" w:rsidP="0016095F">
            <w:pPr>
              <w:jc w:val="center"/>
            </w:pPr>
            <w:r w:rsidRPr="009378D7">
              <w:rPr>
                <w:b/>
                <w:bCs/>
              </w:rPr>
              <w:t>n</w:t>
            </w:r>
          </w:p>
        </w:tc>
      </w:tr>
      <w:tr w:rsidR="009378D7" w:rsidRPr="00991A6F" w14:paraId="4597BC45" w14:textId="77777777" w:rsidTr="388E5C6E">
        <w:trPr>
          <w:trHeight w:val="759"/>
        </w:trPr>
        <w:tc>
          <w:tcPr>
            <w:tcW w:w="2505" w:type="dxa"/>
            <w:hideMark/>
          </w:tcPr>
          <w:p w14:paraId="50FE95F8" w14:textId="77777777" w:rsidR="009378D7" w:rsidRPr="009378D7" w:rsidRDefault="009378D7" w:rsidP="009378D7">
            <w:r w:rsidRPr="009378D7">
              <w:rPr>
                <w:b/>
                <w:bCs/>
              </w:rPr>
              <w:t>Ever having sexual intercourse</w:t>
            </w:r>
          </w:p>
        </w:tc>
        <w:tc>
          <w:tcPr>
            <w:tcW w:w="1383" w:type="dxa"/>
            <w:vAlign w:val="center"/>
            <w:hideMark/>
          </w:tcPr>
          <w:p w14:paraId="3B4588B9"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38.1% </w:t>
            </w:r>
          </w:p>
          <w:p w14:paraId="759AF0C7"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(34.3–42.0)</w:t>
            </w:r>
          </w:p>
          <w:p w14:paraId="07ABE71B" w14:textId="5413FEBF" w:rsidR="009378D7" w:rsidRPr="00BC079B" w:rsidRDefault="009378D7" w:rsidP="009378D7">
            <w:pPr>
              <w:jc w:val="center"/>
              <w:rPr>
                <w:rFonts w:cstheme="minorHAnsi"/>
                <w:color w:val="FF0000"/>
                <w:sz w:val="22"/>
              </w:rPr>
            </w:pPr>
            <w:r w:rsidRPr="00BC079B">
              <w:rPr>
                <w:rFonts w:cstheme="minorHAnsi"/>
                <w:color w:val="000000"/>
                <w:kern w:val="24"/>
                <w:sz w:val="22"/>
              </w:rPr>
              <w:t>2,516</w:t>
            </w:r>
          </w:p>
        </w:tc>
        <w:tc>
          <w:tcPr>
            <w:tcW w:w="1383" w:type="dxa"/>
            <w:vAlign w:val="center"/>
            <w:hideMark/>
          </w:tcPr>
          <w:p w14:paraId="6D6576EC"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36.4% </w:t>
            </w:r>
          </w:p>
          <w:p w14:paraId="68903FD5"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(32.4–40.6)</w:t>
            </w:r>
          </w:p>
          <w:p w14:paraId="5F8C5609" w14:textId="00EDB137" w:rsidR="009378D7" w:rsidRPr="00BC079B" w:rsidRDefault="009378D7" w:rsidP="009378D7">
            <w:pPr>
              <w:jc w:val="center"/>
              <w:rPr>
                <w:rFonts w:cstheme="minorHAnsi"/>
                <w:color w:val="FF0000"/>
                <w:sz w:val="22"/>
              </w:rPr>
            </w:pPr>
            <w:r w:rsidRPr="00BC079B">
              <w:rPr>
                <w:rFonts w:cstheme="minorHAnsi"/>
                <w:color w:val="000000"/>
                <w:kern w:val="24"/>
                <w:sz w:val="22"/>
              </w:rPr>
              <w:t>2,779</w:t>
            </w:r>
          </w:p>
        </w:tc>
        <w:tc>
          <w:tcPr>
            <w:tcW w:w="1383" w:type="dxa"/>
            <w:vAlign w:val="center"/>
            <w:hideMark/>
          </w:tcPr>
          <w:p w14:paraId="50689BB9"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35.3% </w:t>
            </w:r>
          </w:p>
          <w:p w14:paraId="582AE87D"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(31.8–39.1)</w:t>
            </w:r>
          </w:p>
          <w:p w14:paraId="0C2CDF0C" w14:textId="0125ECEA" w:rsidR="009378D7" w:rsidRPr="00BC079B" w:rsidRDefault="009378D7" w:rsidP="009378D7">
            <w:pPr>
              <w:jc w:val="center"/>
              <w:rPr>
                <w:rFonts w:cstheme="minorHAnsi"/>
                <w:color w:val="FF0000"/>
                <w:sz w:val="22"/>
              </w:rPr>
            </w:pPr>
            <w:r w:rsidRPr="00BC079B">
              <w:rPr>
                <w:rFonts w:cstheme="minorHAnsi"/>
                <w:color w:val="000000"/>
                <w:kern w:val="24"/>
                <w:sz w:val="22"/>
              </w:rPr>
              <w:t>2,889</w:t>
            </w:r>
          </w:p>
        </w:tc>
        <w:tc>
          <w:tcPr>
            <w:tcW w:w="1383" w:type="dxa"/>
            <w:vAlign w:val="center"/>
            <w:hideMark/>
          </w:tcPr>
          <w:p w14:paraId="0B23F747"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36.9% </w:t>
            </w:r>
          </w:p>
          <w:p w14:paraId="7DD213BA"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(32.8–41.3)</w:t>
            </w:r>
          </w:p>
          <w:p w14:paraId="1E7503B7" w14:textId="7F4BC036" w:rsidR="009378D7" w:rsidRPr="00BC079B" w:rsidRDefault="009378D7" w:rsidP="009378D7">
            <w:pPr>
              <w:jc w:val="center"/>
              <w:rPr>
                <w:rFonts w:cstheme="minorHAnsi"/>
                <w:color w:val="FF0000"/>
                <w:sz w:val="22"/>
              </w:rPr>
            </w:pPr>
            <w:r w:rsidRPr="00BC079B">
              <w:rPr>
                <w:rFonts w:cstheme="minorHAnsi"/>
                <w:color w:val="000000"/>
                <w:kern w:val="24"/>
                <w:sz w:val="22"/>
              </w:rPr>
              <w:t>1,946</w:t>
            </w:r>
          </w:p>
        </w:tc>
        <w:tc>
          <w:tcPr>
            <w:tcW w:w="1383" w:type="dxa"/>
            <w:vAlign w:val="center"/>
            <w:hideMark/>
          </w:tcPr>
          <w:p w14:paraId="0B3D3144" w14:textId="723AF54A" w:rsidR="009378D7" w:rsidRPr="00BC079B" w:rsidRDefault="009378D7" w:rsidP="009378D7">
            <w:pPr>
              <w:jc w:val="center"/>
              <w:rPr>
                <w:rFonts w:cstheme="minorHAnsi"/>
                <w:color w:val="FF0000"/>
                <w:sz w:val="22"/>
              </w:rPr>
            </w:pPr>
            <w:r w:rsidRPr="388E5C6E">
              <w:rPr>
                <w:color w:val="000000" w:themeColor="text1"/>
                <w:kern w:val="24"/>
                <w:sz w:val="22"/>
              </w:rPr>
              <w:t>NA</w:t>
            </w:r>
            <w:r w:rsidRPr="388E5C6E">
              <w:rPr>
                <w:rStyle w:val="FootnoteReference"/>
                <w:color w:val="000000" w:themeColor="text1"/>
                <w:kern w:val="24"/>
                <w:sz w:val="22"/>
              </w:rPr>
              <w:footnoteReference w:id="100"/>
            </w:r>
          </w:p>
        </w:tc>
      </w:tr>
      <w:tr w:rsidR="009378D7" w:rsidRPr="00991A6F" w14:paraId="126844C5" w14:textId="77777777" w:rsidTr="388E5C6E">
        <w:trPr>
          <w:trHeight w:val="759"/>
        </w:trPr>
        <w:tc>
          <w:tcPr>
            <w:tcW w:w="2505" w:type="dxa"/>
            <w:hideMark/>
          </w:tcPr>
          <w:p w14:paraId="691E703E" w14:textId="77777777" w:rsidR="009378D7" w:rsidRPr="009378D7" w:rsidRDefault="009378D7" w:rsidP="009378D7">
            <w:r w:rsidRPr="009378D7">
              <w:rPr>
                <w:b/>
                <w:bCs/>
              </w:rPr>
              <w:t>Having sexual intercourse before age 13</w:t>
            </w:r>
          </w:p>
        </w:tc>
        <w:tc>
          <w:tcPr>
            <w:tcW w:w="1383" w:type="dxa"/>
            <w:vAlign w:val="center"/>
            <w:hideMark/>
          </w:tcPr>
          <w:p w14:paraId="41DE358D"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3.0% </w:t>
            </w:r>
          </w:p>
          <w:p w14:paraId="04B93FF6"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(2.4–3.8)</w:t>
            </w:r>
          </w:p>
          <w:p w14:paraId="5B31F9DD" w14:textId="51D77CC2" w:rsidR="009378D7" w:rsidRPr="00BC079B" w:rsidRDefault="009378D7" w:rsidP="009378D7">
            <w:pPr>
              <w:jc w:val="center"/>
              <w:rPr>
                <w:rFonts w:cstheme="minorHAnsi"/>
                <w:color w:val="FF0000"/>
                <w:sz w:val="22"/>
              </w:rPr>
            </w:pPr>
            <w:r w:rsidRPr="00BC079B">
              <w:rPr>
                <w:rFonts w:cstheme="minorHAnsi"/>
                <w:color w:val="000000"/>
                <w:kern w:val="24"/>
                <w:sz w:val="22"/>
              </w:rPr>
              <w:t>2,506</w:t>
            </w:r>
          </w:p>
        </w:tc>
        <w:tc>
          <w:tcPr>
            <w:tcW w:w="1383" w:type="dxa"/>
            <w:vAlign w:val="center"/>
            <w:hideMark/>
          </w:tcPr>
          <w:p w14:paraId="11683276"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2.9% </w:t>
            </w:r>
          </w:p>
          <w:p w14:paraId="656486F2"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(2.2–3.8)</w:t>
            </w:r>
          </w:p>
          <w:p w14:paraId="391EE0CD" w14:textId="5C99E6F3" w:rsidR="009378D7" w:rsidRPr="00BC079B" w:rsidRDefault="009378D7" w:rsidP="009378D7">
            <w:pPr>
              <w:jc w:val="center"/>
              <w:rPr>
                <w:rFonts w:cstheme="minorHAnsi"/>
                <w:color w:val="FF0000"/>
                <w:sz w:val="22"/>
              </w:rPr>
            </w:pPr>
            <w:r w:rsidRPr="00BC079B">
              <w:rPr>
                <w:rFonts w:cstheme="minorHAnsi"/>
                <w:color w:val="000000"/>
                <w:kern w:val="24"/>
                <w:sz w:val="22"/>
              </w:rPr>
              <w:t>2,793</w:t>
            </w:r>
          </w:p>
        </w:tc>
        <w:tc>
          <w:tcPr>
            <w:tcW w:w="1383" w:type="dxa"/>
            <w:vAlign w:val="center"/>
            <w:hideMark/>
          </w:tcPr>
          <w:p w14:paraId="3DDA2AB8"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2.4% </w:t>
            </w:r>
          </w:p>
          <w:p w14:paraId="75A5B7F9"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(1.6–3.4)</w:t>
            </w:r>
          </w:p>
          <w:p w14:paraId="240915C4" w14:textId="718FB135" w:rsidR="009378D7" w:rsidRPr="00BC079B" w:rsidRDefault="009378D7" w:rsidP="009378D7">
            <w:pPr>
              <w:jc w:val="center"/>
              <w:rPr>
                <w:rFonts w:cstheme="minorHAnsi"/>
                <w:color w:val="FF0000"/>
                <w:sz w:val="22"/>
              </w:rPr>
            </w:pPr>
            <w:r w:rsidRPr="00BC079B">
              <w:rPr>
                <w:rFonts w:cstheme="minorHAnsi"/>
                <w:color w:val="000000"/>
                <w:kern w:val="24"/>
                <w:sz w:val="22"/>
              </w:rPr>
              <w:t>2,886</w:t>
            </w:r>
          </w:p>
        </w:tc>
        <w:tc>
          <w:tcPr>
            <w:tcW w:w="1383" w:type="dxa"/>
            <w:vAlign w:val="center"/>
            <w:hideMark/>
          </w:tcPr>
          <w:p w14:paraId="5A1BF5FA"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2.5% </w:t>
            </w:r>
          </w:p>
          <w:p w14:paraId="7DB859F9"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(1.7–3.4)</w:t>
            </w:r>
          </w:p>
          <w:p w14:paraId="427D58CB" w14:textId="2460A3B7" w:rsidR="009378D7" w:rsidRPr="00BC079B" w:rsidRDefault="009378D7" w:rsidP="009378D7">
            <w:pPr>
              <w:jc w:val="center"/>
              <w:rPr>
                <w:rFonts w:cstheme="minorHAnsi"/>
                <w:color w:val="FF0000"/>
                <w:sz w:val="22"/>
              </w:rPr>
            </w:pPr>
            <w:r w:rsidRPr="00BC079B">
              <w:rPr>
                <w:rFonts w:cstheme="minorHAnsi"/>
                <w:color w:val="000000"/>
                <w:kern w:val="24"/>
                <w:sz w:val="22"/>
              </w:rPr>
              <w:t>1,951</w:t>
            </w:r>
          </w:p>
        </w:tc>
        <w:tc>
          <w:tcPr>
            <w:tcW w:w="1383" w:type="dxa"/>
            <w:vAlign w:val="center"/>
            <w:hideMark/>
          </w:tcPr>
          <w:p w14:paraId="72F78247"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themeColor="text1"/>
                <w:kern w:val="24"/>
                <w:sz w:val="22"/>
                <w:szCs w:val="22"/>
              </w:rPr>
              <w:t>2.7% </w:t>
            </w:r>
          </w:p>
          <w:p w14:paraId="1C4DC486"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themeColor="text1"/>
                <w:kern w:val="24"/>
                <w:sz w:val="22"/>
                <w:szCs w:val="22"/>
              </w:rPr>
              <w:t>(2.1–3.3)</w:t>
            </w:r>
          </w:p>
          <w:p w14:paraId="5AFC0C14" w14:textId="6E78FD5A" w:rsidR="009378D7" w:rsidRPr="00BC079B" w:rsidRDefault="009378D7" w:rsidP="009378D7">
            <w:pPr>
              <w:jc w:val="center"/>
              <w:rPr>
                <w:rFonts w:cstheme="minorHAnsi"/>
                <w:color w:val="FF0000"/>
                <w:sz w:val="22"/>
              </w:rPr>
            </w:pPr>
            <w:r w:rsidRPr="00BC079B">
              <w:rPr>
                <w:rFonts w:cstheme="minorHAnsi"/>
                <w:color w:val="000000" w:themeColor="text1"/>
                <w:kern w:val="24"/>
                <w:sz w:val="22"/>
              </w:rPr>
              <w:t>2,897</w:t>
            </w:r>
          </w:p>
        </w:tc>
      </w:tr>
      <w:tr w:rsidR="009378D7" w:rsidRPr="00991A6F" w14:paraId="00D1F3A3" w14:textId="77777777" w:rsidTr="388E5C6E">
        <w:trPr>
          <w:trHeight w:val="759"/>
        </w:trPr>
        <w:tc>
          <w:tcPr>
            <w:tcW w:w="2505" w:type="dxa"/>
            <w:hideMark/>
          </w:tcPr>
          <w:p w14:paraId="4522E374" w14:textId="77777777" w:rsidR="009378D7" w:rsidRPr="009378D7" w:rsidRDefault="009378D7" w:rsidP="009378D7">
            <w:r w:rsidRPr="009378D7">
              <w:rPr>
                <w:b/>
                <w:bCs/>
              </w:rPr>
              <w:t xml:space="preserve">Having had sexual intercourse with 4+ partners during their life </w:t>
            </w:r>
          </w:p>
        </w:tc>
        <w:tc>
          <w:tcPr>
            <w:tcW w:w="1383" w:type="dxa"/>
            <w:vAlign w:val="center"/>
            <w:hideMark/>
          </w:tcPr>
          <w:p w14:paraId="333AAEAF"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9.3% </w:t>
            </w:r>
          </w:p>
          <w:p w14:paraId="6D4C2B5D"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(8.0–10.8)</w:t>
            </w:r>
          </w:p>
          <w:p w14:paraId="36F55ADD" w14:textId="1E288D0B" w:rsidR="009378D7" w:rsidRPr="00BC079B" w:rsidRDefault="009378D7" w:rsidP="009378D7">
            <w:pPr>
              <w:jc w:val="center"/>
              <w:rPr>
                <w:rFonts w:cstheme="minorHAnsi"/>
                <w:color w:val="FF0000"/>
                <w:sz w:val="22"/>
              </w:rPr>
            </w:pPr>
            <w:r w:rsidRPr="00BC079B">
              <w:rPr>
                <w:rFonts w:cstheme="minorHAnsi"/>
                <w:color w:val="000000"/>
                <w:kern w:val="24"/>
                <w:sz w:val="22"/>
              </w:rPr>
              <w:t>2,508</w:t>
            </w:r>
          </w:p>
        </w:tc>
        <w:tc>
          <w:tcPr>
            <w:tcW w:w="1383" w:type="dxa"/>
            <w:vAlign w:val="center"/>
            <w:hideMark/>
          </w:tcPr>
          <w:p w14:paraId="61DCB93B"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7.9% </w:t>
            </w:r>
          </w:p>
          <w:p w14:paraId="6BBAF328"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(6.2–10.0)</w:t>
            </w:r>
          </w:p>
          <w:p w14:paraId="2D2C0AB3" w14:textId="7E0F46DB" w:rsidR="009378D7" w:rsidRPr="00BC079B" w:rsidRDefault="009378D7" w:rsidP="009378D7">
            <w:pPr>
              <w:jc w:val="center"/>
              <w:rPr>
                <w:rFonts w:cstheme="minorHAnsi"/>
                <w:color w:val="FF0000"/>
                <w:sz w:val="22"/>
              </w:rPr>
            </w:pPr>
            <w:r w:rsidRPr="00BC079B">
              <w:rPr>
                <w:rFonts w:cstheme="minorHAnsi"/>
                <w:color w:val="000000"/>
                <w:kern w:val="24"/>
                <w:sz w:val="22"/>
              </w:rPr>
              <w:t>2,781</w:t>
            </w:r>
          </w:p>
        </w:tc>
        <w:tc>
          <w:tcPr>
            <w:tcW w:w="1383" w:type="dxa"/>
            <w:vAlign w:val="center"/>
            <w:hideMark/>
          </w:tcPr>
          <w:p w14:paraId="3FB80DA9"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 6.7% </w:t>
            </w:r>
          </w:p>
          <w:p w14:paraId="12F0DEF8"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(5.4–8.2)</w:t>
            </w:r>
          </w:p>
          <w:p w14:paraId="3055FE9A" w14:textId="3DA68A04" w:rsidR="009378D7" w:rsidRPr="00BC079B" w:rsidRDefault="009378D7" w:rsidP="009378D7">
            <w:pPr>
              <w:jc w:val="center"/>
              <w:rPr>
                <w:rFonts w:cstheme="minorHAnsi"/>
                <w:color w:val="FF0000"/>
                <w:sz w:val="22"/>
              </w:rPr>
            </w:pPr>
            <w:r w:rsidRPr="00BC079B">
              <w:rPr>
                <w:rFonts w:cstheme="minorHAnsi"/>
                <w:color w:val="000000"/>
                <w:kern w:val="24"/>
                <w:sz w:val="22"/>
              </w:rPr>
              <w:t>2,886</w:t>
            </w:r>
          </w:p>
        </w:tc>
        <w:tc>
          <w:tcPr>
            <w:tcW w:w="1383" w:type="dxa"/>
            <w:vAlign w:val="center"/>
            <w:hideMark/>
          </w:tcPr>
          <w:p w14:paraId="3C4A371B"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 7.8% </w:t>
            </w:r>
          </w:p>
          <w:p w14:paraId="0630CEE5"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(6.3–9.5)</w:t>
            </w:r>
          </w:p>
          <w:p w14:paraId="37299AE5" w14:textId="197DD0A1" w:rsidR="009378D7" w:rsidRPr="00BC079B" w:rsidRDefault="009378D7" w:rsidP="009378D7">
            <w:pPr>
              <w:jc w:val="center"/>
              <w:rPr>
                <w:rFonts w:cstheme="minorHAnsi"/>
                <w:color w:val="FF0000"/>
                <w:sz w:val="22"/>
              </w:rPr>
            </w:pPr>
            <w:r w:rsidRPr="00BC079B">
              <w:rPr>
                <w:rFonts w:cstheme="minorHAnsi"/>
                <w:color w:val="000000"/>
                <w:kern w:val="24"/>
                <w:sz w:val="22"/>
              </w:rPr>
              <w:t>1,938</w:t>
            </w:r>
          </w:p>
        </w:tc>
        <w:tc>
          <w:tcPr>
            <w:tcW w:w="1383" w:type="dxa"/>
            <w:vAlign w:val="center"/>
            <w:hideMark/>
          </w:tcPr>
          <w:p w14:paraId="07CF0ECA"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themeColor="text1"/>
                <w:kern w:val="24"/>
                <w:sz w:val="22"/>
                <w:szCs w:val="22"/>
              </w:rPr>
              <w:t> 4.3% </w:t>
            </w:r>
          </w:p>
          <w:p w14:paraId="2D771DC5"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themeColor="text1"/>
                <w:kern w:val="24"/>
                <w:sz w:val="22"/>
                <w:szCs w:val="22"/>
              </w:rPr>
              <w:t>(3.4–5.3)</w:t>
            </w:r>
          </w:p>
          <w:p w14:paraId="6359A313" w14:textId="4DBDE5DB" w:rsidR="009378D7" w:rsidRPr="00BC079B" w:rsidRDefault="009378D7" w:rsidP="009378D7">
            <w:pPr>
              <w:jc w:val="center"/>
              <w:rPr>
                <w:rFonts w:cstheme="minorHAnsi"/>
                <w:color w:val="FF0000"/>
                <w:sz w:val="22"/>
              </w:rPr>
            </w:pPr>
            <w:r w:rsidRPr="00BC079B">
              <w:rPr>
                <w:rFonts w:cstheme="minorHAnsi"/>
                <w:color w:val="000000" w:themeColor="text1"/>
                <w:kern w:val="24"/>
                <w:sz w:val="22"/>
              </w:rPr>
              <w:t>2,883</w:t>
            </w:r>
          </w:p>
        </w:tc>
      </w:tr>
      <w:tr w:rsidR="009378D7" w:rsidRPr="00991A6F" w14:paraId="3F8FB3F4" w14:textId="77777777" w:rsidTr="388E5C6E">
        <w:trPr>
          <w:trHeight w:val="759"/>
        </w:trPr>
        <w:tc>
          <w:tcPr>
            <w:tcW w:w="2505" w:type="dxa"/>
            <w:hideMark/>
          </w:tcPr>
          <w:p w14:paraId="117C5EA1" w14:textId="77777777" w:rsidR="009378D7" w:rsidRPr="009378D7" w:rsidRDefault="009378D7" w:rsidP="009378D7">
            <w:r w:rsidRPr="009378D7">
              <w:rPr>
                <w:b/>
                <w:bCs/>
              </w:rPr>
              <w:t>Using a condom at last sexual intercourse</w:t>
            </w:r>
            <w:r w:rsidRPr="009378D7">
              <w:rPr>
                <w:rStyle w:val="FootnoteReference"/>
                <w:b/>
                <w:bCs/>
              </w:rPr>
              <w:footnoteReference w:id="101"/>
            </w:r>
          </w:p>
        </w:tc>
        <w:tc>
          <w:tcPr>
            <w:tcW w:w="1383" w:type="dxa"/>
            <w:vAlign w:val="center"/>
            <w:hideMark/>
          </w:tcPr>
          <w:p w14:paraId="5CC2BE3F"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57.6% </w:t>
            </w:r>
          </w:p>
          <w:p w14:paraId="36095EBD"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 xml:space="preserve">(52.9–62.2) </w:t>
            </w:r>
          </w:p>
          <w:p w14:paraId="1427DDB6" w14:textId="2084490F" w:rsidR="009378D7" w:rsidRPr="00BC079B" w:rsidRDefault="009378D7" w:rsidP="009378D7">
            <w:pPr>
              <w:jc w:val="center"/>
              <w:rPr>
                <w:rFonts w:cstheme="minorHAnsi"/>
                <w:color w:val="FF0000"/>
                <w:sz w:val="22"/>
              </w:rPr>
            </w:pPr>
            <w:r w:rsidRPr="00BC079B">
              <w:rPr>
                <w:rFonts w:cstheme="minorHAnsi"/>
                <w:color w:val="000000"/>
                <w:kern w:val="24"/>
                <w:sz w:val="22"/>
              </w:rPr>
              <w:t>667</w:t>
            </w:r>
          </w:p>
        </w:tc>
        <w:tc>
          <w:tcPr>
            <w:tcW w:w="1383" w:type="dxa"/>
            <w:vAlign w:val="center"/>
            <w:hideMark/>
          </w:tcPr>
          <w:p w14:paraId="5579B526"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62.5% </w:t>
            </w:r>
          </w:p>
          <w:p w14:paraId="39275E8D"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(58.9–65.9)</w:t>
            </w:r>
          </w:p>
          <w:p w14:paraId="6E767115" w14:textId="366328B5" w:rsidR="009378D7" w:rsidRPr="00BC079B" w:rsidRDefault="009378D7" w:rsidP="009378D7">
            <w:pPr>
              <w:jc w:val="center"/>
              <w:rPr>
                <w:rFonts w:cstheme="minorHAnsi"/>
                <w:color w:val="FF0000"/>
                <w:sz w:val="22"/>
              </w:rPr>
            </w:pPr>
            <w:r w:rsidRPr="00BC079B">
              <w:rPr>
                <w:rFonts w:cstheme="minorHAnsi"/>
                <w:color w:val="000000"/>
                <w:kern w:val="24"/>
                <w:sz w:val="22"/>
              </w:rPr>
              <w:t>766</w:t>
            </w:r>
          </w:p>
        </w:tc>
        <w:tc>
          <w:tcPr>
            <w:tcW w:w="1383" w:type="dxa"/>
            <w:vAlign w:val="center"/>
            <w:hideMark/>
          </w:tcPr>
          <w:p w14:paraId="24108349"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57.8% </w:t>
            </w:r>
          </w:p>
          <w:p w14:paraId="28895599"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(53.1–62.3)</w:t>
            </w:r>
          </w:p>
          <w:p w14:paraId="4458D839" w14:textId="37A58C66" w:rsidR="009378D7" w:rsidRPr="00BC079B" w:rsidRDefault="009378D7" w:rsidP="009378D7">
            <w:pPr>
              <w:jc w:val="center"/>
              <w:rPr>
                <w:rFonts w:cstheme="minorHAnsi"/>
                <w:color w:val="FF0000"/>
                <w:sz w:val="22"/>
              </w:rPr>
            </w:pPr>
            <w:r w:rsidRPr="00BC079B">
              <w:rPr>
                <w:rFonts w:cstheme="minorHAnsi"/>
                <w:color w:val="000000"/>
                <w:kern w:val="24"/>
                <w:sz w:val="22"/>
              </w:rPr>
              <w:t>719</w:t>
            </w:r>
          </w:p>
        </w:tc>
        <w:tc>
          <w:tcPr>
            <w:tcW w:w="1383" w:type="dxa"/>
            <w:vAlign w:val="center"/>
            <w:hideMark/>
          </w:tcPr>
          <w:p w14:paraId="7DF2D28F"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51.4% </w:t>
            </w:r>
          </w:p>
          <w:p w14:paraId="6784B9DF"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(45.3–57.4)</w:t>
            </w:r>
          </w:p>
          <w:p w14:paraId="5A6FD401" w14:textId="69DB9F03" w:rsidR="009378D7" w:rsidRPr="00BC079B" w:rsidRDefault="009378D7" w:rsidP="009378D7">
            <w:pPr>
              <w:jc w:val="center"/>
              <w:rPr>
                <w:rFonts w:cstheme="minorHAnsi"/>
                <w:color w:val="FF0000"/>
                <w:sz w:val="22"/>
              </w:rPr>
            </w:pPr>
            <w:r w:rsidRPr="00BC079B">
              <w:rPr>
                <w:rFonts w:cstheme="minorHAnsi"/>
                <w:color w:val="000000"/>
                <w:kern w:val="24"/>
                <w:sz w:val="22"/>
              </w:rPr>
              <w:t>427</w:t>
            </w:r>
          </w:p>
        </w:tc>
        <w:tc>
          <w:tcPr>
            <w:tcW w:w="1383" w:type="dxa"/>
            <w:vAlign w:val="center"/>
            <w:hideMark/>
          </w:tcPr>
          <w:p w14:paraId="503054CE"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themeColor="text1"/>
                <w:kern w:val="24"/>
                <w:sz w:val="22"/>
                <w:szCs w:val="22"/>
              </w:rPr>
              <w:t>58.0% </w:t>
            </w:r>
          </w:p>
          <w:p w14:paraId="6932516E"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themeColor="text1"/>
                <w:kern w:val="24"/>
                <w:sz w:val="22"/>
                <w:szCs w:val="22"/>
              </w:rPr>
              <w:t>(52.8–63.3)</w:t>
            </w:r>
          </w:p>
          <w:p w14:paraId="3FD73EC4" w14:textId="4A6AC6B2" w:rsidR="009378D7" w:rsidRPr="00BC079B" w:rsidRDefault="009378D7" w:rsidP="009378D7">
            <w:pPr>
              <w:jc w:val="center"/>
              <w:rPr>
                <w:rFonts w:cstheme="minorHAnsi"/>
                <w:color w:val="FF0000"/>
                <w:sz w:val="22"/>
              </w:rPr>
            </w:pPr>
            <w:r w:rsidRPr="00BC079B">
              <w:rPr>
                <w:rFonts w:cstheme="minorHAnsi"/>
                <w:color w:val="000000" w:themeColor="text1"/>
                <w:kern w:val="24"/>
                <w:sz w:val="22"/>
              </w:rPr>
              <w:t>468</w:t>
            </w:r>
          </w:p>
        </w:tc>
      </w:tr>
      <w:tr w:rsidR="009378D7" w:rsidRPr="00991A6F" w14:paraId="7F729984" w14:textId="77777777" w:rsidTr="388E5C6E">
        <w:trPr>
          <w:trHeight w:val="759"/>
        </w:trPr>
        <w:tc>
          <w:tcPr>
            <w:tcW w:w="2505" w:type="dxa"/>
            <w:hideMark/>
          </w:tcPr>
          <w:p w14:paraId="06F76DD0" w14:textId="77777777" w:rsidR="009378D7" w:rsidRPr="009378D7" w:rsidRDefault="009378D7" w:rsidP="009378D7">
            <w:r w:rsidRPr="009378D7">
              <w:rPr>
                <w:b/>
                <w:bCs/>
              </w:rPr>
              <w:t>Drinking alcohol or using drugs before last sexual intercourse</w:t>
            </w:r>
            <w:r w:rsidRPr="009378D7">
              <w:rPr>
                <w:rStyle w:val="FootnoteReference"/>
                <w:b/>
                <w:bCs/>
              </w:rPr>
              <w:footnoteReference w:id="102"/>
            </w:r>
          </w:p>
        </w:tc>
        <w:tc>
          <w:tcPr>
            <w:tcW w:w="1383" w:type="dxa"/>
            <w:vAlign w:val="center"/>
            <w:hideMark/>
          </w:tcPr>
          <w:p w14:paraId="53B95B25"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23.5% </w:t>
            </w:r>
          </w:p>
          <w:p w14:paraId="08EA7C3A"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(19.9–27.5)</w:t>
            </w:r>
          </w:p>
          <w:p w14:paraId="74703110" w14:textId="26AC721F" w:rsidR="009378D7" w:rsidRPr="00BC079B" w:rsidRDefault="009378D7" w:rsidP="009378D7">
            <w:pPr>
              <w:jc w:val="center"/>
              <w:rPr>
                <w:rFonts w:cstheme="minorHAnsi"/>
                <w:color w:val="FF0000"/>
                <w:sz w:val="22"/>
              </w:rPr>
            </w:pPr>
            <w:r w:rsidRPr="00BC079B">
              <w:rPr>
                <w:rFonts w:cstheme="minorHAnsi"/>
                <w:color w:val="000000"/>
                <w:kern w:val="24"/>
                <w:sz w:val="22"/>
              </w:rPr>
              <w:t>679</w:t>
            </w:r>
          </w:p>
        </w:tc>
        <w:tc>
          <w:tcPr>
            <w:tcW w:w="1383" w:type="dxa"/>
            <w:vAlign w:val="center"/>
            <w:hideMark/>
          </w:tcPr>
          <w:p w14:paraId="428AF680"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21.8% </w:t>
            </w:r>
          </w:p>
          <w:p w14:paraId="681F6297"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(18.1–26.0)</w:t>
            </w:r>
          </w:p>
          <w:p w14:paraId="3E688F73" w14:textId="17162FBF" w:rsidR="009378D7" w:rsidRPr="00BC079B" w:rsidRDefault="009378D7" w:rsidP="009378D7">
            <w:pPr>
              <w:jc w:val="center"/>
              <w:rPr>
                <w:rFonts w:cstheme="minorHAnsi"/>
                <w:color w:val="FF0000"/>
                <w:sz w:val="22"/>
              </w:rPr>
            </w:pPr>
            <w:r w:rsidRPr="00BC079B">
              <w:rPr>
                <w:rFonts w:cstheme="minorHAnsi"/>
                <w:color w:val="000000"/>
                <w:kern w:val="24"/>
                <w:sz w:val="22"/>
              </w:rPr>
              <w:t>782</w:t>
            </w:r>
          </w:p>
        </w:tc>
        <w:tc>
          <w:tcPr>
            <w:tcW w:w="1383" w:type="dxa"/>
            <w:vAlign w:val="center"/>
            <w:hideMark/>
          </w:tcPr>
          <w:p w14:paraId="2F8B892A"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18.2% </w:t>
            </w:r>
          </w:p>
          <w:p w14:paraId="1719CC47"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(15.8–21.0)</w:t>
            </w:r>
          </w:p>
          <w:p w14:paraId="51CFBCB7" w14:textId="53BE863A" w:rsidR="009378D7" w:rsidRPr="00BC079B" w:rsidRDefault="009378D7" w:rsidP="009378D7">
            <w:pPr>
              <w:jc w:val="center"/>
              <w:rPr>
                <w:rFonts w:cstheme="minorHAnsi"/>
                <w:color w:val="FF0000"/>
                <w:sz w:val="22"/>
              </w:rPr>
            </w:pPr>
            <w:r w:rsidRPr="00BC079B">
              <w:rPr>
                <w:rFonts w:cstheme="minorHAnsi"/>
                <w:color w:val="000000"/>
                <w:kern w:val="24"/>
                <w:sz w:val="22"/>
              </w:rPr>
              <w:t>631</w:t>
            </w:r>
          </w:p>
        </w:tc>
        <w:tc>
          <w:tcPr>
            <w:tcW w:w="1383" w:type="dxa"/>
            <w:vAlign w:val="center"/>
            <w:hideMark/>
          </w:tcPr>
          <w:p w14:paraId="0688A564"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23.4% </w:t>
            </w:r>
          </w:p>
          <w:p w14:paraId="433DA73F"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kern w:val="24"/>
                <w:sz w:val="22"/>
                <w:szCs w:val="22"/>
              </w:rPr>
              <w:t>(19.5–27.9)</w:t>
            </w:r>
          </w:p>
          <w:p w14:paraId="7ACDF11D" w14:textId="2F460563" w:rsidR="009378D7" w:rsidRPr="00BC079B" w:rsidRDefault="009378D7" w:rsidP="009378D7">
            <w:pPr>
              <w:jc w:val="center"/>
              <w:rPr>
                <w:rFonts w:cstheme="minorHAnsi"/>
                <w:color w:val="FF0000"/>
                <w:sz w:val="22"/>
              </w:rPr>
            </w:pPr>
            <w:r w:rsidRPr="00BC079B">
              <w:rPr>
                <w:rFonts w:cstheme="minorHAnsi"/>
                <w:color w:val="000000"/>
                <w:kern w:val="24"/>
                <w:sz w:val="22"/>
              </w:rPr>
              <w:t>434</w:t>
            </w:r>
          </w:p>
        </w:tc>
        <w:tc>
          <w:tcPr>
            <w:tcW w:w="1383" w:type="dxa"/>
            <w:vAlign w:val="center"/>
            <w:hideMark/>
          </w:tcPr>
          <w:p w14:paraId="196F4110"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themeColor="text1"/>
                <w:kern w:val="24"/>
                <w:sz w:val="22"/>
                <w:szCs w:val="22"/>
              </w:rPr>
              <w:t>20.7% </w:t>
            </w:r>
          </w:p>
          <w:p w14:paraId="5C1FD29C"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hAnsiTheme="minorHAnsi" w:cstheme="minorHAnsi"/>
                <w:color w:val="000000" w:themeColor="text1"/>
                <w:kern w:val="24"/>
                <w:sz w:val="22"/>
                <w:szCs w:val="22"/>
              </w:rPr>
              <w:t>(17.6–23.7)</w:t>
            </w:r>
          </w:p>
          <w:p w14:paraId="56471161" w14:textId="4BDF95AB" w:rsidR="009378D7" w:rsidRPr="00BC079B" w:rsidRDefault="009378D7" w:rsidP="009378D7">
            <w:pPr>
              <w:jc w:val="center"/>
              <w:rPr>
                <w:rFonts w:cstheme="minorHAnsi"/>
                <w:color w:val="FF0000"/>
                <w:sz w:val="22"/>
              </w:rPr>
            </w:pPr>
            <w:r w:rsidRPr="00BC079B">
              <w:rPr>
                <w:rFonts w:cstheme="minorHAnsi"/>
                <w:color w:val="000000" w:themeColor="text1"/>
                <w:kern w:val="24"/>
                <w:sz w:val="22"/>
              </w:rPr>
              <w:t>432</w:t>
            </w:r>
          </w:p>
        </w:tc>
      </w:tr>
      <w:tr w:rsidR="009378D7" w:rsidRPr="00991A6F" w14:paraId="180EAE95" w14:textId="77777777" w:rsidTr="388E5C6E">
        <w:trPr>
          <w:trHeight w:val="552"/>
        </w:trPr>
        <w:tc>
          <w:tcPr>
            <w:tcW w:w="2505" w:type="dxa"/>
            <w:hideMark/>
          </w:tcPr>
          <w:p w14:paraId="6A7850A4" w14:textId="77777777" w:rsidR="009378D7" w:rsidRPr="009378D7" w:rsidRDefault="009378D7" w:rsidP="009378D7">
            <w:r w:rsidRPr="009378D7">
              <w:rPr>
                <w:b/>
                <w:bCs/>
              </w:rPr>
              <w:t>Ever tested for HIV</w:t>
            </w:r>
          </w:p>
        </w:tc>
        <w:tc>
          <w:tcPr>
            <w:tcW w:w="1383" w:type="dxa"/>
            <w:vAlign w:val="center"/>
            <w:hideMark/>
          </w:tcPr>
          <w:p w14:paraId="7EE207B0"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eastAsiaTheme="minorEastAsia" w:hAnsiTheme="minorHAnsi" w:cstheme="minorHAnsi"/>
                <w:color w:val="000000"/>
                <w:kern w:val="24"/>
                <w:sz w:val="22"/>
                <w:szCs w:val="22"/>
              </w:rPr>
              <w:t>11.0% </w:t>
            </w:r>
          </w:p>
          <w:p w14:paraId="404DE898"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eastAsiaTheme="minorEastAsia" w:hAnsiTheme="minorHAnsi" w:cstheme="minorHAnsi"/>
                <w:color w:val="000000"/>
                <w:kern w:val="24"/>
                <w:sz w:val="22"/>
                <w:szCs w:val="22"/>
              </w:rPr>
              <w:t>(9.0–13.4)</w:t>
            </w:r>
          </w:p>
          <w:p w14:paraId="747DFB84" w14:textId="07E0DA3A" w:rsidR="009378D7" w:rsidRPr="00BC079B" w:rsidRDefault="009378D7" w:rsidP="009378D7">
            <w:pPr>
              <w:jc w:val="center"/>
              <w:rPr>
                <w:rFonts w:cstheme="minorHAnsi"/>
                <w:color w:val="FF0000"/>
                <w:sz w:val="22"/>
              </w:rPr>
            </w:pPr>
            <w:r w:rsidRPr="00BC079B">
              <w:rPr>
                <w:rFonts w:cstheme="minorHAnsi"/>
                <w:color w:val="000000"/>
                <w:kern w:val="24"/>
                <w:sz w:val="22"/>
              </w:rPr>
              <w:t>2,659</w:t>
            </w:r>
          </w:p>
        </w:tc>
        <w:tc>
          <w:tcPr>
            <w:tcW w:w="1383" w:type="dxa"/>
            <w:vAlign w:val="center"/>
            <w:hideMark/>
          </w:tcPr>
          <w:p w14:paraId="7436B64C"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eastAsiaTheme="minorEastAsia" w:hAnsiTheme="minorHAnsi" w:cstheme="minorHAnsi"/>
                <w:color w:val="000000"/>
                <w:kern w:val="24"/>
                <w:sz w:val="22"/>
                <w:szCs w:val="22"/>
              </w:rPr>
              <w:t>9.9% </w:t>
            </w:r>
          </w:p>
          <w:p w14:paraId="71FC78BE"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eastAsiaTheme="minorEastAsia" w:hAnsiTheme="minorHAnsi" w:cstheme="minorHAnsi"/>
                <w:color w:val="000000"/>
                <w:kern w:val="24"/>
                <w:sz w:val="22"/>
                <w:szCs w:val="22"/>
              </w:rPr>
              <w:t>(8.0–12.2)</w:t>
            </w:r>
          </w:p>
          <w:p w14:paraId="5883475B" w14:textId="7DB10A07" w:rsidR="009378D7" w:rsidRPr="00BC079B" w:rsidRDefault="009378D7" w:rsidP="009378D7">
            <w:pPr>
              <w:jc w:val="center"/>
              <w:rPr>
                <w:rFonts w:cstheme="minorHAnsi"/>
                <w:color w:val="FF0000"/>
                <w:sz w:val="22"/>
              </w:rPr>
            </w:pPr>
            <w:r w:rsidRPr="00BC079B">
              <w:rPr>
                <w:rFonts w:cstheme="minorHAnsi"/>
                <w:color w:val="000000"/>
                <w:kern w:val="24"/>
                <w:sz w:val="22"/>
              </w:rPr>
              <w:t>3,010</w:t>
            </w:r>
          </w:p>
        </w:tc>
        <w:tc>
          <w:tcPr>
            <w:tcW w:w="1383" w:type="dxa"/>
            <w:vAlign w:val="center"/>
            <w:hideMark/>
          </w:tcPr>
          <w:p w14:paraId="61740FDA"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eastAsiaTheme="minorEastAsia" w:hAnsiTheme="minorHAnsi" w:cstheme="minorHAnsi"/>
                <w:color w:val="000000"/>
                <w:kern w:val="24"/>
                <w:sz w:val="22"/>
                <w:szCs w:val="22"/>
              </w:rPr>
              <w:t>10.5% </w:t>
            </w:r>
          </w:p>
          <w:p w14:paraId="3C911807"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eastAsiaTheme="minorEastAsia" w:hAnsiTheme="minorHAnsi" w:cstheme="minorHAnsi"/>
                <w:color w:val="000000"/>
                <w:kern w:val="24"/>
                <w:sz w:val="22"/>
                <w:szCs w:val="22"/>
              </w:rPr>
              <w:t>(9.0–12.1)</w:t>
            </w:r>
          </w:p>
          <w:p w14:paraId="04892DD1" w14:textId="2553ABB9" w:rsidR="009378D7" w:rsidRPr="00BC079B" w:rsidRDefault="009378D7" w:rsidP="009378D7">
            <w:pPr>
              <w:jc w:val="center"/>
              <w:rPr>
                <w:rFonts w:cstheme="minorHAnsi"/>
                <w:color w:val="FF0000"/>
                <w:sz w:val="22"/>
              </w:rPr>
            </w:pPr>
            <w:r w:rsidRPr="00BC079B">
              <w:rPr>
                <w:rFonts w:cstheme="minorHAnsi"/>
                <w:color w:val="000000"/>
                <w:kern w:val="24"/>
                <w:sz w:val="22"/>
              </w:rPr>
              <w:t>3,125</w:t>
            </w:r>
          </w:p>
        </w:tc>
        <w:tc>
          <w:tcPr>
            <w:tcW w:w="1383" w:type="dxa"/>
            <w:vAlign w:val="center"/>
            <w:hideMark/>
          </w:tcPr>
          <w:p w14:paraId="227DE25C"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eastAsiaTheme="minorEastAsia" w:hAnsiTheme="minorHAnsi" w:cstheme="minorHAnsi"/>
                <w:color w:val="000000"/>
                <w:kern w:val="24"/>
                <w:sz w:val="22"/>
                <w:szCs w:val="22"/>
              </w:rPr>
              <w:t>12.6% </w:t>
            </w:r>
          </w:p>
          <w:p w14:paraId="5261A79B" w14:textId="77777777" w:rsidR="009378D7" w:rsidRPr="00BC079B" w:rsidRDefault="009378D7" w:rsidP="009378D7">
            <w:pPr>
              <w:pStyle w:val="NormalWeb"/>
              <w:spacing w:before="0" w:beforeAutospacing="0" w:after="0" w:afterAutospacing="0"/>
              <w:jc w:val="center"/>
              <w:textAlignment w:val="baseline"/>
              <w:rPr>
                <w:rFonts w:asciiTheme="minorHAnsi" w:hAnsiTheme="minorHAnsi" w:cstheme="minorHAnsi"/>
                <w:sz w:val="22"/>
                <w:szCs w:val="22"/>
              </w:rPr>
            </w:pPr>
            <w:r w:rsidRPr="00BC079B">
              <w:rPr>
                <w:rFonts w:asciiTheme="minorHAnsi" w:eastAsiaTheme="minorEastAsia" w:hAnsiTheme="minorHAnsi" w:cstheme="minorHAnsi"/>
                <w:color w:val="000000"/>
                <w:kern w:val="24"/>
                <w:sz w:val="22"/>
                <w:szCs w:val="22"/>
              </w:rPr>
              <w:t>(10.4–15.3)</w:t>
            </w:r>
          </w:p>
          <w:p w14:paraId="7D18E66B" w14:textId="0767CA64" w:rsidR="009378D7" w:rsidRPr="00BC079B" w:rsidRDefault="009378D7" w:rsidP="009378D7">
            <w:pPr>
              <w:jc w:val="center"/>
              <w:rPr>
                <w:rFonts w:cstheme="minorHAnsi"/>
                <w:color w:val="FF0000"/>
                <w:sz w:val="22"/>
              </w:rPr>
            </w:pPr>
            <w:r w:rsidRPr="00BC079B">
              <w:rPr>
                <w:rFonts w:cstheme="minorHAnsi"/>
                <w:color w:val="000000"/>
                <w:kern w:val="24"/>
                <w:sz w:val="22"/>
              </w:rPr>
              <w:t>2,085</w:t>
            </w:r>
          </w:p>
        </w:tc>
        <w:tc>
          <w:tcPr>
            <w:tcW w:w="1383" w:type="dxa"/>
            <w:vAlign w:val="center"/>
            <w:hideMark/>
          </w:tcPr>
          <w:p w14:paraId="7F631AF9" w14:textId="3704BB4F" w:rsidR="009378D7" w:rsidRPr="00BC079B" w:rsidRDefault="009378D7" w:rsidP="009378D7">
            <w:pPr>
              <w:jc w:val="center"/>
              <w:rPr>
                <w:rFonts w:cstheme="minorHAnsi"/>
                <w:color w:val="FF0000"/>
                <w:sz w:val="22"/>
              </w:rPr>
            </w:pPr>
            <w:r w:rsidRPr="00BC079B">
              <w:rPr>
                <w:rFonts w:eastAsiaTheme="minorEastAsia" w:cstheme="minorHAnsi"/>
                <w:color w:val="000000" w:themeColor="text1"/>
                <w:kern w:val="24"/>
                <w:sz w:val="22"/>
              </w:rPr>
              <w:t>NA</w:t>
            </w:r>
          </w:p>
        </w:tc>
      </w:tr>
    </w:tbl>
    <w:p w14:paraId="46F52DEC" w14:textId="156236E1" w:rsidR="003A6561" w:rsidRPr="00C45916" w:rsidRDefault="3DDA55DC" w:rsidP="24377A7B">
      <w:pPr>
        <w:rPr>
          <w:sz w:val="18"/>
          <w:szCs w:val="18"/>
        </w:rPr>
      </w:pPr>
      <w:r w:rsidRPr="00C45916">
        <w:rPr>
          <w:sz w:val="20"/>
          <w:szCs w:val="20"/>
        </w:rPr>
        <w:t>Data Source: Massachusetts Department of Elementary and Secondary Education and Massachusetts Department of Public Health, Office of Data Management and Outcomes Assessment</w:t>
      </w:r>
    </w:p>
    <w:p w14:paraId="2B8C8FDF" w14:textId="7DE171C1" w:rsidR="003A6561" w:rsidRPr="00991A6F" w:rsidRDefault="003A6561" w:rsidP="24377A7B">
      <w:pPr>
        <w:rPr>
          <w:color w:val="FF0000"/>
        </w:rPr>
      </w:pPr>
    </w:p>
    <w:p w14:paraId="09A81F8B" w14:textId="77777777" w:rsidR="005F6247" w:rsidRPr="005F6247" w:rsidRDefault="005F6247" w:rsidP="005F6247">
      <w:pPr>
        <w:pStyle w:val="spaced6"/>
      </w:pPr>
      <w:r w:rsidRPr="005F6247">
        <w:t xml:space="preserve">The Massachusetts Youth Risk Behavior Survey (MYRBS) is performed biennially among a sample of ninth to twelfth grade students.  </w:t>
      </w:r>
    </w:p>
    <w:p w14:paraId="22EF5DB3" w14:textId="7BBCC1C2" w:rsidR="00F57ACA" w:rsidRPr="0062690B" w:rsidRDefault="005F6247" w:rsidP="00FE4D0D">
      <w:pPr>
        <w:pStyle w:val="spaced6"/>
      </w:pPr>
      <w:r w:rsidRPr="005F6247">
        <w:t>From 2013 to 2021, the proportion of respondents reporting having had sexual intercourse with four or more partners during their life decreased from 9.3% to 4.3%. However, caution should be used in the interpretation of 2021 YRBS data due to the effect of the COVID-19 pandemic. COVID-19 precautions might have reduced school and student participation, although more schools were sampled in 2021 than in previous cycles. Additionally, COVID-19 may have also affected student behavior</w:t>
      </w:r>
      <w:r w:rsidR="41BD9531" w:rsidRPr="005F6247">
        <w:t>.</w:t>
      </w:r>
      <w:r>
        <w:rPr>
          <w:rStyle w:val="FootnoteReference"/>
        </w:rPr>
        <w:footnoteReference w:id="103"/>
      </w:r>
      <w:r w:rsidR="00F57ACA" w:rsidRPr="0062690B">
        <w:br w:type="page"/>
      </w:r>
    </w:p>
    <w:p w14:paraId="712322A2" w14:textId="3847EF93" w:rsidR="007D74BB" w:rsidRPr="00775ABA" w:rsidRDefault="007D74BB" w:rsidP="007D74BB">
      <w:pPr>
        <w:pStyle w:val="Heading1"/>
      </w:pPr>
      <w:bookmarkStart w:id="50" w:name="_Toc154057153"/>
      <w:r>
        <w:lastRenderedPageBreak/>
        <w:t xml:space="preserve">SPECIFIC POPULATIONS - </w:t>
      </w:r>
      <w:r w:rsidR="00F57ACA">
        <w:t>MEN WHO HAVE SEX WITH MEN</w:t>
      </w:r>
      <w:bookmarkEnd w:id="50"/>
      <w:r w:rsidR="00F57ACA">
        <w:t xml:space="preserve"> </w:t>
      </w:r>
    </w:p>
    <w:p w14:paraId="1EDD6B3D" w14:textId="7EED5001" w:rsidR="004F63D2" w:rsidRPr="00775ABA" w:rsidRDefault="00F57ACA" w:rsidP="007476F0">
      <w:pPr>
        <w:pStyle w:val="Heading2"/>
      </w:pPr>
      <w:bookmarkStart w:id="51" w:name="_Toc154057154"/>
      <w:r>
        <w:t>HIV DIAGNOSIS RATE PER 100,000</w:t>
      </w:r>
      <w:bookmarkEnd w:id="51"/>
    </w:p>
    <w:p w14:paraId="3BBEF992" w14:textId="660A5DA8" w:rsidR="007476F0" w:rsidRPr="00775ABA" w:rsidRDefault="1D8E82FA" w:rsidP="007476F0">
      <w:pPr>
        <w:rPr>
          <w:szCs w:val="24"/>
        </w:rPr>
      </w:pPr>
      <w:r w:rsidRPr="00775ABA">
        <w:rPr>
          <w:b/>
          <w:bCs/>
        </w:rPr>
        <w:t>Figure 3</w:t>
      </w:r>
      <w:r w:rsidR="00775ABA" w:rsidRPr="00775ABA">
        <w:rPr>
          <w:b/>
          <w:bCs/>
        </w:rPr>
        <w:t>6</w:t>
      </w:r>
      <w:r w:rsidRPr="00775ABA">
        <w:t>. Estimated</w:t>
      </w:r>
      <w:r w:rsidR="00EB02A0" w:rsidRPr="00775ABA">
        <w:rPr>
          <w:rStyle w:val="FootnoteReference"/>
        </w:rPr>
        <w:footnoteReference w:id="104"/>
      </w:r>
      <w:r w:rsidRPr="00775ABA">
        <w:t xml:space="preserve"> average annual HIV diagnosis rate per 100,000 population: MSM (men who have sex with men) compared to non-MSM (males) ages 18–64 years: Massachusetts </w:t>
      </w:r>
      <w:r w:rsidR="00775ABA" w:rsidRPr="00775ABA">
        <w:t>2020–2022</w:t>
      </w:r>
    </w:p>
    <w:p w14:paraId="3D87E6D4" w14:textId="35605893" w:rsidR="00F57ACA" w:rsidRPr="00991A6F" w:rsidRDefault="00DF462E" w:rsidP="00FE4D0D">
      <w:pPr>
        <w:rPr>
          <w:color w:val="FF0000"/>
          <w:szCs w:val="24"/>
        </w:rPr>
      </w:pPr>
      <w:r>
        <w:rPr>
          <w:noProof/>
          <w:color w:val="FF0000"/>
          <w:szCs w:val="24"/>
        </w:rPr>
        <w:drawing>
          <wp:inline distT="0" distB="0" distL="0" distR="0" wp14:anchorId="2658D6D4" wp14:editId="54C51CB4">
            <wp:extent cx="6078220" cy="4852670"/>
            <wp:effectExtent l="0" t="0" r="0" b="0"/>
            <wp:docPr id="888033578" name="Picture 888033578" descr="The figure is a bar chart displaying the average annual HIV diagnosis rate for MSM on the left, compared to the average annual HIV diagnosis rate for non-MSM male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33578" name="Picture 15" descr="The figure is a bar chart displaying the average annual HIV diagnosis rate for MSM on the left, compared to the average annual HIV diagnosis rate for non-MSM males on the right.&#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8220" cy="4852670"/>
                    </a:xfrm>
                    <a:prstGeom prst="rect">
                      <a:avLst/>
                    </a:prstGeom>
                    <a:noFill/>
                  </pic:spPr>
                </pic:pic>
              </a:graphicData>
            </a:graphic>
          </wp:inline>
        </w:drawing>
      </w:r>
    </w:p>
    <w:p w14:paraId="58D7198A" w14:textId="32215BE6" w:rsidR="00F57ACA" w:rsidRPr="00DF462E" w:rsidRDefault="00F57ACA" w:rsidP="00FE4D0D">
      <w:pPr>
        <w:rPr>
          <w:szCs w:val="24"/>
        </w:rPr>
      </w:pPr>
    </w:p>
    <w:p w14:paraId="3F66F31D" w14:textId="7C089098" w:rsidR="00EB02A0" w:rsidRPr="00DF462E" w:rsidRDefault="00DF462E" w:rsidP="00DE5ADD">
      <w:pPr>
        <w:numPr>
          <w:ilvl w:val="0"/>
          <w:numId w:val="83"/>
        </w:numPr>
        <w:ind w:left="360"/>
        <w:rPr>
          <w:szCs w:val="24"/>
        </w:rPr>
      </w:pPr>
      <w:r w:rsidRPr="2F702A1B">
        <w:t>At 133.2 per 100,000 population (95% confidence interval [CI]: 110.4–171.3 per 100,000),</w:t>
      </w:r>
      <w:r w:rsidR="00775ABA" w:rsidRPr="2F702A1B">
        <w:t xml:space="preserve"> the estimated average rate of HIV diagnosis from 2020 to 2022</w:t>
      </w:r>
      <w:r w:rsidR="00775ABA" w:rsidRPr="00DF462E">
        <w:rPr>
          <w:rStyle w:val="FootnoteReference"/>
        </w:rPr>
        <w:footnoteReference w:id="105"/>
      </w:r>
      <w:r w:rsidR="00775ABA" w:rsidRPr="00DF462E">
        <w:t xml:space="preserve"> </w:t>
      </w:r>
      <w:r w:rsidR="00775ABA" w:rsidRPr="2F702A1B">
        <w:t xml:space="preserve">among MSM (ages 18–64 years) </w:t>
      </w:r>
      <w:r w:rsidRPr="2F702A1B">
        <w:t xml:space="preserve">was 20 times the rate of infection in men who did not report sex with men (6.7 per 100,000 [95% CI: 6.6–6.8 per 100,000]). </w:t>
      </w:r>
      <w:r w:rsidR="00EB02A0" w:rsidRPr="00DF462E">
        <w:rPr>
          <w:szCs w:val="24"/>
        </w:rPr>
        <w:br w:type="page"/>
      </w:r>
    </w:p>
    <w:p w14:paraId="2B680C30" w14:textId="428CA076" w:rsidR="00EB02A0" w:rsidRPr="00383CB6" w:rsidRDefault="00EB02A0" w:rsidP="00EB02A0">
      <w:pPr>
        <w:pStyle w:val="Heading2"/>
      </w:pPr>
      <w:bookmarkStart w:id="52" w:name="_Toc154057155"/>
      <w:r>
        <w:lastRenderedPageBreak/>
        <w:t>MSM – SYPHILIS RATE PER 100,000</w:t>
      </w:r>
      <w:bookmarkEnd w:id="52"/>
    </w:p>
    <w:p w14:paraId="490B1934" w14:textId="4E402141" w:rsidR="00EB02A0" w:rsidRPr="00CD289B" w:rsidRDefault="3343F522" w:rsidP="00EB02A0">
      <w:pPr>
        <w:rPr>
          <w:szCs w:val="24"/>
        </w:rPr>
      </w:pPr>
      <w:r w:rsidRPr="00383CB6">
        <w:rPr>
          <w:b/>
          <w:bCs/>
        </w:rPr>
        <w:t>Figure 3</w:t>
      </w:r>
      <w:r w:rsidR="00383CB6" w:rsidRPr="00383CB6">
        <w:rPr>
          <w:b/>
          <w:bCs/>
        </w:rPr>
        <w:t>7</w:t>
      </w:r>
      <w:r w:rsidRPr="00383CB6">
        <w:t>. Estimated</w:t>
      </w:r>
      <w:r w:rsidR="00043689" w:rsidRPr="00383CB6">
        <w:rPr>
          <w:rStyle w:val="FootnoteReference"/>
        </w:rPr>
        <w:footnoteReference w:id="106"/>
      </w:r>
      <w:r w:rsidRPr="00383CB6">
        <w:t xml:space="preserve"> infectious syphilis</w:t>
      </w:r>
      <w:r w:rsidR="00043689" w:rsidRPr="00383CB6">
        <w:rPr>
          <w:rStyle w:val="FootnoteReference"/>
        </w:rPr>
        <w:footnoteReference w:id="107"/>
      </w:r>
      <w:r w:rsidRPr="00383CB6">
        <w:t xml:space="preserve"> rate per 100,000 population: MSM compared to non-MSM (males) ages 18–64 years: Massachusetts 202</w:t>
      </w:r>
      <w:r w:rsidR="00383CB6" w:rsidRPr="00383CB6">
        <w:t>2</w:t>
      </w:r>
    </w:p>
    <w:p w14:paraId="434CEEF3" w14:textId="18F270EC" w:rsidR="00EB02A0" w:rsidRPr="00CD289B" w:rsidRDefault="00DF462E" w:rsidP="00EB02A0">
      <w:pPr>
        <w:rPr>
          <w:szCs w:val="24"/>
        </w:rPr>
      </w:pPr>
      <w:r w:rsidRPr="00CD289B">
        <w:rPr>
          <w:noProof/>
          <w:szCs w:val="24"/>
        </w:rPr>
        <w:drawing>
          <wp:inline distT="0" distB="0" distL="0" distR="0" wp14:anchorId="49176045" wp14:editId="2C851039">
            <wp:extent cx="6078220" cy="4852670"/>
            <wp:effectExtent l="0" t="0" r="0" b="0"/>
            <wp:docPr id="912694016" name="Picture 912694016" descr="The figure is a bar chart displaying the estimated infectious syphilis rate per 100,000 for MSM on the left, compared to the estimated infectious syphilis rate per 100,000 for non-MSM male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94016" name="Picture 16" descr="The figure is a bar chart displaying the estimated infectious syphilis rate per 100,000 for MSM on the left, compared to the estimated infectious syphilis rate per 100,000 for non-MSM males on the right.&#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8220" cy="4852670"/>
                    </a:xfrm>
                    <a:prstGeom prst="rect">
                      <a:avLst/>
                    </a:prstGeom>
                    <a:noFill/>
                  </pic:spPr>
                </pic:pic>
              </a:graphicData>
            </a:graphic>
          </wp:inline>
        </w:drawing>
      </w:r>
    </w:p>
    <w:p w14:paraId="5328449A" w14:textId="1F41CF87" w:rsidR="00E11171" w:rsidRPr="00CD289B" w:rsidRDefault="00CD289B" w:rsidP="00DE5ADD">
      <w:pPr>
        <w:numPr>
          <w:ilvl w:val="0"/>
          <w:numId w:val="47"/>
        </w:numPr>
        <w:ind w:left="360"/>
        <w:rPr>
          <w:szCs w:val="24"/>
        </w:rPr>
      </w:pPr>
      <w:r w:rsidRPr="00CD289B">
        <w:rPr>
          <w:szCs w:val="24"/>
        </w:rPr>
        <w:t>At 742.3 per 100,000 population (95% confidence interval [CI]: 615.4–954.4 per 100,000), the estimated infectious syphilis rate in 2022</w:t>
      </w:r>
      <w:r w:rsidR="00D86EA9" w:rsidRPr="00CD289B">
        <w:rPr>
          <w:szCs w:val="24"/>
          <w:vertAlign w:val="superscript"/>
        </w:rPr>
        <w:t>3</w:t>
      </w:r>
      <w:r w:rsidR="00D86EA9" w:rsidRPr="00CD289B">
        <w:rPr>
          <w:szCs w:val="24"/>
        </w:rPr>
        <w:t xml:space="preserve"> </w:t>
      </w:r>
      <w:r w:rsidRPr="00CD289B">
        <w:rPr>
          <w:szCs w:val="24"/>
        </w:rPr>
        <w:t xml:space="preserve">among MSM (ages 18–64) was 43 times the rate of infection in men who did not report sex with men (17.3 per 100,000 [95% CI: 17.0–17.5 per 100,000]). </w:t>
      </w:r>
      <w:r w:rsidR="00E11171" w:rsidRPr="00CD289B">
        <w:rPr>
          <w:szCs w:val="24"/>
        </w:rPr>
        <w:br w:type="page"/>
      </w:r>
    </w:p>
    <w:p w14:paraId="325305BA" w14:textId="6B6F71A4" w:rsidR="00E11171" w:rsidRPr="00734C00" w:rsidRDefault="00E11171" w:rsidP="00E11171">
      <w:pPr>
        <w:pStyle w:val="Heading2"/>
      </w:pPr>
      <w:bookmarkStart w:id="53" w:name="_Toc154057156"/>
      <w:r>
        <w:lastRenderedPageBreak/>
        <w:t>MSM – SYPHILIS/HIV CO-INFECTION</w:t>
      </w:r>
      <w:bookmarkEnd w:id="53"/>
    </w:p>
    <w:p w14:paraId="375C59CB" w14:textId="2DC50EAF" w:rsidR="00E11171" w:rsidRPr="00734C00" w:rsidRDefault="30E4BE02" w:rsidP="00E11171">
      <w:r w:rsidRPr="00734C00">
        <w:rPr>
          <w:b/>
          <w:bCs/>
        </w:rPr>
        <w:t>Figure 3</w:t>
      </w:r>
      <w:r w:rsidR="18A5FC49" w:rsidRPr="00734C00">
        <w:rPr>
          <w:b/>
          <w:bCs/>
        </w:rPr>
        <w:t>8</w:t>
      </w:r>
      <w:r w:rsidRPr="00734C00">
        <w:rPr>
          <w:b/>
          <w:bCs/>
        </w:rPr>
        <w:t xml:space="preserve">. </w:t>
      </w:r>
      <w:r w:rsidRPr="00734C00">
        <w:t>Number of confirmed and probable infectious syphilis</w:t>
      </w:r>
      <w:r w:rsidR="00E11171" w:rsidRPr="00734C00">
        <w:rPr>
          <w:rStyle w:val="FootnoteReference"/>
        </w:rPr>
        <w:footnoteReference w:id="108"/>
      </w:r>
      <w:r w:rsidRPr="00734C00">
        <w:t xml:space="preserve"> cases among MSM and the percent of cases among MSM known to ever be co-infected with HIV, Massachusetts 201</w:t>
      </w:r>
      <w:r w:rsidR="140AA120">
        <w:t>8</w:t>
      </w:r>
      <w:r w:rsidRPr="00734C00">
        <w:t>–202</w:t>
      </w:r>
      <w:r w:rsidR="18A5FC49" w:rsidRPr="00734C00">
        <w:t>2</w:t>
      </w:r>
      <w:r w:rsidRPr="00734C00">
        <w:t xml:space="preserve"> </w:t>
      </w:r>
    </w:p>
    <w:p w14:paraId="1D53D910" w14:textId="5938767C" w:rsidR="00E11171" w:rsidRPr="00734C00" w:rsidRDefault="00E11171" w:rsidP="7108AB92">
      <w:pPr>
        <w:rPr>
          <w:sz w:val="20"/>
          <w:szCs w:val="20"/>
        </w:rPr>
      </w:pPr>
    </w:p>
    <w:p w14:paraId="4F59F739" w14:textId="3B45ED22" w:rsidR="00E11171" w:rsidRPr="00734C00" w:rsidRDefault="00E11171" w:rsidP="7108AB92">
      <w:pPr>
        <w:rPr>
          <w:sz w:val="20"/>
          <w:szCs w:val="20"/>
        </w:rPr>
      </w:pPr>
    </w:p>
    <w:p w14:paraId="2298C201" w14:textId="1F32B5C4" w:rsidR="00E11171" w:rsidRPr="00734C00" w:rsidRDefault="00301485" w:rsidP="7108AB92">
      <w:r>
        <w:rPr>
          <w:noProof/>
        </w:rPr>
        <w:drawing>
          <wp:inline distT="0" distB="0" distL="0" distR="0" wp14:anchorId="798C6456" wp14:editId="2F8513D6">
            <wp:extent cx="6687820" cy="3871595"/>
            <wp:effectExtent l="0" t="0" r="0" b="0"/>
            <wp:docPr id="1743360004" name="Picture 2" descr="The figure is a bar chart displaying the number of syphilis cases among MSM and total syphilis cases for each year from 2018 to 2022 with an overlaid trendline displaying the percentage of syphilis cases among MSM that were also HIV positive in each of those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0004" name="Picture 2" descr="The figure is a bar chart displaying the number of syphilis cases among MSM and total syphilis cases for each year from 2018 to 2022 with an overlaid trendline displaying the percentage of syphilis cases among MSM that were also HIV positive in each of those years.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87820" cy="3871595"/>
                    </a:xfrm>
                    <a:prstGeom prst="rect">
                      <a:avLst/>
                    </a:prstGeom>
                    <a:noFill/>
                  </pic:spPr>
                </pic:pic>
              </a:graphicData>
            </a:graphic>
          </wp:inline>
        </w:drawing>
      </w:r>
    </w:p>
    <w:p w14:paraId="6302D956" w14:textId="368F8AB6" w:rsidR="00E11171" w:rsidRPr="00734C00" w:rsidRDefault="00E11171" w:rsidP="7108AB92">
      <w:pPr>
        <w:rPr>
          <w:sz w:val="20"/>
          <w:szCs w:val="20"/>
        </w:rPr>
      </w:pPr>
    </w:p>
    <w:p w14:paraId="1C1884E6" w14:textId="39981762" w:rsidR="00E11171" w:rsidRPr="00734C00" w:rsidRDefault="55D3C585" w:rsidP="00E11171">
      <w:pPr>
        <w:rPr>
          <w:sz w:val="20"/>
          <w:szCs w:val="20"/>
        </w:rPr>
      </w:pPr>
      <w:r w:rsidRPr="7108AB92">
        <w:rPr>
          <w:sz w:val="20"/>
          <w:szCs w:val="20"/>
        </w:rPr>
        <w:t>D</w:t>
      </w:r>
      <w:r w:rsidR="484441F6" w:rsidRPr="7108AB92">
        <w:rPr>
          <w:sz w:val="20"/>
          <w:szCs w:val="20"/>
        </w:rPr>
        <w:t xml:space="preserve">ata Source: Bureau of Infectious Disease and Laboratory Sciences, data are current as of </w:t>
      </w:r>
      <w:r w:rsidR="1F56450F" w:rsidRPr="7108AB92">
        <w:rPr>
          <w:sz w:val="20"/>
          <w:szCs w:val="20"/>
        </w:rPr>
        <w:t>7/21/2023</w:t>
      </w:r>
      <w:r w:rsidR="484441F6" w:rsidRPr="7108AB92">
        <w:rPr>
          <w:sz w:val="20"/>
          <w:szCs w:val="20"/>
        </w:rPr>
        <w:t xml:space="preserve"> and subject to change</w:t>
      </w:r>
      <w:r w:rsidR="00B1580A">
        <w:rPr>
          <w:sz w:val="20"/>
          <w:szCs w:val="20"/>
        </w:rPr>
        <w:t>.</w:t>
      </w:r>
    </w:p>
    <w:p w14:paraId="664C2DE6" w14:textId="64C86CEC" w:rsidR="00E11171" w:rsidRPr="00734C00" w:rsidRDefault="00E11171" w:rsidP="00E11171">
      <w:pPr>
        <w:rPr>
          <w:szCs w:val="24"/>
        </w:rPr>
      </w:pPr>
    </w:p>
    <w:p w14:paraId="5BD20761" w14:textId="77777777" w:rsidR="00734C00" w:rsidRPr="00734C00" w:rsidRDefault="00734C00" w:rsidP="00734C00">
      <w:pPr>
        <w:pStyle w:val="spaced6"/>
      </w:pPr>
      <w:r w:rsidRPr="00734C00">
        <w:t>The incidence of syphilis in Massachusetts increased by 36% in the past five years; men who have sex with men represented the majority of cases (63% in 2022).</w:t>
      </w:r>
    </w:p>
    <w:p w14:paraId="6DB36A25" w14:textId="0C17DD47" w:rsidR="00E11171" w:rsidRPr="00734C00" w:rsidRDefault="38D65134">
      <w:pPr>
        <w:pStyle w:val="spaced6"/>
      </w:pPr>
      <w:r w:rsidRPr="00734C00">
        <w:t>In 202</w:t>
      </w:r>
      <w:r w:rsidR="00734C00" w:rsidRPr="00734C00">
        <w:t>2</w:t>
      </w:r>
      <w:r w:rsidRPr="00734C00">
        <w:t>,</w:t>
      </w:r>
      <w:r w:rsidR="00E11171" w:rsidRPr="00734C00">
        <w:rPr>
          <w:rStyle w:val="FootnoteReference"/>
        </w:rPr>
        <w:footnoteReference w:id="109"/>
      </w:r>
      <w:r w:rsidRPr="00734C00">
        <w:t xml:space="preserve"> </w:t>
      </w:r>
      <w:r w:rsidR="00734C00" w:rsidRPr="00734C00">
        <w:t>33% (N=330/997) of infectious syphilis cases among men reporting sex with men also self-reported co-infection with HIV</w:t>
      </w:r>
      <w:r w:rsidRPr="00734C00">
        <w:t>.</w:t>
      </w:r>
      <w:r w:rsidR="00E11171" w:rsidRPr="00734C00">
        <w:rPr>
          <w:rStyle w:val="FootnoteReference"/>
        </w:rPr>
        <w:footnoteReference w:id="110"/>
      </w:r>
      <w:r w:rsidRPr="00734C00">
        <w:t xml:space="preserve"> </w:t>
      </w:r>
    </w:p>
    <w:p w14:paraId="78078853" w14:textId="57DB8045" w:rsidR="008B2807" w:rsidRPr="00991A6F" w:rsidRDefault="008B2807" w:rsidP="00E11171">
      <w:pPr>
        <w:ind w:left="360"/>
        <w:rPr>
          <w:color w:val="FF0000"/>
          <w:szCs w:val="24"/>
        </w:rPr>
      </w:pPr>
      <w:r w:rsidRPr="00991A6F">
        <w:rPr>
          <w:color w:val="FF0000"/>
          <w:szCs w:val="24"/>
        </w:rPr>
        <w:br w:type="page"/>
      </w:r>
    </w:p>
    <w:p w14:paraId="1AD4C0DE" w14:textId="6995C668" w:rsidR="00E11171" w:rsidRPr="001675CD" w:rsidRDefault="008B2807" w:rsidP="38A4F72D">
      <w:pPr>
        <w:pStyle w:val="Heading2"/>
      </w:pPr>
      <w:bookmarkStart w:id="54" w:name="_Toc154057157"/>
      <w:r>
        <w:lastRenderedPageBreak/>
        <w:t>MSM - SYPHILIS BY COUNTY</w:t>
      </w:r>
      <w:bookmarkEnd w:id="54"/>
    </w:p>
    <w:p w14:paraId="0B1C72D8" w14:textId="16D0C016" w:rsidR="00BA0B92" w:rsidRPr="001675CD" w:rsidRDefault="2B880D8E" w:rsidP="3405EFDC">
      <w:pPr>
        <w:spacing w:after="160" w:line="259" w:lineRule="auto"/>
      </w:pPr>
      <w:r w:rsidRPr="001675CD">
        <w:rPr>
          <w:b/>
          <w:bCs/>
        </w:rPr>
        <w:t>Figure 3</w:t>
      </w:r>
      <w:r w:rsidR="001675CD" w:rsidRPr="001675CD">
        <w:rPr>
          <w:b/>
          <w:bCs/>
        </w:rPr>
        <w:t>9</w:t>
      </w:r>
      <w:r w:rsidRPr="001675CD">
        <w:rPr>
          <w:b/>
          <w:bCs/>
        </w:rPr>
        <w:t xml:space="preserve">. </w:t>
      </w:r>
      <w:r w:rsidRPr="001675CD">
        <w:t>Total number of confirmed and probable infectious syphilis</w:t>
      </w:r>
      <w:r w:rsidR="00BA0B92" w:rsidRPr="001675CD">
        <w:rPr>
          <w:rStyle w:val="FootnoteReference"/>
        </w:rPr>
        <w:footnoteReference w:id="111"/>
      </w:r>
      <w:r w:rsidRPr="001675CD">
        <w:t xml:space="preserve"> cases and number among MSM by county, Massachusetts 202</w:t>
      </w:r>
      <w:r w:rsidR="001675CD" w:rsidRPr="001675CD">
        <w:t>2</w:t>
      </w:r>
    </w:p>
    <w:p w14:paraId="31E97EAA" w14:textId="3B8CD2EB" w:rsidR="008B2807" w:rsidRPr="00991A6F" w:rsidRDefault="002773B4" w:rsidP="008B2807">
      <w:pPr>
        <w:rPr>
          <w:color w:val="FF0000"/>
        </w:rPr>
      </w:pPr>
      <w:r w:rsidRPr="002773B4">
        <w:rPr>
          <w:noProof/>
          <w:color w:val="FF0000"/>
        </w:rPr>
        <w:t xml:space="preserve"> </w:t>
      </w:r>
      <w:r w:rsidR="00B746F1">
        <w:rPr>
          <w:noProof/>
          <w:color w:val="FF0000"/>
        </w:rPr>
        <w:drawing>
          <wp:inline distT="0" distB="0" distL="0" distR="0" wp14:anchorId="1BA66095" wp14:editId="30FE8399">
            <wp:extent cx="6389370" cy="4877435"/>
            <wp:effectExtent l="0" t="0" r="0" b="0"/>
            <wp:docPr id="739756081" name="Picture 739756081" descr="MSM in each Massachusetts county: Barnstable/Dukes/Nantucket, Berkshire, Bristol, Essex, Franklin, Hampden, Hampshire, Middlesex, Norfolk, Plymouth, Suffolk, and Worc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56081" name="Picture 19" descr="MSM in each Massachusetts county: Barnstable/Dukes/Nantucket, Berkshire, Bristol, Essex, Franklin, Hampden, Hampshire, Middlesex, Norfolk, Plymouth, Suffolk, and Worcester.&#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9370" cy="4877435"/>
                    </a:xfrm>
                    <a:prstGeom prst="rect">
                      <a:avLst/>
                    </a:prstGeom>
                    <a:noFill/>
                  </pic:spPr>
                </pic:pic>
              </a:graphicData>
            </a:graphic>
          </wp:inline>
        </w:drawing>
      </w:r>
    </w:p>
    <w:p w14:paraId="7A2D8E35" w14:textId="77777777" w:rsidR="00B746F1" w:rsidRPr="00B746F1" w:rsidRDefault="7677912B" w:rsidP="00B746F1">
      <w:pPr>
        <w:rPr>
          <w:sz w:val="20"/>
          <w:szCs w:val="20"/>
        </w:rPr>
      </w:pPr>
      <w:r w:rsidRPr="034544F5">
        <w:rPr>
          <w:sz w:val="20"/>
          <w:szCs w:val="20"/>
        </w:rPr>
        <w:t>Note: MSM N=997, Other risk N=24, missing risk information N=126, total cases N=1,593 and excludes three cases with no reported county of residence.</w:t>
      </w:r>
    </w:p>
    <w:p w14:paraId="40B57B78" w14:textId="77777777" w:rsidR="00B746F1" w:rsidRPr="00B746F1" w:rsidRDefault="00B746F1" w:rsidP="00B746F1">
      <w:pPr>
        <w:rPr>
          <w:sz w:val="20"/>
          <w:szCs w:val="20"/>
        </w:rPr>
      </w:pPr>
      <w:r w:rsidRPr="00B746F1">
        <w:rPr>
          <w:sz w:val="20"/>
          <w:szCs w:val="20"/>
        </w:rPr>
        <w:t>Data Source: Bureau of Infectious Disease and Laboratory Sciences, data are current as of 7/21/2023 and subject to change.</w:t>
      </w:r>
    </w:p>
    <w:p w14:paraId="67323775" w14:textId="6C287C38" w:rsidR="00BA0B92" w:rsidRPr="00B746F1" w:rsidRDefault="00B746F1" w:rsidP="00BA0B92">
      <w:pPr>
        <w:rPr>
          <w:sz w:val="20"/>
          <w:szCs w:val="20"/>
        </w:rPr>
      </w:pPr>
      <w:r w:rsidRPr="00B746F1">
        <w:rPr>
          <w:sz w:val="20"/>
          <w:szCs w:val="20"/>
        </w:rPr>
        <w:t>BDN=</w:t>
      </w:r>
      <w:r w:rsidR="00BA0B92" w:rsidRPr="00B746F1">
        <w:rPr>
          <w:sz w:val="20"/>
          <w:szCs w:val="20"/>
        </w:rPr>
        <w:t>Barnstable, Dukes and Nantucket</w:t>
      </w:r>
      <w:r w:rsidRPr="00B746F1">
        <w:rPr>
          <w:sz w:val="20"/>
          <w:szCs w:val="20"/>
        </w:rPr>
        <w:t>;</w:t>
      </w:r>
      <w:r w:rsidR="00BA0B92" w:rsidRPr="00B746F1">
        <w:rPr>
          <w:sz w:val="20"/>
          <w:szCs w:val="20"/>
        </w:rPr>
        <w:t xml:space="preserve"> Counties are combined because of small numbers.</w:t>
      </w:r>
    </w:p>
    <w:p w14:paraId="7C6728CB" w14:textId="7B632AEE" w:rsidR="00BA0B92" w:rsidRPr="00B746F1" w:rsidRDefault="00BA0B92" w:rsidP="00BA0B92">
      <w:pPr>
        <w:rPr>
          <w:szCs w:val="24"/>
        </w:rPr>
      </w:pPr>
    </w:p>
    <w:p w14:paraId="08C106A7" w14:textId="78963E1B" w:rsidR="00BA0B92" w:rsidRPr="00B746F1" w:rsidRDefault="6356AF67" w:rsidP="69F1B494">
      <w:pPr>
        <w:numPr>
          <w:ilvl w:val="0"/>
          <w:numId w:val="13"/>
        </w:numPr>
      </w:pPr>
      <w:r w:rsidRPr="00B746F1">
        <w:t>In 202</w:t>
      </w:r>
      <w:r w:rsidR="00B746F1" w:rsidRPr="00B746F1">
        <w:t>2</w:t>
      </w:r>
      <w:r w:rsidRPr="00B746F1">
        <w:t>,</w:t>
      </w:r>
      <w:r w:rsidR="00BA0B92" w:rsidRPr="00B746F1">
        <w:rPr>
          <w:rStyle w:val="FootnoteReference"/>
        </w:rPr>
        <w:footnoteReference w:id="112"/>
      </w:r>
      <w:r w:rsidRPr="00B746F1">
        <w:t xml:space="preserve"> </w:t>
      </w:r>
      <w:r w:rsidR="00B746F1" w:rsidRPr="00B746F1">
        <w:t>the largest proportion</w:t>
      </w:r>
      <w:r w:rsidR="005546E3">
        <w:t>s</w:t>
      </w:r>
      <w:r w:rsidR="00B746F1" w:rsidRPr="00B746F1">
        <w:t xml:space="preserve"> of MSM among infectious syphilis cases w</w:t>
      </w:r>
      <w:r w:rsidR="005546E3">
        <w:t>ere</w:t>
      </w:r>
      <w:r w:rsidR="00B746F1" w:rsidRPr="00B746F1">
        <w:t xml:space="preserve"> reported in Suffolk (75%, N=340/456) and Middlesex (73%, N=250/341) counties.  </w:t>
      </w:r>
    </w:p>
    <w:p w14:paraId="2672D85C" w14:textId="474C9DBA" w:rsidR="0036655D" w:rsidRPr="00991A6F" w:rsidRDefault="0036655D" w:rsidP="00BA0B92">
      <w:pPr>
        <w:rPr>
          <w:color w:val="FF0000"/>
          <w:szCs w:val="24"/>
        </w:rPr>
      </w:pPr>
      <w:r w:rsidRPr="00991A6F">
        <w:rPr>
          <w:color w:val="FF0000"/>
          <w:szCs w:val="24"/>
        </w:rPr>
        <w:br w:type="page"/>
      </w:r>
    </w:p>
    <w:p w14:paraId="614BBA04" w14:textId="5416A96C" w:rsidR="00BA0B92" w:rsidRPr="00B746F1" w:rsidRDefault="003B5E4D" w:rsidP="003B5E4D">
      <w:pPr>
        <w:pStyle w:val="Style2"/>
      </w:pPr>
      <w:bookmarkStart w:id="55" w:name="_Toc154057158"/>
      <w:r>
        <w:lastRenderedPageBreak/>
        <w:t>MSM – RECENT HIV DIAGNOSES</w:t>
      </w:r>
      <w:bookmarkEnd w:id="55"/>
    </w:p>
    <w:p w14:paraId="7DBF01C4" w14:textId="2BA759B7" w:rsidR="000E2784" w:rsidRPr="00B746F1" w:rsidRDefault="000E2784" w:rsidP="000E2784">
      <w:pPr>
        <w:rPr>
          <w:szCs w:val="24"/>
        </w:rPr>
      </w:pPr>
      <w:r w:rsidRPr="00B746F1">
        <w:rPr>
          <w:b/>
          <w:bCs/>
          <w:szCs w:val="24"/>
        </w:rPr>
        <w:t xml:space="preserve">Figure </w:t>
      </w:r>
      <w:r w:rsidR="00B746F1" w:rsidRPr="00B746F1">
        <w:rPr>
          <w:b/>
          <w:bCs/>
          <w:szCs w:val="24"/>
        </w:rPr>
        <w:t>40</w:t>
      </w:r>
      <w:r w:rsidRPr="00B746F1">
        <w:rPr>
          <w:b/>
          <w:bCs/>
          <w:szCs w:val="24"/>
        </w:rPr>
        <w:t xml:space="preserve">. </w:t>
      </w:r>
      <w:r w:rsidRPr="00B746F1">
        <w:rPr>
          <w:szCs w:val="24"/>
        </w:rPr>
        <w:t xml:space="preserve">HIV infection diagnoses among men reporting sex with men by race/ethnicity, age at diagnosis, and place of birth, Massachusetts </w:t>
      </w:r>
      <w:r w:rsidR="00775ABA" w:rsidRPr="00B746F1">
        <w:rPr>
          <w:szCs w:val="24"/>
        </w:rPr>
        <w:t>2020–2022</w:t>
      </w:r>
      <w:r w:rsidRPr="00B746F1">
        <w:rPr>
          <w:szCs w:val="24"/>
        </w:rPr>
        <w:t xml:space="preserve"> (N=</w:t>
      </w:r>
      <w:r w:rsidR="00B746F1" w:rsidRPr="00B746F1">
        <w:rPr>
          <w:szCs w:val="24"/>
        </w:rPr>
        <w:t>492</w:t>
      </w:r>
      <w:r w:rsidRPr="00B746F1">
        <w:rPr>
          <w:szCs w:val="24"/>
        </w:rPr>
        <w:t xml:space="preserve">) </w:t>
      </w:r>
    </w:p>
    <w:p w14:paraId="56EDC6BB" w14:textId="7635DAAC" w:rsidR="003B5E4D" w:rsidRPr="00DA78C5" w:rsidRDefault="00B746F1" w:rsidP="003B5E4D">
      <w:pPr>
        <w:rPr>
          <w:szCs w:val="24"/>
        </w:rPr>
      </w:pPr>
      <w:r>
        <w:rPr>
          <w:noProof/>
          <w:color w:val="FF0000"/>
          <w:szCs w:val="24"/>
        </w:rPr>
        <w:drawing>
          <wp:inline distT="0" distB="0" distL="0" distR="0" wp14:anchorId="7F103EE2" wp14:editId="7B8713E0">
            <wp:extent cx="6767195" cy="4554220"/>
            <wp:effectExtent l="0" t="0" r="0" b="0"/>
            <wp:docPr id="1997253366" name="Picture 1997253366" descr="The figure is a series of three bar chart displaying the percentage distribution of individuals diagnosed with HIV infection with MSM exposure mode by race/ethnicity, ag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3366" name="Picture 20" descr="The figure is a series of three bar chart displaying the percentage distribution of individuals diagnosed with HIV infection with MSM exposure mode by race/ethnicity, age, and place of birth.&#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7195" cy="4554220"/>
                    </a:xfrm>
                    <a:prstGeom prst="rect">
                      <a:avLst/>
                    </a:prstGeom>
                    <a:noFill/>
                  </pic:spPr>
                </pic:pic>
              </a:graphicData>
            </a:graphic>
          </wp:inline>
        </w:drawing>
      </w:r>
    </w:p>
    <w:p w14:paraId="21416292" w14:textId="1AC5D24F" w:rsidR="000E2784" w:rsidRPr="00DA78C5" w:rsidRDefault="000E2784" w:rsidP="00E1705D">
      <w:pPr>
        <w:spacing w:after="120"/>
        <w:rPr>
          <w:sz w:val="20"/>
          <w:szCs w:val="20"/>
        </w:rPr>
      </w:pPr>
      <w:r w:rsidRPr="00DA78C5">
        <w:rPr>
          <w:sz w:val="20"/>
          <w:szCs w:val="20"/>
        </w:rPr>
        <w:t xml:space="preserve">Data Source: Bureau of Infectious Disease and Laboratory Sciences, data are current as of </w:t>
      </w:r>
      <w:r w:rsidR="001F75D4" w:rsidRPr="00DA78C5">
        <w:rPr>
          <w:sz w:val="20"/>
          <w:szCs w:val="20"/>
        </w:rPr>
        <w:t>7/1/2023</w:t>
      </w:r>
      <w:r w:rsidRPr="00DA78C5">
        <w:rPr>
          <w:sz w:val="20"/>
          <w:szCs w:val="20"/>
        </w:rPr>
        <w:t xml:space="preserve"> and subject to change</w:t>
      </w:r>
      <w:r w:rsidR="00B1580A">
        <w:rPr>
          <w:sz w:val="20"/>
          <w:szCs w:val="20"/>
        </w:rPr>
        <w:t>.</w:t>
      </w:r>
    </w:p>
    <w:p w14:paraId="3EC21115" w14:textId="77777777" w:rsidR="00DA78C5" w:rsidRPr="00DA78C5" w:rsidRDefault="00DA78C5" w:rsidP="00DA78C5">
      <w:pPr>
        <w:pStyle w:val="spaced6"/>
      </w:pPr>
      <w:r w:rsidRPr="00DA78C5">
        <w:t xml:space="preserve">Black (non-Hispanic) and Hispanic/Latinx individuals represented 7% and 13% of men in Massachusetts, compared to 21% and 41%, respectively, of men recently diagnosed with HIV infection with MSM exposure mode. </w:t>
      </w:r>
    </w:p>
    <w:p w14:paraId="7B2764ED" w14:textId="77777777" w:rsidR="00DA78C5" w:rsidRPr="00DA78C5" w:rsidRDefault="00DA78C5" w:rsidP="00DE5ADD">
      <w:pPr>
        <w:pStyle w:val="spaced6"/>
      </w:pPr>
      <w:r w:rsidRPr="00DA78C5">
        <w:t>Individuals with MSM exposure mode newly diagnosed with HIV infection in Massachusetts during 2020 to 2022</w:t>
      </w:r>
      <w:r w:rsidR="00E1705D" w:rsidRPr="00DA78C5">
        <w:rPr>
          <w:rStyle w:val="FootnoteReference"/>
        </w:rPr>
        <w:footnoteReference w:id="113"/>
      </w:r>
      <w:r w:rsidR="1715D795" w:rsidRPr="00DA78C5">
        <w:t xml:space="preserve"> </w:t>
      </w:r>
      <w:r w:rsidRPr="00DA78C5">
        <w:t>were predominantly in their twenties or thirties (39% 20–29 year-olds, 34% 30–39 year-olds), Hispanic/Latinx (41%) or white (non-Hispanic) (33%), and US born (60%).</w:t>
      </w:r>
    </w:p>
    <w:p w14:paraId="107A70EA" w14:textId="71B9ACCF" w:rsidR="00E1705D" w:rsidRPr="00DA78C5" w:rsidRDefault="00E1705D" w:rsidP="00DE5ADD">
      <w:pPr>
        <w:pStyle w:val="spaced6"/>
      </w:pPr>
      <w:r w:rsidRPr="00DA78C5">
        <w:br w:type="page"/>
      </w:r>
    </w:p>
    <w:p w14:paraId="02691B25" w14:textId="4BD9B910" w:rsidR="003B5E4D" w:rsidRPr="00C96E6A" w:rsidRDefault="00E1705D" w:rsidP="00E1705D">
      <w:pPr>
        <w:pStyle w:val="Style2"/>
      </w:pPr>
      <w:bookmarkStart w:id="56" w:name="_Toc154057159"/>
      <w:r>
        <w:lastRenderedPageBreak/>
        <w:t>MSM – SYPHILIS CASES</w:t>
      </w:r>
      <w:bookmarkEnd w:id="56"/>
    </w:p>
    <w:p w14:paraId="37521EB7" w14:textId="1B30E2AC" w:rsidR="00E1705D" w:rsidRPr="00C96E6A" w:rsidRDefault="4FD96748" w:rsidP="00E1705D">
      <w:pPr>
        <w:rPr>
          <w:szCs w:val="24"/>
        </w:rPr>
      </w:pPr>
      <w:r w:rsidRPr="00C96E6A">
        <w:rPr>
          <w:b/>
          <w:bCs/>
        </w:rPr>
        <w:t xml:space="preserve">Figure </w:t>
      </w:r>
      <w:r w:rsidR="00C96E6A" w:rsidRPr="00C96E6A">
        <w:rPr>
          <w:b/>
          <w:bCs/>
        </w:rPr>
        <w:t>41</w:t>
      </w:r>
      <w:r w:rsidRPr="00C96E6A">
        <w:rPr>
          <w:b/>
          <w:bCs/>
        </w:rPr>
        <w:t xml:space="preserve">. </w:t>
      </w:r>
      <w:r w:rsidRPr="00C96E6A">
        <w:t>Confirmed and probable infectious syphilis</w:t>
      </w:r>
      <w:r w:rsidR="00E1705D" w:rsidRPr="00C96E6A">
        <w:rPr>
          <w:rStyle w:val="FootnoteReference"/>
        </w:rPr>
        <w:footnoteReference w:id="114"/>
      </w:r>
      <w:r w:rsidRPr="00C96E6A">
        <w:t xml:space="preserve"> </w:t>
      </w:r>
      <w:r w:rsidR="00C96E6A" w:rsidRPr="00C96E6A">
        <w:t>cases among men reporting sex with men, by race/ethnicity and age, Massachusetts 2022 (N=997)</w:t>
      </w:r>
    </w:p>
    <w:p w14:paraId="78EA7921" w14:textId="1772F5EB" w:rsidR="003B5E4D" w:rsidRPr="00C96E6A" w:rsidRDefault="00C96E6A" w:rsidP="003B5E4D">
      <w:pPr>
        <w:rPr>
          <w:szCs w:val="24"/>
        </w:rPr>
      </w:pPr>
      <w:r>
        <w:rPr>
          <w:noProof/>
          <w:color w:val="FF0000"/>
          <w:szCs w:val="24"/>
        </w:rPr>
        <w:drawing>
          <wp:inline distT="0" distB="0" distL="0" distR="0" wp14:anchorId="57C87590" wp14:editId="2D68DF01">
            <wp:extent cx="6773545" cy="3578860"/>
            <wp:effectExtent l="0" t="0" r="0" b="0"/>
            <wp:docPr id="1222409854" name="Picture 1222409854" descr="The figure is a series of two bar charts displaying the percentage distribution of infectious syphilis cases among men who have sex with men by race/ethnicity on the left and age at diagnosi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09854" name="Picture 21" descr="The figure is a series of two bar charts displaying the percentage distribution of infectious syphilis cases among men who have sex with men by race/ethnicity on the left and age at diagnosis on the right.&#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73545" cy="3578860"/>
                    </a:xfrm>
                    <a:prstGeom prst="rect">
                      <a:avLst/>
                    </a:prstGeom>
                    <a:noFill/>
                  </pic:spPr>
                </pic:pic>
              </a:graphicData>
            </a:graphic>
          </wp:inline>
        </w:drawing>
      </w:r>
    </w:p>
    <w:p w14:paraId="0F561CD2" w14:textId="3221F405" w:rsidR="00E1705D" w:rsidRPr="00C96E6A" w:rsidRDefault="00E1705D" w:rsidP="00E1705D">
      <w:pPr>
        <w:spacing w:after="120"/>
        <w:rPr>
          <w:sz w:val="20"/>
          <w:szCs w:val="20"/>
        </w:rPr>
      </w:pPr>
      <w:r w:rsidRPr="00C96E6A">
        <w:rPr>
          <w:sz w:val="20"/>
          <w:szCs w:val="20"/>
        </w:rPr>
        <w:t xml:space="preserve">Data Source: Bureau of Infectious Disease and Laboratory Sciences, data are current as of </w:t>
      </w:r>
      <w:r w:rsidR="00794545" w:rsidRPr="00C96E6A">
        <w:rPr>
          <w:sz w:val="20"/>
          <w:szCs w:val="20"/>
        </w:rPr>
        <w:t>7/21/2023</w:t>
      </w:r>
      <w:r w:rsidRPr="00C96E6A">
        <w:rPr>
          <w:sz w:val="20"/>
          <w:szCs w:val="20"/>
        </w:rPr>
        <w:t xml:space="preserve"> and subject to change</w:t>
      </w:r>
      <w:r w:rsidR="00B1580A">
        <w:rPr>
          <w:sz w:val="20"/>
          <w:szCs w:val="20"/>
        </w:rPr>
        <w:t>.</w:t>
      </w:r>
    </w:p>
    <w:p w14:paraId="27061320" w14:textId="77777777" w:rsidR="00C96E6A" w:rsidRPr="00C96E6A" w:rsidRDefault="00C96E6A" w:rsidP="00C96E6A">
      <w:pPr>
        <w:pStyle w:val="spaced6"/>
      </w:pPr>
      <w:r w:rsidRPr="00C96E6A">
        <w:t xml:space="preserve">Black (non-Hispanic) and Hispanic/Latinx individuals represented 7% and 13% of men in Massachusetts, compared to 14% and 31%, respectively, of infectious syphilis cases among men reporting sex with men in 2022. </w:t>
      </w:r>
    </w:p>
    <w:p w14:paraId="19D66DA0" w14:textId="6DDE6B99" w:rsidR="00E1705D" w:rsidRPr="00C96E6A" w:rsidRDefault="00C96E6A" w:rsidP="00C96E6A">
      <w:pPr>
        <w:pStyle w:val="spaced6"/>
      </w:pPr>
      <w:r w:rsidRPr="00C96E6A">
        <w:t>In 2022</w:t>
      </w:r>
      <w:r w:rsidR="19DB68D6" w:rsidRPr="00C96E6A">
        <w:t>,</w:t>
      </w:r>
      <w:r w:rsidR="00E1705D" w:rsidRPr="00C96E6A">
        <w:rPr>
          <w:rStyle w:val="FootnoteReference"/>
        </w:rPr>
        <w:footnoteReference w:id="115"/>
      </w:r>
      <w:r w:rsidR="19DB68D6" w:rsidRPr="00C96E6A">
        <w:t xml:space="preserve"> </w:t>
      </w:r>
      <w:r w:rsidRPr="00C96E6A">
        <w:t>infectious syphilis cases among men reporting sex with men were predominantly white (non-Hispanic) (41%), and age 30 years and above (69% 30+ year-olds).</w:t>
      </w:r>
    </w:p>
    <w:p w14:paraId="6960FDAC" w14:textId="569DD9B0" w:rsidR="00E1705D" w:rsidRPr="00C96E6A" w:rsidRDefault="00E1705D" w:rsidP="003B5E4D">
      <w:pPr>
        <w:rPr>
          <w:szCs w:val="24"/>
        </w:rPr>
      </w:pPr>
      <w:r w:rsidRPr="00C96E6A">
        <w:rPr>
          <w:szCs w:val="24"/>
        </w:rPr>
        <w:br w:type="page"/>
      </w:r>
    </w:p>
    <w:p w14:paraId="00B50989" w14:textId="598275A6" w:rsidR="003B5E4D" w:rsidRPr="00EA09A0" w:rsidRDefault="00E8508F" w:rsidP="00E617B9">
      <w:pPr>
        <w:pStyle w:val="Heading2"/>
      </w:pPr>
      <w:bookmarkStart w:id="57" w:name="_Toc154057160"/>
      <w:r>
        <w:lastRenderedPageBreak/>
        <w:t>TRENDS IN HIV EXPOSURE MODE AMONG MALES</w:t>
      </w:r>
      <w:bookmarkEnd w:id="57"/>
    </w:p>
    <w:p w14:paraId="28F5A30A" w14:textId="29262103" w:rsidR="00E8508F" w:rsidRPr="00EA09A0" w:rsidRDefault="79F4D5F5" w:rsidP="00E8508F">
      <w:r w:rsidRPr="00EA09A0">
        <w:rPr>
          <w:b/>
          <w:bCs/>
        </w:rPr>
        <w:t xml:space="preserve">Figure </w:t>
      </w:r>
      <w:r w:rsidR="00EA09A0" w:rsidRPr="00EA09A0">
        <w:rPr>
          <w:b/>
          <w:bCs/>
        </w:rPr>
        <w:t>42</w:t>
      </w:r>
      <w:r w:rsidRPr="00EA09A0">
        <w:rPr>
          <w:b/>
          <w:bCs/>
        </w:rPr>
        <w:t xml:space="preserve">. </w:t>
      </w:r>
      <w:r w:rsidRPr="00EA09A0">
        <w:t xml:space="preserve">Percentage distribution of individuals assigned male at birth (AMAB) diagnosed with HIV infection by exposure mode, Massachusetts </w:t>
      </w:r>
      <w:r w:rsidR="00171016" w:rsidRPr="00EA09A0">
        <w:t>2013–2022</w:t>
      </w:r>
      <w:r w:rsidRPr="00EA09A0">
        <w:t xml:space="preserve"> </w:t>
      </w:r>
    </w:p>
    <w:p w14:paraId="0110DA11" w14:textId="1899697A" w:rsidR="00AE72D1" w:rsidRPr="00EA09A0" w:rsidRDefault="00EA09A0" w:rsidP="00EA09A0">
      <w:r>
        <w:rPr>
          <w:noProof/>
          <w:color w:val="FF0000"/>
        </w:rPr>
        <w:drawing>
          <wp:inline distT="0" distB="0" distL="0" distR="0" wp14:anchorId="56C4E976" wp14:editId="62EE1479">
            <wp:extent cx="4991700" cy="3589020"/>
            <wp:effectExtent l="0" t="0" r="0" b="0"/>
            <wp:docPr id="1787551608" name="Picture 1787551608" descr="The figure is a trendline displaying the percentage distribution of HIV infection diagnoses among males by exposure mode (male-to-male sex, injection drug use, male-to-male sex/injection drug use, heterosexual sex, no identified risk, and Other) from 201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51608" name="Picture 22" descr="The figure is a trendline displaying the percentage distribution of HIV infection diagnoses among males by exposure mode (male-to-male sex, injection drug use, male-to-male sex/injection drug use, heterosexual sex, no identified risk, and Other) from 2013-202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5015" cy="3612973"/>
                    </a:xfrm>
                    <a:prstGeom prst="rect">
                      <a:avLst/>
                    </a:prstGeom>
                    <a:noFill/>
                  </pic:spPr>
                </pic:pic>
              </a:graphicData>
            </a:graphic>
          </wp:inline>
        </w:drawing>
      </w:r>
    </w:p>
    <w:p w14:paraId="6D48430D" w14:textId="5B9B3D0E" w:rsidR="00DB2AA6" w:rsidRPr="00EA09A0" w:rsidRDefault="00DB2AA6" w:rsidP="00DB2AA6">
      <w:pPr>
        <w:spacing w:after="120"/>
        <w:rPr>
          <w:sz w:val="20"/>
          <w:szCs w:val="18"/>
        </w:rPr>
      </w:pPr>
      <w:r w:rsidRPr="00EA09A0">
        <w:rPr>
          <w:sz w:val="20"/>
          <w:szCs w:val="18"/>
        </w:rPr>
        <w:t xml:space="preserve">Data Source: Bureau of Infectious Disease and Laboratory Sciences, data are current as of </w:t>
      </w:r>
      <w:r w:rsidR="001F75D4" w:rsidRPr="00EA09A0">
        <w:rPr>
          <w:sz w:val="20"/>
          <w:szCs w:val="18"/>
        </w:rPr>
        <w:t>7/1/2023</w:t>
      </w:r>
      <w:r w:rsidRPr="00EA09A0">
        <w:rPr>
          <w:sz w:val="20"/>
          <w:szCs w:val="18"/>
        </w:rPr>
        <w:t xml:space="preserve"> and subject to change</w:t>
      </w:r>
      <w:r w:rsidR="00B1580A">
        <w:rPr>
          <w:sz w:val="20"/>
          <w:szCs w:val="18"/>
        </w:rPr>
        <w:t>.</w:t>
      </w:r>
    </w:p>
    <w:p w14:paraId="150FA191" w14:textId="77777777" w:rsidR="00EA09A0" w:rsidRPr="00270F3E" w:rsidRDefault="00EA09A0" w:rsidP="00DE5ADD">
      <w:pPr>
        <w:pStyle w:val="spaced6"/>
      </w:pPr>
      <w:r w:rsidRPr="00270F3E">
        <w:t>Among individuals AMAB, the proportion of HIV infection diagnoses with male-to-male sex as the reported mode of exposure remained between 50% and 66% from 2013 to 2022</w:t>
      </w:r>
      <w:r w:rsidR="516393C2" w:rsidRPr="00270F3E">
        <w:t>.</w:t>
      </w:r>
      <w:r w:rsidR="0016286F" w:rsidRPr="00270F3E">
        <w:rPr>
          <w:rStyle w:val="FootnoteReference"/>
        </w:rPr>
        <w:footnoteReference w:id="116"/>
      </w:r>
      <w:r w:rsidR="516393C2" w:rsidRPr="00270F3E">
        <w:t xml:space="preserve"> </w:t>
      </w:r>
      <w:r w:rsidRPr="00270F3E">
        <w:t>During the same time period, the proportion reported with no identified risk remained between 20% and 30%.</w:t>
      </w:r>
    </w:p>
    <w:p w14:paraId="7191E215" w14:textId="4E72D5CC" w:rsidR="0016286F" w:rsidRPr="00270F3E" w:rsidRDefault="00EA09A0" w:rsidP="00DE5ADD">
      <w:pPr>
        <w:pStyle w:val="spaced6"/>
      </w:pPr>
      <w:r w:rsidRPr="00270F3E">
        <w:t>The proportion of cases among individuals AMAB attributed to injection drug use increased from 4% in 2014 to a peak of 17% in 2017 and then decreased to 9% in 2019. The increase was primarily due to an outbreak among persons who inject drugs in the northeast part of the state between 2016 and 2018</w:t>
      </w:r>
      <w:r w:rsidR="516393C2" w:rsidRPr="00270F3E">
        <w:t>.</w:t>
      </w:r>
      <w:r w:rsidR="0016286F" w:rsidRPr="00270F3E">
        <w:rPr>
          <w:rStyle w:val="FootnoteReference"/>
        </w:rPr>
        <w:footnoteReference w:id="117"/>
      </w:r>
      <w:r w:rsidR="516393C2" w:rsidRPr="00270F3E">
        <w:t xml:space="preserve"> </w:t>
      </w:r>
      <w:r w:rsidRPr="00270F3E">
        <w:t xml:space="preserve">Following a </w:t>
      </w:r>
      <w:r w:rsidR="004879B7">
        <w:t>focused</w:t>
      </w:r>
      <w:r w:rsidRPr="00270F3E">
        <w:t xml:space="preserve"> public health response, the number of HIV infection diagnoses attributed to IDU in the northeast decreased. However, in early 2019, a new cluster of HIV infection was identified in Boston among PWID who were experiencing or had experienced recent homelessness, and the proportion of HIV infection diagnoses among AMAB with IDU as the primary exposure increased again to 17% in 2021, and then decreased to 10% in 2022</w:t>
      </w:r>
      <w:r w:rsidR="516393C2" w:rsidRPr="00270F3E">
        <w:t>.</w:t>
      </w:r>
      <w:r w:rsidR="0016286F" w:rsidRPr="00270F3E">
        <w:rPr>
          <w:rStyle w:val="FootnoteReference"/>
        </w:rPr>
        <w:footnoteReference w:id="118"/>
      </w:r>
      <w:r w:rsidR="516393C2" w:rsidRPr="00270F3E">
        <w:t xml:space="preserve"> </w:t>
      </w:r>
      <w:r w:rsidR="0016286F" w:rsidRPr="00270F3E">
        <w:br w:type="page"/>
      </w:r>
    </w:p>
    <w:p w14:paraId="5ED8A541" w14:textId="2A758A94" w:rsidR="00DB2AA6" w:rsidRPr="009839C2" w:rsidRDefault="0016286F" w:rsidP="00BD61BF">
      <w:pPr>
        <w:pStyle w:val="Heading1"/>
      </w:pPr>
      <w:bookmarkStart w:id="58" w:name="_SPECIFIC_POPULATIONS_–"/>
      <w:bookmarkStart w:id="59" w:name="_Toc154057161"/>
      <w:bookmarkEnd w:id="58"/>
      <w:r>
        <w:lastRenderedPageBreak/>
        <w:t>SPECIFIC POPULATIONS – PERSONS WHO INJECT DRUGS</w:t>
      </w:r>
      <w:bookmarkEnd w:id="59"/>
    </w:p>
    <w:p w14:paraId="4BB1775B" w14:textId="6119B151" w:rsidR="00706568" w:rsidRPr="009839C2" w:rsidRDefault="460094B2" w:rsidP="00706568">
      <w:r w:rsidRPr="009839C2">
        <w:rPr>
          <w:b/>
          <w:bCs/>
        </w:rPr>
        <w:t xml:space="preserve">Figure </w:t>
      </w:r>
      <w:r w:rsidR="009839C2" w:rsidRPr="009839C2">
        <w:rPr>
          <w:b/>
          <w:bCs/>
        </w:rPr>
        <w:t>43</w:t>
      </w:r>
      <w:r w:rsidRPr="009839C2">
        <w:rPr>
          <w:b/>
          <w:bCs/>
        </w:rPr>
        <w:t xml:space="preserve">. </w:t>
      </w:r>
      <w:r w:rsidRPr="009839C2">
        <w:t xml:space="preserve">Individuals diagnosed with HIV infection by exposure mode, Massachusetts </w:t>
      </w:r>
      <w:r w:rsidR="00171016" w:rsidRPr="009839C2">
        <w:t>2013–2022</w:t>
      </w:r>
    </w:p>
    <w:p w14:paraId="136C84D8" w14:textId="3D01AC84" w:rsidR="00DB2AA6" w:rsidRPr="009839C2" w:rsidRDefault="009839C2" w:rsidP="00E8508F">
      <w:r>
        <w:rPr>
          <w:noProof/>
        </w:rPr>
        <w:drawing>
          <wp:inline distT="0" distB="0" distL="0" distR="0" wp14:anchorId="55782225" wp14:editId="2BE449F3">
            <wp:extent cx="5288280" cy="3375124"/>
            <wp:effectExtent l="0" t="0" r="0" b="0"/>
            <wp:docPr id="1022996294" name="Picture 1022996294" descr="The figure is a trendline displaying the number of HIV infections diagnosed each year from 2012 to 2021 for each of seven exposure mode categories: male-to-male sex, injection drug use, male-to-male sex/injection drug use, heterosexual sex, other, presumed heterosexual sex, and no identified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96294" name="Picture 23" descr="The figure is a trendline displaying the number of HIV infections diagnosed each year from 2012 to 2021 for each of seven exposure mode categories: male-to-male sex, injection drug use, male-to-male sex/injection drug use, heterosexual sex, other, presumed heterosexual sex, and no identified risk.&#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1053" cy="3383276"/>
                    </a:xfrm>
                    <a:prstGeom prst="rect">
                      <a:avLst/>
                    </a:prstGeom>
                    <a:noFill/>
                  </pic:spPr>
                </pic:pic>
              </a:graphicData>
            </a:graphic>
          </wp:inline>
        </w:drawing>
      </w:r>
    </w:p>
    <w:p w14:paraId="664BC2B6" w14:textId="6D8228BC" w:rsidR="00F95EEE" w:rsidRPr="009839C2" w:rsidRDefault="00F95EEE" w:rsidP="00F95EEE">
      <w:pPr>
        <w:spacing w:after="120"/>
        <w:rPr>
          <w:sz w:val="20"/>
          <w:szCs w:val="18"/>
        </w:rPr>
      </w:pPr>
      <w:r w:rsidRPr="009839C2">
        <w:rPr>
          <w:sz w:val="20"/>
          <w:szCs w:val="18"/>
        </w:rPr>
        <w:t xml:space="preserve">Data Source: Bureau of Infectious Disease and Laboratory Sciences, data are current as of </w:t>
      </w:r>
      <w:r w:rsidR="001F75D4" w:rsidRPr="009839C2">
        <w:rPr>
          <w:sz w:val="20"/>
          <w:szCs w:val="18"/>
        </w:rPr>
        <w:t>7/1/2023</w:t>
      </w:r>
      <w:r w:rsidRPr="009839C2">
        <w:rPr>
          <w:sz w:val="20"/>
          <w:szCs w:val="18"/>
        </w:rPr>
        <w:t xml:space="preserve"> and subject to change</w:t>
      </w:r>
      <w:r w:rsidR="00B1580A">
        <w:rPr>
          <w:sz w:val="20"/>
          <w:szCs w:val="18"/>
        </w:rPr>
        <w:t>.</w:t>
      </w:r>
    </w:p>
    <w:p w14:paraId="6925C865" w14:textId="197508FC" w:rsidR="007561C9" w:rsidRPr="007561C9" w:rsidRDefault="009839C2" w:rsidP="007561C9">
      <w:pPr>
        <w:numPr>
          <w:ilvl w:val="0"/>
          <w:numId w:val="14"/>
        </w:numPr>
      </w:pPr>
      <w:r w:rsidRPr="007561C9">
        <w:t>After declining by 18% from 2013 (N=38) to 2014 (N=31), the number of reported cases with injection drug use (IDU) as the primary exposure mode peaked at 116 in 2017 then decreased to 58 in 2019. The increase was primarily due to an outbreak among persons who inject drugs (PWID) in the northeast part of the state between 2016 and 2018</w:t>
      </w:r>
      <w:r w:rsidR="4286487D" w:rsidRPr="007561C9">
        <w:t>.</w:t>
      </w:r>
      <w:r w:rsidR="00F95EEE" w:rsidRPr="007561C9">
        <w:rPr>
          <w:rStyle w:val="FootnoteReference"/>
        </w:rPr>
        <w:footnoteReference w:id="119"/>
      </w:r>
      <w:r w:rsidR="4286487D" w:rsidRPr="007561C9">
        <w:t xml:space="preserve"> </w:t>
      </w:r>
      <w:r w:rsidR="007561C9" w:rsidRPr="007561C9">
        <w:t>Following a</w:t>
      </w:r>
      <w:r w:rsidR="004879B7">
        <w:t xml:space="preserve"> focused</w:t>
      </w:r>
      <w:r w:rsidR="00A8743D">
        <w:t xml:space="preserve"> </w:t>
      </w:r>
      <w:r w:rsidR="007561C9" w:rsidRPr="007561C9">
        <w:t xml:space="preserve">public health response, the number of HIV infection diagnoses attributed to IDU in the northeast has decreased. </w:t>
      </w:r>
    </w:p>
    <w:p w14:paraId="1CEDFCEA" w14:textId="55D89947" w:rsidR="00FA73E7" w:rsidRPr="007561C9" w:rsidRDefault="007561C9" w:rsidP="00DE5ADD">
      <w:pPr>
        <w:numPr>
          <w:ilvl w:val="0"/>
          <w:numId w:val="14"/>
        </w:numPr>
      </w:pPr>
      <w:r w:rsidRPr="007561C9">
        <w:t>However, in early 2019, a new cluster of HIV infection was identified in Boston among PWID who were experiencing or had experienced recent homelessness, and the total statewide number of reported cases with IDU as the primary exposure increased to 81 in 2021</w:t>
      </w:r>
      <w:r w:rsidR="0CD7C69F" w:rsidRPr="007561C9">
        <w:t>.</w:t>
      </w:r>
      <w:r w:rsidR="00F95EEE" w:rsidRPr="007561C9">
        <w:rPr>
          <w:rStyle w:val="FootnoteReference"/>
        </w:rPr>
        <w:footnoteReference w:id="120"/>
      </w:r>
      <w:r w:rsidR="0CD7C69F" w:rsidRPr="007561C9">
        <w:t xml:space="preserve"> </w:t>
      </w:r>
      <w:r w:rsidRPr="007561C9">
        <w:t xml:space="preserve">Following another </w:t>
      </w:r>
      <w:r w:rsidR="004879B7">
        <w:t>focused</w:t>
      </w:r>
      <w:r w:rsidRPr="007561C9">
        <w:t xml:space="preserve"> public health response, the number of HIV infection diagnoses attributed to IDU decreased by 46% to 44 in 2022. As of December 31, 2022, a total of 188 cases diagnosed since November 2018 have been investigated and identified as part of the Boston cluster. As it is an active cluster of concern, additional cases will continue to be investigated and added. Emerging trends among those newly diagnosed in the B</w:t>
      </w:r>
      <w:r w:rsidR="00A8743D">
        <w:t>o</w:t>
      </w:r>
      <w:r w:rsidRPr="007561C9">
        <w:t>ston cluster (N=23 cases diagnosed in 2022) include an increase in polysubstance and methamphetamine use</w:t>
      </w:r>
      <w:r w:rsidR="00F95EEE" w:rsidRPr="007561C9">
        <w:rPr>
          <w:rStyle w:val="FootnoteReference"/>
        </w:rPr>
        <w:footnoteReference w:id="121"/>
      </w:r>
      <w:r w:rsidR="00FA73E7" w:rsidRPr="007561C9">
        <w:br w:type="page"/>
      </w:r>
    </w:p>
    <w:p w14:paraId="72604F03" w14:textId="1AD9A324" w:rsidR="00F95EEE" w:rsidRPr="00464251" w:rsidRDefault="00FA73E7" w:rsidP="00FA73E7">
      <w:pPr>
        <w:pStyle w:val="Heading2"/>
      </w:pPr>
      <w:bookmarkStart w:id="60" w:name="_Toc154057162"/>
      <w:r>
        <w:lastRenderedPageBreak/>
        <w:t>PERSONS WHO INJECT DRUGS – RECENT HIV DIAGNOSES</w:t>
      </w:r>
      <w:bookmarkEnd w:id="60"/>
    </w:p>
    <w:p w14:paraId="3B45275F" w14:textId="7DD519BA" w:rsidR="00FA73E7" w:rsidRPr="00464251" w:rsidRDefault="00FA73E7" w:rsidP="00FA73E7">
      <w:r w:rsidRPr="00464251">
        <w:rPr>
          <w:b/>
          <w:bCs/>
        </w:rPr>
        <w:t xml:space="preserve">Figure </w:t>
      </w:r>
      <w:r w:rsidR="00464251" w:rsidRPr="00464251">
        <w:rPr>
          <w:b/>
          <w:bCs/>
        </w:rPr>
        <w:t>44</w:t>
      </w:r>
      <w:r w:rsidRPr="00464251">
        <w:rPr>
          <w:b/>
          <w:bCs/>
        </w:rPr>
        <w:t xml:space="preserve">. </w:t>
      </w:r>
      <w:r w:rsidRPr="00464251">
        <w:t xml:space="preserve">Percentage of individuals with IDU exposure mode diagnosed with HIV infection by race/ethnicity, age, place of birth and current gender, Massachusetts </w:t>
      </w:r>
      <w:r w:rsidR="00775ABA" w:rsidRPr="00464251">
        <w:t>2020–2022</w:t>
      </w:r>
      <w:r w:rsidRPr="00464251">
        <w:t xml:space="preserve"> (N=2</w:t>
      </w:r>
      <w:r w:rsidR="00464251" w:rsidRPr="00464251">
        <w:t>03</w:t>
      </w:r>
      <w:r w:rsidRPr="00464251">
        <w:t>)</w:t>
      </w:r>
    </w:p>
    <w:p w14:paraId="0FE8D3CF" w14:textId="28DE7720" w:rsidR="00F95EEE" w:rsidRPr="00464251" w:rsidRDefault="00464251" w:rsidP="00E8508F">
      <w:r>
        <w:rPr>
          <w:noProof/>
          <w:color w:val="FF0000"/>
        </w:rPr>
        <w:drawing>
          <wp:inline distT="0" distB="0" distL="0" distR="0" wp14:anchorId="6BA7B0DB" wp14:editId="7A9D2EEC">
            <wp:extent cx="6767195" cy="4486910"/>
            <wp:effectExtent l="0" t="0" r="0" b="0"/>
            <wp:docPr id="2136217186" name="Picture 2136217186" descr="The figure is a series of four bar charts displaying the percentage distribution of individuals diagnosed with HIV infection with IDU exposure mode by race/ethnicity (white NH, black NH, Hispanic/Latinx, Asian/Pacific Islander, Other/unknown), age at diagnosis (0-19, 20-24, 25-29, 30-39, 40-49, 50+), place of birth (US Born, PR/USD), non-US born), and gender (male, female, trans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17186" name="Picture 24" descr="The figure is a series of four bar charts displaying the percentage distribution of individuals diagnosed with HIV infection with IDU exposure mode by race/ethnicity (white NH, black NH, Hispanic/Latinx, Asian/Pacific Islander, Other/unknown), age at diagnosis (0-19, 20-24, 25-29, 30-39, 40-49, 50+), place of birth (US Born, PR/USD), non-US born), and gender (male, female, transgender).&#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67195" cy="4486910"/>
                    </a:xfrm>
                    <a:prstGeom prst="rect">
                      <a:avLst/>
                    </a:prstGeom>
                    <a:noFill/>
                  </pic:spPr>
                </pic:pic>
              </a:graphicData>
            </a:graphic>
          </wp:inline>
        </w:drawing>
      </w:r>
    </w:p>
    <w:p w14:paraId="2AC7AD54" w14:textId="3561AEA8" w:rsidR="00FA73E7" w:rsidRPr="00464251" w:rsidRDefault="00FA73E7" w:rsidP="00FA73E7">
      <w:pPr>
        <w:rPr>
          <w:sz w:val="20"/>
          <w:szCs w:val="18"/>
        </w:rPr>
      </w:pPr>
      <w:r w:rsidRPr="00464251">
        <w:rPr>
          <w:sz w:val="20"/>
          <w:szCs w:val="18"/>
        </w:rPr>
        <w:t xml:space="preserve">Data Source: Bureau of Infectious Disease and Laboratory Sciences, data are current as of </w:t>
      </w:r>
      <w:r w:rsidR="001F75D4" w:rsidRPr="00464251">
        <w:rPr>
          <w:sz w:val="20"/>
          <w:szCs w:val="18"/>
        </w:rPr>
        <w:t>7/1/2023</w:t>
      </w:r>
      <w:r w:rsidRPr="00464251">
        <w:rPr>
          <w:sz w:val="20"/>
          <w:szCs w:val="18"/>
        </w:rPr>
        <w:t xml:space="preserve"> and subject to change</w:t>
      </w:r>
      <w:r w:rsidR="00B1580A">
        <w:rPr>
          <w:sz w:val="20"/>
          <w:szCs w:val="18"/>
        </w:rPr>
        <w:t>.</w:t>
      </w:r>
    </w:p>
    <w:p w14:paraId="7232C8A3" w14:textId="31D12E86" w:rsidR="00FA73E7" w:rsidRPr="00381EB0" w:rsidRDefault="00FA73E7" w:rsidP="00E8508F"/>
    <w:p w14:paraId="6513A9A4" w14:textId="12DF7290" w:rsidR="00234003" w:rsidRPr="00381EB0" w:rsidRDefault="152460A4">
      <w:pPr>
        <w:numPr>
          <w:ilvl w:val="0"/>
          <w:numId w:val="15"/>
        </w:numPr>
      </w:pPr>
      <w:r w:rsidRPr="00381EB0">
        <w:t>Individuals with IDU exposure mode newly diagnosed with HIV infection in Massachusetts during 20</w:t>
      </w:r>
      <w:r w:rsidR="00381EB0" w:rsidRPr="00381EB0">
        <w:t>20</w:t>
      </w:r>
      <w:r w:rsidRPr="00381EB0">
        <w:t xml:space="preserve"> to 202</w:t>
      </w:r>
      <w:r w:rsidR="00381EB0" w:rsidRPr="00381EB0">
        <w:t>2</w:t>
      </w:r>
      <w:r w:rsidR="00234003" w:rsidRPr="00381EB0">
        <w:rPr>
          <w:rStyle w:val="FootnoteReference"/>
        </w:rPr>
        <w:footnoteReference w:id="122"/>
      </w:r>
      <w:r w:rsidRPr="00381EB0">
        <w:t xml:space="preserve"> </w:t>
      </w:r>
      <w:r w:rsidR="00381EB0" w:rsidRPr="00381EB0">
        <w:t>were predominantly white (non-Hispanic) (74%), between 30 and 39 years of age (51%), US born (94%), and male (67%).</w:t>
      </w:r>
    </w:p>
    <w:p w14:paraId="40F296A9" w14:textId="081C0636" w:rsidR="00234003" w:rsidRPr="00381EB0" w:rsidRDefault="00234003" w:rsidP="00E8508F">
      <w:r w:rsidRPr="00381EB0">
        <w:br w:type="page"/>
      </w:r>
    </w:p>
    <w:p w14:paraId="3626F173" w14:textId="51F62D56" w:rsidR="00FA73E7" w:rsidRPr="00381EB0" w:rsidRDefault="00234003" w:rsidP="38A4F72D">
      <w:pPr>
        <w:pStyle w:val="Heading2"/>
      </w:pPr>
      <w:bookmarkStart w:id="61" w:name="_Toc154057163"/>
      <w:r>
        <w:lastRenderedPageBreak/>
        <w:t>DEATHS FROM ANY CAUSE AMONG INDIVIDUALS REPORTED WITH HIV BY EXPOSURE MODE</w:t>
      </w:r>
      <w:bookmarkEnd w:id="61"/>
    </w:p>
    <w:p w14:paraId="763ABC32" w14:textId="7EBFCAFE" w:rsidR="00234003" w:rsidRPr="0059656B" w:rsidRDefault="00234003" w:rsidP="00234003">
      <w:r w:rsidRPr="0059656B">
        <w:rPr>
          <w:b/>
          <w:bCs/>
        </w:rPr>
        <w:t xml:space="preserve">Figure </w:t>
      </w:r>
      <w:r w:rsidR="00381EB0" w:rsidRPr="0059656B">
        <w:rPr>
          <w:b/>
          <w:bCs/>
        </w:rPr>
        <w:t>45</w:t>
      </w:r>
      <w:r w:rsidRPr="0059656B">
        <w:rPr>
          <w:b/>
          <w:bCs/>
        </w:rPr>
        <w:t xml:space="preserve">. </w:t>
      </w:r>
      <w:r w:rsidRPr="0059656B">
        <w:t>Deaths from any cause among individuals reported with HIV by exposure mode, Massachusetts 202</w:t>
      </w:r>
      <w:r w:rsidR="0059656B" w:rsidRPr="0059656B">
        <w:t>2</w:t>
      </w:r>
      <w:r w:rsidRPr="0059656B">
        <w:t xml:space="preserve"> (N=</w:t>
      </w:r>
      <w:r w:rsidR="0059656B" w:rsidRPr="0059656B">
        <w:t>355</w:t>
      </w:r>
      <w:r w:rsidRPr="0059656B">
        <w:t>)</w:t>
      </w:r>
    </w:p>
    <w:p w14:paraId="6C362DFB" w14:textId="77A1D3BA" w:rsidR="00234003" w:rsidRPr="00991A6F" w:rsidRDefault="00F2712E" w:rsidP="00F2712E">
      <w:pPr>
        <w:jc w:val="center"/>
        <w:rPr>
          <w:color w:val="FF0000"/>
        </w:rPr>
      </w:pPr>
      <w:r>
        <w:rPr>
          <w:noProof/>
          <w:color w:val="FF0000"/>
        </w:rPr>
        <w:drawing>
          <wp:inline distT="0" distB="0" distL="0" distR="0" wp14:anchorId="439518FB" wp14:editId="2CF4ED00">
            <wp:extent cx="4407535" cy="3773805"/>
            <wp:effectExtent l="0" t="0" r="0" b="0"/>
            <wp:docPr id="1448444835" name="Picture 1448444835" descr="The figure is an open pie chart which displays the distribution by exposure mode of deaths among individuals reported with HIV for 2022. Text in the center of the pie chart reads, &quot;41% reported IDU&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44835" name="Picture 25" descr="The figure is an open pie chart which displays the distribution by exposure mode of deaths among individuals reported with HIV for 2022. Text in the center of the pie chart reads, &quot;41% reported IDU&quot;.&#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7535" cy="3773805"/>
                    </a:xfrm>
                    <a:prstGeom prst="rect">
                      <a:avLst/>
                    </a:prstGeom>
                    <a:noFill/>
                  </pic:spPr>
                </pic:pic>
              </a:graphicData>
            </a:graphic>
          </wp:inline>
        </w:drawing>
      </w:r>
    </w:p>
    <w:p w14:paraId="62EB8AD9" w14:textId="7F762E55" w:rsidR="00234003" w:rsidRPr="002A540E" w:rsidRDefault="00234003" w:rsidP="00234003">
      <w:pPr>
        <w:rPr>
          <w:sz w:val="20"/>
          <w:szCs w:val="18"/>
        </w:rPr>
      </w:pPr>
      <w:r w:rsidRPr="002A540E">
        <w:rPr>
          <w:sz w:val="20"/>
          <w:szCs w:val="18"/>
        </w:rPr>
        <w:t xml:space="preserve">Data Source: Bureau of Infectious Disease and Laboratory Sciences, data are current as of </w:t>
      </w:r>
      <w:r w:rsidR="001F75D4" w:rsidRPr="002A540E">
        <w:rPr>
          <w:sz w:val="20"/>
          <w:szCs w:val="18"/>
        </w:rPr>
        <w:t>7/1/2023</w:t>
      </w:r>
      <w:r w:rsidRPr="002A540E">
        <w:rPr>
          <w:sz w:val="20"/>
          <w:szCs w:val="18"/>
        </w:rPr>
        <w:t xml:space="preserve"> and subject to change</w:t>
      </w:r>
      <w:r w:rsidR="00B1580A">
        <w:rPr>
          <w:sz w:val="20"/>
          <w:szCs w:val="18"/>
        </w:rPr>
        <w:t>.</w:t>
      </w:r>
    </w:p>
    <w:p w14:paraId="2BFBD75C" w14:textId="2CDD8623" w:rsidR="00234003" w:rsidRPr="00BC6329" w:rsidRDefault="00234003" w:rsidP="00234003"/>
    <w:p w14:paraId="3E60876D" w14:textId="5F783058" w:rsidR="00234003" w:rsidRPr="00BC6329" w:rsidRDefault="00BC6329">
      <w:pPr>
        <w:numPr>
          <w:ilvl w:val="0"/>
          <w:numId w:val="16"/>
        </w:numPr>
      </w:pPr>
      <w:r w:rsidRPr="00BC6329">
        <w:t>The proportion of deaths from any cause among individuals with HIV with IDU exposure mode decreased from 42% in 2013 to 36% in 2022</w:t>
      </w:r>
      <w:r w:rsidR="152460A4" w:rsidRPr="00BC6329">
        <w:t>.</w:t>
      </w:r>
      <w:r w:rsidR="152460A4" w:rsidRPr="00BC6329">
        <w:rPr>
          <w:rStyle w:val="FootnoteReference"/>
        </w:rPr>
        <w:t xml:space="preserve"> </w:t>
      </w:r>
      <w:r w:rsidR="00234003" w:rsidRPr="00BC6329">
        <w:rPr>
          <w:rStyle w:val="FootnoteReference"/>
        </w:rPr>
        <w:footnoteReference w:id="123"/>
      </w:r>
      <w:r w:rsidR="152460A4" w:rsidRPr="00BC6329">
        <w:t xml:space="preserve"> </w:t>
      </w:r>
      <w:r w:rsidRPr="00BC6329">
        <w:t>At 36%, the proportion among IDU remained the largest among exposure modes in 2022, with an additional 5% reported with an exposure mode of MSM/IDU, compared to 10% and 4%, respectively, of new HIV diagnoses.</w:t>
      </w:r>
    </w:p>
    <w:p w14:paraId="496FC5E1" w14:textId="0DBC52ED" w:rsidR="00234003" w:rsidRPr="00BC6329" w:rsidRDefault="00234003" w:rsidP="00234003">
      <w:r w:rsidRPr="00BC6329">
        <w:br w:type="page"/>
      </w:r>
    </w:p>
    <w:p w14:paraId="0CC5F630" w14:textId="3CD547A1" w:rsidR="00234003" w:rsidRPr="000B1CAF" w:rsidRDefault="00234003" w:rsidP="009D128C">
      <w:pPr>
        <w:pStyle w:val="Heading1"/>
      </w:pPr>
      <w:bookmarkStart w:id="62" w:name="_Toc154057164"/>
      <w:r>
        <w:lastRenderedPageBreak/>
        <w:t>SPECIFIC POPULATIONS – RACIAL/ETHNIC MINORITIES</w:t>
      </w:r>
      <w:bookmarkEnd w:id="62"/>
    </w:p>
    <w:p w14:paraId="662D6B24" w14:textId="679D4269" w:rsidR="00386072" w:rsidRPr="000B1CAF" w:rsidRDefault="01BE3A5B" w:rsidP="00386072">
      <w:r w:rsidRPr="000B1CAF">
        <w:rPr>
          <w:b/>
          <w:bCs/>
        </w:rPr>
        <w:t>Figure 4</w:t>
      </w:r>
      <w:r w:rsidR="386F5E5B" w:rsidRPr="000B1CAF">
        <w:rPr>
          <w:b/>
          <w:bCs/>
        </w:rPr>
        <w:t>6</w:t>
      </w:r>
      <w:r w:rsidRPr="000B1CAF">
        <w:rPr>
          <w:b/>
          <w:bCs/>
        </w:rPr>
        <w:t xml:space="preserve">. </w:t>
      </w:r>
      <w:r w:rsidRPr="000B1CAF">
        <w:t>Distribution of the general population</w:t>
      </w:r>
      <w:r w:rsidR="007D7E86" w:rsidRPr="000B1CAF">
        <w:rPr>
          <w:rStyle w:val="FootnoteReference"/>
        </w:rPr>
        <w:footnoteReference w:id="124"/>
      </w:r>
      <w:r w:rsidRPr="000B1CAF">
        <w:t xml:space="preserve"> and of individuals diagnosed with confirmed and probable infectious syphilis</w:t>
      </w:r>
      <w:r w:rsidR="007D7E86" w:rsidRPr="000B1CAF">
        <w:rPr>
          <w:rStyle w:val="FootnoteReference"/>
        </w:rPr>
        <w:footnoteReference w:id="125"/>
      </w:r>
      <w:r w:rsidRPr="000B1CAF">
        <w:t xml:space="preserve"> in 202</w:t>
      </w:r>
      <w:r w:rsidR="386F5E5B" w:rsidRPr="000B1CAF">
        <w:t>2</w:t>
      </w:r>
      <w:r w:rsidRPr="000B1CAF">
        <w:t xml:space="preserve">, and HIV infection during </w:t>
      </w:r>
      <w:r w:rsidR="44AFD7F4" w:rsidRPr="000B1CAF">
        <w:t>2020–2022</w:t>
      </w:r>
      <w:r w:rsidRPr="000B1CAF">
        <w:t xml:space="preserve"> by race/ethnicity, Massachusetts</w:t>
      </w:r>
    </w:p>
    <w:p w14:paraId="5D29C673" w14:textId="6A7F62AC" w:rsidR="00386072" w:rsidRPr="00991A6F" w:rsidRDefault="00386072" w:rsidP="00386072">
      <w:pPr>
        <w:rPr>
          <w:color w:val="FF0000"/>
        </w:rPr>
      </w:pPr>
    </w:p>
    <w:p w14:paraId="2D7E0049" w14:textId="423ACE15" w:rsidR="009F709C" w:rsidRPr="009F709C" w:rsidRDefault="65FE9790" w:rsidP="00301485">
      <w:pPr>
        <w:pStyle w:val="spaced6"/>
        <w:numPr>
          <w:ilvl w:val="0"/>
          <w:numId w:val="0"/>
        </w:numPr>
        <w:spacing w:after="0"/>
        <w:rPr>
          <w:sz w:val="20"/>
          <w:szCs w:val="20"/>
        </w:rPr>
      </w:pPr>
      <w:r>
        <w:rPr>
          <w:noProof/>
        </w:rPr>
        <w:drawing>
          <wp:inline distT="0" distB="0" distL="0" distR="0" wp14:anchorId="390A47F8" wp14:editId="02FFD783">
            <wp:extent cx="5883442" cy="3726180"/>
            <wp:effectExtent l="0" t="0" r="0" b="0"/>
            <wp:docPr id="1967109905" name="Picture 1967109905" descr="The figure is a stacked bar chart displaying the percentage distribution by race/ethnicity of three groups: the Massachusetts population, 2022 infectious syphilis cases, and 2020-2022 HIV Diagno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09905" name="Picture 1967109905" descr="The figure is a stacked bar chart displaying the percentage distribution by race/ethnicity of three groups: the Massachusetts population, 2022 infectious syphilis cases, and 2020-2022 HIV Diagnoses.&#1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87356" cy="3728659"/>
                    </a:xfrm>
                    <a:prstGeom prst="rect">
                      <a:avLst/>
                    </a:prstGeom>
                  </pic:spPr>
                </pic:pic>
              </a:graphicData>
            </a:graphic>
          </wp:inline>
        </w:drawing>
      </w:r>
      <w:r w:rsidR="0F481FE5" w:rsidRPr="7108AB92">
        <w:rPr>
          <w:sz w:val="20"/>
          <w:szCs w:val="20"/>
        </w:rPr>
        <w:t>Confirmed and Probable Infectious Syphilis 2022, N=1,533 and excludes 60 (4%) cases missing race/ethnicity; HIV Diagnoses 2020-2022, N=1,330</w:t>
      </w:r>
    </w:p>
    <w:p w14:paraId="42DD07E5" w14:textId="73DC61C5" w:rsidR="009F709C" w:rsidRPr="009F709C" w:rsidRDefault="009F709C" w:rsidP="00301485">
      <w:pPr>
        <w:pStyle w:val="spaced6"/>
        <w:numPr>
          <w:ilvl w:val="0"/>
          <w:numId w:val="0"/>
        </w:numPr>
      </w:pPr>
      <w:r w:rsidRPr="009F709C">
        <w:rPr>
          <w:sz w:val="20"/>
          <w:szCs w:val="18"/>
        </w:rPr>
        <w:t>Data Source: Bureau of Infectious Disease and Laboratory Sciences, HIV data are current as of 7/1/2023, STD data are current as of 7/21/2023 and subject to change</w:t>
      </w:r>
      <w:r w:rsidR="00B1580A">
        <w:rPr>
          <w:sz w:val="20"/>
          <w:szCs w:val="18"/>
        </w:rPr>
        <w:t>.</w:t>
      </w:r>
    </w:p>
    <w:p w14:paraId="085E0030" w14:textId="5D5C13AD" w:rsidR="007D7E86" w:rsidRPr="009F709C" w:rsidRDefault="2EBB8370" w:rsidP="009F709C">
      <w:pPr>
        <w:pStyle w:val="spaced6"/>
      </w:pPr>
      <w:r w:rsidRPr="009F709C">
        <w:t>In 202</w:t>
      </w:r>
      <w:r w:rsidR="0F481FE5" w:rsidRPr="009F709C">
        <w:t>2</w:t>
      </w:r>
      <w:r w:rsidRPr="009F709C">
        <w:t>,</w:t>
      </w:r>
      <w:r w:rsidR="007D7E86" w:rsidRPr="009F709C">
        <w:rPr>
          <w:rStyle w:val="FootnoteReference"/>
        </w:rPr>
        <w:footnoteReference w:id="126"/>
      </w:r>
      <w:r w:rsidRPr="009F709C">
        <w:t xml:space="preserve"> </w:t>
      </w:r>
      <w:r w:rsidR="0F481FE5" w:rsidRPr="009F709C">
        <w:t xml:space="preserve">black (non-Hispanic) and Hispanic/Latinx individuals represented 7% and 12% of the total Massachusetts population and 18% and 32% of infectious syphilis cases (with known race/ethnicity), respectively. </w:t>
      </w:r>
    </w:p>
    <w:p w14:paraId="1BC62504" w14:textId="77777777" w:rsidR="009F709C" w:rsidRPr="009F709C" w:rsidRDefault="0F481FE5" w:rsidP="009F709C">
      <w:pPr>
        <w:numPr>
          <w:ilvl w:val="0"/>
          <w:numId w:val="4"/>
        </w:numPr>
      </w:pPr>
      <w:r>
        <w:t xml:space="preserve">During 2020 to 2022, black (non-Hispanic) and Hispanic/Latinx individuals represented 33% and 28% of individuals diagnosed with HIV infection in Massachusetts, respectively. </w:t>
      </w:r>
    </w:p>
    <w:p w14:paraId="7266DCFA" w14:textId="33B26EBA" w:rsidR="007D7E86" w:rsidRPr="00991A6F" w:rsidRDefault="007D7E86" w:rsidP="00386072">
      <w:pPr>
        <w:rPr>
          <w:color w:val="FF0000"/>
        </w:rPr>
      </w:pPr>
      <w:r w:rsidRPr="00991A6F">
        <w:rPr>
          <w:color w:val="FF0000"/>
        </w:rPr>
        <w:br w:type="page"/>
      </w:r>
    </w:p>
    <w:p w14:paraId="5F4EA61E" w14:textId="6406DDB3" w:rsidR="007D7E86" w:rsidRPr="003A60FD" w:rsidRDefault="007D7E86" w:rsidP="38A4F72D">
      <w:pPr>
        <w:pStyle w:val="Heading2"/>
      </w:pPr>
      <w:bookmarkStart w:id="63" w:name="_Toc154057165"/>
      <w:r>
        <w:lastRenderedPageBreak/>
        <w:t>SYPHILIS BY RACE/ETHNICITY</w:t>
      </w:r>
      <w:bookmarkEnd w:id="63"/>
    </w:p>
    <w:p w14:paraId="4A036AC3" w14:textId="5922A6DB" w:rsidR="007D7E86" w:rsidRPr="003A60FD" w:rsidRDefault="07E49689" w:rsidP="007D7E86">
      <w:r w:rsidRPr="003A60FD">
        <w:rPr>
          <w:b/>
          <w:bCs/>
        </w:rPr>
        <w:t>Figure 4</w:t>
      </w:r>
      <w:r w:rsidR="3F648765" w:rsidRPr="003A60FD">
        <w:rPr>
          <w:b/>
          <w:bCs/>
        </w:rPr>
        <w:t>7</w:t>
      </w:r>
      <w:r w:rsidRPr="003A60FD">
        <w:rPr>
          <w:b/>
          <w:bCs/>
        </w:rPr>
        <w:t xml:space="preserve">. </w:t>
      </w:r>
      <w:r w:rsidRPr="003A60FD">
        <w:t>Number of confirmed and probable infectious syphilis</w:t>
      </w:r>
      <w:r w:rsidR="00F77C3D" w:rsidRPr="003A60FD">
        <w:rPr>
          <w:rStyle w:val="FootnoteReference"/>
        </w:rPr>
        <w:footnoteReference w:id="127"/>
      </w:r>
      <w:r w:rsidRPr="003A60FD">
        <w:t xml:space="preserve"> cases reported by race/ethnicity, Massachusetts </w:t>
      </w:r>
      <w:r w:rsidR="192FFF37" w:rsidRPr="003A60FD">
        <w:t>2013–2022</w:t>
      </w:r>
    </w:p>
    <w:p w14:paraId="7673FB1C" w14:textId="4B2573CE" w:rsidR="007D7E86" w:rsidRPr="00991A6F" w:rsidRDefault="007D7E86" w:rsidP="007D7E86">
      <w:pPr>
        <w:rPr>
          <w:color w:val="FF0000"/>
        </w:rPr>
      </w:pPr>
    </w:p>
    <w:p w14:paraId="4BBBE882" w14:textId="2A8BFDB3" w:rsidR="70D058BB" w:rsidRDefault="70D058BB" w:rsidP="70D058BB">
      <w:pPr>
        <w:rPr>
          <w:sz w:val="20"/>
          <w:szCs w:val="20"/>
        </w:rPr>
      </w:pPr>
    </w:p>
    <w:p w14:paraId="46318CDC" w14:textId="6F106577" w:rsidR="605C8A12" w:rsidRDefault="605C8A12" w:rsidP="70D058BB">
      <w:r>
        <w:rPr>
          <w:noProof/>
        </w:rPr>
        <w:drawing>
          <wp:inline distT="0" distB="0" distL="0" distR="0" wp14:anchorId="61878BC1" wp14:editId="1170684B">
            <wp:extent cx="4914900" cy="3512106"/>
            <wp:effectExtent l="0" t="0" r="0" b="0"/>
            <wp:docPr id="1917298203" name="Picture 1917298203" descr="The figure is a stacked bar graph displaying the number of infectious syphilis cases reported each year from 2013 to 2022 among white non-Hispanic individuals, black non-Hispanic individuals, Hispanic/Latinx individuals, and those of other non-Hispanic race/ethni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98203" name="Picture 1917298203" descr="The figure is a stacked bar graph displaying the number of infectious syphilis cases reported each year from 2013 to 2022 among white non-Hispanic individuals, black non-Hispanic individuals, Hispanic/Latinx individuals, and those of other non-Hispanic race/ethnicity.&#10;"/>
                    <pic:cNvPicPr/>
                  </pic:nvPicPr>
                  <pic:blipFill>
                    <a:blip r:embed="rId71">
                      <a:extLst>
                        <a:ext uri="{28A0092B-C50C-407E-A947-70E740481C1C}">
                          <a14:useLocalDpi xmlns:a14="http://schemas.microsoft.com/office/drawing/2010/main" val="0"/>
                        </a:ext>
                      </a:extLst>
                    </a:blip>
                    <a:stretch>
                      <a:fillRect/>
                    </a:stretch>
                  </pic:blipFill>
                  <pic:spPr>
                    <a:xfrm>
                      <a:off x="0" y="0"/>
                      <a:ext cx="4914900" cy="3512106"/>
                    </a:xfrm>
                    <a:prstGeom prst="rect">
                      <a:avLst/>
                    </a:prstGeom>
                  </pic:spPr>
                </pic:pic>
              </a:graphicData>
            </a:graphic>
          </wp:inline>
        </w:drawing>
      </w:r>
    </w:p>
    <w:p w14:paraId="0AE4BC7B" w14:textId="59637D3D" w:rsidR="70D058BB" w:rsidRDefault="70D058BB" w:rsidP="70D058BB">
      <w:pPr>
        <w:rPr>
          <w:sz w:val="20"/>
          <w:szCs w:val="20"/>
        </w:rPr>
      </w:pPr>
    </w:p>
    <w:p w14:paraId="4656A362" w14:textId="77777777" w:rsidR="00740E0E" w:rsidRPr="00740E0E" w:rsidRDefault="00740E0E" w:rsidP="00740E0E">
      <w:pPr>
        <w:rPr>
          <w:sz w:val="20"/>
          <w:szCs w:val="18"/>
        </w:rPr>
      </w:pPr>
      <w:r w:rsidRPr="00740E0E">
        <w:rPr>
          <w:sz w:val="20"/>
          <w:szCs w:val="18"/>
        </w:rPr>
        <w:t xml:space="preserve">Confirmed and Probable Syphilis 2013-2022 Total N=10,155; 582 (6%) cases missing race/ethnicity are not included in this figure </w:t>
      </w:r>
    </w:p>
    <w:p w14:paraId="04C6D3A0" w14:textId="689FBC2C" w:rsidR="00740E0E" w:rsidRPr="00740E0E" w:rsidRDefault="00740E0E" w:rsidP="00740E0E">
      <w:pPr>
        <w:spacing w:after="120"/>
        <w:rPr>
          <w:sz w:val="20"/>
          <w:szCs w:val="18"/>
        </w:rPr>
      </w:pPr>
      <w:r w:rsidRPr="00740E0E">
        <w:rPr>
          <w:sz w:val="20"/>
          <w:szCs w:val="18"/>
        </w:rPr>
        <w:t>Data Source: Bureau of Infectious Disease and Laboratory Sciences, data are current as of 7/21/2023 and subject to change</w:t>
      </w:r>
      <w:r w:rsidR="00B1580A">
        <w:rPr>
          <w:sz w:val="20"/>
          <w:szCs w:val="18"/>
        </w:rPr>
        <w:t>.</w:t>
      </w:r>
    </w:p>
    <w:p w14:paraId="447826F9" w14:textId="779265C1" w:rsidR="00F77C3D" w:rsidRPr="00740E0E" w:rsidRDefault="00F77C3D" w:rsidP="00F77C3D">
      <w:pPr>
        <w:spacing w:after="120"/>
        <w:rPr>
          <w:sz w:val="20"/>
          <w:szCs w:val="18"/>
        </w:rPr>
      </w:pPr>
    </w:p>
    <w:p w14:paraId="14F90033" w14:textId="6AA1EF1C" w:rsidR="00F77C3D" w:rsidRPr="00740E0E" w:rsidRDefault="1C4D1FE7">
      <w:pPr>
        <w:pStyle w:val="spaced6"/>
      </w:pPr>
      <w:r w:rsidRPr="00740E0E">
        <w:t>The greatest number of infectious syphilis cases was among white (non-Hispanic) individuals each year from 201</w:t>
      </w:r>
      <w:r w:rsidR="63073D23" w:rsidRPr="00740E0E">
        <w:t>3</w:t>
      </w:r>
      <w:r w:rsidRPr="00740E0E">
        <w:t xml:space="preserve"> to 202</w:t>
      </w:r>
      <w:r w:rsidR="63073D23" w:rsidRPr="00740E0E">
        <w:t>2</w:t>
      </w:r>
      <w:r w:rsidRPr="00740E0E">
        <w:t>.</w:t>
      </w:r>
      <w:r w:rsidR="00F77C3D" w:rsidRPr="00740E0E">
        <w:rPr>
          <w:rStyle w:val="FootnoteReference"/>
        </w:rPr>
        <w:footnoteReference w:id="128"/>
      </w:r>
    </w:p>
    <w:p w14:paraId="174E19A1" w14:textId="06EB4342" w:rsidR="2597F667" w:rsidRDefault="2597F667" w:rsidP="034544F5">
      <w:pPr>
        <w:numPr>
          <w:ilvl w:val="0"/>
          <w:numId w:val="4"/>
        </w:numPr>
      </w:pPr>
      <w:r>
        <w:t>From 2013 to 2022, the greatest proportionate increase in the number of infectious syphilis cases was reported among Hispanic/Latinx individuals (more than tripled from 156 to 493), followed by black (non-Hispanic) individuals (more than doubled from 112 to 270), and white (non-Hispanic) (increased by 67% from 364 to 607).</w:t>
      </w:r>
    </w:p>
    <w:p w14:paraId="18973DEA" w14:textId="5275F9ED" w:rsidR="034544F5" w:rsidRDefault="034544F5" w:rsidP="00F345D5">
      <w:pPr>
        <w:rPr>
          <w:szCs w:val="24"/>
        </w:rPr>
      </w:pPr>
    </w:p>
    <w:p w14:paraId="6B4D5301" w14:textId="67F9F974" w:rsidR="00F77C3D" w:rsidRPr="00740E0E" w:rsidRDefault="00740E0E" w:rsidP="00F77C3D">
      <w:pPr>
        <w:numPr>
          <w:ilvl w:val="0"/>
          <w:numId w:val="4"/>
        </w:numPr>
      </w:pPr>
      <w:r>
        <w:t xml:space="preserve">In 2022, the age-adjusted infectious syphilis incidence rate among black (non-Hispanic) individuals (17.5 per 100,000) and Hispanic/Latinx individuals (17.3 per 100.000) were both four times that of white (non-Hispanic) individuals (4.3 per 100,000). </w:t>
      </w:r>
      <w:r>
        <w:br w:type="page"/>
      </w:r>
    </w:p>
    <w:p w14:paraId="17314C7F" w14:textId="6FEB4BED" w:rsidR="00F77C3D" w:rsidRPr="00B50836" w:rsidRDefault="00F77C3D" w:rsidP="38A4F72D">
      <w:pPr>
        <w:pStyle w:val="Heading2"/>
      </w:pPr>
      <w:bookmarkStart w:id="64" w:name="_Toc154057166"/>
      <w:r>
        <w:lastRenderedPageBreak/>
        <w:t>HIV BY RACE/ETHNICITY</w:t>
      </w:r>
      <w:bookmarkEnd w:id="64"/>
    </w:p>
    <w:p w14:paraId="519E248D" w14:textId="6A617062" w:rsidR="00F77C3D" w:rsidRPr="00B50836" w:rsidRDefault="0FBD81A7" w:rsidP="00F77C3D">
      <w:r w:rsidRPr="00B50836">
        <w:rPr>
          <w:b/>
          <w:bCs/>
        </w:rPr>
        <w:t>Figure 4</w:t>
      </w:r>
      <w:r w:rsidR="00B50836" w:rsidRPr="00B50836">
        <w:rPr>
          <w:b/>
          <w:bCs/>
        </w:rPr>
        <w:t>8</w:t>
      </w:r>
      <w:r w:rsidRPr="00B50836">
        <w:rPr>
          <w:b/>
          <w:bCs/>
        </w:rPr>
        <w:t xml:space="preserve">. </w:t>
      </w:r>
      <w:r w:rsidRPr="00B50836">
        <w:t>Average annual age-adjusted HIV diagnosis rate per 100,000 population</w:t>
      </w:r>
      <w:r w:rsidR="00F77C3D" w:rsidRPr="00B50836">
        <w:rPr>
          <w:rStyle w:val="FootnoteReference"/>
        </w:rPr>
        <w:footnoteReference w:id="129"/>
      </w:r>
      <w:r w:rsidRPr="00B50836">
        <w:t xml:space="preserve"> by sex assigned at birth and race/ethnicity, Massachusetts </w:t>
      </w:r>
      <w:r w:rsidR="00775ABA" w:rsidRPr="00B50836">
        <w:t>2020–2022</w:t>
      </w:r>
      <w:r w:rsidRPr="00B50836">
        <w:t xml:space="preserve"> (N=1,</w:t>
      </w:r>
      <w:r w:rsidR="00B50836" w:rsidRPr="00B50836">
        <w:t>330</w:t>
      </w:r>
      <w:r w:rsidRPr="00B50836">
        <w:t>)</w:t>
      </w:r>
    </w:p>
    <w:p w14:paraId="30CCAF26" w14:textId="2CEDDC43" w:rsidR="00F77C3D" w:rsidRPr="00991A6F" w:rsidRDefault="00B50836" w:rsidP="00F77C3D">
      <w:pPr>
        <w:rPr>
          <w:color w:val="FF0000"/>
        </w:rPr>
      </w:pPr>
      <w:r>
        <w:rPr>
          <w:noProof/>
          <w:color w:val="FF0000"/>
        </w:rPr>
        <w:drawing>
          <wp:inline distT="0" distB="0" distL="0" distR="0" wp14:anchorId="0BD43D32" wp14:editId="6DFD3FFC">
            <wp:extent cx="4800600" cy="3228753"/>
            <wp:effectExtent l="0" t="0" r="0" b="0"/>
            <wp:docPr id="596159511" name="Picture 596159511" descr="The figure is a bar chart displaying the age-adjusted HIV diagnosis rate among individuals assigned male at birth, female at birth, and total cases for five groups: the total population, white non-Hispanic individuals, black non-Hispanic individuals, Hispanic/Latinx individuals, and Asian Pacific Islan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59511" name="Picture 28" descr="The figure is a bar chart displaying the age-adjusted HIV diagnosis rate among individuals assigned male at birth, female at birth, and total cases for five groups: the total population, white non-Hispanic individuals, black non-Hispanic individuals, Hispanic/Latinx individuals, and Asian Pacific Islanders.&#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30330" cy="3248749"/>
                    </a:xfrm>
                    <a:prstGeom prst="rect">
                      <a:avLst/>
                    </a:prstGeom>
                    <a:noFill/>
                  </pic:spPr>
                </pic:pic>
              </a:graphicData>
            </a:graphic>
          </wp:inline>
        </w:drawing>
      </w:r>
    </w:p>
    <w:p w14:paraId="60A5A91A" w14:textId="5302DCB1" w:rsidR="00F77C3D" w:rsidRPr="00B50836" w:rsidRDefault="00F77C3D" w:rsidP="00F77C3D">
      <w:pPr>
        <w:spacing w:after="120"/>
        <w:rPr>
          <w:sz w:val="20"/>
          <w:szCs w:val="18"/>
        </w:rPr>
      </w:pPr>
      <w:r w:rsidRPr="00B50836">
        <w:rPr>
          <w:sz w:val="20"/>
          <w:szCs w:val="18"/>
        </w:rPr>
        <w:t xml:space="preserve">Data Source: Bureau of Infectious Disease and Laboratory Sciences, data are current as of </w:t>
      </w:r>
      <w:r w:rsidR="001F75D4" w:rsidRPr="00B50836">
        <w:rPr>
          <w:sz w:val="20"/>
          <w:szCs w:val="18"/>
        </w:rPr>
        <w:t>7/1/2023</w:t>
      </w:r>
      <w:r w:rsidRPr="00B50836">
        <w:rPr>
          <w:sz w:val="20"/>
          <w:szCs w:val="18"/>
        </w:rPr>
        <w:t xml:space="preserve"> and subject to change</w:t>
      </w:r>
      <w:r w:rsidR="00B1580A">
        <w:rPr>
          <w:sz w:val="20"/>
          <w:szCs w:val="18"/>
        </w:rPr>
        <w:t>.</w:t>
      </w:r>
    </w:p>
    <w:p w14:paraId="0E19515A" w14:textId="77777777" w:rsidR="00B50836" w:rsidRPr="00B50836" w:rsidRDefault="64CB7EDC" w:rsidP="00B50836">
      <w:pPr>
        <w:pStyle w:val="spaced6"/>
      </w:pPr>
      <w:r w:rsidRPr="00B50836">
        <w:t xml:space="preserve">In </w:t>
      </w:r>
      <w:r w:rsidR="00775ABA" w:rsidRPr="00B50836">
        <w:t>2020–2022</w:t>
      </w:r>
      <w:r w:rsidRPr="00B50836">
        <w:t>,</w:t>
      </w:r>
      <w:r w:rsidR="00F77C3D" w:rsidRPr="00B50836">
        <w:rPr>
          <w:rStyle w:val="FootnoteReference"/>
        </w:rPr>
        <w:footnoteReference w:id="130"/>
      </w:r>
      <w:r w:rsidRPr="00B50836">
        <w:t xml:space="preserve"> </w:t>
      </w:r>
      <w:r w:rsidR="00B50836" w:rsidRPr="00B50836">
        <w:t>the average annual age-adjusted HIV diagnosis rate per 100,000 population of individuals assigned male at birth (AMAB) was three times that of individuals assigned female at birth (AFAB). There were large disparities in age-adjusted HIV diagnosis rates by race/ethnicity, the average annual age-adjusted HIV diagnosis rates among:</w:t>
      </w:r>
    </w:p>
    <w:p w14:paraId="7C52B49F" w14:textId="5A5BBB8F" w:rsidR="00B50836" w:rsidRPr="00B50836" w:rsidRDefault="007C7499" w:rsidP="00B50836">
      <w:pPr>
        <w:pStyle w:val="spaced6"/>
        <w:numPr>
          <w:ilvl w:val="1"/>
          <w:numId w:val="4"/>
        </w:numPr>
        <w:spacing w:after="0"/>
      </w:pPr>
      <w:r>
        <w:t>b</w:t>
      </w:r>
      <w:r w:rsidR="00B50836" w:rsidRPr="00B50836">
        <w:t xml:space="preserve">lack (non-Hispanic) individuals was nine times that of white (non-Hispanic) individuals, </w:t>
      </w:r>
    </w:p>
    <w:p w14:paraId="0BE82A2E" w14:textId="77777777" w:rsidR="00B50836" w:rsidRPr="00B50836" w:rsidRDefault="00B50836" w:rsidP="00B50836">
      <w:pPr>
        <w:pStyle w:val="spaced6"/>
        <w:numPr>
          <w:ilvl w:val="1"/>
          <w:numId w:val="4"/>
        </w:numPr>
        <w:spacing w:after="0"/>
      </w:pPr>
      <w:r w:rsidRPr="00B50836">
        <w:t xml:space="preserve">Hispanic/Latinx individuals was four times that of white (non-Hispanic) individuals, </w:t>
      </w:r>
    </w:p>
    <w:p w14:paraId="64A6E845" w14:textId="3F1AEDF9" w:rsidR="00B50836" w:rsidRPr="00B50836" w:rsidRDefault="007C7499" w:rsidP="00B50836">
      <w:pPr>
        <w:pStyle w:val="spaced6"/>
        <w:numPr>
          <w:ilvl w:val="1"/>
          <w:numId w:val="4"/>
        </w:numPr>
        <w:spacing w:after="0"/>
      </w:pPr>
      <w:r>
        <w:t>b</w:t>
      </w:r>
      <w:r w:rsidR="00B50836" w:rsidRPr="00B50836">
        <w:t xml:space="preserve">lack (non-Hispanic) individuals AMAB, was six times that of white (non-Hispanic) individuals AMAB, </w:t>
      </w:r>
    </w:p>
    <w:p w14:paraId="72299CCB" w14:textId="2AF2EF55" w:rsidR="00B50836" w:rsidRPr="00B50836" w:rsidRDefault="00B50836" w:rsidP="00B50836">
      <w:pPr>
        <w:pStyle w:val="spaced6"/>
        <w:numPr>
          <w:ilvl w:val="1"/>
          <w:numId w:val="4"/>
        </w:numPr>
        <w:spacing w:after="0"/>
      </w:pPr>
      <w:r w:rsidRPr="00B50836">
        <w:t>Hispanic/Latinx individuals AMAB was four times that of white (non-Hispanic) individuals AMAB</w:t>
      </w:r>
      <w:r w:rsidR="007C7499">
        <w:t>,</w:t>
      </w:r>
      <w:r w:rsidRPr="00B50836">
        <w:t xml:space="preserve"> </w:t>
      </w:r>
    </w:p>
    <w:p w14:paraId="41711002" w14:textId="61C78669" w:rsidR="00B50836" w:rsidRPr="00B50836" w:rsidRDefault="007C7499" w:rsidP="00B50836">
      <w:pPr>
        <w:pStyle w:val="spaced6"/>
        <w:numPr>
          <w:ilvl w:val="1"/>
          <w:numId w:val="4"/>
        </w:numPr>
        <w:spacing w:after="0"/>
      </w:pPr>
      <w:r>
        <w:t>b</w:t>
      </w:r>
      <w:r w:rsidR="00B50836" w:rsidRPr="00B50836">
        <w:t xml:space="preserve">lack (non-Hispanic) individuals AFAB was 18 times that of white (non-Hispanic) individuals AFAB, </w:t>
      </w:r>
      <w:r>
        <w:t>and</w:t>
      </w:r>
    </w:p>
    <w:p w14:paraId="297FE4BC" w14:textId="77777777" w:rsidR="00B50836" w:rsidRPr="00B50836" w:rsidRDefault="00B50836" w:rsidP="00B50836">
      <w:pPr>
        <w:pStyle w:val="spaced6"/>
        <w:numPr>
          <w:ilvl w:val="1"/>
          <w:numId w:val="4"/>
        </w:numPr>
        <w:spacing w:after="0"/>
      </w:pPr>
      <w:r w:rsidRPr="00B50836">
        <w:t>Hispanic/Latinx individuals AFAB was four times that of white (non-Hispanic) individuals AFAB.</w:t>
      </w:r>
    </w:p>
    <w:p w14:paraId="02683EF9" w14:textId="3E7C4FAC" w:rsidR="00F77C3D" w:rsidRPr="00B50836" w:rsidRDefault="00F77C3D" w:rsidP="00B50836">
      <w:pPr>
        <w:pStyle w:val="spaced6"/>
        <w:numPr>
          <w:ilvl w:val="1"/>
          <w:numId w:val="4"/>
        </w:numPr>
        <w:spacing w:after="0"/>
      </w:pPr>
      <w:r w:rsidRPr="00B50836">
        <w:br w:type="page"/>
      </w:r>
    </w:p>
    <w:p w14:paraId="3CFB3E53" w14:textId="324DC8D0" w:rsidR="00F77C3D" w:rsidRPr="003C4EB4" w:rsidRDefault="00F77C3D" w:rsidP="38A4F72D">
      <w:pPr>
        <w:pStyle w:val="Heading1"/>
      </w:pPr>
      <w:bookmarkStart w:id="65" w:name="_Toc154057167"/>
      <w:r>
        <w:lastRenderedPageBreak/>
        <w:t>SPECIFIC POPULATIONS - WOMEN AND INFANTS</w:t>
      </w:r>
      <w:bookmarkEnd w:id="65"/>
    </w:p>
    <w:p w14:paraId="0198AED4" w14:textId="133FE39A" w:rsidR="00F77C3D" w:rsidRPr="003C4EB4" w:rsidRDefault="00F77C3D" w:rsidP="00F77C3D">
      <w:r w:rsidRPr="003C4EB4">
        <w:rPr>
          <w:b/>
          <w:bCs/>
        </w:rPr>
        <w:t>Figure 4</w:t>
      </w:r>
      <w:r w:rsidR="003C4EB4" w:rsidRPr="003C4EB4">
        <w:rPr>
          <w:b/>
          <w:bCs/>
        </w:rPr>
        <w:t>9</w:t>
      </w:r>
      <w:r w:rsidRPr="003C4EB4">
        <w:rPr>
          <w:b/>
          <w:bCs/>
        </w:rPr>
        <w:t xml:space="preserve">. </w:t>
      </w:r>
      <w:r w:rsidRPr="003C4EB4">
        <w:t>Distribution of confirmed chlamydia and gonorrhea cases reported by gender, Massachusetts 202</w:t>
      </w:r>
      <w:r w:rsidR="003C4EB4" w:rsidRPr="003C4EB4">
        <w:t>2</w:t>
      </w:r>
    </w:p>
    <w:p w14:paraId="6D1DAE4C" w14:textId="42A67A9A" w:rsidR="00F77C3D" w:rsidRPr="003C4EB4" w:rsidRDefault="00F77C3D" w:rsidP="00F77C3D"/>
    <w:p w14:paraId="1CC09C07" w14:textId="07D9FDD9" w:rsidR="000B6E81" w:rsidRDefault="001E1465" w:rsidP="004D5C8E">
      <w:pPr>
        <w:spacing w:after="120"/>
        <w:rPr>
          <w:sz w:val="20"/>
          <w:szCs w:val="18"/>
        </w:rPr>
      </w:pPr>
      <w:r>
        <w:rPr>
          <w:noProof/>
          <w:sz w:val="20"/>
          <w:szCs w:val="18"/>
        </w:rPr>
        <w:drawing>
          <wp:inline distT="0" distB="0" distL="0" distR="0" wp14:anchorId="4CFC6B8B" wp14:editId="30122C19">
            <wp:extent cx="6663690" cy="5066030"/>
            <wp:effectExtent l="0" t="0" r="0" b="0"/>
            <wp:docPr id="1189783086" name="Picture 3" descr="The figure is a series of two side by side pie charts displaying the distribution by gender of 2022 chlamydia cases (N = N = 28,354 Excludes 30 missing gender) on the left and 2022 gonorrhea cases (N = 9,125  Excludes 4 missing gender)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83086" name="Picture 3" descr="The figure is a series of two side by side pie charts displaying the distribution by gender of 2022 chlamydia cases (N = N = 28,354 Excludes 30 missing gender) on the left and 2022 gonorrhea cases (N = 9,125  Excludes 4 missing gender) on the right.&#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63690" cy="5066030"/>
                    </a:xfrm>
                    <a:prstGeom prst="rect">
                      <a:avLst/>
                    </a:prstGeom>
                    <a:noFill/>
                  </pic:spPr>
                </pic:pic>
              </a:graphicData>
            </a:graphic>
          </wp:inline>
        </w:drawing>
      </w:r>
    </w:p>
    <w:p w14:paraId="273747DB" w14:textId="77777777" w:rsidR="000B6E81" w:rsidRDefault="000B6E81" w:rsidP="004D5C8E">
      <w:pPr>
        <w:spacing w:after="120"/>
        <w:rPr>
          <w:sz w:val="20"/>
          <w:szCs w:val="18"/>
        </w:rPr>
      </w:pPr>
    </w:p>
    <w:p w14:paraId="7EA20717" w14:textId="242E81D3" w:rsidR="004D5C8E" w:rsidRDefault="004D5C8E" w:rsidP="004D5C8E">
      <w:pPr>
        <w:spacing w:after="120"/>
        <w:rPr>
          <w:sz w:val="20"/>
          <w:szCs w:val="18"/>
        </w:rPr>
      </w:pPr>
      <w:r w:rsidRPr="003C4EB4">
        <w:rPr>
          <w:sz w:val="20"/>
          <w:szCs w:val="18"/>
        </w:rPr>
        <w:t xml:space="preserve">Data Source: Bureau of Infectious Disease and Laboratory Sciences, data are current as of </w:t>
      </w:r>
      <w:r w:rsidR="00794545" w:rsidRPr="003C4EB4">
        <w:rPr>
          <w:sz w:val="20"/>
          <w:szCs w:val="18"/>
        </w:rPr>
        <w:t>7/21/2023</w:t>
      </w:r>
      <w:r w:rsidRPr="003C4EB4">
        <w:rPr>
          <w:sz w:val="20"/>
          <w:szCs w:val="18"/>
        </w:rPr>
        <w:t xml:space="preserve"> and subject to change</w:t>
      </w:r>
      <w:r w:rsidR="00B1580A">
        <w:rPr>
          <w:sz w:val="20"/>
          <w:szCs w:val="18"/>
        </w:rPr>
        <w:t>.</w:t>
      </w:r>
    </w:p>
    <w:p w14:paraId="11EC6A43" w14:textId="77777777" w:rsidR="00627C6E" w:rsidRPr="003C4EB4" w:rsidRDefault="00627C6E" w:rsidP="004D5C8E">
      <w:pPr>
        <w:spacing w:after="120"/>
        <w:rPr>
          <w:sz w:val="20"/>
          <w:szCs w:val="18"/>
        </w:rPr>
      </w:pPr>
    </w:p>
    <w:p w14:paraId="2F70AC69" w14:textId="3696C7D2" w:rsidR="003C4EB4" w:rsidRPr="003C4EB4" w:rsidRDefault="32A8A0A9" w:rsidP="003C4EB4">
      <w:pPr>
        <w:pStyle w:val="spaced6"/>
      </w:pPr>
      <w:r w:rsidRPr="003C4EB4">
        <w:t>In 202</w:t>
      </w:r>
      <w:r w:rsidR="003C4EB4" w:rsidRPr="003C4EB4">
        <w:t>2</w:t>
      </w:r>
      <w:r w:rsidRPr="003C4EB4">
        <w:t>,</w:t>
      </w:r>
      <w:r w:rsidR="004D5C8E" w:rsidRPr="003C4EB4">
        <w:rPr>
          <w:rStyle w:val="FootnoteReference"/>
        </w:rPr>
        <w:footnoteReference w:id="131"/>
      </w:r>
      <w:r w:rsidRPr="003C4EB4">
        <w:t xml:space="preserve"> </w:t>
      </w:r>
      <w:r w:rsidR="003C4EB4" w:rsidRPr="003C4EB4">
        <w:t xml:space="preserve">61% of reported chlamydia cases were among females (N=17,351), 39% were among males (N=10,925), less than one percent (N=77) was among individuals of transgender experience, and less than one percent was reported among individuals who are nonbinary (N&lt;5). Please note reported numbers among individuals of transgender experience and individuals who are nonbinary are likely to be underestimates as there may be underreporting </w:t>
      </w:r>
      <w:r w:rsidR="003C4EB4" w:rsidRPr="003C4EB4">
        <w:lastRenderedPageBreak/>
        <w:t>or misreporting of gender due to the absence of appropriate collection of gender options (e.g., individuals who are genderqueer, pangender, gender fluid, androgynous, etc.).</w:t>
      </w:r>
    </w:p>
    <w:p w14:paraId="109303E6" w14:textId="77777777" w:rsidR="003C4EB4" w:rsidRPr="003C4EB4" w:rsidRDefault="003C4EB4" w:rsidP="002A4E50">
      <w:pPr>
        <w:pStyle w:val="spaced6"/>
        <w:numPr>
          <w:ilvl w:val="0"/>
          <w:numId w:val="0"/>
        </w:numPr>
        <w:ind w:left="360"/>
      </w:pPr>
      <w:r>
        <w:t xml:space="preserve">In 2022, 31% of reported gonorrhea cases were among females (N=2,861), 68% were among males (N=6,196), one percent (N=66) was among individuals of transgender experience, and less than one percent was reported among individuals who are nonbinary (N&lt;5).  </w:t>
      </w:r>
    </w:p>
    <w:p w14:paraId="35A733FD" w14:textId="73095A87" w:rsidR="005D6F5C" w:rsidRPr="003C4EB4" w:rsidRDefault="005D6F5C" w:rsidP="003C4EB4">
      <w:pPr>
        <w:pStyle w:val="spaced6"/>
      </w:pPr>
      <w:r>
        <w:br w:type="page"/>
      </w:r>
    </w:p>
    <w:p w14:paraId="1231B721" w14:textId="23B0964E" w:rsidR="00F77C3D" w:rsidRPr="00627C6E" w:rsidRDefault="005D6F5C" w:rsidP="38A4F72D">
      <w:pPr>
        <w:pStyle w:val="Heading2"/>
      </w:pPr>
      <w:bookmarkStart w:id="66" w:name="_Toc154057168"/>
      <w:r>
        <w:lastRenderedPageBreak/>
        <w:t>WOMEN AND INFANTS – CONGENITAL SYPHILIS</w:t>
      </w:r>
      <w:bookmarkEnd w:id="66"/>
    </w:p>
    <w:p w14:paraId="71D76D11" w14:textId="5EA660EE" w:rsidR="005D6F5C" w:rsidRPr="00627C6E" w:rsidRDefault="1CFB87E9" w:rsidP="00B01A7D">
      <w:pPr>
        <w:spacing w:after="120"/>
        <w:rPr>
          <w:color w:val="3333FF"/>
        </w:rPr>
      </w:pPr>
      <w:r w:rsidRPr="00627C6E">
        <w:t>Despite close follow-up of cases of syphilis in pregnant patients and their partners, breakthrough cases of congenital syphilis</w:t>
      </w:r>
      <w:r w:rsidR="00BB7166" w:rsidRPr="00627C6E">
        <w:rPr>
          <w:rStyle w:val="FootnoteReference"/>
        </w:rPr>
        <w:footnoteReference w:id="132"/>
      </w:r>
      <w:r w:rsidRPr="00627C6E">
        <w:t xml:space="preserve"> have increased in Massachusetts. </w:t>
      </w:r>
      <w:r w:rsidR="00627C6E" w:rsidRPr="00627C6E">
        <w:t>Two syphilitic stillbirths and nine presumptive reportable cases were reported to MDPH in 2022. In 2020, MDPH released a recommendation for universal syphilis screening early in the 3rd trimester (around 27–28 weeks gestation), in addition to routine syphilis screening performed at the first prenatal visit. For more information see, Congenital Syphilis Clinical Alert, June 30, 2020</w:t>
      </w:r>
      <w:r w:rsidRPr="00627C6E">
        <w:t xml:space="preserve">, available at </w:t>
      </w:r>
      <w:hyperlink r:id="rId74" w:history="1">
        <w:r w:rsidRPr="00627C6E">
          <w:rPr>
            <w:rStyle w:val="Hyperlink"/>
            <w:color w:val="3333FF"/>
          </w:rPr>
          <w:t>https://www.mass.gov/doc/congenital-syphilis-clinical-alert-6-30-2020/download</w:t>
        </w:r>
      </w:hyperlink>
      <w:r w:rsidRPr="00627C6E">
        <w:rPr>
          <w:color w:val="3333FF"/>
        </w:rPr>
        <w:t xml:space="preserve"> </w:t>
      </w:r>
    </w:p>
    <w:p w14:paraId="053BDA0D" w14:textId="507C4E66" w:rsidR="005D6F5C" w:rsidRPr="00627C6E" w:rsidRDefault="5BE5F329" w:rsidP="005D6F5C">
      <w:r w:rsidRPr="7108AB92">
        <w:rPr>
          <w:b/>
          <w:bCs/>
        </w:rPr>
        <w:t xml:space="preserve">Figure </w:t>
      </w:r>
      <w:r w:rsidR="7A29BF95" w:rsidRPr="7108AB92">
        <w:rPr>
          <w:b/>
          <w:bCs/>
        </w:rPr>
        <w:t>50</w:t>
      </w:r>
      <w:r w:rsidRPr="7108AB92">
        <w:rPr>
          <w:b/>
          <w:bCs/>
        </w:rPr>
        <w:t xml:space="preserve">. </w:t>
      </w:r>
      <w:r>
        <w:t xml:space="preserve">Number of confirmed and probable congenital syphilis cases reported by year of birth and rate of infectious syphilis per 100,000 among </w:t>
      </w:r>
      <w:r w:rsidR="1A963945">
        <w:t xml:space="preserve">individuals assigned female at birth (AFAB) </w:t>
      </w:r>
      <w:r>
        <w:t>of child-bearing age (15–44 years), Massachusetts 201</w:t>
      </w:r>
      <w:r w:rsidR="7A29BF95">
        <w:t>3</w:t>
      </w:r>
      <w:r>
        <w:t>–202</w:t>
      </w:r>
      <w:r w:rsidR="7A29BF95">
        <w:t>2</w:t>
      </w:r>
    </w:p>
    <w:p w14:paraId="48230F1B" w14:textId="77B3B1F5" w:rsidR="005D6F5C" w:rsidRPr="00991A6F" w:rsidRDefault="00627C6E" w:rsidP="005D6F5C">
      <w:pPr>
        <w:rPr>
          <w:color w:val="FF0000"/>
        </w:rPr>
      </w:pPr>
      <w:r>
        <w:rPr>
          <w:noProof/>
          <w:color w:val="FF0000"/>
        </w:rPr>
        <w:drawing>
          <wp:inline distT="0" distB="0" distL="0" distR="0" wp14:anchorId="7E08B8AA" wp14:editId="2FFC92E0">
            <wp:extent cx="6340475" cy="2987040"/>
            <wp:effectExtent l="0" t="0" r="0" b="0"/>
            <wp:docPr id="1212863668" name="Picture 1212863668" descr="The figure is a bar chart displaying the total number of confirmed and probable congenital syphilis cases each year from 2013 to 2022 with an overlaid trendline displaying the rate of infectious syphilis per 100,000 among females of child-bearing age for each of the same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63668" name="Picture 30" descr="The figure is a bar chart displaying the total number of confirmed and probable congenital syphilis cases each year from 2013 to 2022 with an overlaid trendline displaying the rate of infectious syphilis per 100,000 among females of child-bearing age for each of the same years.&#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40475" cy="2987040"/>
                    </a:xfrm>
                    <a:prstGeom prst="rect">
                      <a:avLst/>
                    </a:prstGeom>
                    <a:noFill/>
                  </pic:spPr>
                </pic:pic>
              </a:graphicData>
            </a:graphic>
          </wp:inline>
        </w:drawing>
      </w:r>
    </w:p>
    <w:p w14:paraId="734A986E" w14:textId="30EBE7F8" w:rsidR="005D6F5C" w:rsidRPr="0017096C" w:rsidRDefault="005D6F5C" w:rsidP="00BB7166">
      <w:pPr>
        <w:spacing w:after="120"/>
        <w:rPr>
          <w:sz w:val="20"/>
          <w:szCs w:val="18"/>
        </w:rPr>
      </w:pPr>
      <w:r w:rsidRPr="0017096C">
        <w:rPr>
          <w:sz w:val="20"/>
          <w:szCs w:val="18"/>
        </w:rPr>
        <w:t xml:space="preserve">Data Source: Bureau of Infectious Disease and Laboratory Sciences, data are current as of </w:t>
      </w:r>
      <w:r w:rsidR="00794545" w:rsidRPr="0017096C">
        <w:rPr>
          <w:sz w:val="20"/>
          <w:szCs w:val="18"/>
        </w:rPr>
        <w:t>7/21/2023</w:t>
      </w:r>
      <w:r w:rsidRPr="0017096C">
        <w:rPr>
          <w:sz w:val="20"/>
          <w:szCs w:val="18"/>
        </w:rPr>
        <w:t xml:space="preserve"> and subject to </w:t>
      </w:r>
      <w:r w:rsidR="00301485" w:rsidRPr="0017096C">
        <w:rPr>
          <w:sz w:val="20"/>
          <w:szCs w:val="18"/>
        </w:rPr>
        <w:t>change.</w:t>
      </w:r>
    </w:p>
    <w:p w14:paraId="24429342" w14:textId="652ED1DC" w:rsidR="005D6F5C" w:rsidRPr="0017096C" w:rsidRDefault="28BAADE6">
      <w:pPr>
        <w:pStyle w:val="spaced6"/>
      </w:pPr>
      <w:r w:rsidRPr="0017096C">
        <w:t xml:space="preserve">Trends in congenital syphilis typically mirror trends in infectious syphilis among </w:t>
      </w:r>
      <w:r w:rsidR="32B965E7">
        <w:t xml:space="preserve">individuals AFAB </w:t>
      </w:r>
      <w:r w:rsidRPr="0017096C">
        <w:t>of child-bearing age.</w:t>
      </w:r>
      <w:r w:rsidR="00BB7166" w:rsidRPr="0017096C">
        <w:rPr>
          <w:rStyle w:val="FootnoteReference"/>
        </w:rPr>
        <w:footnoteReference w:id="133"/>
      </w:r>
      <w:r w:rsidRPr="0017096C">
        <w:t xml:space="preserve"> </w:t>
      </w:r>
      <w:r w:rsidR="01F3FD48" w:rsidRPr="0017096C">
        <w:t xml:space="preserve">In Massachusetts, as the rate of infectious syphilis among </w:t>
      </w:r>
      <w:r w:rsidR="5B650CF5">
        <w:t>individuals AFAB</w:t>
      </w:r>
      <w:r w:rsidR="01F3FD48" w:rsidRPr="0017096C">
        <w:t xml:space="preserve"> of child-bearing age increased to 9.8 per 100,000 in 2022</w:t>
      </w:r>
      <w:r w:rsidRPr="0017096C">
        <w:t>,</w:t>
      </w:r>
      <w:r w:rsidR="00BB7166" w:rsidRPr="0017096C">
        <w:rPr>
          <w:rStyle w:val="FootnoteReference"/>
        </w:rPr>
        <w:footnoteReference w:id="134"/>
      </w:r>
      <w:r w:rsidRPr="0017096C">
        <w:t xml:space="preserve"> so too did the number of probable cases of congenital syphilis (N=</w:t>
      </w:r>
      <w:r w:rsidR="01F3FD48" w:rsidRPr="0017096C">
        <w:t>11</w:t>
      </w:r>
      <w:r w:rsidRPr="0017096C">
        <w:t>).</w:t>
      </w:r>
    </w:p>
    <w:p w14:paraId="29180952" w14:textId="52030BFA" w:rsidR="0017574F" w:rsidRPr="0017096C" w:rsidRDefault="0017096C">
      <w:pPr>
        <w:pStyle w:val="spaced6"/>
      </w:pPr>
      <w:r w:rsidRPr="0017096C">
        <w:t>Nationally, the number of congenital syphilis cases reached 2,855 in 2021, with a rate of 77.9 cases per 100,000 live births, the highest rate reported since 1994. Massachusetts ranked 42</w:t>
      </w:r>
      <w:r w:rsidRPr="0017096C">
        <w:rPr>
          <w:vertAlign w:val="superscript"/>
        </w:rPr>
        <w:t>nd</w:t>
      </w:r>
      <w:r w:rsidRPr="0017096C">
        <w:t xml:space="preserve"> </w:t>
      </w:r>
      <w:r w:rsidRPr="0017096C">
        <w:lastRenderedPageBreak/>
        <w:t>in congenital syphilis incidence rate among the 49 states reporting congenital syphilis incidence in 2021</w:t>
      </w:r>
      <w:r w:rsidR="384CB16D" w:rsidRPr="0017096C">
        <w:t>.</w:t>
      </w:r>
      <w:r w:rsidR="00B01A7D" w:rsidRPr="0017096C">
        <w:rPr>
          <w:rStyle w:val="FootnoteReference"/>
        </w:rPr>
        <w:footnoteReference w:id="135"/>
      </w:r>
      <w:r w:rsidR="0017574F" w:rsidRPr="0017096C">
        <w:br w:type="page"/>
      </w:r>
    </w:p>
    <w:p w14:paraId="2D7E3368" w14:textId="16F6175F" w:rsidR="005D6F5C" w:rsidRPr="0056532F" w:rsidRDefault="383AA930" w:rsidP="0017574F">
      <w:pPr>
        <w:pStyle w:val="Heading2"/>
      </w:pPr>
      <w:bookmarkStart w:id="67" w:name="_Toc154057169"/>
      <w:r w:rsidRPr="0056532F">
        <w:lastRenderedPageBreak/>
        <w:t>WOMEN</w:t>
      </w:r>
      <w:r w:rsidR="0017574F" w:rsidRPr="0056532F">
        <w:rPr>
          <w:rStyle w:val="FootnoteReference"/>
        </w:rPr>
        <w:footnoteReference w:id="136"/>
      </w:r>
      <w:r w:rsidRPr="0056532F">
        <w:t xml:space="preserve"> - RECENT HIV DIAGNOSES</w:t>
      </w:r>
      <w:bookmarkEnd w:id="67"/>
    </w:p>
    <w:p w14:paraId="6F70944C" w14:textId="1C186779" w:rsidR="0017574F" w:rsidRPr="0056532F" w:rsidRDefault="0ED6048C" w:rsidP="0017574F">
      <w:r w:rsidRPr="70D058BB">
        <w:rPr>
          <w:b/>
          <w:bCs/>
        </w:rPr>
        <w:t xml:space="preserve">Figure </w:t>
      </w:r>
      <w:r w:rsidR="76A761B7" w:rsidRPr="70D058BB">
        <w:rPr>
          <w:b/>
          <w:bCs/>
        </w:rPr>
        <w:t>51</w:t>
      </w:r>
      <w:r w:rsidRPr="70D058BB">
        <w:rPr>
          <w:b/>
          <w:bCs/>
        </w:rPr>
        <w:t xml:space="preserve">. </w:t>
      </w:r>
      <w:r>
        <w:t xml:space="preserve">Percentage of individuals assigned female at birth and diagnosed with HIV infection by race/ethnicity, age, place of birth, and exposure mode, Massachusetts </w:t>
      </w:r>
      <w:r w:rsidR="01F44FCF">
        <w:t>2020–2022</w:t>
      </w:r>
      <w:r>
        <w:t xml:space="preserve"> (N=3</w:t>
      </w:r>
      <w:r w:rsidR="76A761B7">
        <w:t>77</w:t>
      </w:r>
      <w:r>
        <w:t>)</w:t>
      </w:r>
    </w:p>
    <w:p w14:paraId="66DFBFEA" w14:textId="5D109CEF" w:rsidR="005D6F5C" w:rsidRPr="0056532F" w:rsidRDefault="0056532F" w:rsidP="005D6F5C">
      <w:r>
        <w:rPr>
          <w:noProof/>
          <w:color w:val="FF0000"/>
        </w:rPr>
        <w:drawing>
          <wp:inline distT="0" distB="0" distL="0" distR="0" wp14:anchorId="3FBB9B8F" wp14:editId="2D00ECB9">
            <wp:extent cx="6438900" cy="4554859"/>
            <wp:effectExtent l="0" t="0" r="0" b="0"/>
            <wp:docPr id="915193403" name="Picture 915193403" descr="The figure is a series of bar charts displaying the percentage distribution of women recently diagnosed with HIV infection by race/ethnicity, place of birth, age,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93403" name="Picture 31" descr="The figure is a series of bar charts displaying the percentage distribution of women recently diagnosed with HIV infection by race/ethnicity, place of birth, age, and exposure mode.&#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40598" cy="4556060"/>
                    </a:xfrm>
                    <a:prstGeom prst="rect">
                      <a:avLst/>
                    </a:prstGeom>
                    <a:noFill/>
                  </pic:spPr>
                </pic:pic>
              </a:graphicData>
            </a:graphic>
          </wp:inline>
        </w:drawing>
      </w:r>
    </w:p>
    <w:p w14:paraId="1C6EF614" w14:textId="41DFC97F" w:rsidR="0017574F" w:rsidRPr="0056532F" w:rsidRDefault="0017574F" w:rsidP="0017574F">
      <w:pPr>
        <w:spacing w:after="120"/>
        <w:rPr>
          <w:sz w:val="20"/>
          <w:szCs w:val="18"/>
        </w:rPr>
      </w:pPr>
      <w:r w:rsidRPr="0056532F">
        <w:rPr>
          <w:sz w:val="20"/>
          <w:szCs w:val="18"/>
        </w:rPr>
        <w:t xml:space="preserve">Data Source: Bureau of Infectious Disease and Laboratory Sciences, data are current as of </w:t>
      </w:r>
      <w:r w:rsidR="001F75D4" w:rsidRPr="0056532F">
        <w:rPr>
          <w:sz w:val="20"/>
          <w:szCs w:val="18"/>
        </w:rPr>
        <w:t>7/1/2023</w:t>
      </w:r>
      <w:r w:rsidRPr="0056532F">
        <w:rPr>
          <w:sz w:val="20"/>
          <w:szCs w:val="18"/>
        </w:rPr>
        <w:t xml:space="preserve"> and subject to change</w:t>
      </w:r>
      <w:r w:rsidR="00B1580A">
        <w:rPr>
          <w:sz w:val="20"/>
          <w:szCs w:val="18"/>
        </w:rPr>
        <w:t>.</w:t>
      </w:r>
    </w:p>
    <w:p w14:paraId="3B4459CD" w14:textId="77777777" w:rsidR="0056532F" w:rsidRPr="0056532F" w:rsidRDefault="5FDDDD1F" w:rsidP="0056532F">
      <w:pPr>
        <w:pStyle w:val="spaced6"/>
      </w:pPr>
      <w:r w:rsidRPr="0056532F">
        <w:t xml:space="preserve">Individuals assigned female at birth (AFAB) and newly diagnosed with HIV infection in Massachusetts during </w:t>
      </w:r>
      <w:r w:rsidR="00775ABA" w:rsidRPr="0056532F">
        <w:t>2020–2022</w:t>
      </w:r>
      <w:r w:rsidR="00E420FF" w:rsidRPr="0056532F">
        <w:rPr>
          <w:rStyle w:val="FootnoteReference"/>
        </w:rPr>
        <w:footnoteReference w:id="137"/>
      </w:r>
      <w:r w:rsidRPr="0056532F">
        <w:t xml:space="preserve"> </w:t>
      </w:r>
      <w:r w:rsidR="0056532F" w:rsidRPr="0056532F">
        <w:t>were predominantly black (non-Hispanic) (53%), 30 years of age or older (32% 30–39 year-olds, 21% 40–49 year-olds, 31% 50+ year-olds), with an exposure mode of presumed heterosexual sex (36%). While presumed heterosexual sex was the leading reported exposure mode, a large percentage of new HIV diagnoses were reported with no identified risk (NIR) (28%).</w:t>
      </w:r>
    </w:p>
    <w:p w14:paraId="35C727F2" w14:textId="121C1EC6" w:rsidR="00B55FE7" w:rsidRPr="0056532F" w:rsidRDefault="0056532F" w:rsidP="0056532F">
      <w:pPr>
        <w:pStyle w:val="spaced6"/>
      </w:pPr>
      <w:r>
        <w:t>Among individuals AFAB, the proportion of HIV infection diagnoses with IDU exposure mode increased from 7% (N=12/164) in 2014 to 25% (N=40/159) in 2017, remained between 17% (2019, N=24/140) and 22% (2020, N=27/122) from 2018 through 2021, and then decreased to 10% (N=12/119) in 2022.</w:t>
      </w:r>
      <w:r>
        <w:br w:type="page"/>
      </w:r>
    </w:p>
    <w:p w14:paraId="2330DD6C" w14:textId="77777777" w:rsidR="00103607" w:rsidRDefault="002C4A99" w:rsidP="00B55FE7">
      <w:pPr>
        <w:pStyle w:val="Heading1"/>
      </w:pPr>
      <w:bookmarkStart w:id="68" w:name="_Toc154057170"/>
      <w:r>
        <w:lastRenderedPageBreak/>
        <w:t>SPECIFIC POPULATIONS – OLDER INDIVIDUALS</w:t>
      </w:r>
      <w:bookmarkEnd w:id="68"/>
      <w:r>
        <w:t xml:space="preserve"> </w:t>
      </w:r>
    </w:p>
    <w:p w14:paraId="5BC917DF" w14:textId="72CFA66F" w:rsidR="002C4A99" w:rsidRDefault="002C4A99" w:rsidP="00103607">
      <w:pPr>
        <w:pStyle w:val="Heading2"/>
        <w:rPr>
          <w:color w:val="FF0000"/>
        </w:rPr>
      </w:pPr>
      <w:bookmarkStart w:id="69" w:name="_Toc154057171"/>
      <w:r>
        <w:t>STD DIAGNOSES BY AGE</w:t>
      </w:r>
      <w:bookmarkEnd w:id="69"/>
    </w:p>
    <w:p w14:paraId="5E23B039" w14:textId="77777777" w:rsidR="002C4A99" w:rsidRPr="002C4A99" w:rsidRDefault="002C4A99" w:rsidP="002C4A99">
      <w:r w:rsidRPr="002C4A99">
        <w:rPr>
          <w:b/>
          <w:bCs/>
        </w:rPr>
        <w:t xml:space="preserve">Figure 52. </w:t>
      </w:r>
      <w:r w:rsidRPr="002C4A99">
        <w:t>Distribution of confirmed chlamydia, gonorrhea, and syphilis cases reported by age group (years), Massachusetts 2022</w:t>
      </w:r>
    </w:p>
    <w:p w14:paraId="0D89EAFA" w14:textId="058F4D71" w:rsidR="002C4A99" w:rsidRDefault="002C4A99" w:rsidP="002C4A99">
      <w:r>
        <w:rPr>
          <w:noProof/>
        </w:rPr>
        <w:drawing>
          <wp:inline distT="0" distB="0" distL="0" distR="0" wp14:anchorId="596DFAEB" wp14:editId="66439BBD">
            <wp:extent cx="6474460" cy="4481195"/>
            <wp:effectExtent l="0" t="0" r="0" b="0"/>
            <wp:docPr id="1760854531" name="Picture 1760854531" descr="The figure is a stacked bar chart displaying the distribution by age (&lt;15 years, 15-24 years, 25-29 years, 30-39 years, 40-49 years, 50-59 years, and 60+ years) for three groups: confirmed chlamydia, gonorrhea, and syphilis c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54531" name="Picture 32" descr="The figure is a stacked bar chart displaying the distribution by age (&lt;15 years, 15-24 years, 25-29 years, 30-39 years, 40-49 years, 50-59 years, and 60+ years) for three groups: confirmed chlamydia, gonorrhea, and syphilis cases.&#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4460" cy="4481195"/>
                    </a:xfrm>
                    <a:prstGeom prst="rect">
                      <a:avLst/>
                    </a:prstGeom>
                    <a:noFill/>
                  </pic:spPr>
                </pic:pic>
              </a:graphicData>
            </a:graphic>
          </wp:inline>
        </w:drawing>
      </w:r>
    </w:p>
    <w:p w14:paraId="2BEB283F" w14:textId="4141DC43" w:rsidR="002C4A99" w:rsidRPr="002C4A99" w:rsidRDefault="002C4A99" w:rsidP="002C4A99">
      <w:pPr>
        <w:spacing w:after="120"/>
        <w:rPr>
          <w:sz w:val="20"/>
          <w:szCs w:val="18"/>
        </w:rPr>
      </w:pPr>
      <w:r w:rsidRPr="002C4A99">
        <w:rPr>
          <w:sz w:val="20"/>
          <w:szCs w:val="18"/>
        </w:rPr>
        <w:t>Data Source: Bureau of Infectious Disease and Laboratory Sciences, data are current as of 7/21/2023 and subject to change</w:t>
      </w:r>
      <w:r w:rsidR="00B1580A">
        <w:rPr>
          <w:sz w:val="20"/>
          <w:szCs w:val="18"/>
        </w:rPr>
        <w:t>.</w:t>
      </w:r>
    </w:p>
    <w:p w14:paraId="79638887" w14:textId="1390F972" w:rsidR="002C4A99" w:rsidRPr="002C4A99" w:rsidRDefault="002C4A99" w:rsidP="002C4A99">
      <w:pPr>
        <w:numPr>
          <w:ilvl w:val="0"/>
          <w:numId w:val="94"/>
        </w:numPr>
      </w:pPr>
      <w:r w:rsidRPr="002C4A99">
        <w:t>In 2022,</w:t>
      </w:r>
      <w:r w:rsidRPr="002C4A99">
        <w:rPr>
          <w:rStyle w:val="FootnoteReference"/>
        </w:rPr>
        <w:t xml:space="preserve"> </w:t>
      </w:r>
      <w:r w:rsidRPr="0056532F">
        <w:rPr>
          <w:rStyle w:val="FootnoteReference"/>
        </w:rPr>
        <w:footnoteReference w:id="138"/>
      </w:r>
      <w:r w:rsidRPr="002C4A99">
        <w:t xml:space="preserve"> in Massachusetts, 1% of chlamydia cases, 2% of gonorrhea cases, and 5% of infectious syphilis cases were reported among individuals aged 60+ years. An additional 2% of chlamydia cases, 5% of gonorrhea cases, and 12% of infectious syphilis cases were reported among individuals aged 50–59 years.</w:t>
      </w:r>
    </w:p>
    <w:p w14:paraId="77E5CDC9" w14:textId="77777777" w:rsidR="002C4A99" w:rsidRDefault="002C4A99" w:rsidP="002C4A99"/>
    <w:p w14:paraId="465B1B79" w14:textId="7F082E51" w:rsidR="002C4A99" w:rsidRDefault="002C4A99" w:rsidP="00B55FE7">
      <w:pPr>
        <w:pStyle w:val="Heading1"/>
        <w:rPr>
          <w:bCs/>
          <w:color w:val="FF0000"/>
        </w:rPr>
      </w:pPr>
      <w:r>
        <w:rPr>
          <w:bCs/>
          <w:color w:val="FF0000"/>
        </w:rPr>
        <w:br w:type="page"/>
      </w:r>
    </w:p>
    <w:p w14:paraId="49B62768" w14:textId="77777777" w:rsidR="00325797" w:rsidRPr="00325797" w:rsidRDefault="00325797" w:rsidP="00103607">
      <w:pPr>
        <w:pStyle w:val="Heading2"/>
      </w:pPr>
      <w:bookmarkStart w:id="70" w:name="_Toc154057172"/>
      <w:r>
        <w:lastRenderedPageBreak/>
        <w:t>STD DIAGNOSES BY AGE AND GENDER</w:t>
      </w:r>
      <w:bookmarkEnd w:id="70"/>
    </w:p>
    <w:p w14:paraId="3D0ACC61" w14:textId="77777777" w:rsidR="00325797" w:rsidRPr="00325797" w:rsidRDefault="00325797" w:rsidP="00325797">
      <w:r w:rsidRPr="00325797">
        <w:rPr>
          <w:b/>
          <w:bCs/>
        </w:rPr>
        <w:t xml:space="preserve">Figure 53. </w:t>
      </w:r>
      <w:r w:rsidRPr="00325797">
        <w:t>Percentage of confirmed chlamydia and gonorrhea cases by age at diagnosis (&lt;60 years vs. 60+ years) and gender, Massachusetts 2022</w:t>
      </w:r>
    </w:p>
    <w:p w14:paraId="3AF0AC3F" w14:textId="77777777" w:rsidR="00325797" w:rsidRDefault="00325797" w:rsidP="00325797"/>
    <w:p w14:paraId="0ABDA46B" w14:textId="6A364E25" w:rsidR="00325797" w:rsidRDefault="00325797" w:rsidP="00325797">
      <w:r>
        <w:rPr>
          <w:noProof/>
        </w:rPr>
        <w:drawing>
          <wp:inline distT="0" distB="0" distL="0" distR="0" wp14:anchorId="35A41141" wp14:editId="5F898AF1">
            <wp:extent cx="6572250" cy="3340735"/>
            <wp:effectExtent l="0" t="0" r="0" b="0"/>
            <wp:docPr id="258619750" name="Picture 258619750" descr="The figure is a butterfly graph comparing the percentage distribution of people under 60 years to people aged 60+ years and diagnosed with chlamydia and gonorrhea by gender (male, female, transgender/nonbin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19750" name="Picture 33" descr="The figure is a butterfly graph comparing the percentage distribution of people under 60 years to people aged 60+ years and diagnosed with chlamydia and gonorrhea by gender (male, female, transgender/nonbinary)&#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72250" cy="3340735"/>
                    </a:xfrm>
                    <a:prstGeom prst="rect">
                      <a:avLst/>
                    </a:prstGeom>
                    <a:noFill/>
                  </pic:spPr>
                </pic:pic>
              </a:graphicData>
            </a:graphic>
          </wp:inline>
        </w:drawing>
      </w:r>
    </w:p>
    <w:p w14:paraId="33AE2631" w14:textId="77777777" w:rsidR="00325797" w:rsidRPr="00325797" w:rsidRDefault="00325797" w:rsidP="00325797">
      <w:pPr>
        <w:rPr>
          <w:sz w:val="20"/>
          <w:szCs w:val="18"/>
        </w:rPr>
      </w:pPr>
      <w:r w:rsidRPr="00325797">
        <w:rPr>
          <w:sz w:val="20"/>
          <w:szCs w:val="18"/>
        </w:rPr>
        <w:t xml:space="preserve">Note: 2022 chlamydia N=28,350 (&lt;60 N=28,144; 60+ N=206) and excludes cases missing gender and/or age (N=34). 2022 gonorrhea N=9,124 (&lt;60 N=8,919; 60+ N=205) and excludes cases missing gender and/or age (N=5). </w:t>
      </w:r>
    </w:p>
    <w:p w14:paraId="43FBE82C" w14:textId="16ABC8FD" w:rsidR="00325797" w:rsidRPr="00325797" w:rsidRDefault="00325797" w:rsidP="00325797">
      <w:pPr>
        <w:rPr>
          <w:sz w:val="20"/>
          <w:szCs w:val="18"/>
        </w:rPr>
      </w:pPr>
      <w:r w:rsidRPr="00325797">
        <w:rPr>
          <w:sz w:val="20"/>
          <w:szCs w:val="18"/>
        </w:rPr>
        <w:t>Data Source: Bureau of Infectious Disease and Laboratory Sciences, data are current as of 7/21/2023 and subject to change</w:t>
      </w:r>
      <w:r w:rsidR="00B1580A">
        <w:rPr>
          <w:sz w:val="20"/>
          <w:szCs w:val="18"/>
        </w:rPr>
        <w:t>.</w:t>
      </w:r>
    </w:p>
    <w:p w14:paraId="48B75271" w14:textId="77777777" w:rsidR="00325797" w:rsidRDefault="00325797" w:rsidP="00325797"/>
    <w:p w14:paraId="4F65F9B5" w14:textId="10C59AD3" w:rsidR="00325797" w:rsidRPr="00325797" w:rsidRDefault="00325797" w:rsidP="00325797">
      <w:pPr>
        <w:numPr>
          <w:ilvl w:val="0"/>
          <w:numId w:val="94"/>
        </w:numPr>
        <w:spacing w:after="120"/>
      </w:pPr>
      <w:r w:rsidRPr="00325797">
        <w:t>In 2022,</w:t>
      </w:r>
      <w:r w:rsidR="005D49B5" w:rsidRPr="005D49B5">
        <w:rPr>
          <w:rStyle w:val="FootnoteReference"/>
        </w:rPr>
        <w:t xml:space="preserve"> </w:t>
      </w:r>
      <w:r w:rsidR="005D49B5" w:rsidRPr="0056532F">
        <w:rPr>
          <w:rStyle w:val="FootnoteReference"/>
        </w:rPr>
        <w:footnoteReference w:id="139"/>
      </w:r>
      <w:r w:rsidRPr="00325797">
        <w:t xml:space="preserve"> a much larger proportion of chlamydia cases among individuals aged 60 years or older (78%) than aged less than 60 years (38%) was male. </w:t>
      </w:r>
    </w:p>
    <w:p w14:paraId="16297005" w14:textId="77777777" w:rsidR="00325797" w:rsidRPr="00325797" w:rsidRDefault="00325797" w:rsidP="00325797">
      <w:pPr>
        <w:numPr>
          <w:ilvl w:val="0"/>
          <w:numId w:val="94"/>
        </w:numPr>
      </w:pPr>
      <w:r w:rsidRPr="00325797">
        <w:t xml:space="preserve">Similarly in 2022, a much larger proportion of gonorrhea cases among individuals aged 60 years or older (94%) than aged less than 60 years (67%) was male. </w:t>
      </w:r>
    </w:p>
    <w:p w14:paraId="7FEA7252" w14:textId="77777777" w:rsidR="00325797" w:rsidRDefault="00325797" w:rsidP="00325797"/>
    <w:p w14:paraId="6DE34855" w14:textId="77777777" w:rsidR="005D49B5" w:rsidRDefault="005D49B5" w:rsidP="00B55FE7">
      <w:pPr>
        <w:pStyle w:val="Heading1"/>
        <w:rPr>
          <w:bCs/>
          <w:color w:val="FF0000"/>
        </w:rPr>
      </w:pPr>
      <w:r>
        <w:rPr>
          <w:bCs/>
          <w:color w:val="FF0000"/>
        </w:rPr>
        <w:br w:type="page"/>
      </w:r>
    </w:p>
    <w:p w14:paraId="5BA3B4C1" w14:textId="77777777" w:rsidR="005D49B5" w:rsidRPr="005D49B5" w:rsidRDefault="005D49B5" w:rsidP="00103607">
      <w:pPr>
        <w:pStyle w:val="Heading2"/>
      </w:pPr>
      <w:bookmarkStart w:id="71" w:name="_Toc154057173"/>
      <w:r>
        <w:lastRenderedPageBreak/>
        <w:t>SYPHILIS BY AGE, GENDER, RACE/ETHNICITY, AND RISK</w:t>
      </w:r>
      <w:bookmarkEnd w:id="71"/>
    </w:p>
    <w:p w14:paraId="72E644E9" w14:textId="77777777" w:rsidR="005D49B5" w:rsidRPr="005D49B5" w:rsidRDefault="005D49B5" w:rsidP="005D49B5">
      <w:r w:rsidRPr="005D49B5">
        <w:rPr>
          <w:b/>
          <w:bCs/>
        </w:rPr>
        <w:t xml:space="preserve">Figure 54. </w:t>
      </w:r>
      <w:r w:rsidRPr="005D49B5">
        <w:t>Percentage of infectious syphilis cases by age at diagnosis (&lt;60 years vs. 60+ years), gender, race/ethnicity, and risk, Massachusetts 2022</w:t>
      </w:r>
    </w:p>
    <w:p w14:paraId="4B6F4020" w14:textId="77777777" w:rsidR="005D49B5" w:rsidRDefault="005D49B5" w:rsidP="005D49B5"/>
    <w:p w14:paraId="2E259ACE" w14:textId="30F0EF5B" w:rsidR="005D49B5" w:rsidRDefault="005D49B5" w:rsidP="005D49B5">
      <w:r>
        <w:rPr>
          <w:noProof/>
        </w:rPr>
        <w:drawing>
          <wp:inline distT="0" distB="0" distL="0" distR="0" wp14:anchorId="5F27B8AE" wp14:editId="002E43BB">
            <wp:extent cx="6511290" cy="4919980"/>
            <wp:effectExtent l="0" t="0" r="3810" b="0"/>
            <wp:docPr id="260573256" name="Picture 260573256" descr="The figure is a butterfly graph comparing the percentage distribution of people under 60 years to people aged 60+ years and diagnosed with syphilis by gender, race/ethnicity, exposure mode and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73256" name="Picture 34" descr="The figure is a butterfly graph comparing the percentage distribution of people under 60 years to people aged 60+ years and diagnosed with syphilis by gender, race/ethnicity, exposure mode and risk.&#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11290" cy="4919980"/>
                    </a:xfrm>
                    <a:prstGeom prst="rect">
                      <a:avLst/>
                    </a:prstGeom>
                    <a:noFill/>
                  </pic:spPr>
                </pic:pic>
              </a:graphicData>
            </a:graphic>
          </wp:inline>
        </w:drawing>
      </w:r>
    </w:p>
    <w:p w14:paraId="331CE8A7" w14:textId="574A52CC" w:rsidR="005D49B5" w:rsidRPr="005D49B5" w:rsidRDefault="005D49B5" w:rsidP="005D49B5">
      <w:pPr>
        <w:spacing w:after="120"/>
        <w:rPr>
          <w:sz w:val="20"/>
          <w:szCs w:val="18"/>
        </w:rPr>
      </w:pPr>
      <w:r w:rsidRPr="005D49B5">
        <w:rPr>
          <w:sz w:val="20"/>
          <w:szCs w:val="18"/>
        </w:rPr>
        <w:t>Data Source: Bureau of Infectious Disease and Laboratory Sciences, data are current as of 7/21/2023 and subject to change</w:t>
      </w:r>
      <w:r w:rsidR="00B1580A">
        <w:rPr>
          <w:sz w:val="20"/>
          <w:szCs w:val="18"/>
        </w:rPr>
        <w:t>.</w:t>
      </w:r>
    </w:p>
    <w:p w14:paraId="28970068" w14:textId="7A2231A6" w:rsidR="005D49B5" w:rsidRPr="005D49B5" w:rsidRDefault="005D49B5" w:rsidP="005D49B5">
      <w:pPr>
        <w:numPr>
          <w:ilvl w:val="0"/>
          <w:numId w:val="96"/>
        </w:numPr>
        <w:spacing w:after="120"/>
      </w:pPr>
      <w:r w:rsidRPr="005D49B5">
        <w:t>In 2022,</w:t>
      </w:r>
      <w:r w:rsidRPr="005D49B5">
        <w:rPr>
          <w:rStyle w:val="FootnoteReference"/>
        </w:rPr>
        <w:t xml:space="preserve"> </w:t>
      </w:r>
      <w:r w:rsidRPr="0056532F">
        <w:rPr>
          <w:rStyle w:val="FootnoteReference"/>
        </w:rPr>
        <w:footnoteReference w:id="140"/>
      </w:r>
      <w:r w:rsidRPr="005D49B5">
        <w:t xml:space="preserve"> a slightly larger proportion of infectious syphilis cases among individuals aged 60 years or older (92%) than aged less than 60 years (85%) was male. </w:t>
      </w:r>
    </w:p>
    <w:p w14:paraId="43F75DB6" w14:textId="77777777" w:rsidR="005D49B5" w:rsidRPr="005D49B5" w:rsidRDefault="005D49B5" w:rsidP="005D49B5">
      <w:pPr>
        <w:numPr>
          <w:ilvl w:val="0"/>
          <w:numId w:val="96"/>
        </w:numPr>
        <w:spacing w:after="120"/>
      </w:pPr>
      <w:r w:rsidRPr="005D49B5">
        <w:t>A much larger proportion of infectious syphilis cases among individuals aged 60 years or older (68%) than aged less than 60 years (37%) was white non-Hispanic.</w:t>
      </w:r>
    </w:p>
    <w:p w14:paraId="03D2F759" w14:textId="77777777" w:rsidR="005D49B5" w:rsidRPr="005D49B5" w:rsidRDefault="005D49B5" w:rsidP="005D49B5">
      <w:pPr>
        <w:numPr>
          <w:ilvl w:val="0"/>
          <w:numId w:val="96"/>
        </w:numPr>
        <w:spacing w:after="120"/>
      </w:pPr>
      <w:r w:rsidRPr="005D49B5">
        <w:t>A similar proportion of infectious syphilis cases among individuals aged 60 years or older (59%) and aged less than 60 years (63%) reported male-to-male sex.</w:t>
      </w:r>
    </w:p>
    <w:p w14:paraId="5A852C8C" w14:textId="77777777" w:rsidR="005D49B5" w:rsidRDefault="005D49B5" w:rsidP="005D49B5"/>
    <w:p w14:paraId="40B348EB" w14:textId="73B0A3B4" w:rsidR="005D49B5" w:rsidRDefault="005D49B5" w:rsidP="00B55FE7">
      <w:pPr>
        <w:pStyle w:val="Heading1"/>
        <w:rPr>
          <w:bCs/>
          <w:color w:val="FF0000"/>
        </w:rPr>
      </w:pPr>
      <w:r>
        <w:rPr>
          <w:bCs/>
          <w:color w:val="FF0000"/>
        </w:rPr>
        <w:br w:type="page"/>
      </w:r>
    </w:p>
    <w:p w14:paraId="3FAFE98C" w14:textId="77777777" w:rsidR="005D49B5" w:rsidRPr="005D49B5" w:rsidRDefault="005D49B5" w:rsidP="00103607">
      <w:pPr>
        <w:pStyle w:val="Heading2"/>
      </w:pPr>
      <w:bookmarkStart w:id="72" w:name="_Toc154057174"/>
      <w:r>
        <w:lastRenderedPageBreak/>
        <w:t>OLDER INDIVIDUALS LIVING WITH HIV INFECTION</w:t>
      </w:r>
      <w:bookmarkEnd w:id="72"/>
    </w:p>
    <w:p w14:paraId="11C02D85" w14:textId="77777777" w:rsidR="005D49B5" w:rsidRPr="005D49B5" w:rsidRDefault="005D49B5" w:rsidP="005D49B5">
      <w:r w:rsidRPr="005D49B5">
        <w:rPr>
          <w:b/>
          <w:bCs/>
        </w:rPr>
        <w:t xml:space="preserve">Figure 55. </w:t>
      </w:r>
      <w:r w:rsidRPr="005D49B5">
        <w:t xml:space="preserve">Persons living with HIV infection by expanded age category, Massachusetts 2022 (N=23,597)  </w:t>
      </w:r>
    </w:p>
    <w:p w14:paraId="3220E44E" w14:textId="77777777" w:rsidR="005D49B5" w:rsidRDefault="005D49B5" w:rsidP="005D49B5"/>
    <w:p w14:paraId="5675C378" w14:textId="01C04C80" w:rsidR="005D49B5" w:rsidRDefault="005D49B5" w:rsidP="005D49B5">
      <w:r>
        <w:rPr>
          <w:noProof/>
        </w:rPr>
        <w:drawing>
          <wp:inline distT="0" distB="0" distL="0" distR="0" wp14:anchorId="4CC1A8B3" wp14:editId="6168D924">
            <wp:extent cx="6078220" cy="3755390"/>
            <wp:effectExtent l="0" t="0" r="0" b="0"/>
            <wp:docPr id="1164168461" name="Picture 1164168461" descr="The figure is a bar chart displaying the percentage distribution of persons living with HIV infection by age categ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68461" name="Picture 35" descr="The figure is a bar chart displaying the percentage distribution of persons living with HIV infection by age category.&#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8220" cy="3755390"/>
                    </a:xfrm>
                    <a:prstGeom prst="rect">
                      <a:avLst/>
                    </a:prstGeom>
                    <a:noFill/>
                  </pic:spPr>
                </pic:pic>
              </a:graphicData>
            </a:graphic>
          </wp:inline>
        </w:drawing>
      </w:r>
    </w:p>
    <w:p w14:paraId="61E80A33" w14:textId="77777777" w:rsidR="005D49B5" w:rsidRDefault="005D49B5" w:rsidP="005D49B5"/>
    <w:p w14:paraId="0661623C" w14:textId="6D591436" w:rsidR="005D49B5" w:rsidRPr="00B1580A" w:rsidRDefault="005D49B5" w:rsidP="005D49B5">
      <w:pPr>
        <w:rPr>
          <w:sz w:val="22"/>
          <w:szCs w:val="20"/>
        </w:rPr>
      </w:pPr>
      <w:r w:rsidRPr="00B1580A">
        <w:rPr>
          <w:sz w:val="22"/>
          <w:szCs w:val="20"/>
        </w:rPr>
        <w:t xml:space="preserve">Data Source: Bureau of Infectious Disease and Laboratory Sciences, data are current as of 7/1/2023 and subject to </w:t>
      </w:r>
      <w:r w:rsidR="00301485" w:rsidRPr="00B1580A">
        <w:rPr>
          <w:sz w:val="22"/>
          <w:szCs w:val="20"/>
        </w:rPr>
        <w:t>change.</w:t>
      </w:r>
    </w:p>
    <w:p w14:paraId="2253B67E" w14:textId="77777777" w:rsidR="005D49B5" w:rsidRDefault="005D49B5" w:rsidP="005D49B5"/>
    <w:p w14:paraId="6CC6C915" w14:textId="10FEC0AB" w:rsidR="005D49B5" w:rsidRPr="005D49B5" w:rsidRDefault="005D49B5" w:rsidP="005D49B5">
      <w:pPr>
        <w:numPr>
          <w:ilvl w:val="0"/>
          <w:numId w:val="97"/>
        </w:numPr>
      </w:pPr>
      <w:r w:rsidRPr="005D49B5">
        <w:t>In 2022,</w:t>
      </w:r>
      <w:r w:rsidRPr="005D49B5">
        <w:rPr>
          <w:rStyle w:val="FootnoteReference"/>
        </w:rPr>
        <w:t xml:space="preserve"> </w:t>
      </w:r>
      <w:r w:rsidRPr="0056532F">
        <w:rPr>
          <w:rStyle w:val="FootnoteReference"/>
        </w:rPr>
        <w:footnoteReference w:id="141"/>
      </w:r>
      <w:r w:rsidRPr="005D49B5">
        <w:rPr>
          <w:vertAlign w:val="superscript"/>
        </w:rPr>
        <w:t xml:space="preserve"> </w:t>
      </w:r>
      <w:r w:rsidRPr="005D49B5">
        <w:t xml:space="preserve">19% (N=4,362) of PLWH were aged 65 years or older, the age of eligibility for Medicare for individuals without a disability. </w:t>
      </w:r>
    </w:p>
    <w:p w14:paraId="342F489C" w14:textId="77777777" w:rsidR="005D49B5" w:rsidRDefault="005D49B5" w:rsidP="005D49B5"/>
    <w:p w14:paraId="6D5604FD" w14:textId="77777777" w:rsidR="005D49B5" w:rsidRDefault="005D49B5" w:rsidP="005D49B5"/>
    <w:p w14:paraId="53DEB5AE" w14:textId="32E35662" w:rsidR="005D49B5" w:rsidRDefault="005D49B5" w:rsidP="00B55FE7">
      <w:pPr>
        <w:pStyle w:val="Heading1"/>
        <w:rPr>
          <w:bCs/>
          <w:color w:val="FF0000"/>
        </w:rPr>
      </w:pPr>
      <w:r>
        <w:rPr>
          <w:bCs/>
          <w:color w:val="FF0000"/>
        </w:rPr>
        <w:br w:type="page"/>
      </w:r>
    </w:p>
    <w:p w14:paraId="04CDDB87" w14:textId="77777777" w:rsidR="005D49B5" w:rsidRDefault="005D49B5" w:rsidP="00E77D96">
      <w:pPr>
        <w:rPr>
          <w:rFonts w:asciiTheme="majorHAnsi" w:hAnsiTheme="majorHAnsi" w:cstheme="majorHAnsi"/>
          <w:b/>
          <w:bCs/>
          <w:color w:val="2F5496" w:themeColor="accent1" w:themeShade="BF"/>
          <w:sz w:val="32"/>
          <w:szCs w:val="32"/>
        </w:rPr>
      </w:pPr>
      <w:r w:rsidRPr="00E77D96">
        <w:rPr>
          <w:rFonts w:asciiTheme="majorHAnsi" w:hAnsiTheme="majorHAnsi" w:cstheme="majorHAnsi"/>
          <w:b/>
          <w:bCs/>
          <w:color w:val="2F5496" w:themeColor="accent1" w:themeShade="BF"/>
          <w:sz w:val="32"/>
          <w:szCs w:val="32"/>
        </w:rPr>
        <w:lastRenderedPageBreak/>
        <w:t>OLDER INDIVIDUALS LIVING WITH HIV INFECTION</w:t>
      </w:r>
    </w:p>
    <w:p w14:paraId="6D93A3BC" w14:textId="77777777" w:rsidR="00E77D96" w:rsidRPr="00E77D96" w:rsidRDefault="00E77D96" w:rsidP="00E77D96">
      <w:pPr>
        <w:rPr>
          <w:rFonts w:asciiTheme="majorHAnsi" w:hAnsiTheme="majorHAnsi" w:cstheme="majorHAnsi"/>
          <w:b/>
          <w:bCs/>
          <w:color w:val="2F5496" w:themeColor="accent1" w:themeShade="BF"/>
          <w:sz w:val="32"/>
          <w:szCs w:val="32"/>
        </w:rPr>
      </w:pPr>
    </w:p>
    <w:p w14:paraId="17612D95" w14:textId="77777777" w:rsidR="00B31EE7" w:rsidRPr="00B31EE7" w:rsidRDefault="00B31EE7" w:rsidP="00B31EE7">
      <w:r w:rsidRPr="00B31EE7">
        <w:rPr>
          <w:b/>
          <w:bCs/>
        </w:rPr>
        <w:t xml:space="preserve">Figure 56. </w:t>
      </w:r>
      <w:r w:rsidRPr="00B31EE7">
        <w:t>Number of years since HIV infection diagnosis among individuals aged 60 years and older living with HIV infection, Massachusetts 2022 (N=8,018)</w:t>
      </w:r>
    </w:p>
    <w:p w14:paraId="002DF84F" w14:textId="77777777" w:rsidR="005D49B5" w:rsidRDefault="005D49B5" w:rsidP="00B31EE7"/>
    <w:p w14:paraId="346A015B" w14:textId="4CE398AE" w:rsidR="005D49B5" w:rsidRDefault="00B31EE7" w:rsidP="00B31EE7">
      <w:r>
        <w:rPr>
          <w:noProof/>
        </w:rPr>
        <w:drawing>
          <wp:inline distT="0" distB="0" distL="0" distR="0" wp14:anchorId="07435B17" wp14:editId="0BCCE699">
            <wp:extent cx="6078220" cy="3761740"/>
            <wp:effectExtent l="0" t="0" r="0" b="0"/>
            <wp:docPr id="176690773" name="Picture 176690773" descr="The figure is a bar chart displaying the percentage distribution of persons living with HIV infection aged 60+years by number of years since HIV infection diagno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0773" name="Picture 36" descr="The figure is a bar chart displaying the percentage distribution of persons living with HIV infection aged 60+years by number of years since HIV infection diagnosis.&#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78220" cy="3761740"/>
                    </a:xfrm>
                    <a:prstGeom prst="rect">
                      <a:avLst/>
                    </a:prstGeom>
                    <a:noFill/>
                  </pic:spPr>
                </pic:pic>
              </a:graphicData>
            </a:graphic>
          </wp:inline>
        </w:drawing>
      </w:r>
    </w:p>
    <w:p w14:paraId="632BA67D" w14:textId="2B35DDDD" w:rsidR="00B31EE7" w:rsidRPr="00B31EE7" w:rsidRDefault="00B31EE7" w:rsidP="00B31EE7">
      <w:pPr>
        <w:rPr>
          <w:sz w:val="20"/>
          <w:szCs w:val="18"/>
        </w:rPr>
      </w:pPr>
      <w:r w:rsidRPr="00B31EE7">
        <w:rPr>
          <w:sz w:val="20"/>
          <w:szCs w:val="18"/>
        </w:rPr>
        <w:t xml:space="preserve">Data Source: Bureau of Infectious Disease and Laboratory Sciences, data are current as of 7/1/2023 and subject to </w:t>
      </w:r>
      <w:r w:rsidR="00301485" w:rsidRPr="00B31EE7">
        <w:rPr>
          <w:sz w:val="20"/>
          <w:szCs w:val="18"/>
        </w:rPr>
        <w:t>change.</w:t>
      </w:r>
    </w:p>
    <w:p w14:paraId="0C25531C" w14:textId="77777777" w:rsidR="005D49B5" w:rsidRDefault="005D49B5" w:rsidP="00B31EE7"/>
    <w:p w14:paraId="22C94F85" w14:textId="63F74C7A" w:rsidR="00B31EE7" w:rsidRPr="00B31EE7" w:rsidRDefault="00B31EE7" w:rsidP="00B31EE7">
      <w:pPr>
        <w:numPr>
          <w:ilvl w:val="0"/>
          <w:numId w:val="98"/>
        </w:numPr>
      </w:pPr>
      <w:r w:rsidRPr="00B31EE7">
        <w:t>In 2022,</w:t>
      </w:r>
      <w:r w:rsidRPr="00B31EE7">
        <w:rPr>
          <w:rStyle w:val="FootnoteReference"/>
        </w:rPr>
        <w:t xml:space="preserve"> </w:t>
      </w:r>
      <w:r w:rsidRPr="0056532F">
        <w:rPr>
          <w:rStyle w:val="FootnoteReference"/>
        </w:rPr>
        <w:footnoteReference w:id="142"/>
      </w:r>
      <w:r w:rsidR="005D49B5" w:rsidRPr="005D49B5">
        <w:rPr>
          <w:vertAlign w:val="superscript"/>
        </w:rPr>
        <w:t xml:space="preserve"> </w:t>
      </w:r>
      <w:r w:rsidRPr="00B31EE7">
        <w:t xml:space="preserve"> the majority (66%) of PLWH aged 60 years and older were diagnosed with HIV infection at least 20 years ago. The average number of years since HIV infection diagnosis among PLWH aged 60 years and older was 22.1 years. </w:t>
      </w:r>
    </w:p>
    <w:p w14:paraId="6C3B244D" w14:textId="77777777" w:rsidR="00B31EE7" w:rsidRDefault="00B31EE7" w:rsidP="00B31EE7"/>
    <w:p w14:paraId="7142F7F5" w14:textId="61C2E057" w:rsidR="005D49B5" w:rsidRDefault="005D49B5" w:rsidP="00B55FE7">
      <w:pPr>
        <w:pStyle w:val="Heading1"/>
        <w:rPr>
          <w:bCs/>
          <w:color w:val="FF0000"/>
        </w:rPr>
      </w:pPr>
      <w:r>
        <w:rPr>
          <w:bCs/>
          <w:color w:val="FF0000"/>
        </w:rPr>
        <w:br w:type="page"/>
      </w:r>
    </w:p>
    <w:p w14:paraId="3FCBDA6D" w14:textId="77777777" w:rsidR="005A7F2D" w:rsidRDefault="005A7F2D" w:rsidP="00E77D96">
      <w:pPr>
        <w:rPr>
          <w:rFonts w:asciiTheme="majorHAnsi" w:hAnsiTheme="majorHAnsi" w:cstheme="majorHAnsi"/>
          <w:b/>
          <w:bCs/>
          <w:color w:val="2F5496" w:themeColor="accent1" w:themeShade="BF"/>
          <w:sz w:val="32"/>
          <w:szCs w:val="32"/>
        </w:rPr>
      </w:pPr>
      <w:r w:rsidRPr="00E77D96">
        <w:rPr>
          <w:rFonts w:asciiTheme="majorHAnsi" w:hAnsiTheme="majorHAnsi" w:cstheme="majorHAnsi"/>
          <w:b/>
          <w:bCs/>
          <w:color w:val="2F5496" w:themeColor="accent1" w:themeShade="BF"/>
          <w:sz w:val="32"/>
          <w:szCs w:val="32"/>
        </w:rPr>
        <w:lastRenderedPageBreak/>
        <w:t>OLDER INDIVIDUALS LIVING WITH HIV INFECTION</w:t>
      </w:r>
    </w:p>
    <w:p w14:paraId="12309980" w14:textId="77777777" w:rsidR="00E77D96" w:rsidRPr="00E77D96" w:rsidRDefault="00E77D96" w:rsidP="00E77D96">
      <w:pPr>
        <w:rPr>
          <w:rFonts w:asciiTheme="majorHAnsi" w:hAnsiTheme="majorHAnsi" w:cstheme="majorHAnsi"/>
          <w:b/>
          <w:bCs/>
          <w:color w:val="2F5496" w:themeColor="accent1" w:themeShade="BF"/>
          <w:sz w:val="32"/>
          <w:szCs w:val="32"/>
        </w:rPr>
      </w:pPr>
    </w:p>
    <w:p w14:paraId="5B060B9C" w14:textId="77777777" w:rsidR="005A7F2D" w:rsidRPr="005A7F2D" w:rsidRDefault="005A7F2D" w:rsidP="005A7F2D">
      <w:r w:rsidRPr="005A7F2D">
        <w:rPr>
          <w:b/>
          <w:bCs/>
        </w:rPr>
        <w:t xml:space="preserve">Figure 57. </w:t>
      </w:r>
      <w:r w:rsidRPr="005A7F2D">
        <w:t>People aged 60 years and older living with HIV infection compared to people aged under 60 years by selected characteristics, Massachusetts 2022</w:t>
      </w:r>
    </w:p>
    <w:p w14:paraId="04F44B69" w14:textId="5A380567" w:rsidR="005A7F2D" w:rsidRDefault="005A7F2D" w:rsidP="005A7F2D">
      <w:r>
        <w:rPr>
          <w:noProof/>
        </w:rPr>
        <w:drawing>
          <wp:inline distT="0" distB="0" distL="0" distR="0" wp14:anchorId="7AF85520" wp14:editId="7D2C3489">
            <wp:extent cx="6109664" cy="6416040"/>
            <wp:effectExtent l="0" t="0" r="5715" b="3810"/>
            <wp:docPr id="1276500236" name="Picture 1276500236" descr="The figure is a butterfly graph comparing the percentage distribution of people under 60 years to people aged 60+ years and living with HIV infection by sex assigned at birth, gender, place of birth,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00236" name="Picture 37" descr="The figure is a butterfly graph comparing the percentage distribution of people under 60 years to people aged 60+ years and living with HIV infection by sex assigned at birth, gender, place of birth, race/ethnicity, and exposure mode.&#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3178" cy="6419730"/>
                    </a:xfrm>
                    <a:prstGeom prst="rect">
                      <a:avLst/>
                    </a:prstGeom>
                    <a:noFill/>
                  </pic:spPr>
                </pic:pic>
              </a:graphicData>
            </a:graphic>
          </wp:inline>
        </w:drawing>
      </w:r>
    </w:p>
    <w:p w14:paraId="28042FE0" w14:textId="77777777" w:rsidR="00FF53C8" w:rsidRDefault="00FF53C8" w:rsidP="005A7F2D"/>
    <w:p w14:paraId="443725DC" w14:textId="5957417C" w:rsidR="001C0C2C" w:rsidRDefault="003E6885" w:rsidP="00FF53C8">
      <w:pPr>
        <w:spacing w:after="120"/>
        <w:rPr>
          <w:sz w:val="20"/>
          <w:szCs w:val="18"/>
        </w:rPr>
      </w:pPr>
      <w:r w:rsidRPr="003E6885">
        <w:rPr>
          <w:sz w:val="20"/>
          <w:szCs w:val="18"/>
        </w:rPr>
        <w:t>Data Source: Bureau of Infectious Disease and Laboratory Sciences, data are current as of 7/1/2023 and subject to change</w:t>
      </w:r>
      <w:r w:rsidR="00B1580A">
        <w:rPr>
          <w:sz w:val="20"/>
          <w:szCs w:val="18"/>
        </w:rPr>
        <w:t>.</w:t>
      </w:r>
    </w:p>
    <w:p w14:paraId="745C0173" w14:textId="12B43E45" w:rsidR="003E6885" w:rsidRPr="003E6885" w:rsidRDefault="00FF53C8" w:rsidP="00FF53C8">
      <w:pPr>
        <w:spacing w:after="120"/>
        <w:rPr>
          <w:sz w:val="20"/>
          <w:szCs w:val="18"/>
        </w:rPr>
      </w:pPr>
      <w:r>
        <w:rPr>
          <w:sz w:val="20"/>
          <w:szCs w:val="18"/>
        </w:rPr>
        <w:br w:type="page"/>
      </w:r>
    </w:p>
    <w:p w14:paraId="03DA1820" w14:textId="5A862A67" w:rsidR="003E6885" w:rsidRPr="003E6885" w:rsidRDefault="003E6885" w:rsidP="00FF53C8">
      <w:pPr>
        <w:numPr>
          <w:ilvl w:val="0"/>
          <w:numId w:val="99"/>
        </w:numPr>
        <w:spacing w:after="120"/>
      </w:pPr>
      <w:r w:rsidRPr="003E6885">
        <w:lastRenderedPageBreak/>
        <w:t>In 2022,</w:t>
      </w:r>
      <w:r w:rsidRPr="003E6885">
        <w:rPr>
          <w:rStyle w:val="FootnoteReference"/>
        </w:rPr>
        <w:t xml:space="preserve"> </w:t>
      </w:r>
      <w:r w:rsidRPr="0056532F">
        <w:rPr>
          <w:rStyle w:val="FootnoteReference"/>
        </w:rPr>
        <w:footnoteReference w:id="143"/>
      </w:r>
      <w:r w:rsidR="005D49B5" w:rsidRPr="005D49B5">
        <w:rPr>
          <w:vertAlign w:val="superscript"/>
        </w:rPr>
        <w:t xml:space="preserve"> </w:t>
      </w:r>
      <w:r w:rsidRPr="003E6885">
        <w:t xml:space="preserve"> the distributions of people living with HIV infection by place of birth, race/ethnicity, and exposure mode varied by age:  </w:t>
      </w:r>
    </w:p>
    <w:p w14:paraId="5F0D135B" w14:textId="76F7DEBF" w:rsidR="005A7F2D" w:rsidRDefault="003E6885" w:rsidP="005A7F2D">
      <w:pPr>
        <w:numPr>
          <w:ilvl w:val="1"/>
          <w:numId w:val="99"/>
        </w:numPr>
        <w:spacing w:after="120"/>
      </w:pPr>
      <w:r w:rsidRPr="003E6885">
        <w:t xml:space="preserve">A larger proportion of individuals aged 60+ years (64%) than &lt;60 years (57%) was born in the US. </w:t>
      </w:r>
    </w:p>
    <w:p w14:paraId="35F3D131" w14:textId="77777777" w:rsidR="00FF53C8" w:rsidRPr="00FF53C8" w:rsidRDefault="00FF53C8" w:rsidP="00FF53C8">
      <w:pPr>
        <w:numPr>
          <w:ilvl w:val="1"/>
          <w:numId w:val="99"/>
        </w:numPr>
        <w:spacing w:after="120"/>
      </w:pPr>
      <w:r w:rsidRPr="00FF53C8">
        <w:t xml:space="preserve">A larger proportion of individuals aged 60+ years (45%) than &lt;60 years (35%) was white (non-Hispanic), and a smaller proportion was Hispanic/Latinx (21% vs. 31%). </w:t>
      </w:r>
    </w:p>
    <w:p w14:paraId="65AD0F34" w14:textId="77777777" w:rsidR="00FF53C8" w:rsidRPr="00FF53C8" w:rsidRDefault="00FF53C8" w:rsidP="00FF53C8">
      <w:pPr>
        <w:numPr>
          <w:ilvl w:val="1"/>
          <w:numId w:val="99"/>
        </w:numPr>
        <w:spacing w:after="120"/>
      </w:pPr>
      <w:r w:rsidRPr="00FF53C8">
        <w:t>A larger proportion of individuals aged 60+ years (21%) than &lt;60 years (12%) had injection drug use exposure mode and a smaller proportion had MSM exposure mode (35% vs. 42%). However, MSM was still the most frequently reported exposure mode for both age groups.</w:t>
      </w:r>
    </w:p>
    <w:p w14:paraId="3B2D25E4" w14:textId="77777777" w:rsidR="00FF53C8" w:rsidRPr="00FF53C8" w:rsidRDefault="00FF53C8" w:rsidP="00FF53C8">
      <w:pPr>
        <w:numPr>
          <w:ilvl w:val="1"/>
          <w:numId w:val="99"/>
        </w:numPr>
        <w:spacing w:after="120"/>
      </w:pPr>
      <w:r w:rsidRPr="00FF53C8">
        <w:t xml:space="preserve">The distributions of people living with HIV infection by sex assigned at birth and current gender identity were similar for both age groups in 2022. </w:t>
      </w:r>
    </w:p>
    <w:p w14:paraId="01A55E7C" w14:textId="77777777" w:rsidR="003E6885" w:rsidRDefault="003E6885" w:rsidP="00FF53C8">
      <w:r>
        <w:br w:type="page"/>
      </w:r>
    </w:p>
    <w:p w14:paraId="4E54E184" w14:textId="77777777" w:rsidR="00D63020" w:rsidRPr="00D63020" w:rsidRDefault="00D63020" w:rsidP="00103607">
      <w:pPr>
        <w:pStyle w:val="Heading2"/>
      </w:pPr>
      <w:bookmarkStart w:id="73" w:name="_Toc154057175"/>
      <w:r>
        <w:lastRenderedPageBreak/>
        <w:t>OLDER INDIVIDUALS RECENTLY DIAGNOSED WITH HIV INFECTION</w:t>
      </w:r>
      <w:bookmarkEnd w:id="73"/>
    </w:p>
    <w:p w14:paraId="214F0ED7" w14:textId="77777777" w:rsidR="00D63020" w:rsidRPr="00D63020" w:rsidRDefault="00D63020" w:rsidP="00D63020">
      <w:r w:rsidRPr="00D63020">
        <w:rPr>
          <w:b/>
          <w:bCs/>
        </w:rPr>
        <w:t xml:space="preserve">Figure 58. </w:t>
      </w:r>
      <w:r w:rsidRPr="00D63020">
        <w:t>People aged 60 years and older diagnosed with HIV infection compared to people aged under 60 years by selected characteristics, Massachusetts 2020–2022</w:t>
      </w:r>
    </w:p>
    <w:p w14:paraId="57A4C3CE" w14:textId="47E61E5B" w:rsidR="00D63020" w:rsidRDefault="00D63020" w:rsidP="00D63020">
      <w:r>
        <w:rPr>
          <w:noProof/>
        </w:rPr>
        <w:drawing>
          <wp:inline distT="0" distB="0" distL="0" distR="0" wp14:anchorId="743F5396" wp14:editId="7DEFBD2E">
            <wp:extent cx="6078220" cy="6383020"/>
            <wp:effectExtent l="0" t="0" r="0" b="0"/>
            <wp:docPr id="1627002947" name="Picture 1627002947" descr="The figure is a butterfly graph comparing the percentage distribution of people under 60 years to people aged 60+ years and recently diagnosed with HIV infection by sex assigned at birth, gender, place of birth,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02947" name="Picture 38" descr="The figure is a butterfly graph comparing the percentage distribution of people under 60 years to people aged 60+ years and recently diagnosed with HIV infection by sex assigned at birth, gender, place of birth, race/ethnicity, and exposure mode.&#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78220" cy="6383020"/>
                    </a:xfrm>
                    <a:prstGeom prst="rect">
                      <a:avLst/>
                    </a:prstGeom>
                    <a:noFill/>
                  </pic:spPr>
                </pic:pic>
              </a:graphicData>
            </a:graphic>
          </wp:inline>
        </w:drawing>
      </w:r>
    </w:p>
    <w:p w14:paraId="6A75BCF4" w14:textId="77777777" w:rsidR="00D63020" w:rsidRDefault="00D63020" w:rsidP="00D63020"/>
    <w:p w14:paraId="7007803A" w14:textId="3C201E35" w:rsidR="00D63020" w:rsidRPr="00D63020" w:rsidRDefault="00D63020" w:rsidP="00D63020">
      <w:pPr>
        <w:rPr>
          <w:sz w:val="20"/>
          <w:szCs w:val="18"/>
        </w:rPr>
      </w:pPr>
      <w:r w:rsidRPr="00D63020">
        <w:rPr>
          <w:sz w:val="20"/>
          <w:szCs w:val="18"/>
        </w:rPr>
        <w:t xml:space="preserve">Data Source: Bureau of Infectious Disease and Laboratory Sciences, data are current as of 7/1/2023 and subject to </w:t>
      </w:r>
      <w:r w:rsidR="00301485" w:rsidRPr="00D63020">
        <w:rPr>
          <w:sz w:val="20"/>
          <w:szCs w:val="18"/>
        </w:rPr>
        <w:t>change.</w:t>
      </w:r>
    </w:p>
    <w:p w14:paraId="1D440239" w14:textId="3AA86808" w:rsidR="00D63020" w:rsidRDefault="00D63020" w:rsidP="00D63020">
      <w:r>
        <w:br w:type="page"/>
      </w:r>
    </w:p>
    <w:p w14:paraId="39F09AC4" w14:textId="77777777" w:rsidR="00D63020" w:rsidRPr="00D63020" w:rsidRDefault="00D63020" w:rsidP="00D63020">
      <w:pPr>
        <w:spacing w:after="120"/>
      </w:pPr>
      <w:r w:rsidRPr="00D63020">
        <w:rPr>
          <w:i/>
          <w:iCs/>
        </w:rPr>
        <w:lastRenderedPageBreak/>
        <w:t>When reviewing the data presentations on people diagnosed with HIV infection at age 60+ years, please note that the ascertainment of accurate initial diagnosis date/age is often more difficult for individuals born outside the United States than those born in the United States or Puerto Rico. This is due to limited access to clinical documentation and/or less access to testing in the patient’s country of origin.  Differences between younger (&lt;60) and older (60+) individuals diagnosed with HIV infection displayed in this report may be an artefact of this data quality discrepancy rather than actual age at diagnosis.</w:t>
      </w:r>
    </w:p>
    <w:p w14:paraId="5E6E311C" w14:textId="1E87D998" w:rsidR="00D63020" w:rsidRPr="00D63020" w:rsidRDefault="00D63020" w:rsidP="00D63020">
      <w:pPr>
        <w:pStyle w:val="ListParagraph"/>
        <w:numPr>
          <w:ilvl w:val="0"/>
          <w:numId w:val="101"/>
        </w:numPr>
        <w:spacing w:after="120"/>
      </w:pPr>
      <w:r w:rsidRPr="00D63020">
        <w:t>During 2020 to 2022,</w:t>
      </w:r>
      <w:r w:rsidR="00957EE9" w:rsidRPr="00957EE9">
        <w:rPr>
          <w:rStyle w:val="FootnoteReference"/>
        </w:rPr>
        <w:t xml:space="preserve"> </w:t>
      </w:r>
      <w:r w:rsidR="00957EE9" w:rsidRPr="0056532F">
        <w:rPr>
          <w:rStyle w:val="FootnoteReference"/>
        </w:rPr>
        <w:footnoteReference w:id="144"/>
      </w:r>
      <w:r w:rsidR="005D49B5" w:rsidRPr="005D49B5">
        <w:rPr>
          <w:vertAlign w:val="superscript"/>
        </w:rPr>
        <w:t xml:space="preserve"> </w:t>
      </w:r>
      <w:r w:rsidRPr="00D63020">
        <w:t xml:space="preserve">the distributions of individuals diagnosed with HIV infection by sex assigned at birth, place of birth, race/ethnicity, and exposure mode varied by age:  </w:t>
      </w:r>
    </w:p>
    <w:p w14:paraId="445EEC31" w14:textId="77777777" w:rsidR="00D63020" w:rsidRPr="00D63020" w:rsidRDefault="00D63020" w:rsidP="00D63020">
      <w:pPr>
        <w:pStyle w:val="ListParagraph"/>
        <w:numPr>
          <w:ilvl w:val="0"/>
          <w:numId w:val="101"/>
        </w:numPr>
        <w:spacing w:after="120"/>
      </w:pPr>
      <w:r w:rsidRPr="00D63020">
        <w:t xml:space="preserve">A larger proportion of individuals aged 60+ years (46%) than &lt;60 years (26%) was assigned female at birth. </w:t>
      </w:r>
    </w:p>
    <w:p w14:paraId="0897F8A8" w14:textId="77777777" w:rsidR="00D63020" w:rsidRPr="00D63020" w:rsidRDefault="00D63020" w:rsidP="00D63020">
      <w:pPr>
        <w:pStyle w:val="ListParagraph"/>
        <w:numPr>
          <w:ilvl w:val="0"/>
          <w:numId w:val="101"/>
        </w:numPr>
        <w:spacing w:after="120"/>
      </w:pPr>
      <w:r w:rsidRPr="00D63020">
        <w:t xml:space="preserve">A larger proportion of individuals aged 60+ years (50%) than &lt;60 years (41%) was born outside the US. </w:t>
      </w:r>
    </w:p>
    <w:p w14:paraId="492B0B3D" w14:textId="77777777" w:rsidR="00D63020" w:rsidRPr="00D63020" w:rsidRDefault="00D63020" w:rsidP="00D63020">
      <w:pPr>
        <w:pStyle w:val="ListParagraph"/>
        <w:numPr>
          <w:ilvl w:val="0"/>
          <w:numId w:val="101"/>
        </w:numPr>
        <w:spacing w:after="120"/>
      </w:pPr>
      <w:r w:rsidRPr="00D63020">
        <w:t>A larger proportion of individuals aged 60+ years (53%) than &lt;60 years (31%) was black (non-Hispanic).</w:t>
      </w:r>
    </w:p>
    <w:p w14:paraId="135B0492" w14:textId="77777777" w:rsidR="00D63020" w:rsidRPr="00D63020" w:rsidRDefault="00D63020" w:rsidP="00D63020">
      <w:pPr>
        <w:pStyle w:val="ListParagraph"/>
        <w:numPr>
          <w:ilvl w:val="0"/>
          <w:numId w:val="101"/>
        </w:numPr>
        <w:spacing w:after="120"/>
      </w:pPr>
      <w:r w:rsidRPr="00D63020">
        <w:t>A larger proportion of individuals aged 60+ years (38%) than &lt;60 years (25%) did not have exposure mode information reported that met CDC-defined categories.</w:t>
      </w:r>
    </w:p>
    <w:p w14:paraId="69ABBD5E" w14:textId="77777777" w:rsidR="00D63020" w:rsidRDefault="00D63020" w:rsidP="00D63020"/>
    <w:p w14:paraId="5B2DB464" w14:textId="77777777" w:rsidR="00D63020" w:rsidRPr="00D63020" w:rsidRDefault="00D63020" w:rsidP="00D63020"/>
    <w:p w14:paraId="3D6A8712" w14:textId="7D829926" w:rsidR="002C4A99" w:rsidRDefault="003E6885" w:rsidP="00B55FE7">
      <w:pPr>
        <w:pStyle w:val="Heading1"/>
        <w:rPr>
          <w:bCs/>
          <w:color w:val="FF0000"/>
        </w:rPr>
      </w:pPr>
      <w:r>
        <w:rPr>
          <w:bCs/>
          <w:color w:val="FF0000"/>
        </w:rPr>
        <w:br w:type="page"/>
      </w:r>
    </w:p>
    <w:p w14:paraId="3C056771" w14:textId="36678BCA" w:rsidR="0017574F" w:rsidRPr="00214FB4" w:rsidRDefault="00B55FE7" w:rsidP="38A4F72D">
      <w:pPr>
        <w:pStyle w:val="Heading1"/>
      </w:pPr>
      <w:bookmarkStart w:id="74" w:name="_Toc154057176"/>
      <w:r>
        <w:lastRenderedPageBreak/>
        <w:t>STRENGTHS AND LIMITATIONS OF DATA</w:t>
      </w:r>
      <w:bookmarkEnd w:id="74"/>
    </w:p>
    <w:tbl>
      <w:tblPr>
        <w:tblStyle w:val="TableGrid"/>
        <w:tblW w:w="9920" w:type="dxa"/>
        <w:tblLook w:val="06A0" w:firstRow="1" w:lastRow="0" w:firstColumn="1" w:lastColumn="0" w:noHBand="1" w:noVBand="1"/>
      </w:tblPr>
      <w:tblGrid>
        <w:gridCol w:w="1457"/>
        <w:gridCol w:w="2809"/>
        <w:gridCol w:w="3135"/>
        <w:gridCol w:w="2519"/>
      </w:tblGrid>
      <w:tr w:rsidR="00991A6F" w:rsidRPr="00991A6F" w14:paraId="6ECA1F8B" w14:textId="77777777" w:rsidTr="00D93E10">
        <w:trPr>
          <w:trHeight w:val="334"/>
        </w:trPr>
        <w:tc>
          <w:tcPr>
            <w:tcW w:w="1457" w:type="dxa"/>
            <w:hideMark/>
          </w:tcPr>
          <w:p w14:paraId="6325AEEF" w14:textId="77777777" w:rsidR="00B55FE7" w:rsidRPr="00214FB4" w:rsidRDefault="00B55FE7" w:rsidP="0016095F">
            <w:pPr>
              <w:ind w:left="360"/>
              <w:rPr>
                <w:sz w:val="20"/>
                <w:szCs w:val="20"/>
              </w:rPr>
            </w:pPr>
            <w:r w:rsidRPr="00214FB4">
              <w:rPr>
                <w:b/>
                <w:bCs/>
                <w:sz w:val="20"/>
                <w:szCs w:val="20"/>
              </w:rPr>
              <w:t> </w:t>
            </w:r>
          </w:p>
        </w:tc>
        <w:tc>
          <w:tcPr>
            <w:tcW w:w="2809" w:type="dxa"/>
            <w:hideMark/>
          </w:tcPr>
          <w:p w14:paraId="37B4E6CF" w14:textId="77777777" w:rsidR="00B55FE7" w:rsidRPr="00214FB4" w:rsidRDefault="00B55FE7" w:rsidP="0016095F">
            <w:pPr>
              <w:ind w:left="360"/>
              <w:rPr>
                <w:sz w:val="20"/>
                <w:szCs w:val="20"/>
              </w:rPr>
            </w:pPr>
            <w:r w:rsidRPr="00214FB4">
              <w:rPr>
                <w:b/>
                <w:bCs/>
                <w:sz w:val="20"/>
                <w:szCs w:val="20"/>
              </w:rPr>
              <w:t> HIV/AIDS</w:t>
            </w:r>
          </w:p>
        </w:tc>
        <w:tc>
          <w:tcPr>
            <w:tcW w:w="3135" w:type="dxa"/>
            <w:hideMark/>
          </w:tcPr>
          <w:p w14:paraId="320760D3" w14:textId="77777777" w:rsidR="00B55FE7" w:rsidRPr="00214FB4" w:rsidRDefault="00B55FE7" w:rsidP="0016095F">
            <w:pPr>
              <w:ind w:left="360"/>
              <w:rPr>
                <w:sz w:val="20"/>
                <w:szCs w:val="20"/>
              </w:rPr>
            </w:pPr>
            <w:r w:rsidRPr="00214FB4">
              <w:rPr>
                <w:b/>
                <w:bCs/>
                <w:sz w:val="20"/>
                <w:szCs w:val="20"/>
              </w:rPr>
              <w:t> STD</w:t>
            </w:r>
          </w:p>
        </w:tc>
        <w:tc>
          <w:tcPr>
            <w:tcW w:w="2519" w:type="dxa"/>
            <w:hideMark/>
          </w:tcPr>
          <w:p w14:paraId="601A5F62" w14:textId="77777777" w:rsidR="00B55FE7" w:rsidRPr="00214FB4" w:rsidRDefault="00B55FE7" w:rsidP="0016095F">
            <w:pPr>
              <w:ind w:left="360"/>
              <w:rPr>
                <w:sz w:val="20"/>
                <w:szCs w:val="20"/>
              </w:rPr>
            </w:pPr>
            <w:r w:rsidRPr="00214FB4">
              <w:rPr>
                <w:b/>
                <w:bCs/>
                <w:sz w:val="20"/>
                <w:szCs w:val="20"/>
              </w:rPr>
              <w:t> Viral Hepatitis</w:t>
            </w:r>
          </w:p>
        </w:tc>
      </w:tr>
      <w:tr w:rsidR="00991A6F" w:rsidRPr="00991A6F" w14:paraId="1F4D028E" w14:textId="77777777" w:rsidTr="00D93E10">
        <w:trPr>
          <w:trHeight w:val="2369"/>
        </w:trPr>
        <w:tc>
          <w:tcPr>
            <w:tcW w:w="0" w:type="auto"/>
            <w:hideMark/>
          </w:tcPr>
          <w:p w14:paraId="5B291BBE" w14:textId="77777777" w:rsidR="00B55FE7" w:rsidRPr="00214FB4" w:rsidRDefault="00B55FE7" w:rsidP="0016095F">
            <w:pPr>
              <w:ind w:left="360"/>
              <w:rPr>
                <w:b/>
                <w:bCs/>
                <w:sz w:val="20"/>
                <w:szCs w:val="20"/>
              </w:rPr>
            </w:pPr>
            <w:r w:rsidRPr="00214FB4">
              <w:rPr>
                <w:b/>
                <w:bCs/>
                <w:sz w:val="20"/>
                <w:szCs w:val="20"/>
              </w:rPr>
              <w:t>Description</w:t>
            </w:r>
          </w:p>
        </w:tc>
        <w:tc>
          <w:tcPr>
            <w:tcW w:w="2809" w:type="dxa"/>
            <w:hideMark/>
          </w:tcPr>
          <w:p w14:paraId="531A38CA" w14:textId="77777777" w:rsidR="00B55FE7" w:rsidRPr="00214FB4" w:rsidRDefault="00B55FE7">
            <w:pPr>
              <w:pStyle w:val="ListParagraph"/>
              <w:numPr>
                <w:ilvl w:val="0"/>
                <w:numId w:val="17"/>
              </w:numPr>
              <w:rPr>
                <w:sz w:val="20"/>
                <w:szCs w:val="20"/>
              </w:rPr>
            </w:pPr>
            <w:r w:rsidRPr="00214FB4">
              <w:rPr>
                <w:sz w:val="20"/>
                <w:szCs w:val="20"/>
              </w:rPr>
              <w:t>Collected by MDPH Bureau of Infectious Disease and Laboratory Sciences</w:t>
            </w:r>
          </w:p>
          <w:p w14:paraId="30018562" w14:textId="77777777" w:rsidR="00B55FE7" w:rsidRPr="00214FB4" w:rsidRDefault="00B55FE7">
            <w:pPr>
              <w:pStyle w:val="ListParagraph"/>
              <w:numPr>
                <w:ilvl w:val="0"/>
                <w:numId w:val="17"/>
              </w:numPr>
              <w:rPr>
                <w:sz w:val="20"/>
                <w:szCs w:val="20"/>
              </w:rPr>
            </w:pPr>
            <w:r w:rsidRPr="00214FB4">
              <w:rPr>
                <w:sz w:val="20"/>
                <w:szCs w:val="20"/>
              </w:rPr>
              <w:t>Reported statewide</w:t>
            </w:r>
          </w:p>
          <w:p w14:paraId="4566DEF0" w14:textId="77777777" w:rsidR="00B55FE7" w:rsidRPr="00214FB4" w:rsidRDefault="00B55FE7">
            <w:pPr>
              <w:pStyle w:val="ListParagraph"/>
              <w:numPr>
                <w:ilvl w:val="0"/>
                <w:numId w:val="17"/>
              </w:numPr>
              <w:rPr>
                <w:sz w:val="20"/>
                <w:szCs w:val="20"/>
              </w:rPr>
            </w:pPr>
            <w:r w:rsidRPr="00214FB4">
              <w:rPr>
                <w:sz w:val="20"/>
                <w:szCs w:val="20"/>
              </w:rPr>
              <w:t>All laboratories and healthcare providers are required by state law to report New HIV diagnoses include only individuals who were first diagnosed in Massachusetts.</w:t>
            </w:r>
          </w:p>
          <w:p w14:paraId="16836AF7" w14:textId="77777777" w:rsidR="00B55FE7" w:rsidRPr="00214FB4" w:rsidRDefault="00B55FE7">
            <w:pPr>
              <w:pStyle w:val="ListParagraph"/>
              <w:numPr>
                <w:ilvl w:val="0"/>
                <w:numId w:val="17"/>
              </w:numPr>
              <w:rPr>
                <w:sz w:val="20"/>
                <w:szCs w:val="20"/>
              </w:rPr>
            </w:pPr>
            <w:r w:rsidRPr="00214FB4">
              <w:rPr>
                <w:sz w:val="20"/>
                <w:szCs w:val="20"/>
              </w:rPr>
              <w:t>HIV prevalence data include all individuals who were reported as residing in Massachusetts regardless of where they were first diagnosed.</w:t>
            </w:r>
          </w:p>
        </w:tc>
        <w:tc>
          <w:tcPr>
            <w:tcW w:w="3135" w:type="dxa"/>
            <w:hideMark/>
          </w:tcPr>
          <w:p w14:paraId="4AAB4E09" w14:textId="77777777" w:rsidR="00B55FE7" w:rsidRPr="00214FB4" w:rsidRDefault="00B55FE7">
            <w:pPr>
              <w:pStyle w:val="ListParagraph"/>
              <w:numPr>
                <w:ilvl w:val="0"/>
                <w:numId w:val="17"/>
              </w:numPr>
              <w:rPr>
                <w:sz w:val="20"/>
                <w:szCs w:val="20"/>
              </w:rPr>
            </w:pPr>
            <w:r w:rsidRPr="00214FB4">
              <w:rPr>
                <w:sz w:val="20"/>
                <w:szCs w:val="20"/>
              </w:rPr>
              <w:t>Collected by MDPH Bureau of Infectious Disease and Laboratory Sciences</w:t>
            </w:r>
          </w:p>
          <w:p w14:paraId="28DD93FA" w14:textId="77777777" w:rsidR="00B55FE7" w:rsidRPr="00214FB4" w:rsidRDefault="00B55FE7">
            <w:pPr>
              <w:pStyle w:val="ListParagraph"/>
              <w:numPr>
                <w:ilvl w:val="0"/>
                <w:numId w:val="17"/>
              </w:numPr>
              <w:rPr>
                <w:sz w:val="20"/>
                <w:szCs w:val="20"/>
              </w:rPr>
            </w:pPr>
            <w:r w:rsidRPr="00214FB4">
              <w:rPr>
                <w:sz w:val="20"/>
                <w:szCs w:val="20"/>
              </w:rPr>
              <w:t>Reported statewide</w:t>
            </w:r>
          </w:p>
          <w:p w14:paraId="57829617" w14:textId="743D2E70" w:rsidR="00B55FE7" w:rsidRPr="00214FB4" w:rsidRDefault="00B55FE7">
            <w:pPr>
              <w:pStyle w:val="ListParagraph"/>
              <w:numPr>
                <w:ilvl w:val="0"/>
                <w:numId w:val="17"/>
              </w:numPr>
              <w:rPr>
                <w:sz w:val="20"/>
                <w:szCs w:val="20"/>
              </w:rPr>
            </w:pPr>
            <w:r w:rsidRPr="00214FB4">
              <w:rPr>
                <w:sz w:val="20"/>
                <w:szCs w:val="20"/>
              </w:rPr>
              <w:t>All laboratories and healthcare providers are required by state law to report</w:t>
            </w:r>
            <w:r w:rsidR="00746622">
              <w:rPr>
                <w:sz w:val="20"/>
                <w:szCs w:val="20"/>
              </w:rPr>
              <w:t>.</w:t>
            </w:r>
          </w:p>
          <w:p w14:paraId="47C4DA01" w14:textId="77777777" w:rsidR="00B55FE7" w:rsidRPr="00214FB4" w:rsidRDefault="00B55FE7">
            <w:pPr>
              <w:pStyle w:val="ListParagraph"/>
              <w:numPr>
                <w:ilvl w:val="0"/>
                <w:numId w:val="17"/>
              </w:numPr>
              <w:rPr>
                <w:sz w:val="20"/>
                <w:szCs w:val="20"/>
              </w:rPr>
            </w:pPr>
            <w:r w:rsidRPr="00214FB4">
              <w:rPr>
                <w:sz w:val="20"/>
                <w:szCs w:val="20"/>
              </w:rPr>
              <w:t>Includes individuals first reported as living in MA.</w:t>
            </w:r>
          </w:p>
        </w:tc>
        <w:tc>
          <w:tcPr>
            <w:tcW w:w="2519" w:type="dxa"/>
            <w:hideMark/>
          </w:tcPr>
          <w:p w14:paraId="65EC368C" w14:textId="77777777" w:rsidR="00B55FE7" w:rsidRPr="00214FB4" w:rsidRDefault="00B55FE7">
            <w:pPr>
              <w:pStyle w:val="ListParagraph"/>
              <w:numPr>
                <w:ilvl w:val="0"/>
                <w:numId w:val="17"/>
              </w:numPr>
              <w:rPr>
                <w:sz w:val="20"/>
                <w:szCs w:val="20"/>
              </w:rPr>
            </w:pPr>
            <w:r w:rsidRPr="00214FB4">
              <w:rPr>
                <w:sz w:val="20"/>
                <w:szCs w:val="20"/>
              </w:rPr>
              <w:t>Collected by MDPH Bureau of Infectious Disease and Laboratory Sciences</w:t>
            </w:r>
          </w:p>
          <w:p w14:paraId="31F57F10" w14:textId="77777777" w:rsidR="00B55FE7" w:rsidRPr="00214FB4" w:rsidRDefault="00B55FE7">
            <w:pPr>
              <w:pStyle w:val="ListParagraph"/>
              <w:numPr>
                <w:ilvl w:val="0"/>
                <w:numId w:val="17"/>
              </w:numPr>
              <w:rPr>
                <w:sz w:val="20"/>
                <w:szCs w:val="20"/>
              </w:rPr>
            </w:pPr>
            <w:r w:rsidRPr="00214FB4">
              <w:rPr>
                <w:sz w:val="20"/>
                <w:szCs w:val="20"/>
              </w:rPr>
              <w:t>Reported statewide</w:t>
            </w:r>
          </w:p>
          <w:p w14:paraId="3218595D" w14:textId="6A2B7260" w:rsidR="00B55FE7" w:rsidRPr="00214FB4" w:rsidRDefault="00B55FE7">
            <w:pPr>
              <w:pStyle w:val="ListParagraph"/>
              <w:numPr>
                <w:ilvl w:val="0"/>
                <w:numId w:val="17"/>
              </w:numPr>
              <w:rPr>
                <w:sz w:val="20"/>
                <w:szCs w:val="20"/>
              </w:rPr>
            </w:pPr>
            <w:r w:rsidRPr="00214FB4">
              <w:rPr>
                <w:sz w:val="20"/>
                <w:szCs w:val="20"/>
              </w:rPr>
              <w:t>All laboratories and healthcare providers are required by state law to report</w:t>
            </w:r>
            <w:r w:rsidR="00746622">
              <w:rPr>
                <w:sz w:val="20"/>
                <w:szCs w:val="20"/>
              </w:rPr>
              <w:t>.</w:t>
            </w:r>
          </w:p>
          <w:p w14:paraId="6B290260" w14:textId="77777777" w:rsidR="00B55FE7" w:rsidRPr="00214FB4" w:rsidRDefault="00B55FE7">
            <w:pPr>
              <w:pStyle w:val="ListParagraph"/>
              <w:numPr>
                <w:ilvl w:val="0"/>
                <w:numId w:val="17"/>
              </w:numPr>
              <w:rPr>
                <w:sz w:val="20"/>
                <w:szCs w:val="20"/>
              </w:rPr>
            </w:pPr>
            <w:r w:rsidRPr="00214FB4">
              <w:rPr>
                <w:sz w:val="20"/>
                <w:szCs w:val="20"/>
              </w:rPr>
              <w:t>Includes individuals first reported as living in MA.</w:t>
            </w:r>
          </w:p>
        </w:tc>
      </w:tr>
      <w:tr w:rsidR="00991A6F" w:rsidRPr="00991A6F" w14:paraId="5A8DFE24" w14:textId="77777777" w:rsidTr="00D93E10">
        <w:trPr>
          <w:trHeight w:val="2369"/>
        </w:trPr>
        <w:tc>
          <w:tcPr>
            <w:tcW w:w="1457" w:type="dxa"/>
            <w:hideMark/>
          </w:tcPr>
          <w:p w14:paraId="6867C7CB" w14:textId="77777777" w:rsidR="00B55FE7" w:rsidRPr="00214FB4" w:rsidRDefault="00B55FE7" w:rsidP="0016095F">
            <w:pPr>
              <w:ind w:left="360"/>
              <w:rPr>
                <w:sz w:val="20"/>
                <w:szCs w:val="20"/>
              </w:rPr>
            </w:pPr>
            <w:r w:rsidRPr="00214FB4">
              <w:rPr>
                <w:b/>
                <w:bCs/>
                <w:sz w:val="20"/>
                <w:szCs w:val="20"/>
              </w:rPr>
              <w:t>Strengths</w:t>
            </w:r>
          </w:p>
        </w:tc>
        <w:tc>
          <w:tcPr>
            <w:tcW w:w="2809" w:type="dxa"/>
            <w:hideMark/>
          </w:tcPr>
          <w:p w14:paraId="70689826" w14:textId="77777777" w:rsidR="00B55FE7" w:rsidRPr="00214FB4" w:rsidRDefault="00B55FE7">
            <w:pPr>
              <w:pStyle w:val="ListParagraph"/>
              <w:numPr>
                <w:ilvl w:val="0"/>
                <w:numId w:val="17"/>
              </w:numPr>
              <w:rPr>
                <w:sz w:val="20"/>
                <w:szCs w:val="20"/>
              </w:rPr>
            </w:pPr>
            <w:r w:rsidRPr="00214FB4">
              <w:rPr>
                <w:sz w:val="20"/>
                <w:szCs w:val="20"/>
              </w:rPr>
              <w:t>Completeness of race/ethnicity data is high.</w:t>
            </w:r>
          </w:p>
          <w:p w14:paraId="77A1EF19" w14:textId="77777777" w:rsidR="00B55FE7" w:rsidRPr="00214FB4" w:rsidRDefault="00B55FE7">
            <w:pPr>
              <w:pStyle w:val="ListParagraph"/>
              <w:numPr>
                <w:ilvl w:val="0"/>
                <w:numId w:val="17"/>
              </w:numPr>
              <w:rPr>
                <w:sz w:val="20"/>
                <w:szCs w:val="20"/>
              </w:rPr>
            </w:pPr>
            <w:r w:rsidRPr="00214FB4">
              <w:rPr>
                <w:sz w:val="20"/>
                <w:szCs w:val="20"/>
              </w:rPr>
              <w:t>All clinical laboratories in MA report electronically resulting in more complete and timely reporting of disease.</w:t>
            </w:r>
          </w:p>
          <w:p w14:paraId="1A5E97AF" w14:textId="77777777" w:rsidR="00B55FE7" w:rsidRPr="00214FB4" w:rsidRDefault="00B55FE7">
            <w:pPr>
              <w:pStyle w:val="ListParagraph"/>
              <w:numPr>
                <w:ilvl w:val="0"/>
                <w:numId w:val="17"/>
              </w:numPr>
              <w:rPr>
                <w:sz w:val="20"/>
                <w:szCs w:val="20"/>
              </w:rPr>
            </w:pPr>
            <w:r w:rsidRPr="00214FB4">
              <w:rPr>
                <w:sz w:val="20"/>
                <w:szCs w:val="20"/>
              </w:rPr>
              <w:t>Data are estimated to be 99% complete.</w:t>
            </w:r>
          </w:p>
        </w:tc>
        <w:tc>
          <w:tcPr>
            <w:tcW w:w="3135" w:type="dxa"/>
            <w:hideMark/>
          </w:tcPr>
          <w:p w14:paraId="39EDC2F5" w14:textId="77777777" w:rsidR="00B55FE7" w:rsidRPr="00214FB4" w:rsidRDefault="00B55FE7">
            <w:pPr>
              <w:pStyle w:val="ListParagraph"/>
              <w:numPr>
                <w:ilvl w:val="0"/>
                <w:numId w:val="17"/>
              </w:numPr>
              <w:rPr>
                <w:sz w:val="20"/>
                <w:szCs w:val="20"/>
              </w:rPr>
            </w:pPr>
            <w:r w:rsidRPr="00214FB4">
              <w:rPr>
                <w:sz w:val="20"/>
                <w:szCs w:val="20"/>
              </w:rPr>
              <w:t>All clinical laboratories in MA report electronically resulting in more complete and timely reporting of disease.</w:t>
            </w:r>
          </w:p>
          <w:p w14:paraId="715CF530" w14:textId="77777777" w:rsidR="00B55FE7" w:rsidRPr="00214FB4" w:rsidRDefault="00B55FE7">
            <w:pPr>
              <w:pStyle w:val="ListParagraph"/>
              <w:numPr>
                <w:ilvl w:val="0"/>
                <w:numId w:val="17"/>
              </w:numPr>
              <w:rPr>
                <w:sz w:val="20"/>
                <w:szCs w:val="20"/>
              </w:rPr>
            </w:pPr>
            <w:r w:rsidRPr="00214FB4">
              <w:rPr>
                <w:sz w:val="20"/>
                <w:szCs w:val="20"/>
              </w:rPr>
              <w:t>Most infectious syphilis cases agree to interview, resulting in reasonably complete race/ethnicity and sex of sex partner data.</w:t>
            </w:r>
          </w:p>
        </w:tc>
        <w:tc>
          <w:tcPr>
            <w:tcW w:w="2519" w:type="dxa"/>
            <w:hideMark/>
          </w:tcPr>
          <w:p w14:paraId="16371785" w14:textId="77777777" w:rsidR="00B55FE7" w:rsidRPr="00214FB4" w:rsidRDefault="00B55FE7">
            <w:pPr>
              <w:pStyle w:val="ListParagraph"/>
              <w:numPr>
                <w:ilvl w:val="0"/>
                <w:numId w:val="17"/>
              </w:numPr>
              <w:rPr>
                <w:sz w:val="20"/>
                <w:szCs w:val="20"/>
              </w:rPr>
            </w:pPr>
            <w:r w:rsidRPr="00214FB4">
              <w:rPr>
                <w:sz w:val="20"/>
                <w:szCs w:val="20"/>
              </w:rPr>
              <w:t>All clinical laboratories in MA report electronically resulting in more complete and timely reporting of disease.</w:t>
            </w:r>
          </w:p>
        </w:tc>
      </w:tr>
      <w:tr w:rsidR="00991A6F" w:rsidRPr="00991A6F" w14:paraId="5CC01053" w14:textId="77777777" w:rsidTr="00D93E10">
        <w:trPr>
          <w:trHeight w:val="505"/>
        </w:trPr>
        <w:tc>
          <w:tcPr>
            <w:tcW w:w="1457" w:type="dxa"/>
            <w:hideMark/>
          </w:tcPr>
          <w:p w14:paraId="145B8718" w14:textId="77777777" w:rsidR="00B55FE7" w:rsidRPr="00214FB4" w:rsidRDefault="00B55FE7" w:rsidP="0016095F">
            <w:pPr>
              <w:ind w:left="360"/>
              <w:rPr>
                <w:sz w:val="20"/>
                <w:szCs w:val="20"/>
              </w:rPr>
            </w:pPr>
            <w:r w:rsidRPr="00214FB4">
              <w:rPr>
                <w:b/>
                <w:bCs/>
                <w:sz w:val="20"/>
                <w:szCs w:val="20"/>
              </w:rPr>
              <w:t>Limitations</w:t>
            </w:r>
          </w:p>
        </w:tc>
        <w:tc>
          <w:tcPr>
            <w:tcW w:w="2809" w:type="dxa"/>
            <w:hideMark/>
          </w:tcPr>
          <w:p w14:paraId="165A594C" w14:textId="3AFD872D" w:rsidR="00B55FE7" w:rsidRPr="00214FB4" w:rsidRDefault="00B55FE7">
            <w:pPr>
              <w:pStyle w:val="ListParagraph"/>
              <w:numPr>
                <w:ilvl w:val="0"/>
                <w:numId w:val="17"/>
              </w:numPr>
              <w:rPr>
                <w:sz w:val="20"/>
                <w:szCs w:val="20"/>
              </w:rPr>
            </w:pPr>
            <w:r w:rsidRPr="00214FB4">
              <w:rPr>
                <w:sz w:val="20"/>
                <w:szCs w:val="20"/>
              </w:rPr>
              <w:t>202</w:t>
            </w:r>
            <w:r w:rsidR="00214FB4" w:rsidRPr="00214FB4">
              <w:rPr>
                <w:sz w:val="20"/>
                <w:szCs w:val="20"/>
              </w:rPr>
              <w:t>2</w:t>
            </w:r>
            <w:r w:rsidRPr="00214FB4">
              <w:rPr>
                <w:sz w:val="20"/>
                <w:szCs w:val="20"/>
              </w:rPr>
              <w:t xml:space="preserve"> HIV prevalence data </w:t>
            </w:r>
            <w:r w:rsidR="005F47D4" w:rsidRPr="00214FB4">
              <w:rPr>
                <w:sz w:val="20"/>
                <w:szCs w:val="20"/>
              </w:rPr>
              <w:t xml:space="preserve">as of </w:t>
            </w:r>
            <w:r w:rsidR="001F75D4" w:rsidRPr="00214FB4">
              <w:rPr>
                <w:sz w:val="20"/>
                <w:szCs w:val="20"/>
              </w:rPr>
              <w:t>7/1/2023</w:t>
            </w:r>
            <w:r w:rsidR="005F47D4" w:rsidRPr="00214FB4">
              <w:rPr>
                <w:sz w:val="20"/>
                <w:szCs w:val="20"/>
              </w:rPr>
              <w:t xml:space="preserve"> </w:t>
            </w:r>
            <w:r w:rsidRPr="00214FB4">
              <w:rPr>
                <w:sz w:val="20"/>
                <w:szCs w:val="20"/>
              </w:rPr>
              <w:t>are preliminary.</w:t>
            </w:r>
          </w:p>
        </w:tc>
        <w:tc>
          <w:tcPr>
            <w:tcW w:w="3135" w:type="dxa"/>
            <w:hideMark/>
          </w:tcPr>
          <w:p w14:paraId="23206738" w14:textId="618DFFBA" w:rsidR="00B55FE7" w:rsidRPr="00214FB4" w:rsidRDefault="00B55FE7">
            <w:pPr>
              <w:pStyle w:val="ListParagraph"/>
              <w:numPr>
                <w:ilvl w:val="0"/>
                <w:numId w:val="17"/>
              </w:numPr>
              <w:rPr>
                <w:sz w:val="20"/>
                <w:szCs w:val="20"/>
              </w:rPr>
            </w:pPr>
            <w:r w:rsidRPr="00214FB4">
              <w:rPr>
                <w:sz w:val="20"/>
                <w:szCs w:val="20"/>
              </w:rPr>
              <w:t>Race/ethnicity data are incomplete for gonorrhea (missing for 3</w:t>
            </w:r>
            <w:r w:rsidR="00214FB4" w:rsidRPr="00214FB4">
              <w:rPr>
                <w:sz w:val="20"/>
                <w:szCs w:val="20"/>
              </w:rPr>
              <w:t>7</w:t>
            </w:r>
            <w:r w:rsidRPr="00214FB4">
              <w:rPr>
                <w:sz w:val="20"/>
                <w:szCs w:val="20"/>
              </w:rPr>
              <w:t>% of 202</w:t>
            </w:r>
            <w:r w:rsidR="00214FB4" w:rsidRPr="00214FB4">
              <w:rPr>
                <w:sz w:val="20"/>
                <w:szCs w:val="20"/>
              </w:rPr>
              <w:t>2</w:t>
            </w:r>
            <w:r w:rsidRPr="00214FB4">
              <w:rPr>
                <w:sz w:val="20"/>
                <w:szCs w:val="20"/>
              </w:rPr>
              <w:t xml:space="preserve"> cases) and chlamydia (missing for </w:t>
            </w:r>
            <w:r w:rsidR="004829C1" w:rsidRPr="00214FB4">
              <w:rPr>
                <w:sz w:val="20"/>
                <w:szCs w:val="20"/>
              </w:rPr>
              <w:t>4</w:t>
            </w:r>
            <w:r w:rsidR="00214FB4" w:rsidRPr="00214FB4">
              <w:rPr>
                <w:sz w:val="20"/>
                <w:szCs w:val="20"/>
              </w:rPr>
              <w:t>6</w:t>
            </w:r>
            <w:r w:rsidRPr="00214FB4">
              <w:rPr>
                <w:sz w:val="20"/>
                <w:szCs w:val="20"/>
              </w:rPr>
              <w:t>% of 202</w:t>
            </w:r>
            <w:r w:rsidR="00214FB4" w:rsidRPr="00214FB4">
              <w:rPr>
                <w:sz w:val="20"/>
                <w:szCs w:val="20"/>
              </w:rPr>
              <w:t>2</w:t>
            </w:r>
            <w:r w:rsidRPr="00214FB4">
              <w:rPr>
                <w:sz w:val="20"/>
                <w:szCs w:val="20"/>
              </w:rPr>
              <w:t xml:space="preserve"> cases).</w:t>
            </w:r>
          </w:p>
          <w:p w14:paraId="2D248212" w14:textId="77777777" w:rsidR="00B55FE7" w:rsidRPr="00214FB4" w:rsidRDefault="00B55FE7">
            <w:pPr>
              <w:pStyle w:val="ListParagraph"/>
              <w:numPr>
                <w:ilvl w:val="0"/>
                <w:numId w:val="17"/>
              </w:numPr>
              <w:rPr>
                <w:sz w:val="20"/>
                <w:szCs w:val="20"/>
              </w:rPr>
            </w:pPr>
            <w:r w:rsidRPr="00214FB4">
              <w:rPr>
                <w:sz w:val="20"/>
                <w:szCs w:val="20"/>
              </w:rPr>
              <w:t>Sex of sex partner is not routinely collected for gonorrhea and chlamydia cases.</w:t>
            </w:r>
          </w:p>
          <w:p w14:paraId="6C9EC540" w14:textId="77777777" w:rsidR="00B55FE7" w:rsidRPr="00214FB4" w:rsidRDefault="00B55FE7">
            <w:pPr>
              <w:pStyle w:val="ListParagraph"/>
              <w:numPr>
                <w:ilvl w:val="0"/>
                <w:numId w:val="17"/>
              </w:numPr>
              <w:rPr>
                <w:sz w:val="20"/>
                <w:szCs w:val="20"/>
              </w:rPr>
            </w:pPr>
            <w:r w:rsidRPr="00214FB4">
              <w:rPr>
                <w:sz w:val="20"/>
                <w:szCs w:val="20"/>
              </w:rPr>
              <w:t>Bias is introduced for some STDs, such as chlamydia infection, where screening of asymptomatic persons occurs more frequently among women than among men.</w:t>
            </w:r>
          </w:p>
        </w:tc>
        <w:tc>
          <w:tcPr>
            <w:tcW w:w="2519" w:type="dxa"/>
            <w:hideMark/>
          </w:tcPr>
          <w:p w14:paraId="22022ADA" w14:textId="77777777" w:rsidR="00B55FE7" w:rsidRPr="00214FB4" w:rsidRDefault="00B55FE7">
            <w:pPr>
              <w:pStyle w:val="ListParagraph"/>
              <w:numPr>
                <w:ilvl w:val="0"/>
                <w:numId w:val="17"/>
              </w:numPr>
              <w:rPr>
                <w:sz w:val="20"/>
                <w:szCs w:val="20"/>
              </w:rPr>
            </w:pPr>
            <w:r w:rsidRPr="00214FB4">
              <w:rPr>
                <w:sz w:val="20"/>
                <w:szCs w:val="20"/>
              </w:rPr>
              <w:t>Race/ethnicity data are incomplete.</w:t>
            </w:r>
          </w:p>
          <w:p w14:paraId="4832B7C0" w14:textId="77777777" w:rsidR="00B55FE7" w:rsidRPr="00214FB4" w:rsidRDefault="00B55FE7">
            <w:pPr>
              <w:pStyle w:val="ListParagraph"/>
              <w:numPr>
                <w:ilvl w:val="0"/>
                <w:numId w:val="17"/>
              </w:numPr>
              <w:rPr>
                <w:sz w:val="20"/>
                <w:szCs w:val="20"/>
              </w:rPr>
            </w:pPr>
            <w:r w:rsidRPr="00214FB4">
              <w:rPr>
                <w:sz w:val="20"/>
                <w:szCs w:val="20"/>
              </w:rPr>
              <w:t>Risk history data are not collected on chronic HBV cases.</w:t>
            </w:r>
          </w:p>
        </w:tc>
      </w:tr>
    </w:tbl>
    <w:p w14:paraId="58B80495" w14:textId="5E652AF1" w:rsidR="00EA2C5A" w:rsidRPr="00991A6F" w:rsidRDefault="00EA2C5A" w:rsidP="00B55FE7">
      <w:pPr>
        <w:rPr>
          <w:color w:val="FF0000"/>
        </w:rPr>
      </w:pPr>
      <w:r w:rsidRPr="00991A6F">
        <w:rPr>
          <w:color w:val="FF0000"/>
        </w:rPr>
        <w:br w:type="page"/>
      </w:r>
    </w:p>
    <w:p w14:paraId="65165674" w14:textId="1D594123" w:rsidR="00EA2C5A" w:rsidRPr="00214FB4" w:rsidRDefault="00EA2C5A" w:rsidP="00EA2C5A">
      <w:pPr>
        <w:rPr>
          <w:b/>
          <w:bCs/>
          <w:sz w:val="20"/>
          <w:szCs w:val="20"/>
        </w:rPr>
      </w:pPr>
      <w:r w:rsidRPr="00214FB4">
        <w:rPr>
          <w:b/>
          <w:bCs/>
          <w:sz w:val="20"/>
          <w:szCs w:val="20"/>
        </w:rPr>
        <w:lastRenderedPageBreak/>
        <w:t>Massachusetts Youth Risk Behavior Survey</w:t>
      </w:r>
    </w:p>
    <w:p w14:paraId="04248D9F" w14:textId="77777777" w:rsidR="00EA2C5A" w:rsidRPr="00214FB4" w:rsidRDefault="00EA2C5A" w:rsidP="00EA2C5A"/>
    <w:tbl>
      <w:tblPr>
        <w:tblStyle w:val="TableGrid"/>
        <w:tblW w:w="9920" w:type="dxa"/>
        <w:tblLook w:val="06A0" w:firstRow="1" w:lastRow="0" w:firstColumn="1" w:lastColumn="0" w:noHBand="1" w:noVBand="1"/>
      </w:tblPr>
      <w:tblGrid>
        <w:gridCol w:w="1655"/>
        <w:gridCol w:w="8265"/>
      </w:tblGrid>
      <w:tr w:rsidR="00214FB4" w:rsidRPr="00214FB4" w14:paraId="42C90022" w14:textId="77777777" w:rsidTr="00C44482">
        <w:trPr>
          <w:trHeight w:val="1375"/>
        </w:trPr>
        <w:tc>
          <w:tcPr>
            <w:tcW w:w="1655" w:type="dxa"/>
            <w:hideMark/>
          </w:tcPr>
          <w:p w14:paraId="24FF8FC9" w14:textId="77777777" w:rsidR="00EA2C5A" w:rsidRPr="00214FB4" w:rsidRDefault="00EA2C5A" w:rsidP="0016095F">
            <w:pPr>
              <w:ind w:left="360"/>
              <w:rPr>
                <w:sz w:val="20"/>
                <w:szCs w:val="20"/>
              </w:rPr>
            </w:pPr>
            <w:r w:rsidRPr="00214FB4">
              <w:rPr>
                <w:b/>
                <w:bCs/>
                <w:sz w:val="20"/>
                <w:szCs w:val="20"/>
              </w:rPr>
              <w:t>Description</w:t>
            </w:r>
          </w:p>
        </w:tc>
        <w:tc>
          <w:tcPr>
            <w:tcW w:w="8265" w:type="dxa"/>
            <w:hideMark/>
          </w:tcPr>
          <w:p w14:paraId="7B3BDE38" w14:textId="77777777" w:rsidR="00EA2C5A" w:rsidRPr="00214FB4" w:rsidRDefault="00EA2C5A" w:rsidP="0016095F">
            <w:pPr>
              <w:ind w:left="360"/>
              <w:rPr>
                <w:sz w:val="20"/>
                <w:szCs w:val="20"/>
              </w:rPr>
            </w:pPr>
            <w:r w:rsidRPr="00214FB4">
              <w:rPr>
                <w:sz w:val="20"/>
                <w:szCs w:val="20"/>
              </w:rPr>
              <w:t xml:space="preserve">The Massachusetts Youth Risk Behavior Survey (MYRBS) is conducted every two years through a collaborative effort between the Massachusetts Department of Elementary and Secondary Education (ESE) and Department of Public Health (DPH) to monitor health indicators, behaviors, and risk factors contributing to the leading causes of morbidity, mortality, and social and academic problems among adolescents. For more information see </w:t>
            </w:r>
            <w:hyperlink r:id="rId84" w:history="1">
              <w:r w:rsidRPr="00214FB4">
                <w:rPr>
                  <w:rStyle w:val="Hyperlink"/>
                  <w:color w:val="3333FF"/>
                  <w:sz w:val="20"/>
                  <w:szCs w:val="20"/>
                </w:rPr>
                <w:t>https://www.mass.gov/lists/massachusetts-youth-health-survey-myhs</w:t>
              </w:r>
            </w:hyperlink>
            <w:r w:rsidRPr="00214FB4">
              <w:rPr>
                <w:color w:val="3333FF"/>
                <w:sz w:val="20"/>
                <w:szCs w:val="20"/>
              </w:rPr>
              <w:t xml:space="preserve"> </w:t>
            </w:r>
          </w:p>
        </w:tc>
      </w:tr>
      <w:tr w:rsidR="00214FB4" w:rsidRPr="00214FB4" w14:paraId="2B4C4427" w14:textId="77777777" w:rsidTr="00C44482">
        <w:trPr>
          <w:trHeight w:val="538"/>
        </w:trPr>
        <w:tc>
          <w:tcPr>
            <w:tcW w:w="1655" w:type="dxa"/>
            <w:hideMark/>
          </w:tcPr>
          <w:p w14:paraId="3416E082" w14:textId="77777777" w:rsidR="00EA2C5A" w:rsidRPr="00214FB4" w:rsidRDefault="00EA2C5A" w:rsidP="0016095F">
            <w:pPr>
              <w:ind w:left="360"/>
              <w:rPr>
                <w:sz w:val="20"/>
                <w:szCs w:val="20"/>
              </w:rPr>
            </w:pPr>
            <w:r w:rsidRPr="00214FB4">
              <w:rPr>
                <w:b/>
                <w:bCs/>
                <w:sz w:val="20"/>
                <w:szCs w:val="20"/>
              </w:rPr>
              <w:t>Strengths</w:t>
            </w:r>
          </w:p>
        </w:tc>
        <w:tc>
          <w:tcPr>
            <w:tcW w:w="8265" w:type="dxa"/>
            <w:hideMark/>
          </w:tcPr>
          <w:p w14:paraId="6CAFB1FE" w14:textId="77777777" w:rsidR="00EA2C5A" w:rsidRPr="00214FB4" w:rsidRDefault="00EA2C5A" w:rsidP="0016095F">
            <w:pPr>
              <w:ind w:left="360"/>
              <w:rPr>
                <w:sz w:val="20"/>
                <w:szCs w:val="20"/>
              </w:rPr>
            </w:pPr>
            <w:r w:rsidRPr="00214FB4">
              <w:rPr>
                <w:sz w:val="20"/>
                <w:szCs w:val="20"/>
              </w:rPr>
              <w:t xml:space="preserve">A two-stage sampling method is used to produce representative samples of students in grades 9 – 12. Response rates are high. </w:t>
            </w:r>
          </w:p>
        </w:tc>
      </w:tr>
      <w:tr w:rsidR="00214FB4" w:rsidRPr="00214FB4" w14:paraId="2EC4E457" w14:textId="77777777" w:rsidTr="00C44482">
        <w:trPr>
          <w:trHeight w:val="667"/>
        </w:trPr>
        <w:tc>
          <w:tcPr>
            <w:tcW w:w="1655" w:type="dxa"/>
            <w:hideMark/>
          </w:tcPr>
          <w:p w14:paraId="27DF4EC8" w14:textId="77777777" w:rsidR="00EA2C5A" w:rsidRPr="00214FB4" w:rsidRDefault="00EA2C5A" w:rsidP="0016095F">
            <w:pPr>
              <w:ind w:left="360"/>
              <w:rPr>
                <w:sz w:val="20"/>
                <w:szCs w:val="20"/>
              </w:rPr>
            </w:pPr>
            <w:r w:rsidRPr="00214FB4">
              <w:rPr>
                <w:b/>
                <w:bCs/>
                <w:sz w:val="20"/>
                <w:szCs w:val="20"/>
              </w:rPr>
              <w:t>Limitations</w:t>
            </w:r>
          </w:p>
        </w:tc>
        <w:tc>
          <w:tcPr>
            <w:tcW w:w="8265" w:type="dxa"/>
            <w:hideMark/>
          </w:tcPr>
          <w:p w14:paraId="3CDE147D" w14:textId="77777777" w:rsidR="00EA2C5A" w:rsidRPr="00214FB4" w:rsidRDefault="00EA2C5A" w:rsidP="0016095F">
            <w:pPr>
              <w:ind w:left="360"/>
              <w:rPr>
                <w:sz w:val="20"/>
                <w:szCs w:val="20"/>
              </w:rPr>
            </w:pPr>
            <w:r w:rsidRPr="00214FB4">
              <w:rPr>
                <w:sz w:val="20"/>
                <w:szCs w:val="20"/>
              </w:rPr>
              <w:t>All data collected for the MYRBS and the MYHS are based on self-report from students. Self-reported data may be subject to error for several reasons, including inaccurate recall of events.</w:t>
            </w:r>
          </w:p>
        </w:tc>
      </w:tr>
    </w:tbl>
    <w:p w14:paraId="5278AAC8" w14:textId="77777777" w:rsidR="00EA2C5A" w:rsidRPr="00214FB4" w:rsidRDefault="00EA2C5A" w:rsidP="00EA2C5A">
      <w:pPr>
        <w:ind w:left="360"/>
      </w:pPr>
      <w:r w:rsidRPr="00214FB4">
        <w:br w:type="page"/>
      </w:r>
    </w:p>
    <w:p w14:paraId="6A2D40A8" w14:textId="570DB82E" w:rsidR="00B55FE7" w:rsidRPr="00991A6F" w:rsidRDefault="00ED2D42" w:rsidP="38A4F72D">
      <w:pPr>
        <w:pStyle w:val="Heading1"/>
        <w:rPr>
          <w:color w:val="FF0000"/>
        </w:rPr>
      </w:pPr>
      <w:bookmarkStart w:id="75" w:name="_Toc154057177"/>
      <w:r>
        <w:lastRenderedPageBreak/>
        <w:t>INTERPRETING HIV, STD, AND VIRAL HEPATITIS DATA</w:t>
      </w:r>
      <w:bookmarkEnd w:id="75"/>
    </w:p>
    <w:p w14:paraId="510FEEE0" w14:textId="76A75E95" w:rsidR="00ED2D42" w:rsidRPr="00967359" w:rsidRDefault="00ED2D42" w:rsidP="003218BE">
      <w:pPr>
        <w:spacing w:after="120"/>
      </w:pPr>
      <w:r w:rsidRPr="00967359">
        <w:t>Hepatitis A</w:t>
      </w:r>
      <w:r w:rsidR="00967359" w:rsidRPr="00967359">
        <w:t xml:space="preserve"> and </w:t>
      </w:r>
      <w:r w:rsidRPr="00967359">
        <w:t xml:space="preserve">hepatitis B surveillance data are current as of </w:t>
      </w:r>
      <w:r w:rsidR="00967359" w:rsidRPr="00967359">
        <w:t>July 6, 2023</w:t>
      </w:r>
      <w:r w:rsidRPr="00967359">
        <w:t xml:space="preserve">, hepatitis C data are as of </w:t>
      </w:r>
      <w:r w:rsidR="00967359" w:rsidRPr="00967359">
        <w:t>August 24, 2023</w:t>
      </w:r>
      <w:r w:rsidRPr="00967359">
        <w:t xml:space="preserve">, HIV data are as of </w:t>
      </w:r>
      <w:r w:rsidR="00967359" w:rsidRPr="00967359">
        <w:t>July 1, 2023</w:t>
      </w:r>
      <w:r w:rsidRPr="00967359">
        <w:t xml:space="preserve">, and STD data are as of </w:t>
      </w:r>
      <w:r w:rsidR="00967359" w:rsidRPr="00967359">
        <w:t>July 21, 2023</w:t>
      </w:r>
      <w:r w:rsidRPr="00967359">
        <w:t>. All data are subject to change.</w:t>
      </w:r>
    </w:p>
    <w:p w14:paraId="6B4BFA50" w14:textId="77777777" w:rsidR="00ED2D42" w:rsidRPr="00B04B9A" w:rsidRDefault="00ED2D42" w:rsidP="003218BE">
      <w:pPr>
        <w:spacing w:after="120"/>
      </w:pPr>
      <w:r w:rsidRPr="00B04B9A">
        <w:rPr>
          <w:b/>
          <w:bCs/>
          <w:u w:val="single"/>
        </w:rPr>
        <w:t>I.  HIV Primary Exposure Mode Definitions</w:t>
      </w:r>
    </w:p>
    <w:p w14:paraId="5CCEC154" w14:textId="77777777" w:rsidR="00ED2D42" w:rsidRPr="00B04B9A" w:rsidRDefault="00ED2D42" w:rsidP="003218BE">
      <w:pPr>
        <w:spacing w:after="120"/>
      </w:pPr>
      <w:r w:rsidRPr="00B04B9A">
        <w:t>The HIV primary exposure mode indicates the most probable exposure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02DB8D82" w14:textId="77777777" w:rsidR="00ED2D42" w:rsidRPr="00B04B9A" w:rsidRDefault="00ED2D42">
      <w:pPr>
        <w:numPr>
          <w:ilvl w:val="0"/>
          <w:numId w:val="18"/>
        </w:numPr>
        <w:spacing w:after="120"/>
      </w:pPr>
      <w:r w:rsidRPr="00B04B9A">
        <w:rPr>
          <w:b/>
          <w:bCs/>
        </w:rPr>
        <w:t xml:space="preserve">MSM (Male-to-Male Sex): </w:t>
      </w:r>
      <w:r w:rsidRPr="00B04B9A">
        <w:t>Includes all individuals assigned male at birth who report any sexual contact with other individuals that identify as male. Please note that in accordance with CDC guidelines, this category is defined by an individual’s assigned sex at birth and not an individual’s current gender identity.</w:t>
      </w:r>
    </w:p>
    <w:p w14:paraId="3BD06D79" w14:textId="77777777" w:rsidR="00ED2D42" w:rsidRPr="00B04B9A" w:rsidRDefault="00ED2D42">
      <w:pPr>
        <w:numPr>
          <w:ilvl w:val="1"/>
          <w:numId w:val="18"/>
        </w:numPr>
        <w:spacing w:after="120"/>
      </w:pPr>
      <w:r w:rsidRPr="00B04B9A">
        <w:rPr>
          <w:b/>
          <w:bCs/>
        </w:rPr>
        <w:t>Sex with Men:</w:t>
      </w:r>
      <w:r w:rsidRPr="00B04B9A">
        <w:t xml:space="preserve"> This exposure mode category is used by the Bureau of Infectious Disease and Laboratory Sciences (BIDLS) to categorize sexual risk in transgender women reporting sex with men only. For the purposes of official reporting in the MA HIV Surveillance System and to CDC, exposure mode for transgender women is based on sex assigned at birth, and therefore would be reported as male-to-male sex.</w:t>
      </w:r>
    </w:p>
    <w:p w14:paraId="46048C1B" w14:textId="77777777" w:rsidR="00ED2D42" w:rsidRPr="00B04B9A" w:rsidRDefault="00ED2D42">
      <w:pPr>
        <w:numPr>
          <w:ilvl w:val="0"/>
          <w:numId w:val="18"/>
        </w:numPr>
        <w:spacing w:after="120"/>
      </w:pPr>
      <w:r w:rsidRPr="00B04B9A">
        <w:rPr>
          <w:b/>
          <w:bCs/>
        </w:rPr>
        <w:t xml:space="preserve">IDU (Injection Drug Use): </w:t>
      </w:r>
      <w:r w:rsidRPr="00B04B9A">
        <w:t xml:space="preserve">Cases among persons who report injection drug use. </w:t>
      </w:r>
    </w:p>
    <w:p w14:paraId="377FCDC9" w14:textId="77777777" w:rsidR="00ED2D42" w:rsidRPr="00B04B9A" w:rsidRDefault="00ED2D42">
      <w:pPr>
        <w:numPr>
          <w:ilvl w:val="0"/>
          <w:numId w:val="18"/>
        </w:numPr>
        <w:spacing w:after="120"/>
      </w:pPr>
      <w:r w:rsidRPr="00B04B9A">
        <w:rPr>
          <w:b/>
          <w:bCs/>
        </w:rPr>
        <w:t xml:space="preserve">MSM/IDU: </w:t>
      </w:r>
      <w:r w:rsidRPr="00B04B9A">
        <w:t>Includes all individuals assigned male at birth who report both injection drug use and any sexual contact with other individuals that identify as male.</w:t>
      </w:r>
    </w:p>
    <w:p w14:paraId="3D067A07" w14:textId="77777777" w:rsidR="00ED2D42" w:rsidRPr="00B04B9A" w:rsidRDefault="2A65CC0D">
      <w:pPr>
        <w:numPr>
          <w:ilvl w:val="1"/>
          <w:numId w:val="18"/>
        </w:numPr>
        <w:spacing w:after="120"/>
      </w:pPr>
      <w:r w:rsidRPr="388E5C6E">
        <w:rPr>
          <w:b/>
          <w:bCs/>
        </w:rPr>
        <w:t xml:space="preserve">Sex with Men/IDU: </w:t>
      </w:r>
      <w:r>
        <w:t>This exposure mode category is used by BIDLS to categorize sexual risk in transgender women reporting both sex with men and injection drug use. For the purposes of official reporting in the MA HIV Surveillance System and to CDC, exposure mode for transgender women is based on sex assigned at birth, and therefore would be reported as MSM/IDU.</w:t>
      </w:r>
    </w:p>
    <w:p w14:paraId="3C84287F" w14:textId="77777777" w:rsidR="00ED2D42" w:rsidRPr="00B04B9A" w:rsidRDefault="00ED2D42">
      <w:pPr>
        <w:numPr>
          <w:ilvl w:val="0"/>
          <w:numId w:val="18"/>
        </w:numPr>
        <w:spacing w:after="120"/>
      </w:pPr>
      <w:r w:rsidRPr="00B04B9A">
        <w:rPr>
          <w:b/>
          <w:bCs/>
        </w:rPr>
        <w:t xml:space="preserve">Heterosexual Sex: </w:t>
      </w:r>
      <w:r w:rsidRPr="00B04B9A">
        <w:t>Cases among persons who report heterosexual sex with a person diagnosed with, or at increased risk for, HIV infection (e.g., a PWID). The sub-categories for this mode of transmission are listed below.</w:t>
      </w:r>
    </w:p>
    <w:p w14:paraId="351274B1" w14:textId="77777777" w:rsidR="00ED2D42" w:rsidRPr="00B04B9A" w:rsidRDefault="2A65CC0D">
      <w:pPr>
        <w:numPr>
          <w:ilvl w:val="1"/>
          <w:numId w:val="18"/>
        </w:numPr>
      </w:pPr>
      <w:r>
        <w:t xml:space="preserve">Heterosexual Sex w/ a person who injects drugs </w:t>
      </w:r>
    </w:p>
    <w:p w14:paraId="20137B00" w14:textId="77777777" w:rsidR="00ED2D42" w:rsidRPr="00B04B9A" w:rsidRDefault="2A65CC0D">
      <w:pPr>
        <w:numPr>
          <w:ilvl w:val="1"/>
          <w:numId w:val="18"/>
        </w:numPr>
      </w:pPr>
      <w:r>
        <w:t xml:space="preserve">Heterosexual Sex w/ a person diagnosed w/ HIV infection or AIDS </w:t>
      </w:r>
    </w:p>
    <w:p w14:paraId="26627A88" w14:textId="77777777" w:rsidR="00ED2D42" w:rsidRPr="00B04B9A" w:rsidRDefault="2A65CC0D">
      <w:pPr>
        <w:numPr>
          <w:ilvl w:val="1"/>
          <w:numId w:val="18"/>
        </w:numPr>
      </w:pPr>
      <w:r>
        <w:t xml:space="preserve">Heterosexual Sex w/ a bisexual male </w:t>
      </w:r>
    </w:p>
    <w:p w14:paraId="2B036A7B" w14:textId="77777777" w:rsidR="00ED2D42" w:rsidRPr="00B04B9A" w:rsidRDefault="2A65CC0D">
      <w:pPr>
        <w:numPr>
          <w:ilvl w:val="1"/>
          <w:numId w:val="18"/>
        </w:numPr>
        <w:spacing w:after="120"/>
      </w:pPr>
      <w:r>
        <w:t xml:space="preserve">Other Heterosexual Sex: Includes all other sub-categories of heterosexual risk, such as heterosexual contact with a person infected through a blood transfusion. </w:t>
      </w:r>
    </w:p>
    <w:p w14:paraId="3D18B791" w14:textId="77777777" w:rsidR="00ED2D42" w:rsidRPr="00B04B9A" w:rsidRDefault="00ED2D42">
      <w:pPr>
        <w:numPr>
          <w:ilvl w:val="0"/>
          <w:numId w:val="18"/>
        </w:numPr>
        <w:spacing w:after="120"/>
      </w:pPr>
      <w:r w:rsidRPr="00B04B9A">
        <w:rPr>
          <w:b/>
          <w:bCs/>
        </w:rPr>
        <w:t xml:space="preserve">Other: </w:t>
      </w:r>
      <w:r w:rsidRPr="00B04B9A">
        <w:t>Cases among persons with other known exposure modes, including receipt of clotting factor, receipt of transfusion or transplant, and person-to-child transmission through pregnancy, childbirth, or breastfeeding (perinatal transmission).</w:t>
      </w:r>
    </w:p>
    <w:p w14:paraId="5238518F" w14:textId="77777777" w:rsidR="00ED2D42" w:rsidRPr="00B04B9A" w:rsidRDefault="00ED2D42">
      <w:pPr>
        <w:numPr>
          <w:ilvl w:val="0"/>
          <w:numId w:val="18"/>
        </w:numPr>
        <w:spacing w:after="120"/>
      </w:pPr>
      <w:r w:rsidRPr="00B04B9A">
        <w:rPr>
          <w:b/>
          <w:bCs/>
        </w:rPr>
        <w:t xml:space="preserve">Presumed Heterosexual: </w:t>
      </w:r>
      <w:r w:rsidRPr="00B04B9A">
        <w:t xml:space="preserve">The presumed heterosexual risk category is used by BIDLS exclusively for individuals assigned female at birth to identify HIV exposure mode when sex with </w:t>
      </w:r>
      <w:r w:rsidRPr="00B04B9A">
        <w:lastRenderedPageBreak/>
        <w:t>individuals that identify as male was the only reported risk factor, there was no evidence of current or past injection drug use (IDU), and behavioral risk and HIV status information about sexual partners that identify as male was unknown. The rationale for the application of the presumed heterosexual risk category to individuals assigned female at birth only has been addressed in the MDPH Office of HIV report “Intersecting Risks: HIV Infection among Heterosexual Women and Men in Massachusetts” (2010).</w:t>
      </w:r>
    </w:p>
    <w:p w14:paraId="559DCD5D" w14:textId="77777777" w:rsidR="00ED2D42" w:rsidRPr="00B04B9A" w:rsidRDefault="00ED2D42">
      <w:pPr>
        <w:numPr>
          <w:ilvl w:val="0"/>
          <w:numId w:val="18"/>
        </w:numPr>
        <w:spacing w:after="120"/>
      </w:pPr>
      <w:r w:rsidRPr="00B04B9A">
        <w:rPr>
          <w:b/>
          <w:bCs/>
        </w:rPr>
        <w:t>NIR (No Identified Risk):</w:t>
      </w:r>
      <w:r w:rsidRPr="00B04B9A">
        <w:t xml:space="preserve"> Cases among persons with no reported history of exposure to HIV through any of the listed exposure categories. Follow-up is conducted to determine exposure for those cases that are initially reported without an exposure mode identified. Includes cases among individuals assigned male at birth who were previously categorized in Massachusetts as Presumed Heterosexual.</w:t>
      </w:r>
    </w:p>
    <w:p w14:paraId="21DC50A3" w14:textId="77777777" w:rsidR="00ED2D42" w:rsidRPr="00B04B9A" w:rsidRDefault="00ED2D42" w:rsidP="003218BE">
      <w:pPr>
        <w:spacing w:after="120"/>
      </w:pPr>
      <w:r w:rsidRPr="00B04B9A">
        <w:rPr>
          <w:b/>
          <w:bCs/>
          <w:u w:val="single"/>
        </w:rPr>
        <w:t>II.  References to Newly Diagnosed HIV Infections</w:t>
      </w:r>
    </w:p>
    <w:p w14:paraId="1C0E4D9E" w14:textId="32E47357" w:rsidR="00ED2D42" w:rsidRPr="00B04B9A" w:rsidRDefault="2A50A794" w:rsidP="003218BE">
      <w:pPr>
        <w:spacing w:after="120"/>
      </w:pPr>
      <w:r w:rsidRPr="00B04B9A">
        <w:t xml:space="preserve">Due to the extensive follow up required to verify accurate date of diagnosis, all HIV data reflect HIV infections diagnosed through </w:t>
      </w:r>
      <w:r w:rsidR="07D73799" w:rsidRPr="00B04B9A">
        <w:t>202</w:t>
      </w:r>
      <w:r w:rsidR="00A8743D">
        <w:t>2</w:t>
      </w:r>
      <w:r w:rsidRPr="00B04B9A">
        <w:t xml:space="preserve">.  Newly diagnosed HIV infections/cases include all persons diagnosed with HIV from </w:t>
      </w:r>
      <w:r w:rsidR="692F33AE" w:rsidRPr="00B04B9A">
        <w:t>20</w:t>
      </w:r>
      <w:r w:rsidR="00A8743D">
        <w:t>20</w:t>
      </w:r>
      <w:r w:rsidR="692F33AE" w:rsidRPr="00B04B9A">
        <w:t>-202</w:t>
      </w:r>
      <w:r w:rsidR="00A8743D">
        <w:t>2</w:t>
      </w:r>
      <w:r w:rsidRPr="00B04B9A">
        <w:t>, including those who were concurrently or subsequently diagnosed with AIDS. All HIV data are presented by the year of diagnosis, not the year of report.</w:t>
      </w:r>
    </w:p>
    <w:p w14:paraId="6BC4560D" w14:textId="77777777" w:rsidR="00ED2D42" w:rsidRPr="00B04B9A" w:rsidRDefault="00ED2D42" w:rsidP="003218BE">
      <w:pPr>
        <w:spacing w:after="120"/>
      </w:pPr>
      <w:r w:rsidRPr="00B04B9A">
        <w:rPr>
          <w:b/>
          <w:bCs/>
          <w:u w:val="single"/>
        </w:rPr>
        <w:t>III.  Race/Ethnicity of STD and HIV Cases</w:t>
      </w:r>
    </w:p>
    <w:p w14:paraId="66261EA4" w14:textId="4BF9B956" w:rsidR="00ED2D42" w:rsidRPr="00B04B9A" w:rsidRDefault="00ED2D42" w:rsidP="003218BE">
      <w:pPr>
        <w:spacing w:after="120"/>
      </w:pPr>
      <w:r w:rsidRPr="00B04B9A">
        <w:t>Race/ethnicity references to white residents and black residents represent persons who are white (non-Hispanic) and black (non-Hispanic), respectively.  All references to Hispanic/Latino for race/ethnicity represent persons of Hispanic/Latin</w:t>
      </w:r>
      <w:r w:rsidR="00145223">
        <w:t>x</w:t>
      </w:r>
      <w:r w:rsidRPr="00B04B9A">
        <w:t xml:space="preserve"> heritage regardless of race. </w:t>
      </w:r>
    </w:p>
    <w:p w14:paraId="5F726566" w14:textId="77777777" w:rsidR="00ED2D42" w:rsidRPr="00B04B9A" w:rsidRDefault="00ED2D42" w:rsidP="003218BE">
      <w:pPr>
        <w:spacing w:after="120"/>
      </w:pPr>
      <w:r w:rsidRPr="00B04B9A">
        <w:rPr>
          <w:b/>
          <w:bCs/>
          <w:u w:val="single"/>
        </w:rPr>
        <w:t>IV.  STD Case Reports and Analyses</w:t>
      </w:r>
    </w:p>
    <w:p w14:paraId="42A8E281" w14:textId="08204EA8" w:rsidR="00ED2D42" w:rsidRPr="00B04B9A" w:rsidRDefault="00ED2D42" w:rsidP="003218BE">
      <w:pPr>
        <w:spacing w:after="120"/>
      </w:pPr>
      <w:r w:rsidRPr="00B04B9A">
        <w:t>All information on STD cases reflects year of report. As of 1/1/2020, BIDLS calculates rates per 100,000 population using denominators estimated by the University of Massachusetts Donahue Institute using a modified Hamilton-Perry model. 20</w:t>
      </w:r>
      <w:r w:rsidR="00A8743D">
        <w:t>20</w:t>
      </w:r>
      <w:r w:rsidRPr="00B04B9A">
        <w:t xml:space="preserve"> population estimates were used for single-year rates; for pooled year rates (i.e., 20</w:t>
      </w:r>
      <w:r w:rsidR="00A8743D">
        <w:t>20</w:t>
      </w:r>
      <w:r w:rsidRPr="00B04B9A">
        <w:t>-20</w:t>
      </w:r>
      <w:r w:rsidR="00A8743D">
        <w:t>2</w:t>
      </w:r>
      <w:r w:rsidR="009D0F7C">
        <w:t>2</w:t>
      </w:r>
      <w:r w:rsidRPr="00B04B9A">
        <w:t>), the 20</w:t>
      </w:r>
      <w:r w:rsidR="00A8743D">
        <w:t>20</w:t>
      </w:r>
      <w:r w:rsidRPr="00B04B9A">
        <w:t xml:space="preserve"> population estimates were multiplied by three. For more information, see: Strate S, et al. Small Area Population Estimates for 2011 through 2020, report published Oct 2016, and </w:t>
      </w:r>
      <w:hyperlink r:id="rId85" w:history="1">
        <w:r w:rsidRPr="00B04B9A">
          <w:rPr>
            <w:rStyle w:val="Hyperlink"/>
            <w:color w:val="3333FF"/>
          </w:rPr>
          <w:t>http://www.donahue.umassp.edu/business-groups/economic-public-policy-research/massachusetts-population-estimates-program</w:t>
        </w:r>
      </w:hyperlink>
      <w:r w:rsidRPr="00B04B9A">
        <w:rPr>
          <w:color w:val="3333FF"/>
        </w:rPr>
        <w:t xml:space="preserve">. </w:t>
      </w:r>
      <w:r w:rsidRPr="00B04B9A">
        <w:t xml:space="preserve">When the proportion of STD cases with unknown values is greater than or equal to 30%, incidence trends are not presented by that variable. For instance, race/ethnicity is unknown for </w:t>
      </w:r>
      <w:r w:rsidR="00490168">
        <w:t>46</w:t>
      </w:r>
      <w:r w:rsidRPr="00B04B9A">
        <w:t xml:space="preserve">% of confirmed chlamydia cases and </w:t>
      </w:r>
      <w:r w:rsidR="00490168">
        <w:t>37</w:t>
      </w:r>
      <w:r w:rsidRPr="00B04B9A">
        <w:t xml:space="preserve">% of confirmed gonorrhea cases reported </w:t>
      </w:r>
      <w:r w:rsidR="00490168">
        <w:t>in</w:t>
      </w:r>
      <w:r w:rsidRPr="00B04B9A">
        <w:t xml:space="preserve"> 202</w:t>
      </w:r>
      <w:r w:rsidR="00490168">
        <w:t>2</w:t>
      </w:r>
      <w:r w:rsidRPr="00B04B9A">
        <w:t>. Therefore, the number of confirmed chlamydia and gonorrhea cases by race/ethnicity are not presented in this report.</w:t>
      </w:r>
    </w:p>
    <w:p w14:paraId="640650A5" w14:textId="77777777" w:rsidR="00ED2D42" w:rsidRPr="00B04B9A" w:rsidRDefault="00ED2D42" w:rsidP="003218BE">
      <w:pPr>
        <w:spacing w:after="120"/>
      </w:pPr>
      <w:r w:rsidRPr="00B04B9A">
        <w:rPr>
          <w:b/>
          <w:bCs/>
          <w:u w:val="single"/>
        </w:rPr>
        <w:t>V. Cell suppression methodology:</w:t>
      </w:r>
    </w:p>
    <w:p w14:paraId="6150A55A" w14:textId="73908A01" w:rsidR="00ED2D42" w:rsidRPr="00B04B9A" w:rsidRDefault="009D0F7C" w:rsidP="003218BE">
      <w:pPr>
        <w:spacing w:after="120"/>
      </w:pPr>
      <w:r w:rsidRPr="009D0F7C">
        <w:t>Values one through four are suppressed for denominator populations less than 50,000 or for unknown population sizes. Additional values of zero and greater than or equal to five may be suppressed to prevent back calculation</w:t>
      </w:r>
      <w:r>
        <w:t xml:space="preserve">. </w:t>
      </w:r>
      <w:r w:rsidR="00ED2D42" w:rsidRPr="00B04B9A">
        <w:t xml:space="preserve">Values less than five are not suppressed for compound categories (categories containing two or more subcategories, such as other/undetermined) because the exact population value of each subcategory cannot be determined. </w:t>
      </w:r>
    </w:p>
    <w:p w14:paraId="445F9427" w14:textId="00AC1990" w:rsidR="00ED2D42" w:rsidRPr="00991A6F" w:rsidRDefault="00ED2D42" w:rsidP="00ED2D42">
      <w:pPr>
        <w:rPr>
          <w:color w:val="FF0000"/>
        </w:rPr>
      </w:pPr>
      <w:r w:rsidRPr="00991A6F">
        <w:rPr>
          <w:color w:val="FF0000"/>
        </w:rPr>
        <w:br w:type="page"/>
      </w:r>
    </w:p>
    <w:p w14:paraId="655D6CF9" w14:textId="6CCB7AFC" w:rsidR="00ED2D42" w:rsidRPr="00B04B9A" w:rsidRDefault="00ED2D42" w:rsidP="38A4F72D">
      <w:pPr>
        <w:pStyle w:val="Heading1"/>
      </w:pPr>
      <w:bookmarkStart w:id="76" w:name="_HIV,_STD,_AND"/>
      <w:bookmarkStart w:id="77" w:name="_Toc154057178"/>
      <w:bookmarkEnd w:id="76"/>
      <w:r>
        <w:lastRenderedPageBreak/>
        <w:t>HIV, STD, AND VIRAL HEPATITIS CASE CLASSIFICATIONS</w:t>
      </w:r>
      <w:bookmarkEnd w:id="77"/>
    </w:p>
    <w:p w14:paraId="3A671666" w14:textId="77777777" w:rsidR="00ED2D42" w:rsidRPr="00B04B9A" w:rsidRDefault="00ED2D42" w:rsidP="003218BE">
      <w:pPr>
        <w:spacing w:after="120"/>
        <w:rPr>
          <w:color w:val="2F5496" w:themeColor="accent1" w:themeShade="BF"/>
        </w:rPr>
      </w:pPr>
      <w:r w:rsidRPr="00B04B9A">
        <w:rPr>
          <w:i/>
          <w:iCs/>
          <w:color w:val="2F5496" w:themeColor="accent1" w:themeShade="BF"/>
        </w:rPr>
        <w:t>In the time period of the data in this report</w:t>
      </w:r>
    </w:p>
    <w:p w14:paraId="3E9B5EEC" w14:textId="77777777" w:rsidR="00ED2D42" w:rsidRPr="00B04B9A" w:rsidRDefault="00ED2D42" w:rsidP="003218BE">
      <w:pPr>
        <w:pStyle w:val="Heading2"/>
      </w:pPr>
      <w:bookmarkStart w:id="78" w:name="_Toc154057179"/>
      <w:r>
        <w:t>HIV infection</w:t>
      </w:r>
      <w:bookmarkEnd w:id="78"/>
    </w:p>
    <w:p w14:paraId="69955E18" w14:textId="77777777" w:rsidR="00ED2D42" w:rsidRPr="00B04B9A" w:rsidRDefault="00ED2D42" w:rsidP="003218BE">
      <w:pPr>
        <w:spacing w:after="120"/>
      </w:pPr>
      <w:r w:rsidRPr="00B04B9A">
        <w:t>Clinical description: HIV (human immunodeficiency virus) is a retrovirus with two serologically and geographically distinct species: HIV-1 and HIV-2. It is spread via person-to-person transmission through: sexual contact, the use of HIV-contaminated needles and syringes, vertical transmission from mother to infant, or the transfusion of contaminated blood or its components. HIV attacks the body’s immune system, making the individual more likely to acquire infections or develop infection-related cancers. These opportunistic infections or cancers take advantage of the “opportunity” of a weakened immune system and may be one signal that the person has an AIDS diagnosis (acquired immunodeficiency syndrome), the advanced stage of HIV infection.</w:t>
      </w:r>
    </w:p>
    <w:p w14:paraId="2247C12C" w14:textId="77777777" w:rsidR="00ED2D42" w:rsidRPr="00B04B9A" w:rsidRDefault="00ED2D42" w:rsidP="003218BE">
      <w:pPr>
        <w:spacing w:after="120"/>
      </w:pPr>
      <w:r w:rsidRPr="00B04B9A">
        <w:rPr>
          <w:b/>
          <w:bCs/>
          <w:i/>
          <w:iCs/>
        </w:rPr>
        <w:t>Case Classification</w:t>
      </w:r>
    </w:p>
    <w:p w14:paraId="35CA7187" w14:textId="77777777" w:rsidR="00ED2D42" w:rsidRPr="00B04B9A" w:rsidRDefault="00ED2D42" w:rsidP="003218BE">
      <w:pPr>
        <w:spacing w:after="120"/>
      </w:pPr>
      <w:r w:rsidRPr="00B04B9A">
        <w:t>Confirmed: Positive HIV-1, Positive HIV-2, or Positive (Undifferentiated) HIV result from a differentiating immunoassay, Western Blot, IFA, or culture;</w:t>
      </w:r>
      <w:r w:rsidRPr="00B04B9A">
        <w:rPr>
          <w:b/>
          <w:bCs/>
        </w:rPr>
        <w:t xml:space="preserve"> </w:t>
      </w:r>
      <w:r w:rsidRPr="00B04B9A">
        <w:t>Positive/Detected Qualitative HIV NAT (DNA or RNA); Quantitative HIV NAT (detectable viral load assay) or physician verified diagnosis.</w:t>
      </w:r>
    </w:p>
    <w:p w14:paraId="327218E4" w14:textId="77777777" w:rsidR="00ED2D42" w:rsidRPr="00B04B9A" w:rsidRDefault="00ED2D42" w:rsidP="004A0D89">
      <w:pPr>
        <w:pStyle w:val="Heading2"/>
      </w:pPr>
      <w:bookmarkStart w:id="79" w:name="_Toc154057180"/>
      <w:r>
        <w:t>Sexually transmitted diseases (STD)</w:t>
      </w:r>
      <w:bookmarkEnd w:id="79"/>
    </w:p>
    <w:p w14:paraId="5E31BC4A" w14:textId="0FDC9168" w:rsidR="00ED2D42" w:rsidRPr="00B04B9A" w:rsidRDefault="00ED2D42" w:rsidP="003218BE">
      <w:pPr>
        <w:spacing w:after="120"/>
        <w:rPr>
          <w:color w:val="2F5496" w:themeColor="accent1" w:themeShade="BF"/>
        </w:rPr>
      </w:pPr>
      <w:r w:rsidRPr="00B04B9A">
        <w:rPr>
          <w:b/>
          <w:bCs/>
          <w:i/>
          <w:iCs/>
          <w:color w:val="2F5496" w:themeColor="accent1" w:themeShade="BF"/>
        </w:rPr>
        <w:t>Chlamydia trachomatis</w:t>
      </w:r>
      <w:r w:rsidRPr="00B04B9A">
        <w:rPr>
          <w:b/>
          <w:bCs/>
          <w:color w:val="2F5496" w:themeColor="accent1" w:themeShade="BF"/>
        </w:rPr>
        <w:t xml:space="preserve"> Infection (</w:t>
      </w:r>
      <w:r w:rsidR="00EE5CC7">
        <w:rPr>
          <w:b/>
          <w:bCs/>
          <w:color w:val="2F5496" w:themeColor="accent1" w:themeShade="BF"/>
        </w:rPr>
        <w:t>20</w:t>
      </w:r>
      <w:r w:rsidRPr="00B04B9A">
        <w:rPr>
          <w:b/>
          <w:bCs/>
          <w:color w:val="2F5496" w:themeColor="accent1" w:themeShade="BF"/>
        </w:rPr>
        <w:t>10)</w:t>
      </w:r>
    </w:p>
    <w:p w14:paraId="35115E71" w14:textId="77777777" w:rsidR="00ED2D42" w:rsidRPr="00B04B9A" w:rsidRDefault="00ED2D42" w:rsidP="003218BE">
      <w:pPr>
        <w:spacing w:after="120"/>
      </w:pPr>
      <w:r w:rsidRPr="00B04B9A">
        <w:rPr>
          <w:b/>
          <w:bCs/>
          <w:i/>
          <w:iCs/>
        </w:rPr>
        <w:t>Clinical description</w:t>
      </w:r>
    </w:p>
    <w:p w14:paraId="7660DCAE" w14:textId="77777777" w:rsidR="00ED2D42" w:rsidRPr="00B04B9A" w:rsidRDefault="00ED2D42" w:rsidP="003218BE">
      <w:pPr>
        <w:spacing w:after="120"/>
      </w:pPr>
      <w:r w:rsidRPr="00B04B9A">
        <w:t>Infection with </w:t>
      </w:r>
      <w:r w:rsidRPr="00B04B9A">
        <w:rPr>
          <w:i/>
          <w:iCs/>
        </w:rPr>
        <w:t>Chlamydia trachomatis</w:t>
      </w:r>
      <w:r w:rsidRPr="00B04B9A">
        <w:t> may result in urethritis, epididymitis, cervicitis, acute salpingitis, or other syndromes when sexually transmitted; however, the infection is often asymptomatic in women. Perinatal infections may result in inclusion conjunctivitis and pneumonia in newborns. Other syndromes caused by </w:t>
      </w:r>
      <w:r w:rsidRPr="00B04B9A">
        <w:rPr>
          <w:i/>
          <w:iCs/>
        </w:rPr>
        <w:t>C. trachomatis</w:t>
      </w:r>
      <w:r w:rsidRPr="00B04B9A">
        <w:t> include lymphogranuloma venereum (see Lymphogranuloma Venereum) and trachoma.</w:t>
      </w:r>
    </w:p>
    <w:p w14:paraId="7CFEF1EC" w14:textId="77777777" w:rsidR="00ED2D42" w:rsidRPr="00B04B9A" w:rsidRDefault="00ED2D42" w:rsidP="003218BE">
      <w:pPr>
        <w:spacing w:after="120"/>
      </w:pPr>
      <w:r w:rsidRPr="00B04B9A">
        <w:rPr>
          <w:b/>
          <w:bCs/>
          <w:i/>
          <w:iCs/>
        </w:rPr>
        <w:t>Laboratory criteria for diagnosis</w:t>
      </w:r>
    </w:p>
    <w:p w14:paraId="5B93EE88" w14:textId="77777777" w:rsidR="00ED2D42" w:rsidRPr="00B04B9A" w:rsidRDefault="00ED2D42" w:rsidP="003218BE">
      <w:pPr>
        <w:spacing w:after="120"/>
      </w:pPr>
      <w:r w:rsidRPr="00B04B9A">
        <w:t>Isolation of </w:t>
      </w:r>
      <w:r w:rsidRPr="00B04B9A">
        <w:rPr>
          <w:i/>
          <w:iCs/>
        </w:rPr>
        <w:t>C. trachomatis</w:t>
      </w:r>
      <w:r w:rsidRPr="00B04B9A">
        <w:t> by culture or</w:t>
      </w:r>
    </w:p>
    <w:p w14:paraId="5532C4BA" w14:textId="77777777" w:rsidR="00ED2D42" w:rsidRPr="00B04B9A" w:rsidRDefault="00ED2D42" w:rsidP="003218BE">
      <w:pPr>
        <w:spacing w:after="120"/>
      </w:pPr>
      <w:r w:rsidRPr="00B04B9A">
        <w:t>Demonstration of </w:t>
      </w:r>
      <w:r w:rsidRPr="00B04B9A">
        <w:rPr>
          <w:i/>
          <w:iCs/>
        </w:rPr>
        <w:t>C. trachomatis</w:t>
      </w:r>
      <w:r w:rsidRPr="00B04B9A">
        <w:t> in a clinical specimen by detection of antigen or nucleic acid</w:t>
      </w:r>
    </w:p>
    <w:p w14:paraId="17B1EDF0" w14:textId="77777777" w:rsidR="00ED2D42" w:rsidRPr="00B04B9A" w:rsidRDefault="00ED2D42" w:rsidP="003218BE">
      <w:pPr>
        <w:spacing w:after="120"/>
      </w:pPr>
      <w:r w:rsidRPr="00B04B9A">
        <w:rPr>
          <w:b/>
          <w:bCs/>
          <w:i/>
          <w:iCs/>
        </w:rPr>
        <w:t>Case classification</w:t>
      </w:r>
    </w:p>
    <w:p w14:paraId="2001C5EA" w14:textId="77777777" w:rsidR="00ED2D42" w:rsidRPr="00B04B9A" w:rsidRDefault="00ED2D42" w:rsidP="003218BE">
      <w:pPr>
        <w:spacing w:after="120"/>
      </w:pPr>
      <w:r w:rsidRPr="00B04B9A">
        <w:rPr>
          <w:i/>
          <w:iCs/>
        </w:rPr>
        <w:t>Confirmed:</w:t>
      </w:r>
      <w:r w:rsidRPr="00B04B9A">
        <w:t> a case that is laboratory confirmed.</w:t>
      </w:r>
    </w:p>
    <w:p w14:paraId="39BFE271" w14:textId="576478F6" w:rsidR="00CD15F3" w:rsidRPr="00CD15F3" w:rsidRDefault="00CD15F3" w:rsidP="00CD15F3">
      <w:pPr>
        <w:spacing w:after="120"/>
        <w:rPr>
          <w:b/>
          <w:bCs/>
          <w:color w:val="2F5496" w:themeColor="accent1" w:themeShade="BF"/>
        </w:rPr>
      </w:pPr>
      <w:r w:rsidRPr="00CD15F3">
        <w:rPr>
          <w:b/>
          <w:bCs/>
          <w:i/>
          <w:iCs/>
          <w:color w:val="2F5496" w:themeColor="accent1" w:themeShade="BF"/>
        </w:rPr>
        <w:t>Chlamydia trachomatis</w:t>
      </w:r>
      <w:r w:rsidRPr="00CD15F3">
        <w:rPr>
          <w:b/>
          <w:bCs/>
          <w:color w:val="2F5496" w:themeColor="accent1" w:themeShade="BF"/>
        </w:rPr>
        <w:t xml:space="preserve"> Infection (2022)</w:t>
      </w:r>
    </w:p>
    <w:p w14:paraId="115ED2B5" w14:textId="77777777" w:rsidR="00CD15F3" w:rsidRPr="00CD15F3" w:rsidRDefault="00CD15F3" w:rsidP="00CD15F3">
      <w:pPr>
        <w:spacing w:after="120"/>
        <w:rPr>
          <w:b/>
          <w:bCs/>
        </w:rPr>
      </w:pPr>
      <w:r w:rsidRPr="00CD15F3">
        <w:rPr>
          <w:b/>
          <w:bCs/>
          <w:i/>
          <w:iCs/>
        </w:rPr>
        <w:t>Clinical Description</w:t>
      </w:r>
    </w:p>
    <w:p w14:paraId="7DC6326E" w14:textId="77777777" w:rsidR="00CD15F3" w:rsidRPr="00CD15F3" w:rsidRDefault="00CD15F3" w:rsidP="00CD15F3">
      <w:pPr>
        <w:spacing w:after="120"/>
      </w:pPr>
      <w:r w:rsidRPr="00CD15F3">
        <w:t xml:space="preserve">Chlamydia is a sexually transmitted infection that has a variable clinical course based on the serotype causing infection. Serovars D-K of C. trachomatis are the typical cause of chlamydial infections in the United States, and infection with C. trachomatis can result in urethritis, epididymitis, cervicitis, acute salpingitis, or other syndromes when sexually transmitted; however, the infection is often asymptomatic. Perinatal infections may result in inclusion conjunctivitis and pneumonia in newborns. Other syndromes caused by </w:t>
      </w:r>
      <w:r w:rsidRPr="00CD15F3">
        <w:rPr>
          <w:i/>
          <w:iCs/>
        </w:rPr>
        <w:t xml:space="preserve">C. trachomatis </w:t>
      </w:r>
      <w:r w:rsidRPr="00CD15F3">
        <w:t>include LGV and trachoma.</w:t>
      </w:r>
    </w:p>
    <w:p w14:paraId="3789AD82" w14:textId="77777777" w:rsidR="00CD15F3" w:rsidRPr="00CD15F3" w:rsidRDefault="00CD15F3" w:rsidP="00CD15F3">
      <w:pPr>
        <w:spacing w:after="120"/>
      </w:pPr>
      <w:r w:rsidRPr="00CD15F3">
        <w:lastRenderedPageBreak/>
        <w:t>LGV is a specific type of chlamydial infection, caused by the serovars L1, L2, and L3 of C. trachomatis. Symptomatic LGV can be divided into three stages. The primary stage can include a small ulcer or lesion at the site of inoculation (genital, rectal, or oral/oropharyngeal sites). The secondary stage can include a syndrome featuring cervical, inguinal, and/or femoral lymphadenopathy that may rupture or an anorectal syndrome featuring proctocolitis (including mucoid or hemorrhagic rectal discharge, anal pain, constipation, fever, and/or tenesmus). Late stage LGV typically involves sequelae, such as genital elephantiasis, lymph node scarring, chronic colorectal fistulas and strictures, perirectal abscesses, and/or anal fissures. LGV may also be asymptomatic.</w:t>
      </w:r>
    </w:p>
    <w:p w14:paraId="37D21E55" w14:textId="77777777" w:rsidR="00CD15F3" w:rsidRPr="00CD15F3" w:rsidRDefault="00CD15F3" w:rsidP="00CD15F3">
      <w:pPr>
        <w:spacing w:after="120"/>
        <w:rPr>
          <w:b/>
          <w:bCs/>
        </w:rPr>
      </w:pPr>
      <w:r w:rsidRPr="00CD15F3">
        <w:rPr>
          <w:b/>
          <w:bCs/>
          <w:i/>
          <w:iCs/>
        </w:rPr>
        <w:t>Laboratory Criteria</w:t>
      </w:r>
    </w:p>
    <w:p w14:paraId="12E26F02" w14:textId="77777777" w:rsidR="00CD15F3" w:rsidRPr="00CD15F3" w:rsidRDefault="00CD15F3" w:rsidP="00CD15F3">
      <w:pPr>
        <w:spacing w:after="120"/>
      </w:pPr>
      <w:r w:rsidRPr="00CD15F3">
        <w:t xml:space="preserve">Demonstration of </w:t>
      </w:r>
      <w:r w:rsidRPr="00CD15F3">
        <w:rPr>
          <w:i/>
          <w:iCs/>
        </w:rPr>
        <w:t xml:space="preserve">C. trachomatis </w:t>
      </w:r>
      <w:r w:rsidRPr="00CD15F3">
        <w:t>in a clinical specimen by detection of antigen or nucleic acid, OR</w:t>
      </w:r>
    </w:p>
    <w:p w14:paraId="13C9682F" w14:textId="77777777" w:rsidR="00CD15F3" w:rsidRPr="00CD15F3" w:rsidRDefault="00CD15F3" w:rsidP="00CD15F3">
      <w:pPr>
        <w:spacing w:after="120"/>
      </w:pPr>
      <w:r w:rsidRPr="00CD15F3">
        <w:t>Detection of LGV-specific antigen or nucleic acid in a clinical specimen, OR</w:t>
      </w:r>
    </w:p>
    <w:p w14:paraId="30AE9F5A" w14:textId="77777777" w:rsidR="00CD15F3" w:rsidRPr="00CD15F3" w:rsidRDefault="00CD15F3" w:rsidP="00CD15F3">
      <w:pPr>
        <w:spacing w:after="120"/>
      </w:pPr>
      <w:r w:rsidRPr="00CD15F3">
        <w:t xml:space="preserve">Isolation of </w:t>
      </w:r>
      <w:r w:rsidRPr="00CD15F3">
        <w:rPr>
          <w:i/>
          <w:iCs/>
        </w:rPr>
        <w:t xml:space="preserve">C. trachomatis </w:t>
      </w:r>
      <w:r w:rsidRPr="00CD15F3">
        <w:t>by culture</w:t>
      </w:r>
    </w:p>
    <w:p w14:paraId="36241617" w14:textId="77777777" w:rsidR="00CD15F3" w:rsidRPr="00CD15F3" w:rsidRDefault="00CD15F3" w:rsidP="00CD15F3">
      <w:pPr>
        <w:spacing w:after="120"/>
        <w:rPr>
          <w:b/>
          <w:bCs/>
        </w:rPr>
      </w:pPr>
      <w:r w:rsidRPr="00CD15F3">
        <w:rPr>
          <w:b/>
          <w:bCs/>
          <w:i/>
          <w:iCs/>
        </w:rPr>
        <w:t>Criteria to Distinguish a New Case from an Existing Case</w:t>
      </w:r>
    </w:p>
    <w:p w14:paraId="21703464" w14:textId="77777777" w:rsidR="00CD15F3" w:rsidRPr="00CD15F3" w:rsidRDefault="00CD15F3" w:rsidP="00CD15F3">
      <w:pPr>
        <w:spacing w:after="120"/>
      </w:pPr>
      <w:r w:rsidRPr="00CD15F3">
        <w:t xml:space="preserve">For surveillance purposes, a new case of </w:t>
      </w:r>
      <w:r w:rsidRPr="00CD15F3">
        <w:rPr>
          <w:i/>
          <w:iCs/>
        </w:rPr>
        <w:t xml:space="preserve">C. trachomatis </w:t>
      </w:r>
      <w:r w:rsidRPr="00CD15F3">
        <w:t>infection (caused by either non-LGV or LGV serotypes) meets the following criteria:</w:t>
      </w:r>
    </w:p>
    <w:p w14:paraId="6896B778" w14:textId="77777777" w:rsidR="00CD15F3" w:rsidRPr="00CD15F3" w:rsidRDefault="00CD15F3" w:rsidP="00CD15F3">
      <w:pPr>
        <w:spacing w:after="120"/>
      </w:pPr>
      <w:r w:rsidRPr="00CD15F3">
        <w:t xml:space="preserve">There is no evidence of a prior </w:t>
      </w:r>
      <w:r w:rsidRPr="00CD15F3">
        <w:rPr>
          <w:i/>
          <w:iCs/>
        </w:rPr>
        <w:t xml:space="preserve">C. trachomatis </w:t>
      </w:r>
      <w:r w:rsidRPr="00CD15F3">
        <w:t>infection that has been reported as a case;</w:t>
      </w:r>
    </w:p>
    <w:p w14:paraId="790959F2" w14:textId="77777777" w:rsidR="00CD15F3" w:rsidRPr="00CD15F3" w:rsidRDefault="00CD15F3" w:rsidP="00CD15F3">
      <w:pPr>
        <w:spacing w:after="120"/>
        <w:rPr>
          <w:b/>
          <w:bCs/>
        </w:rPr>
      </w:pPr>
      <w:r w:rsidRPr="00CD15F3">
        <w:rPr>
          <w:b/>
          <w:bCs/>
        </w:rPr>
        <w:t xml:space="preserve"> OR</w:t>
      </w:r>
    </w:p>
    <w:p w14:paraId="76CC9392" w14:textId="77777777" w:rsidR="00CD15F3" w:rsidRPr="00CD15F3" w:rsidRDefault="00CD15F3" w:rsidP="00CD15F3">
      <w:pPr>
        <w:spacing w:after="120"/>
      </w:pPr>
      <w:r w:rsidRPr="00CD15F3">
        <w:t xml:space="preserve">There is evidence of a prior </w:t>
      </w:r>
      <w:r w:rsidRPr="00CD15F3">
        <w:rPr>
          <w:i/>
          <w:iCs/>
        </w:rPr>
        <w:t xml:space="preserve">C. trachomatis </w:t>
      </w:r>
      <w:r w:rsidRPr="00CD15F3">
        <w:t>infection that has been reported as a case, but the prior infection’s specimen collection date or treatment date was &gt;30 days before the current infection’s specimen collection date;</w:t>
      </w:r>
    </w:p>
    <w:p w14:paraId="21462F38" w14:textId="77777777" w:rsidR="00CD15F3" w:rsidRPr="00CD15F3" w:rsidRDefault="00CD15F3" w:rsidP="00CD15F3">
      <w:pPr>
        <w:spacing w:after="120"/>
        <w:rPr>
          <w:b/>
          <w:bCs/>
        </w:rPr>
      </w:pPr>
      <w:r w:rsidRPr="00CD15F3">
        <w:rPr>
          <w:b/>
          <w:bCs/>
        </w:rPr>
        <w:t>OR</w:t>
      </w:r>
    </w:p>
    <w:p w14:paraId="1C8E2F78" w14:textId="77777777" w:rsidR="00CD15F3" w:rsidRPr="00CD15F3" w:rsidRDefault="00CD15F3" w:rsidP="00CD15F3">
      <w:pPr>
        <w:spacing w:after="120"/>
      </w:pPr>
      <w:r w:rsidRPr="00CD15F3">
        <w:t xml:space="preserve">There is evidence of a prior </w:t>
      </w:r>
      <w:r w:rsidRPr="00CD15F3">
        <w:rPr>
          <w:i/>
          <w:iCs/>
        </w:rPr>
        <w:t xml:space="preserve">C. trachomatis </w:t>
      </w:r>
      <w:r w:rsidRPr="00CD15F3">
        <w:t>infection that has been reported as a case with a specimen collection date or treatment date ≤30 days from the current infection’s specimen collection date, but there is evidence of re-infection.</w:t>
      </w:r>
    </w:p>
    <w:p w14:paraId="15BFC3F2" w14:textId="77777777" w:rsidR="00CD15F3" w:rsidRPr="00CD15F3" w:rsidRDefault="00CD15F3" w:rsidP="00CD15F3">
      <w:pPr>
        <w:spacing w:after="120"/>
        <w:rPr>
          <w:b/>
          <w:bCs/>
        </w:rPr>
      </w:pPr>
      <w:r w:rsidRPr="00CD15F3">
        <w:rPr>
          <w:b/>
          <w:bCs/>
          <w:i/>
          <w:iCs/>
        </w:rPr>
        <w:t>Case Classification</w:t>
      </w:r>
    </w:p>
    <w:p w14:paraId="78CCDAFA" w14:textId="77777777" w:rsidR="00CD15F3" w:rsidRPr="00CD15F3" w:rsidRDefault="00CD15F3" w:rsidP="00CD15F3">
      <w:pPr>
        <w:spacing w:after="120"/>
        <w:rPr>
          <w:b/>
          <w:bCs/>
        </w:rPr>
      </w:pPr>
      <w:r w:rsidRPr="00CD15F3">
        <w:rPr>
          <w:b/>
          <w:bCs/>
        </w:rPr>
        <w:t>Confirmed</w:t>
      </w:r>
    </w:p>
    <w:p w14:paraId="65F98E45" w14:textId="77777777" w:rsidR="00CD15F3" w:rsidRPr="00CD15F3" w:rsidRDefault="00CD15F3" w:rsidP="00CD15F3">
      <w:pPr>
        <w:spacing w:after="120"/>
      </w:pPr>
      <w:r w:rsidRPr="00CD15F3">
        <w:t>A case that meets laboratory evidence.</w:t>
      </w:r>
    </w:p>
    <w:p w14:paraId="31D3EB2C" w14:textId="77777777" w:rsidR="00CD15F3" w:rsidRPr="00CD15F3" w:rsidRDefault="00CD15F3" w:rsidP="00CD15F3">
      <w:pPr>
        <w:spacing w:after="120"/>
        <w:rPr>
          <w:b/>
          <w:bCs/>
        </w:rPr>
      </w:pPr>
      <w:r w:rsidRPr="00CD15F3">
        <w:rPr>
          <w:b/>
          <w:bCs/>
        </w:rPr>
        <w:t>Case Classification Comments</w:t>
      </w:r>
    </w:p>
    <w:p w14:paraId="29F1C55C" w14:textId="77777777" w:rsidR="00CD15F3" w:rsidRPr="00CD15F3" w:rsidRDefault="00CD15F3" w:rsidP="00CD15F3">
      <w:pPr>
        <w:spacing w:after="120"/>
      </w:pPr>
      <w:r w:rsidRPr="00CD15F3">
        <w:t xml:space="preserve">The following provides guidance for health departments to use for the classification and notification of cases of </w:t>
      </w:r>
      <w:r w:rsidRPr="00CD15F3">
        <w:rPr>
          <w:i/>
          <w:iCs/>
        </w:rPr>
        <w:t xml:space="preserve">C. trachomatis </w:t>
      </w:r>
      <w:r w:rsidRPr="00CD15F3">
        <w:t xml:space="preserve">infection caused by serovars L1, L2, and L3 (also known as lymphogranuloma venereum, or LGV). Cases should be reported to the Centers for Disease Control and Prevention (CDC) through voluntary notification as </w:t>
      </w:r>
      <w:r w:rsidRPr="00CD15F3">
        <w:rPr>
          <w:i/>
          <w:iCs/>
        </w:rPr>
        <w:t xml:space="preserve">C. trachomatis </w:t>
      </w:r>
      <w:r w:rsidRPr="00CD15F3">
        <w:t>infection and should be marked as LGV in the CDC case report data, as defined below.</w:t>
      </w:r>
    </w:p>
    <w:p w14:paraId="3B2D341D" w14:textId="77777777" w:rsidR="00CD15F3" w:rsidRPr="00CD15F3" w:rsidRDefault="00CD15F3" w:rsidP="00CD15F3">
      <w:pPr>
        <w:spacing w:after="120"/>
      </w:pPr>
      <w:r w:rsidRPr="00CD15F3">
        <w:t xml:space="preserve">Classification of </w:t>
      </w:r>
      <w:r w:rsidRPr="00CD15F3">
        <w:rPr>
          <w:i/>
          <w:iCs/>
        </w:rPr>
        <w:t xml:space="preserve">C. trachomatis </w:t>
      </w:r>
      <w:r w:rsidRPr="00CD15F3">
        <w:t>infection cases to identify LGV.</w:t>
      </w:r>
    </w:p>
    <w:p w14:paraId="50350045" w14:textId="77777777" w:rsidR="00CD15F3" w:rsidRPr="00CD15F3" w:rsidRDefault="00CD15F3" w:rsidP="00CD15F3">
      <w:pPr>
        <w:spacing w:after="120"/>
      </w:pPr>
      <w:r w:rsidRPr="00CD15F3">
        <w:t>Verified: a person with detection of LGV-specific antigen or nucleic acid in a clinical specimen. This includes asymptomatic cases.</w:t>
      </w:r>
    </w:p>
    <w:p w14:paraId="1C5838B3" w14:textId="77777777" w:rsidR="00CD15F3" w:rsidRPr="00CD15F3" w:rsidRDefault="00CD15F3" w:rsidP="00CD15F3">
      <w:pPr>
        <w:spacing w:after="120"/>
      </w:pPr>
      <w:r w:rsidRPr="00CD15F3">
        <w:t xml:space="preserve">Likely: a person with demonstration of </w:t>
      </w:r>
      <w:r w:rsidRPr="00CD15F3">
        <w:rPr>
          <w:i/>
          <w:iCs/>
        </w:rPr>
        <w:t xml:space="preserve">C. trachomatis </w:t>
      </w:r>
      <w:r w:rsidRPr="00CD15F3">
        <w:t xml:space="preserve">in a clinical specimen by detection of antigen or nucleic acid OR isolation of </w:t>
      </w:r>
      <w:r w:rsidRPr="00CD15F3">
        <w:rPr>
          <w:i/>
          <w:iCs/>
        </w:rPr>
        <w:t xml:space="preserve">C. trachomatis </w:t>
      </w:r>
      <w:r w:rsidRPr="00CD15F3">
        <w:t xml:space="preserve">by culture; AND who demonstrates clinical symptoms or </w:t>
      </w:r>
      <w:r w:rsidRPr="00CD15F3">
        <w:lastRenderedPageBreak/>
        <w:t>signs consistent with LGV; AND has no negative test for LGV-specific antigen or nucleic acid in a clinical specimen.</w:t>
      </w:r>
    </w:p>
    <w:p w14:paraId="7F125E8C" w14:textId="4F21F79F" w:rsidR="00ED2D42" w:rsidRPr="00B04B9A" w:rsidRDefault="00ED2D42" w:rsidP="003218BE">
      <w:pPr>
        <w:spacing w:after="120"/>
        <w:rPr>
          <w:color w:val="2F5496" w:themeColor="accent1" w:themeShade="BF"/>
        </w:rPr>
      </w:pPr>
      <w:r w:rsidRPr="00B04B9A">
        <w:rPr>
          <w:b/>
          <w:bCs/>
          <w:color w:val="2F5496" w:themeColor="accent1" w:themeShade="BF"/>
        </w:rPr>
        <w:t>Gonorrhea (</w:t>
      </w:r>
      <w:r w:rsidR="00EE5CC7">
        <w:rPr>
          <w:b/>
          <w:bCs/>
          <w:color w:val="2F5496" w:themeColor="accent1" w:themeShade="BF"/>
        </w:rPr>
        <w:t>20</w:t>
      </w:r>
      <w:r w:rsidRPr="00B04B9A">
        <w:rPr>
          <w:b/>
          <w:bCs/>
          <w:color w:val="2F5496" w:themeColor="accent1" w:themeShade="BF"/>
        </w:rPr>
        <w:t>14)</w:t>
      </w:r>
    </w:p>
    <w:p w14:paraId="7EC21811" w14:textId="77777777" w:rsidR="00ED2D42" w:rsidRPr="00B04B9A" w:rsidRDefault="00ED2D42" w:rsidP="003218BE">
      <w:pPr>
        <w:spacing w:after="120"/>
      </w:pPr>
      <w:r w:rsidRPr="00B04B9A">
        <w:rPr>
          <w:b/>
          <w:bCs/>
          <w:i/>
          <w:iCs/>
        </w:rPr>
        <w:t>Clinical description</w:t>
      </w:r>
    </w:p>
    <w:p w14:paraId="553A0FAE" w14:textId="16AE8C26" w:rsidR="00ED2D42" w:rsidRPr="00B04B9A" w:rsidRDefault="00ED2D42" w:rsidP="003218BE">
      <w:pPr>
        <w:spacing w:after="120"/>
      </w:pPr>
      <w:r w:rsidRPr="00B04B9A">
        <w:t>A sexually transmitted infection commonly manifested by urethritis, cervicitis, proctitis, salpingitis, or pharyngitis. Infection may be asymptomatic.</w:t>
      </w:r>
    </w:p>
    <w:p w14:paraId="04CFB7D9" w14:textId="77777777" w:rsidR="005D1FD3" w:rsidRPr="00B04B9A" w:rsidRDefault="005D1FD3" w:rsidP="003218BE">
      <w:pPr>
        <w:spacing w:after="120"/>
      </w:pPr>
      <w:r w:rsidRPr="00B04B9A">
        <w:rPr>
          <w:b/>
          <w:bCs/>
          <w:i/>
          <w:iCs/>
        </w:rPr>
        <w:t>Laboratory criteria for diagnosis</w:t>
      </w:r>
    </w:p>
    <w:p w14:paraId="2FCCAB84" w14:textId="77777777" w:rsidR="005D1FD3" w:rsidRPr="00B04B9A" w:rsidRDefault="005D1FD3" w:rsidP="003218BE">
      <w:pPr>
        <w:spacing w:after="120"/>
      </w:pPr>
      <w:r w:rsidRPr="00B04B9A">
        <w:t>Observation of gram-negative intracellular diplococci in a urethral smear obtained from a male or an endocervical smear obtained from a female, or</w:t>
      </w:r>
    </w:p>
    <w:p w14:paraId="59DCBCD2" w14:textId="77777777" w:rsidR="005D1FD3" w:rsidRPr="00B04B9A" w:rsidRDefault="005D1FD3" w:rsidP="003218BE">
      <w:pPr>
        <w:spacing w:after="120"/>
      </w:pPr>
      <w:r w:rsidRPr="00B04B9A">
        <w:t>Isolation of typical gram-negative, oxidase-positive diplococci by culture (presumptive </w:t>
      </w:r>
      <w:r w:rsidRPr="00B04B9A">
        <w:rPr>
          <w:i/>
          <w:iCs/>
        </w:rPr>
        <w:t>Neisseria gonorrhoeae</w:t>
      </w:r>
      <w:r w:rsidRPr="00B04B9A">
        <w:t>) from a clinical specimen, or</w:t>
      </w:r>
    </w:p>
    <w:p w14:paraId="0444A447" w14:textId="77777777" w:rsidR="005D1FD3" w:rsidRPr="00B04B9A" w:rsidRDefault="005D1FD3" w:rsidP="003218BE">
      <w:pPr>
        <w:spacing w:after="120"/>
      </w:pPr>
      <w:r w:rsidRPr="00B04B9A">
        <w:t>Demonstration of </w:t>
      </w:r>
      <w:r w:rsidRPr="00B04B9A">
        <w:rPr>
          <w:i/>
          <w:iCs/>
        </w:rPr>
        <w:t>N. gonorrhoeae</w:t>
      </w:r>
      <w:r w:rsidRPr="00B04B9A">
        <w:t> in a clinical specimen by detection of antigen or nucleic acid</w:t>
      </w:r>
    </w:p>
    <w:p w14:paraId="585EDF0E" w14:textId="77777777" w:rsidR="005D1FD3" w:rsidRPr="00B04B9A" w:rsidRDefault="005D1FD3" w:rsidP="003218BE">
      <w:pPr>
        <w:spacing w:after="120"/>
      </w:pPr>
      <w:r w:rsidRPr="00B04B9A">
        <w:rPr>
          <w:b/>
          <w:bCs/>
          <w:i/>
          <w:iCs/>
        </w:rPr>
        <w:t>Case classification</w:t>
      </w:r>
    </w:p>
    <w:p w14:paraId="4A9FFCD1" w14:textId="77777777" w:rsidR="005D1FD3" w:rsidRPr="00B04B9A" w:rsidRDefault="005D1FD3" w:rsidP="003218BE">
      <w:pPr>
        <w:spacing w:after="120"/>
      </w:pPr>
      <w:r w:rsidRPr="00B04B9A">
        <w:rPr>
          <w:i/>
          <w:iCs/>
        </w:rPr>
        <w:t>Probable:</w:t>
      </w:r>
      <w:r w:rsidRPr="00B04B9A">
        <w:t> demonstration of gram-negative intracellular diplococci in a urethral smear obtained from a male or an endocervical smear obtained from a female.</w:t>
      </w:r>
    </w:p>
    <w:p w14:paraId="76B2CADE" w14:textId="77777777" w:rsidR="005D1FD3" w:rsidRPr="00B04B9A" w:rsidRDefault="005D1FD3" w:rsidP="009F76C4">
      <w:pPr>
        <w:spacing w:after="120"/>
      </w:pPr>
      <w:r w:rsidRPr="00B04B9A">
        <w:rPr>
          <w:i/>
          <w:iCs/>
        </w:rPr>
        <w:t>Confirmed:</w:t>
      </w:r>
      <w:r w:rsidRPr="00B04B9A">
        <w:t> a person with laboratory isolation of typical gram-negative, oxidase-positive diplococci by culture (presumptive </w:t>
      </w:r>
      <w:r w:rsidRPr="00B04B9A">
        <w:rPr>
          <w:i/>
          <w:iCs/>
        </w:rPr>
        <w:t>N. gonorrhoeae</w:t>
      </w:r>
      <w:r w:rsidRPr="00B04B9A">
        <w:t>) from a clinical specimen, or demonstration of </w:t>
      </w:r>
      <w:r w:rsidRPr="00B04B9A">
        <w:rPr>
          <w:i/>
          <w:iCs/>
        </w:rPr>
        <w:t xml:space="preserve">N. gonorrhoeae </w:t>
      </w:r>
      <w:r w:rsidRPr="00B04B9A">
        <w:t>in a clinical specimen by detection of antigen or detection of nucleic acid via nucleic acid amplification (e.g., polymerase chain reaction [PCR]) or hybridization with a nucleic acid probe.</w:t>
      </w:r>
    </w:p>
    <w:p w14:paraId="441DAAE6" w14:textId="77777777" w:rsidR="005D1FD3" w:rsidRPr="00B04B9A" w:rsidRDefault="005D1FD3" w:rsidP="009F76C4">
      <w:pPr>
        <w:spacing w:after="120"/>
        <w:rPr>
          <w:color w:val="2F5496" w:themeColor="accent1" w:themeShade="BF"/>
        </w:rPr>
      </w:pPr>
      <w:r w:rsidRPr="00B04B9A">
        <w:rPr>
          <w:b/>
          <w:bCs/>
          <w:color w:val="2F5496" w:themeColor="accent1" w:themeShade="BF"/>
        </w:rPr>
        <w:t>Syphilis</w:t>
      </w:r>
    </w:p>
    <w:p w14:paraId="413203F5" w14:textId="77777777" w:rsidR="005D1FD3" w:rsidRPr="00B04B9A" w:rsidRDefault="005D1FD3" w:rsidP="009F76C4">
      <w:pPr>
        <w:spacing w:after="120"/>
      </w:pPr>
      <w:r w:rsidRPr="00B04B9A">
        <w:t>Syphilis is a complex sexually transmitted disease that has a highly variable clinical course. Adherence to the following surveillance case definitions will facilitate understanding the epidemiology of this disease across the US.</w:t>
      </w:r>
    </w:p>
    <w:p w14:paraId="36CEB601" w14:textId="77777777" w:rsidR="005D1FD3" w:rsidRPr="00B04B9A" w:rsidRDefault="005D1FD3" w:rsidP="009F76C4">
      <w:pPr>
        <w:spacing w:after="120"/>
        <w:rPr>
          <w:color w:val="2F5496" w:themeColor="accent1" w:themeShade="BF"/>
        </w:rPr>
      </w:pPr>
      <w:r w:rsidRPr="00B04B9A">
        <w:rPr>
          <w:b/>
          <w:bCs/>
          <w:color w:val="2F5496" w:themeColor="accent1" w:themeShade="BF"/>
        </w:rPr>
        <w:t>Syphilis, primary (2014)</w:t>
      </w:r>
    </w:p>
    <w:p w14:paraId="332922B3" w14:textId="77777777" w:rsidR="005D1FD3" w:rsidRPr="00B04B9A" w:rsidRDefault="005D1FD3" w:rsidP="009F76C4">
      <w:pPr>
        <w:spacing w:after="120"/>
      </w:pPr>
      <w:r w:rsidRPr="00B04B9A">
        <w:rPr>
          <w:b/>
          <w:bCs/>
          <w:i/>
          <w:iCs/>
        </w:rPr>
        <w:t>Clinical description</w:t>
      </w:r>
    </w:p>
    <w:p w14:paraId="4C24FACD" w14:textId="77777777" w:rsidR="005D1FD3" w:rsidRPr="00B04B9A" w:rsidRDefault="005D1FD3" w:rsidP="009F76C4">
      <w:pPr>
        <w:spacing w:after="120"/>
      </w:pPr>
      <w:r w:rsidRPr="00B04B9A">
        <w:t>A stage of infection with </w:t>
      </w:r>
      <w:r w:rsidRPr="00B04B9A">
        <w:rPr>
          <w:i/>
          <w:iCs/>
        </w:rPr>
        <w:t>Treponema pallidum</w:t>
      </w:r>
      <w:r w:rsidRPr="00B04B9A">
        <w:t> characterized by one or more ulcerative lesions (e.g. chancre), which might differ considerably in clinical appearance.</w:t>
      </w:r>
    </w:p>
    <w:p w14:paraId="41B67924" w14:textId="77777777" w:rsidR="005D1FD3" w:rsidRPr="00B04B9A" w:rsidRDefault="005D1FD3" w:rsidP="009F76C4">
      <w:pPr>
        <w:spacing w:after="120"/>
      </w:pPr>
      <w:r w:rsidRPr="00B04B9A">
        <w:rPr>
          <w:b/>
          <w:bCs/>
          <w:i/>
          <w:iCs/>
        </w:rPr>
        <w:t>Laboratory criteria for diagnosis</w:t>
      </w:r>
    </w:p>
    <w:p w14:paraId="10523EC9" w14:textId="77777777" w:rsidR="005D1FD3" w:rsidRPr="00B04B9A" w:rsidRDefault="005D1FD3" w:rsidP="009F76C4">
      <w:pPr>
        <w:spacing w:after="120"/>
      </w:pPr>
      <w:r w:rsidRPr="00B04B9A">
        <w:t>Demonstration of </w:t>
      </w:r>
      <w:r w:rsidRPr="00B04B9A">
        <w:rPr>
          <w:i/>
          <w:iCs/>
        </w:rPr>
        <w:t>T. pallidum</w:t>
      </w:r>
      <w:r w:rsidRPr="00B04B9A">
        <w:t> in clinical specimens by darkfield microscopy, or by PCR or equivalent direct molecular methods.</w:t>
      </w:r>
    </w:p>
    <w:p w14:paraId="3E3F5D4B" w14:textId="77777777" w:rsidR="005D1FD3" w:rsidRPr="00B04B9A" w:rsidRDefault="005D1FD3" w:rsidP="009F76C4">
      <w:pPr>
        <w:spacing w:after="120"/>
      </w:pPr>
      <w:r w:rsidRPr="00B04B9A">
        <w:rPr>
          <w:b/>
          <w:bCs/>
          <w:i/>
          <w:iCs/>
        </w:rPr>
        <w:t>Case classification</w:t>
      </w:r>
    </w:p>
    <w:p w14:paraId="1FEAC989" w14:textId="77777777" w:rsidR="005D1FD3" w:rsidRPr="00B04B9A" w:rsidRDefault="005D1FD3" w:rsidP="009F76C4">
      <w:pPr>
        <w:spacing w:after="120"/>
      </w:pPr>
      <w:r w:rsidRPr="00B04B9A">
        <w:rPr>
          <w:i/>
          <w:iCs/>
        </w:rPr>
        <w:t>Probable:</w:t>
      </w:r>
      <w:r w:rsidRPr="00B04B9A">
        <w:t> a case that meets the clinical description of primary syphilis with a reactive serologic test (nontreponemal: Venereal Disease Research Laboratory [VDRL], rapid plasma reagin [RPR], or equivalent serologic methods; treponemal: fluorescent treponemal antibody absorbed [FTA-ABS], </w:t>
      </w:r>
      <w:r w:rsidRPr="00B04B9A">
        <w:rPr>
          <w:i/>
          <w:iCs/>
        </w:rPr>
        <w:t>T. pallidum</w:t>
      </w:r>
      <w:r w:rsidRPr="00B04B9A">
        <w:t> particle agglutination [TP-PA], enzyme immunoassay [EIA], chemiluminescence immunoassay [CIA], or equivalent serologic methods). These treponemal tests supersede older testing technologies, including microhemagglutination assay for antibody to </w:t>
      </w:r>
      <w:r w:rsidRPr="00B04B9A">
        <w:rPr>
          <w:i/>
          <w:iCs/>
        </w:rPr>
        <w:t>T. pallidum</w:t>
      </w:r>
      <w:r w:rsidRPr="00B04B9A">
        <w:t> [MHA-TP].</w:t>
      </w:r>
    </w:p>
    <w:p w14:paraId="0D424498" w14:textId="77777777" w:rsidR="005D1FD3" w:rsidRPr="00B04B9A" w:rsidRDefault="005D1FD3" w:rsidP="009F76C4">
      <w:pPr>
        <w:spacing w:after="120"/>
      </w:pPr>
      <w:r w:rsidRPr="00B04B9A">
        <w:rPr>
          <w:i/>
          <w:iCs/>
        </w:rPr>
        <w:lastRenderedPageBreak/>
        <w:t>Confirmed:</w:t>
      </w:r>
      <w:r w:rsidRPr="00B04B9A">
        <w:t> a case that meets the clinical description of primary syphilis that is laboratory confirmed.</w:t>
      </w:r>
    </w:p>
    <w:p w14:paraId="6BCF52ED" w14:textId="77777777" w:rsidR="005D1FD3" w:rsidRPr="00B04B9A" w:rsidRDefault="005D1FD3" w:rsidP="009F76C4">
      <w:pPr>
        <w:spacing w:after="120"/>
        <w:rPr>
          <w:color w:val="2F5496" w:themeColor="accent1" w:themeShade="BF"/>
        </w:rPr>
      </w:pPr>
      <w:r w:rsidRPr="00B04B9A">
        <w:rPr>
          <w:b/>
          <w:bCs/>
          <w:color w:val="2F5496" w:themeColor="accent1" w:themeShade="BF"/>
        </w:rPr>
        <w:t>Syphilis, primary (2018)</w:t>
      </w:r>
    </w:p>
    <w:p w14:paraId="0BAD4370" w14:textId="77777777" w:rsidR="005D1FD3" w:rsidRPr="00B04B9A" w:rsidRDefault="005D1FD3" w:rsidP="009F76C4">
      <w:pPr>
        <w:spacing w:after="120"/>
      </w:pPr>
      <w:r w:rsidRPr="00B04B9A">
        <w:rPr>
          <w:b/>
          <w:bCs/>
          <w:i/>
          <w:iCs/>
        </w:rPr>
        <w:t>Clinical description</w:t>
      </w:r>
    </w:p>
    <w:p w14:paraId="1100E48D" w14:textId="77777777" w:rsidR="005D1FD3" w:rsidRPr="00B04B9A" w:rsidRDefault="005D1FD3" w:rsidP="009F76C4">
      <w:pPr>
        <w:spacing w:after="120"/>
      </w:pPr>
      <w:r w:rsidRPr="00B04B9A">
        <w:t>A stage of infection with </w:t>
      </w:r>
      <w:r w:rsidRPr="00B04B9A">
        <w:rPr>
          <w:i/>
          <w:iCs/>
        </w:rPr>
        <w:t>Treponema pallidum</w:t>
      </w:r>
      <w:r w:rsidRPr="00B04B9A">
        <w:t> characterized by one or more ulcerative lesions (e.g. chancre), which might differ considerably in clinical appearance.</w:t>
      </w:r>
    </w:p>
    <w:p w14:paraId="6A4CA5EC" w14:textId="77777777" w:rsidR="005D1FD3" w:rsidRPr="00B04B9A" w:rsidRDefault="005D1FD3" w:rsidP="009F76C4">
      <w:pPr>
        <w:spacing w:after="120"/>
      </w:pPr>
      <w:r w:rsidRPr="00B04B9A">
        <w:rPr>
          <w:b/>
          <w:bCs/>
          <w:i/>
          <w:iCs/>
        </w:rPr>
        <w:t>Laboratory criteria for diagnosis</w:t>
      </w:r>
    </w:p>
    <w:p w14:paraId="1986517D" w14:textId="77777777" w:rsidR="005D1FD3" w:rsidRPr="00B04B9A" w:rsidRDefault="005D1FD3" w:rsidP="009F76C4">
      <w:pPr>
        <w:spacing w:after="120"/>
      </w:pPr>
      <w:r w:rsidRPr="00B04B9A">
        <w:t>Confirmatory:</w:t>
      </w:r>
    </w:p>
    <w:p w14:paraId="50F0DA76" w14:textId="77777777" w:rsidR="005D1FD3" w:rsidRPr="00B04B9A" w:rsidRDefault="005D1FD3">
      <w:pPr>
        <w:numPr>
          <w:ilvl w:val="0"/>
          <w:numId w:val="19"/>
        </w:numPr>
        <w:spacing w:after="120"/>
      </w:pPr>
      <w:r w:rsidRPr="00B04B9A">
        <w:t>Demonstration of </w:t>
      </w:r>
      <w:r w:rsidRPr="00B04B9A">
        <w:rPr>
          <w:i/>
          <w:iCs/>
        </w:rPr>
        <w:t>T. pallidum</w:t>
      </w:r>
      <w:r w:rsidRPr="00B04B9A">
        <w:t> by darkfield microscopy in a clinical specimen that was not obtained from the oropharynx and is not potentially contaminated by stool, </w:t>
      </w:r>
      <w:r w:rsidRPr="00B04B9A">
        <w:rPr>
          <w:b/>
          <w:bCs/>
        </w:rPr>
        <w:t>OR</w:t>
      </w:r>
    </w:p>
    <w:p w14:paraId="42F9C798" w14:textId="77777777" w:rsidR="005D1FD3" w:rsidRPr="00B04B9A" w:rsidRDefault="005D1FD3">
      <w:pPr>
        <w:numPr>
          <w:ilvl w:val="0"/>
          <w:numId w:val="19"/>
        </w:numPr>
        <w:spacing w:after="120"/>
      </w:pPr>
      <w:r w:rsidRPr="00B04B9A">
        <w:t>Demonstration of </w:t>
      </w:r>
      <w:r w:rsidRPr="00B04B9A">
        <w:rPr>
          <w:i/>
          <w:iCs/>
        </w:rPr>
        <w:t>T. pallidum</w:t>
      </w:r>
      <w:r w:rsidRPr="00B04B9A">
        <w:t> by polymerase chain reaction (PCR) or equivalent direct molecular methods in any clinical specimen.</w:t>
      </w:r>
    </w:p>
    <w:p w14:paraId="036AED30" w14:textId="77777777" w:rsidR="005D1FD3" w:rsidRPr="00B04B9A" w:rsidRDefault="005D1FD3" w:rsidP="009F76C4">
      <w:pPr>
        <w:spacing w:after="120"/>
      </w:pPr>
      <w:r w:rsidRPr="00B04B9A">
        <w:t>Supportive:</w:t>
      </w:r>
    </w:p>
    <w:p w14:paraId="3819EB2F" w14:textId="762AB3E4" w:rsidR="005D1FD3" w:rsidRPr="00B04B9A" w:rsidRDefault="005D1FD3">
      <w:pPr>
        <w:numPr>
          <w:ilvl w:val="0"/>
          <w:numId w:val="20"/>
        </w:numPr>
        <w:spacing w:after="120"/>
      </w:pPr>
      <w:r w:rsidRPr="00B04B9A">
        <w:t>A reactive nontreponemal serologic test VDRL</w:t>
      </w:r>
      <w:r w:rsidR="00C44482" w:rsidRPr="00B04B9A">
        <w:t xml:space="preserve">, </w:t>
      </w:r>
      <w:r w:rsidRPr="00B04B9A">
        <w:t>RPR, or equivalent serologic methods), </w:t>
      </w:r>
      <w:r w:rsidRPr="00B04B9A">
        <w:rPr>
          <w:b/>
          <w:bCs/>
        </w:rPr>
        <w:t>OR</w:t>
      </w:r>
    </w:p>
    <w:p w14:paraId="55602C03" w14:textId="69B1E707" w:rsidR="005D1FD3" w:rsidRPr="00B04B9A" w:rsidRDefault="005D1FD3">
      <w:pPr>
        <w:numPr>
          <w:ilvl w:val="0"/>
          <w:numId w:val="20"/>
        </w:numPr>
        <w:spacing w:after="120"/>
      </w:pPr>
      <w:r w:rsidRPr="00B04B9A">
        <w:t>A reactive treponemal serologic test (TP-PA</w:t>
      </w:r>
      <w:r w:rsidR="00C44482" w:rsidRPr="00B04B9A">
        <w:t xml:space="preserve">, </w:t>
      </w:r>
      <w:r w:rsidRPr="00B04B9A">
        <w:t>EIA</w:t>
      </w:r>
      <w:r w:rsidR="00C44482" w:rsidRPr="00B04B9A">
        <w:t xml:space="preserve">, </w:t>
      </w:r>
      <w:r w:rsidRPr="00B04B9A">
        <w:t>CIA], or equivalent serologic methods).*</w:t>
      </w:r>
    </w:p>
    <w:p w14:paraId="658542EF" w14:textId="627F525E" w:rsidR="005D1FD3" w:rsidRPr="00B04B9A" w:rsidRDefault="005D1FD3" w:rsidP="009F76C4">
      <w:pPr>
        <w:spacing w:after="120"/>
      </w:pPr>
      <w:r w:rsidRPr="00B04B9A">
        <w:t>* These treponemal tests supersede older testing technologies, including MHA-TP.</w:t>
      </w:r>
    </w:p>
    <w:p w14:paraId="4465AE7B" w14:textId="77777777" w:rsidR="005D1FD3" w:rsidRPr="00B04B9A" w:rsidRDefault="005D1FD3" w:rsidP="009F76C4">
      <w:pPr>
        <w:spacing w:after="120"/>
      </w:pPr>
      <w:r w:rsidRPr="00B04B9A">
        <w:rPr>
          <w:b/>
          <w:bCs/>
          <w:i/>
          <w:iCs/>
        </w:rPr>
        <w:t>Case classification</w:t>
      </w:r>
    </w:p>
    <w:p w14:paraId="0BE36E7E" w14:textId="77777777" w:rsidR="005D1FD3" w:rsidRPr="00B04B9A" w:rsidRDefault="005D1FD3" w:rsidP="009F76C4">
      <w:pPr>
        <w:spacing w:after="120"/>
      </w:pPr>
      <w:r w:rsidRPr="00B04B9A">
        <w:rPr>
          <w:i/>
          <w:iCs/>
        </w:rPr>
        <w:t>Probable:</w:t>
      </w:r>
      <w:r w:rsidRPr="00B04B9A">
        <w:rPr>
          <w:b/>
          <w:bCs/>
        </w:rPr>
        <w:t xml:space="preserve"> </w:t>
      </w:r>
      <w:r w:rsidRPr="00B04B9A">
        <w:t>A case that meets the clinical description of primary syphilis and the supportive laboratory criteria.</w:t>
      </w:r>
    </w:p>
    <w:p w14:paraId="2F128807" w14:textId="77777777" w:rsidR="005D1FD3" w:rsidRPr="00B04B9A" w:rsidRDefault="005D1FD3" w:rsidP="009F76C4">
      <w:pPr>
        <w:spacing w:after="120"/>
      </w:pPr>
      <w:r w:rsidRPr="00B04B9A">
        <w:rPr>
          <w:i/>
          <w:iCs/>
        </w:rPr>
        <w:t xml:space="preserve">Confirmed: </w:t>
      </w:r>
      <w:r w:rsidRPr="00B04B9A">
        <w:t>A case that meets the clinical description of primary syphilis and the confirmatory laboratory criteria.</w:t>
      </w:r>
    </w:p>
    <w:p w14:paraId="74F94D7B" w14:textId="77777777" w:rsidR="005D1FD3" w:rsidRPr="00B04B9A" w:rsidRDefault="005D1FD3" w:rsidP="009F76C4">
      <w:pPr>
        <w:spacing w:after="120"/>
        <w:rPr>
          <w:color w:val="2F5496" w:themeColor="accent1" w:themeShade="BF"/>
        </w:rPr>
      </w:pPr>
      <w:r w:rsidRPr="00B04B9A">
        <w:rPr>
          <w:b/>
          <w:bCs/>
          <w:color w:val="2F5496" w:themeColor="accent1" w:themeShade="BF"/>
        </w:rPr>
        <w:t>Syphilis, secondary (2014)</w:t>
      </w:r>
    </w:p>
    <w:p w14:paraId="1B1E58D4" w14:textId="77777777" w:rsidR="005D1FD3" w:rsidRPr="00B04B9A" w:rsidRDefault="005D1FD3" w:rsidP="009F76C4">
      <w:pPr>
        <w:spacing w:after="120"/>
      </w:pPr>
      <w:r w:rsidRPr="00B04B9A">
        <w:rPr>
          <w:b/>
          <w:bCs/>
          <w:i/>
          <w:iCs/>
        </w:rPr>
        <w:t>Clinical description</w:t>
      </w:r>
    </w:p>
    <w:p w14:paraId="76427B47" w14:textId="77777777" w:rsidR="005D1FD3" w:rsidRPr="00B04B9A" w:rsidRDefault="005D1FD3" w:rsidP="009F76C4">
      <w:pPr>
        <w:spacing w:after="120"/>
      </w:pPr>
      <w:r w:rsidRPr="00B04B9A">
        <w:t>A stage of infection caused by </w:t>
      </w:r>
      <w:r w:rsidRPr="00B04B9A">
        <w:rPr>
          <w:i/>
          <w:iCs/>
        </w:rPr>
        <w:t>T. pallidum</w:t>
      </w:r>
      <w:r w:rsidRPr="00B04B9A">
        <w:t> characterized by localized or diffuse mucocutaneous lesions (e.g., rash – such as non-pruritic macular, maculopapular, popular, or pustular lesions), often with generalized lymphadenopathy. Other symptoms can include mucous patches, condyloma lata, and alopecia. The primary ulcerative lesion may still be present. Because of the wide array of symptoms possibly indicating secondary syphilis, serologic tests for syphilis and a thorough sexual history and physical examination are crucial to determining if a case should be classified as secondary syphilis.</w:t>
      </w:r>
    </w:p>
    <w:p w14:paraId="6F8050D2" w14:textId="77777777" w:rsidR="005D1FD3" w:rsidRPr="00B04B9A" w:rsidRDefault="005D1FD3" w:rsidP="009F76C4">
      <w:pPr>
        <w:spacing w:after="120"/>
      </w:pPr>
      <w:r w:rsidRPr="00B04B9A">
        <w:rPr>
          <w:b/>
          <w:bCs/>
          <w:i/>
          <w:iCs/>
        </w:rPr>
        <w:t>Laboratory criteria for diagnosis</w:t>
      </w:r>
    </w:p>
    <w:p w14:paraId="28A97636" w14:textId="77777777" w:rsidR="005D1FD3" w:rsidRPr="00B04B9A" w:rsidRDefault="005D1FD3" w:rsidP="009F76C4">
      <w:pPr>
        <w:spacing w:after="120"/>
      </w:pPr>
      <w:r w:rsidRPr="00B04B9A">
        <w:t>Demonstration of </w:t>
      </w:r>
      <w:r w:rsidRPr="00B04B9A">
        <w:rPr>
          <w:i/>
          <w:iCs/>
        </w:rPr>
        <w:t>T. pallidum</w:t>
      </w:r>
      <w:r w:rsidRPr="00B04B9A">
        <w:t> in clinical specimens by darkfield microscopy, or by PCR or equivalent direct molecular methods.</w:t>
      </w:r>
    </w:p>
    <w:p w14:paraId="1584641C" w14:textId="77777777" w:rsidR="005D1FD3" w:rsidRPr="00B04B9A" w:rsidRDefault="005D1FD3" w:rsidP="009F76C4">
      <w:pPr>
        <w:spacing w:after="120"/>
      </w:pPr>
      <w:r w:rsidRPr="00B04B9A">
        <w:rPr>
          <w:b/>
          <w:bCs/>
          <w:i/>
          <w:iCs/>
        </w:rPr>
        <w:t>Case classification</w:t>
      </w:r>
    </w:p>
    <w:p w14:paraId="13014EC8" w14:textId="77777777" w:rsidR="005D1FD3" w:rsidRPr="00B04B9A" w:rsidRDefault="005D1FD3" w:rsidP="009F76C4">
      <w:pPr>
        <w:spacing w:after="120"/>
      </w:pPr>
      <w:r w:rsidRPr="00B04B9A">
        <w:rPr>
          <w:i/>
          <w:iCs/>
        </w:rPr>
        <w:t>Probable:</w:t>
      </w:r>
      <w:r w:rsidRPr="00B04B9A">
        <w:t> a case that meets the clinical description of secondary syphilis with a nontreponemal (VDRL, RPR, or equivalent serologic methods) titer ≥4 and a reactive treponemal test (FTA-ABS, TP-PA, EIA, CIA, or equivalent serologic methods).</w:t>
      </w:r>
    </w:p>
    <w:p w14:paraId="34380282" w14:textId="77777777" w:rsidR="005D1FD3" w:rsidRPr="00B04B9A" w:rsidRDefault="005D1FD3" w:rsidP="009F76C4">
      <w:pPr>
        <w:spacing w:after="120"/>
      </w:pPr>
      <w:r w:rsidRPr="00B04B9A">
        <w:rPr>
          <w:i/>
          <w:iCs/>
        </w:rPr>
        <w:lastRenderedPageBreak/>
        <w:t>Confirmed:</w:t>
      </w:r>
      <w:r w:rsidRPr="00B04B9A">
        <w:t> a case that meets the clinical description of secondary syphilis (with at least one sign or symptom) that is laboratory confirmed.</w:t>
      </w:r>
    </w:p>
    <w:p w14:paraId="63C50360" w14:textId="77777777" w:rsidR="005D1FD3" w:rsidRPr="00B04B9A" w:rsidRDefault="005D1FD3" w:rsidP="009F76C4">
      <w:pPr>
        <w:spacing w:after="120"/>
        <w:rPr>
          <w:color w:val="2F5496" w:themeColor="accent1" w:themeShade="BF"/>
        </w:rPr>
      </w:pPr>
      <w:r w:rsidRPr="00B04B9A">
        <w:rPr>
          <w:b/>
          <w:bCs/>
          <w:color w:val="2F5496" w:themeColor="accent1" w:themeShade="BF"/>
        </w:rPr>
        <w:t>Syphilis, secondary (2018)</w:t>
      </w:r>
    </w:p>
    <w:p w14:paraId="181F6506" w14:textId="77777777" w:rsidR="005D1FD3" w:rsidRPr="00B04B9A" w:rsidRDefault="005D1FD3" w:rsidP="009F76C4">
      <w:pPr>
        <w:spacing w:after="120"/>
      </w:pPr>
      <w:r w:rsidRPr="00B04B9A">
        <w:rPr>
          <w:b/>
          <w:bCs/>
          <w:i/>
          <w:iCs/>
        </w:rPr>
        <w:t>Clinical description</w:t>
      </w:r>
    </w:p>
    <w:p w14:paraId="07736748" w14:textId="77777777" w:rsidR="005D1FD3" w:rsidRPr="00B04B9A" w:rsidRDefault="005D1FD3" w:rsidP="009F76C4">
      <w:pPr>
        <w:spacing w:after="120"/>
      </w:pPr>
      <w:r w:rsidRPr="00B04B9A">
        <w:t>A stage of infection caused by </w:t>
      </w:r>
      <w:r w:rsidRPr="00B04B9A">
        <w:rPr>
          <w:i/>
          <w:iCs/>
        </w:rPr>
        <w:t>T. pallidum</w:t>
      </w:r>
      <w:r w:rsidRPr="00B04B9A">
        <w:t> characterized by localized or diffuse mucocutaneous lesions (e.g., rash – such as non-pruritic macular, maculopapular, papular, or pustular lesions), often with generalized lymphadenopathy. Other signs can include mucous patches, condyloma lata, and alopecia. The primary ulcerative lesion may still be present.*</w:t>
      </w:r>
    </w:p>
    <w:p w14:paraId="714DEF4C" w14:textId="77777777" w:rsidR="005D1FD3" w:rsidRPr="00B04B9A" w:rsidRDefault="005D1FD3" w:rsidP="009F76C4">
      <w:pPr>
        <w:spacing w:after="120"/>
      </w:pPr>
      <w:r w:rsidRPr="00B04B9A">
        <w:t>*Because of the wide array of symptoms and signs possibly indicating secondary syphilis, serologic tests for syphilis and a physical examination are crucial to determining if a case should be classified as secondary syphilis.</w:t>
      </w:r>
    </w:p>
    <w:p w14:paraId="55E23503" w14:textId="77777777" w:rsidR="005D1FD3" w:rsidRPr="00B04B9A" w:rsidRDefault="005D1FD3" w:rsidP="009F76C4">
      <w:pPr>
        <w:spacing w:after="120"/>
      </w:pPr>
      <w:r w:rsidRPr="00B04B9A">
        <w:rPr>
          <w:b/>
          <w:bCs/>
          <w:i/>
          <w:iCs/>
        </w:rPr>
        <w:t>Laboratory criteria for diagnosis</w:t>
      </w:r>
    </w:p>
    <w:p w14:paraId="62189E69" w14:textId="77777777" w:rsidR="005D1FD3" w:rsidRPr="00B04B9A" w:rsidRDefault="005D1FD3" w:rsidP="009F76C4">
      <w:pPr>
        <w:spacing w:after="120"/>
      </w:pPr>
      <w:r w:rsidRPr="00B04B9A">
        <w:t>Confirmatory:</w:t>
      </w:r>
    </w:p>
    <w:p w14:paraId="658218AE" w14:textId="77777777" w:rsidR="005D1FD3" w:rsidRPr="00B04B9A" w:rsidRDefault="005D1FD3">
      <w:pPr>
        <w:numPr>
          <w:ilvl w:val="0"/>
          <w:numId w:val="21"/>
        </w:numPr>
        <w:spacing w:after="120"/>
      </w:pPr>
      <w:r w:rsidRPr="00B04B9A">
        <w:t>Demonstration of </w:t>
      </w:r>
      <w:r w:rsidRPr="00B04B9A">
        <w:rPr>
          <w:i/>
          <w:iCs/>
        </w:rPr>
        <w:t>T. pallidum</w:t>
      </w:r>
      <w:r w:rsidRPr="00B04B9A">
        <w:t> by darkfield microscopy in a clinical specimen that was not obtained from the oropharynx and is not potentially contaminated by stool, </w:t>
      </w:r>
      <w:r w:rsidRPr="00B04B9A">
        <w:rPr>
          <w:b/>
          <w:bCs/>
        </w:rPr>
        <w:t>OR</w:t>
      </w:r>
    </w:p>
    <w:p w14:paraId="4AF9B2B0" w14:textId="77777777" w:rsidR="005D1FD3" w:rsidRPr="00B04B9A" w:rsidRDefault="005D1FD3">
      <w:pPr>
        <w:numPr>
          <w:ilvl w:val="0"/>
          <w:numId w:val="21"/>
        </w:numPr>
        <w:spacing w:after="120"/>
      </w:pPr>
      <w:r w:rsidRPr="00B04B9A">
        <w:t>Demonstration of </w:t>
      </w:r>
      <w:r w:rsidRPr="00B04B9A">
        <w:rPr>
          <w:i/>
          <w:iCs/>
        </w:rPr>
        <w:t>T. pallidum</w:t>
      </w:r>
      <w:r w:rsidRPr="00B04B9A">
        <w:t> by polymerase chain reaction (PCR) or equivalent direct molecular methods in any clinical specimen.</w:t>
      </w:r>
    </w:p>
    <w:p w14:paraId="6848DDDB" w14:textId="77777777" w:rsidR="005D1FD3" w:rsidRPr="00B04B9A" w:rsidRDefault="005D1FD3" w:rsidP="009F76C4">
      <w:pPr>
        <w:spacing w:after="120"/>
      </w:pPr>
      <w:r w:rsidRPr="00B04B9A">
        <w:t>Supportive:</w:t>
      </w:r>
    </w:p>
    <w:p w14:paraId="4E74052E" w14:textId="4C54B518" w:rsidR="005D1FD3" w:rsidRPr="00B04B9A" w:rsidRDefault="005D1FD3">
      <w:pPr>
        <w:numPr>
          <w:ilvl w:val="0"/>
          <w:numId w:val="22"/>
        </w:numPr>
        <w:spacing w:after="120"/>
      </w:pPr>
      <w:r w:rsidRPr="00B04B9A">
        <w:t>A reactive nontreponemal serologic test VDRL</w:t>
      </w:r>
      <w:r w:rsidR="00C44482" w:rsidRPr="00B04B9A">
        <w:t xml:space="preserve">, </w:t>
      </w:r>
      <w:r w:rsidRPr="00B04B9A">
        <w:t>RPR, or equivalent serologic methods), </w:t>
      </w:r>
      <w:r w:rsidRPr="00B04B9A">
        <w:rPr>
          <w:b/>
          <w:bCs/>
        </w:rPr>
        <w:t>AND</w:t>
      </w:r>
    </w:p>
    <w:p w14:paraId="53F7A1C2" w14:textId="090E487B" w:rsidR="005D1FD3" w:rsidRPr="00B04B9A" w:rsidRDefault="005D1FD3">
      <w:pPr>
        <w:numPr>
          <w:ilvl w:val="0"/>
          <w:numId w:val="22"/>
        </w:numPr>
        <w:spacing w:after="120"/>
      </w:pPr>
      <w:r w:rsidRPr="00B04B9A">
        <w:t>A reactive treponemal serologic test (TP-PA</w:t>
      </w:r>
      <w:r w:rsidR="00AC0D52" w:rsidRPr="00B04B9A">
        <w:t xml:space="preserve">, </w:t>
      </w:r>
      <w:r w:rsidRPr="00B04B9A">
        <w:t>EIA], CIA, or equivalent serologic methods).</w:t>
      </w:r>
    </w:p>
    <w:p w14:paraId="5E056678" w14:textId="77777777" w:rsidR="005D1FD3" w:rsidRPr="00B04B9A" w:rsidRDefault="005D1FD3" w:rsidP="009F76C4">
      <w:pPr>
        <w:spacing w:after="120"/>
      </w:pPr>
      <w:r w:rsidRPr="00B04B9A">
        <w:rPr>
          <w:b/>
          <w:bCs/>
          <w:i/>
          <w:iCs/>
        </w:rPr>
        <w:t>Case classification</w:t>
      </w:r>
    </w:p>
    <w:p w14:paraId="1038DF04" w14:textId="77777777" w:rsidR="005D1FD3" w:rsidRPr="00B04B9A" w:rsidRDefault="005D1FD3" w:rsidP="009F76C4">
      <w:pPr>
        <w:spacing w:after="120"/>
      </w:pPr>
      <w:r w:rsidRPr="00B04B9A">
        <w:rPr>
          <w:i/>
          <w:iCs/>
        </w:rPr>
        <w:t>Probable:</w:t>
      </w:r>
      <w:r w:rsidRPr="00B04B9A">
        <w:t> A case that meets the clinical description of secondary syphilis and the supportive laboratory criteria.</w:t>
      </w:r>
    </w:p>
    <w:p w14:paraId="70D052A0" w14:textId="77777777" w:rsidR="005D1FD3" w:rsidRPr="00B04B9A" w:rsidRDefault="005D1FD3" w:rsidP="009F76C4">
      <w:pPr>
        <w:spacing w:after="120"/>
      </w:pPr>
      <w:r w:rsidRPr="00B04B9A">
        <w:rPr>
          <w:i/>
          <w:iCs/>
        </w:rPr>
        <w:t>Confirmed:</w:t>
      </w:r>
      <w:r w:rsidRPr="00B04B9A">
        <w:t> A case that meets the clinical description of secondary syphilis and the confirmatory laboratory criteria.</w:t>
      </w:r>
    </w:p>
    <w:p w14:paraId="321F609F" w14:textId="77777777" w:rsidR="005D1FD3" w:rsidRPr="00B04B9A" w:rsidRDefault="005D1FD3" w:rsidP="009F76C4">
      <w:pPr>
        <w:spacing w:after="120"/>
        <w:rPr>
          <w:color w:val="2F5496" w:themeColor="accent1" w:themeShade="BF"/>
        </w:rPr>
      </w:pPr>
      <w:r w:rsidRPr="00B04B9A">
        <w:rPr>
          <w:b/>
          <w:bCs/>
          <w:color w:val="2F5496" w:themeColor="accent1" w:themeShade="BF"/>
        </w:rPr>
        <w:t>Syphilis, early latent (2014)</w:t>
      </w:r>
    </w:p>
    <w:p w14:paraId="78CA911F" w14:textId="77777777" w:rsidR="005D1FD3" w:rsidRPr="00B04B9A" w:rsidRDefault="005D1FD3" w:rsidP="009F76C4">
      <w:pPr>
        <w:spacing w:after="120"/>
      </w:pPr>
      <w:r w:rsidRPr="00B04B9A">
        <w:rPr>
          <w:b/>
          <w:bCs/>
          <w:i/>
          <w:iCs/>
        </w:rPr>
        <w:t>Clinical description</w:t>
      </w:r>
    </w:p>
    <w:p w14:paraId="0E2E388B" w14:textId="77777777" w:rsidR="005D1FD3" w:rsidRPr="00B04B9A" w:rsidRDefault="005D1FD3" w:rsidP="009F76C4">
      <w:pPr>
        <w:spacing w:after="120"/>
      </w:pPr>
      <w:r w:rsidRPr="00B04B9A">
        <w:t>A subcategory of latent syphilis (a stage of infection caused by </w:t>
      </w:r>
      <w:r w:rsidRPr="00B04B9A">
        <w:rPr>
          <w:i/>
          <w:iCs/>
        </w:rPr>
        <w:t>T. pallidum</w:t>
      </w:r>
      <w:r w:rsidRPr="00B04B9A">
        <w:t> in which organisms persist in the body of the infected person without causing symptoms or signs) when initial infection has occurred within the previous 12 months.</w:t>
      </w:r>
    </w:p>
    <w:p w14:paraId="1E3BDDBA" w14:textId="77777777" w:rsidR="005D1FD3" w:rsidRPr="00B04B9A" w:rsidRDefault="005D1FD3" w:rsidP="009F76C4">
      <w:pPr>
        <w:spacing w:after="120"/>
      </w:pPr>
      <w:r w:rsidRPr="00B04B9A">
        <w:rPr>
          <w:b/>
          <w:bCs/>
          <w:i/>
          <w:iCs/>
        </w:rPr>
        <w:t>Case classification</w:t>
      </w:r>
    </w:p>
    <w:p w14:paraId="79B5E901" w14:textId="77777777" w:rsidR="005D1FD3" w:rsidRPr="00B04B9A" w:rsidRDefault="005D1FD3" w:rsidP="009F76C4">
      <w:pPr>
        <w:spacing w:after="120"/>
      </w:pPr>
      <w:r w:rsidRPr="00B04B9A">
        <w:rPr>
          <w:i/>
          <w:iCs/>
        </w:rPr>
        <w:t>Probable</w:t>
      </w:r>
      <w:r w:rsidRPr="00B04B9A">
        <w:t>: A person with no clinical signs or symptoms of syphilis who has one of the following:</w:t>
      </w:r>
    </w:p>
    <w:p w14:paraId="52B8D3A8" w14:textId="77777777" w:rsidR="005D1FD3" w:rsidRPr="00B04B9A" w:rsidRDefault="005D1FD3">
      <w:pPr>
        <w:numPr>
          <w:ilvl w:val="0"/>
          <w:numId w:val="23"/>
        </w:numPr>
        <w:spacing w:after="120"/>
      </w:pPr>
      <w:r w:rsidRPr="00B04B9A">
        <w:t>No past diagnosis of syphilis, and a reactive nontreponemal test (e.g., VDRL, RPR, or equivalent serologic methods), and a reactive treponemal test (e.g., FTA-ABS, TP-PA, EIA, CIA, or equivalent serologic methods), or</w:t>
      </w:r>
    </w:p>
    <w:p w14:paraId="179CBD75" w14:textId="77777777" w:rsidR="005D1FD3" w:rsidRPr="00B04B9A" w:rsidRDefault="005D1FD3">
      <w:pPr>
        <w:numPr>
          <w:ilvl w:val="0"/>
          <w:numId w:val="23"/>
        </w:numPr>
        <w:spacing w:after="120"/>
      </w:pPr>
      <w:r w:rsidRPr="00B04B9A">
        <w:t>A current nontreponemal test titer demonstrating fourfold or greater increase from the last nontreponemal test titer</w:t>
      </w:r>
    </w:p>
    <w:p w14:paraId="731CFAC8" w14:textId="77777777" w:rsidR="005D1FD3" w:rsidRPr="00B04B9A" w:rsidRDefault="005D1FD3" w:rsidP="009F76C4">
      <w:pPr>
        <w:spacing w:after="120"/>
      </w:pPr>
      <w:r w:rsidRPr="00B04B9A">
        <w:lastRenderedPageBreak/>
        <w:t>AND evidence of having acquired the infection within the previous 12 months based on one or more of the following criteria:</w:t>
      </w:r>
    </w:p>
    <w:p w14:paraId="39CDBD39" w14:textId="77777777" w:rsidR="005D1FD3" w:rsidRPr="00B04B9A" w:rsidRDefault="005D1FD3">
      <w:pPr>
        <w:numPr>
          <w:ilvl w:val="0"/>
          <w:numId w:val="24"/>
        </w:numPr>
        <w:spacing w:after="120"/>
      </w:pPr>
      <w:r w:rsidRPr="00B04B9A">
        <w:t>Documented seroconversion or fourfold or greater increase in titer of a nontreponemal test during the previous 12 months</w:t>
      </w:r>
    </w:p>
    <w:p w14:paraId="24E10335" w14:textId="77777777" w:rsidR="005D1FD3" w:rsidRPr="00B04B9A" w:rsidRDefault="005D1FD3">
      <w:pPr>
        <w:numPr>
          <w:ilvl w:val="0"/>
          <w:numId w:val="24"/>
        </w:numPr>
        <w:spacing w:after="120"/>
      </w:pPr>
      <w:r w:rsidRPr="00B04B9A">
        <w:t>Documented seroconversion of a treponemal test during the previous 12 months</w:t>
      </w:r>
    </w:p>
    <w:p w14:paraId="6744D760" w14:textId="77777777" w:rsidR="005D1FD3" w:rsidRPr="00B04B9A" w:rsidRDefault="005D1FD3">
      <w:pPr>
        <w:numPr>
          <w:ilvl w:val="0"/>
          <w:numId w:val="24"/>
        </w:numPr>
        <w:spacing w:after="120"/>
      </w:pPr>
      <w:r w:rsidRPr="00B04B9A">
        <w:t>A history of symptoms consistent with primary or secondary syphilis during the previous 12 months</w:t>
      </w:r>
    </w:p>
    <w:p w14:paraId="570776E2" w14:textId="77777777" w:rsidR="005D1FD3" w:rsidRPr="00B04B9A" w:rsidRDefault="005D1FD3">
      <w:pPr>
        <w:numPr>
          <w:ilvl w:val="0"/>
          <w:numId w:val="24"/>
        </w:numPr>
        <w:spacing w:after="120"/>
      </w:pPr>
      <w:r w:rsidRPr="00B04B9A">
        <w:t>A history of sexual exposure to a partner within the previous 12 months who had primary, secondary, or early latent syphilis (documented independently as duration &lt;12 months)</w:t>
      </w:r>
    </w:p>
    <w:p w14:paraId="5468A35A" w14:textId="77777777" w:rsidR="005D1FD3" w:rsidRPr="00B04B9A" w:rsidRDefault="005D1FD3">
      <w:pPr>
        <w:numPr>
          <w:ilvl w:val="0"/>
          <w:numId w:val="24"/>
        </w:numPr>
        <w:spacing w:after="120"/>
      </w:pPr>
      <w:r w:rsidRPr="00B04B9A">
        <w:t>Only sexual contact was within the last 12 months (sexual debut).</w:t>
      </w:r>
    </w:p>
    <w:p w14:paraId="4D4F9913" w14:textId="77777777" w:rsidR="005D1FD3" w:rsidRPr="00B04B9A" w:rsidRDefault="005D1FD3" w:rsidP="009F76C4">
      <w:pPr>
        <w:spacing w:after="120"/>
      </w:pPr>
      <w:r w:rsidRPr="00B04B9A">
        <w:t>There is no confirmed case classification for early latent syphilis.</w:t>
      </w:r>
    </w:p>
    <w:p w14:paraId="01B03E88" w14:textId="77777777" w:rsidR="005D1FD3" w:rsidRPr="00B04B9A" w:rsidRDefault="005D1FD3" w:rsidP="009F76C4">
      <w:pPr>
        <w:spacing w:after="120"/>
        <w:rPr>
          <w:color w:val="2F5496" w:themeColor="accent1" w:themeShade="BF"/>
        </w:rPr>
      </w:pPr>
      <w:r w:rsidRPr="00B04B9A">
        <w:rPr>
          <w:b/>
          <w:bCs/>
          <w:color w:val="2F5496" w:themeColor="accent1" w:themeShade="BF"/>
        </w:rPr>
        <w:t>Syphilis, early non-primary non-secondary (2018)</w:t>
      </w:r>
    </w:p>
    <w:p w14:paraId="615B859A" w14:textId="77777777" w:rsidR="005D1FD3" w:rsidRPr="00B04B9A" w:rsidRDefault="005D1FD3" w:rsidP="009F76C4">
      <w:pPr>
        <w:spacing w:after="120"/>
      </w:pPr>
      <w:r w:rsidRPr="00B04B9A">
        <w:rPr>
          <w:b/>
          <w:bCs/>
          <w:i/>
          <w:iCs/>
        </w:rPr>
        <w:t>Clinical description</w:t>
      </w:r>
    </w:p>
    <w:p w14:paraId="0F214682" w14:textId="77777777" w:rsidR="005D1FD3" w:rsidRPr="00B04B9A" w:rsidRDefault="005D1FD3" w:rsidP="009F76C4">
      <w:pPr>
        <w:spacing w:after="120"/>
      </w:pPr>
      <w:r w:rsidRPr="00B04B9A">
        <w:t>A stage of infection caused by </w:t>
      </w:r>
      <w:r w:rsidRPr="00B04B9A">
        <w:rPr>
          <w:i/>
          <w:iCs/>
        </w:rPr>
        <w:t>T. pallidum</w:t>
      </w:r>
      <w:r w:rsidRPr="00B04B9A">
        <w:t> in which initial infection has occurred within the previous 12 months, but there are no signs or symptoms of primary or secondary syphilis.</w:t>
      </w:r>
    </w:p>
    <w:p w14:paraId="0A9AA061" w14:textId="77777777" w:rsidR="005D1FD3" w:rsidRPr="00B04B9A" w:rsidRDefault="005D1FD3" w:rsidP="009F76C4">
      <w:pPr>
        <w:spacing w:after="120"/>
      </w:pPr>
      <w:r w:rsidRPr="00B04B9A">
        <w:rPr>
          <w:b/>
          <w:bCs/>
          <w:i/>
          <w:iCs/>
        </w:rPr>
        <w:t>Laboratory criteria for diagnosis</w:t>
      </w:r>
    </w:p>
    <w:p w14:paraId="690750B9" w14:textId="77777777" w:rsidR="005D1FD3" w:rsidRPr="00B04B9A" w:rsidRDefault="005D1FD3" w:rsidP="009F76C4">
      <w:pPr>
        <w:spacing w:after="120"/>
      </w:pPr>
      <w:r w:rsidRPr="00B04B9A">
        <w:t>Supportive:</w:t>
      </w:r>
    </w:p>
    <w:p w14:paraId="58B0BED8" w14:textId="77777777" w:rsidR="005D1FD3" w:rsidRPr="00B04B9A" w:rsidRDefault="005D1FD3">
      <w:pPr>
        <w:numPr>
          <w:ilvl w:val="0"/>
          <w:numId w:val="25"/>
        </w:numPr>
        <w:spacing w:after="120"/>
      </w:pPr>
      <w:r w:rsidRPr="00B04B9A">
        <w:t>A current nontreponemal test titer demonstrating fourfold or greater increase from the last nontreponemal test titer, unless there is evidence that this increase was not sustained for &gt;2 weeks.</w:t>
      </w:r>
    </w:p>
    <w:p w14:paraId="7F3C6B2D" w14:textId="77777777" w:rsidR="005D1FD3" w:rsidRPr="00B04B9A" w:rsidRDefault="005D1FD3" w:rsidP="009F76C4">
      <w:pPr>
        <w:spacing w:after="120"/>
      </w:pPr>
      <w:r w:rsidRPr="00B04B9A">
        <w:rPr>
          <w:b/>
          <w:bCs/>
          <w:i/>
          <w:iCs/>
        </w:rPr>
        <w:t>Case classification</w:t>
      </w:r>
    </w:p>
    <w:p w14:paraId="4BE88892" w14:textId="77777777" w:rsidR="005D1FD3" w:rsidRPr="00B04B9A" w:rsidRDefault="005D1FD3" w:rsidP="009F76C4">
      <w:pPr>
        <w:spacing w:after="120"/>
      </w:pPr>
      <w:r w:rsidRPr="00B04B9A">
        <w:rPr>
          <w:b/>
          <w:bCs/>
        </w:rPr>
        <w:t>Probable</w:t>
      </w:r>
    </w:p>
    <w:p w14:paraId="32CC202F" w14:textId="77777777" w:rsidR="005D1FD3" w:rsidRPr="00B04B9A" w:rsidRDefault="005D1FD3">
      <w:pPr>
        <w:numPr>
          <w:ilvl w:val="0"/>
          <w:numId w:val="26"/>
        </w:numPr>
        <w:spacing w:after="120"/>
      </w:pPr>
      <w:r w:rsidRPr="00B04B9A">
        <w:t>A person with no clinical signs or symptoms of primary or secondary syphilis who has one of the following:</w:t>
      </w:r>
    </w:p>
    <w:p w14:paraId="5BFB6811" w14:textId="77777777" w:rsidR="005D1FD3" w:rsidRPr="00B04B9A" w:rsidRDefault="005D1FD3">
      <w:pPr>
        <w:numPr>
          <w:ilvl w:val="0"/>
          <w:numId w:val="26"/>
        </w:numPr>
        <w:spacing w:after="120"/>
      </w:pPr>
      <w:r w:rsidRPr="00B04B9A">
        <w:t>No prior history of syphilis, </w:t>
      </w:r>
      <w:r w:rsidRPr="00B04B9A">
        <w:rPr>
          <w:b/>
          <w:bCs/>
        </w:rPr>
        <w:t>AND</w:t>
      </w:r>
      <w:r w:rsidRPr="00B04B9A">
        <w:t> a current reactive nontreponemal test (e.g., VDRL, RPR, or equivalent serologic methods), </w:t>
      </w:r>
      <w:r w:rsidRPr="00B04B9A">
        <w:rPr>
          <w:b/>
          <w:bCs/>
        </w:rPr>
        <w:t>AND</w:t>
      </w:r>
      <w:r w:rsidRPr="00B04B9A">
        <w:t> a current reactive treponemal test (e.g., TP-PA, EIA, CIA, or equivalent serologic methods), </w:t>
      </w:r>
      <w:r w:rsidRPr="00B04B9A">
        <w:rPr>
          <w:b/>
          <w:bCs/>
        </w:rPr>
        <w:t>OR</w:t>
      </w:r>
    </w:p>
    <w:p w14:paraId="56D42878" w14:textId="77777777" w:rsidR="005D1FD3" w:rsidRPr="00B04B9A" w:rsidRDefault="005D1FD3">
      <w:pPr>
        <w:numPr>
          <w:ilvl w:val="0"/>
          <w:numId w:val="26"/>
        </w:numPr>
        <w:spacing w:after="120"/>
      </w:pPr>
      <w:r w:rsidRPr="00B04B9A">
        <w:t>A prior history of syphilis and meets the supportive laboratory criteria.</w:t>
      </w:r>
    </w:p>
    <w:p w14:paraId="24216AB2" w14:textId="77777777" w:rsidR="005D1FD3" w:rsidRPr="00B04B9A" w:rsidRDefault="005D1FD3" w:rsidP="009F76C4">
      <w:pPr>
        <w:spacing w:after="120"/>
      </w:pPr>
      <w:r w:rsidRPr="00B04B9A">
        <w:rPr>
          <w:b/>
          <w:bCs/>
        </w:rPr>
        <w:t>AND</w:t>
      </w:r>
      <w:r w:rsidRPr="00B04B9A">
        <w:t> evidence of having acquired the infection within the previous 12 months based on one or more of the following criteria:</w:t>
      </w:r>
    </w:p>
    <w:p w14:paraId="3107061B" w14:textId="77777777" w:rsidR="005D1FD3" w:rsidRPr="00B04B9A" w:rsidRDefault="005D1FD3">
      <w:pPr>
        <w:numPr>
          <w:ilvl w:val="0"/>
          <w:numId w:val="27"/>
        </w:numPr>
        <w:spacing w:after="120"/>
      </w:pPr>
      <w:r w:rsidRPr="00B04B9A">
        <w:t>Documented seroconversion or fourfold or greater increase in titer of a nontreponemal test during the previous 12 months, unless there is evidence that this increase was not sustained for &gt;2 weeks</w:t>
      </w:r>
    </w:p>
    <w:p w14:paraId="758212AC" w14:textId="77777777" w:rsidR="005D1FD3" w:rsidRPr="00B04B9A" w:rsidRDefault="005D1FD3">
      <w:pPr>
        <w:numPr>
          <w:ilvl w:val="0"/>
          <w:numId w:val="27"/>
        </w:numPr>
        <w:spacing w:after="120"/>
      </w:pPr>
      <w:r w:rsidRPr="00B04B9A">
        <w:t>Documented seroconversion of a treponemal test during the previous 12 months</w:t>
      </w:r>
    </w:p>
    <w:p w14:paraId="1A133AA9" w14:textId="77777777" w:rsidR="005D1FD3" w:rsidRPr="00B04B9A" w:rsidRDefault="005D1FD3">
      <w:pPr>
        <w:numPr>
          <w:ilvl w:val="0"/>
          <w:numId w:val="27"/>
        </w:numPr>
        <w:spacing w:after="120"/>
      </w:pPr>
      <w:r w:rsidRPr="00B04B9A">
        <w:t>A history of symptoms consistent with primary or secondary syphilis during the previous 12 months</w:t>
      </w:r>
    </w:p>
    <w:p w14:paraId="6EBE27B4" w14:textId="77777777" w:rsidR="005D1FD3" w:rsidRPr="00B04B9A" w:rsidRDefault="005D1FD3">
      <w:pPr>
        <w:numPr>
          <w:ilvl w:val="0"/>
          <w:numId w:val="27"/>
        </w:numPr>
        <w:spacing w:after="120"/>
      </w:pPr>
      <w:r w:rsidRPr="00B04B9A">
        <w:lastRenderedPageBreak/>
        <w:t>Meets epidemiologic criteria</w:t>
      </w:r>
    </w:p>
    <w:p w14:paraId="10061B15" w14:textId="77777777" w:rsidR="005D1FD3" w:rsidRPr="00B04B9A" w:rsidRDefault="005D1FD3" w:rsidP="009F76C4">
      <w:pPr>
        <w:spacing w:after="120"/>
      </w:pPr>
      <w:r w:rsidRPr="00B04B9A">
        <w:rPr>
          <w:b/>
          <w:bCs/>
        </w:rPr>
        <w:t>Epidemiological Criteria:</w:t>
      </w:r>
    </w:p>
    <w:p w14:paraId="55499D50" w14:textId="77777777" w:rsidR="005D1FD3" w:rsidRPr="00B04B9A" w:rsidRDefault="005D1FD3">
      <w:pPr>
        <w:numPr>
          <w:ilvl w:val="0"/>
          <w:numId w:val="28"/>
        </w:numPr>
        <w:spacing w:after="120"/>
      </w:pPr>
      <w:r w:rsidRPr="00B04B9A">
        <w:t>A history of sexual exposure to a partner within the previous 12 months who had primary, secondary, or early non-primary non-secondary syphilis (documented independently as duration &lt;12 months).</w:t>
      </w:r>
    </w:p>
    <w:p w14:paraId="0424F81B" w14:textId="77777777" w:rsidR="005D1FD3" w:rsidRPr="00B04B9A" w:rsidRDefault="005D1FD3">
      <w:pPr>
        <w:numPr>
          <w:ilvl w:val="0"/>
          <w:numId w:val="28"/>
        </w:numPr>
        <w:spacing w:after="120"/>
      </w:pPr>
      <w:r w:rsidRPr="00B04B9A">
        <w:t>Only sexual contact (sexual debut) was within the previous 12 months.</w:t>
      </w:r>
    </w:p>
    <w:p w14:paraId="194EE8D2" w14:textId="77777777" w:rsidR="005D1FD3" w:rsidRPr="00B04B9A" w:rsidRDefault="005D1FD3" w:rsidP="009F76C4">
      <w:pPr>
        <w:spacing w:after="120"/>
        <w:rPr>
          <w:color w:val="2F5496" w:themeColor="accent1" w:themeShade="BF"/>
        </w:rPr>
      </w:pPr>
      <w:r w:rsidRPr="00B04B9A">
        <w:rPr>
          <w:b/>
          <w:bCs/>
          <w:color w:val="2F5496" w:themeColor="accent1" w:themeShade="BF"/>
        </w:rPr>
        <w:t>Syphilis, late latent (2014)</w:t>
      </w:r>
    </w:p>
    <w:p w14:paraId="03467EEF" w14:textId="77777777" w:rsidR="005D1FD3" w:rsidRPr="00B04B9A" w:rsidRDefault="005D1FD3" w:rsidP="009F76C4">
      <w:pPr>
        <w:spacing w:after="120"/>
      </w:pPr>
      <w:r w:rsidRPr="00B04B9A">
        <w:rPr>
          <w:b/>
          <w:bCs/>
          <w:i/>
          <w:iCs/>
        </w:rPr>
        <w:t>Clinical description</w:t>
      </w:r>
    </w:p>
    <w:p w14:paraId="4280449B" w14:textId="77777777" w:rsidR="005D1FD3" w:rsidRPr="00B04B9A" w:rsidRDefault="005D1FD3" w:rsidP="009F76C4">
      <w:pPr>
        <w:spacing w:after="120"/>
      </w:pPr>
      <w:r w:rsidRPr="00B04B9A">
        <w:t>A subcategory of latent syphilis (a stage of infection caused by </w:t>
      </w:r>
      <w:r w:rsidRPr="00B04B9A">
        <w:rPr>
          <w:i/>
          <w:iCs/>
        </w:rPr>
        <w:t>T. pallidum</w:t>
      </w:r>
      <w:r w:rsidRPr="00B04B9A">
        <w:t> in which organisms persist in the body of the infected person without causing symptoms or signs) when initial infection has occurred &gt;12 months previously.</w:t>
      </w:r>
    </w:p>
    <w:p w14:paraId="4DD4C77A" w14:textId="77777777" w:rsidR="005D1FD3" w:rsidRPr="00B04B9A" w:rsidRDefault="005D1FD3" w:rsidP="009F76C4">
      <w:pPr>
        <w:spacing w:after="120"/>
      </w:pPr>
      <w:r w:rsidRPr="00B04B9A">
        <w:rPr>
          <w:b/>
          <w:bCs/>
          <w:i/>
          <w:iCs/>
        </w:rPr>
        <w:t>Case classification</w:t>
      </w:r>
    </w:p>
    <w:p w14:paraId="76F563A4" w14:textId="77777777" w:rsidR="005D1FD3" w:rsidRPr="00B04B9A" w:rsidRDefault="005D1FD3" w:rsidP="009F76C4">
      <w:pPr>
        <w:spacing w:after="120"/>
      </w:pPr>
      <w:r w:rsidRPr="00B04B9A">
        <w:rPr>
          <w:i/>
          <w:iCs/>
        </w:rPr>
        <w:t>Probable:</w:t>
      </w:r>
      <w:r w:rsidRPr="00B04B9A">
        <w:t> a person with no clinical signs or symptoms of syphilis who has one of the following:</w:t>
      </w:r>
    </w:p>
    <w:p w14:paraId="3EFC7FFE" w14:textId="77777777" w:rsidR="005D1FD3" w:rsidRPr="00B04B9A" w:rsidRDefault="005D1FD3">
      <w:pPr>
        <w:numPr>
          <w:ilvl w:val="0"/>
          <w:numId w:val="29"/>
        </w:numPr>
        <w:spacing w:after="120"/>
      </w:pPr>
      <w:r w:rsidRPr="00B04B9A">
        <w:t>No past diagnosis of syphilis, and a reactive nontreponemal test (e.g., VDRL, RPR, or equivalent serologic methods), and a reactive treponemal test (e.g., FTA-ABS, TP-PA, EIA, CIA, or equivalent serologic methods), or</w:t>
      </w:r>
    </w:p>
    <w:p w14:paraId="77C6FF06" w14:textId="77777777" w:rsidR="005D1FD3" w:rsidRPr="00B04B9A" w:rsidRDefault="005D1FD3">
      <w:pPr>
        <w:numPr>
          <w:ilvl w:val="0"/>
          <w:numId w:val="29"/>
        </w:numPr>
        <w:spacing w:after="120"/>
      </w:pPr>
      <w:r w:rsidRPr="00B04B9A">
        <w:t>A past history of syphilis therapy and a current nontreponemal test titer demonstrating fourfold or greater increase from the last nontreponemal test titer.</w:t>
      </w:r>
    </w:p>
    <w:p w14:paraId="28327B86" w14:textId="77777777" w:rsidR="005D1FD3" w:rsidRPr="00B04B9A" w:rsidRDefault="005D1FD3" w:rsidP="009F76C4">
      <w:pPr>
        <w:spacing w:after="120"/>
      </w:pPr>
      <w:r w:rsidRPr="00B04B9A">
        <w:t>AND who has no evidence of having acquired the disease within the preceding 12 months (see Syphilis, early latent).</w:t>
      </w:r>
    </w:p>
    <w:p w14:paraId="33B97E5A" w14:textId="77777777" w:rsidR="005D1FD3" w:rsidRPr="00B04B9A" w:rsidRDefault="005D1FD3" w:rsidP="009F76C4">
      <w:pPr>
        <w:spacing w:after="120"/>
      </w:pPr>
      <w:r w:rsidRPr="00B04B9A">
        <w:t>There is no confirmed case classification for late latent syphilis.</w:t>
      </w:r>
    </w:p>
    <w:p w14:paraId="0E27EF2A" w14:textId="77777777" w:rsidR="005D1FD3" w:rsidRPr="00B04B9A" w:rsidRDefault="005D1FD3" w:rsidP="009F76C4">
      <w:pPr>
        <w:spacing w:after="120"/>
        <w:rPr>
          <w:color w:val="2F5496" w:themeColor="accent1" w:themeShade="BF"/>
        </w:rPr>
      </w:pPr>
      <w:r w:rsidRPr="00B04B9A">
        <w:rPr>
          <w:b/>
          <w:bCs/>
          <w:color w:val="2F5496" w:themeColor="accent1" w:themeShade="BF"/>
        </w:rPr>
        <w:t>Syphilis, unknown duration or late (2018)</w:t>
      </w:r>
    </w:p>
    <w:p w14:paraId="2D0ECBAA" w14:textId="77777777" w:rsidR="005D1FD3" w:rsidRPr="00B04B9A" w:rsidRDefault="005D1FD3" w:rsidP="009F76C4">
      <w:pPr>
        <w:spacing w:after="120"/>
      </w:pPr>
      <w:r w:rsidRPr="00B04B9A">
        <w:rPr>
          <w:b/>
          <w:bCs/>
          <w:i/>
          <w:iCs/>
        </w:rPr>
        <w:t>Clinical description</w:t>
      </w:r>
    </w:p>
    <w:p w14:paraId="2BA81572" w14:textId="77777777" w:rsidR="005D1FD3" w:rsidRPr="00B04B9A" w:rsidRDefault="005D1FD3" w:rsidP="009F76C4">
      <w:pPr>
        <w:spacing w:after="120"/>
      </w:pPr>
      <w:r w:rsidRPr="00B04B9A">
        <w:t>A stage of infection caused by </w:t>
      </w:r>
      <w:r w:rsidRPr="00B04B9A">
        <w:rPr>
          <w:i/>
          <w:iCs/>
        </w:rPr>
        <w:t>T. pallidum</w:t>
      </w:r>
      <w:r w:rsidRPr="00B04B9A">
        <w:t> in which initial infection has occurred &gt;12 months previously or in which there is insufficient evidence to conclude that infection was acquired during the previous 12 months.</w:t>
      </w:r>
    </w:p>
    <w:p w14:paraId="6A4B8456" w14:textId="77777777" w:rsidR="005D1FD3" w:rsidRPr="00B04B9A" w:rsidRDefault="005D1FD3" w:rsidP="009F76C4">
      <w:pPr>
        <w:spacing w:after="120"/>
      </w:pPr>
      <w:r w:rsidRPr="00B04B9A">
        <w:rPr>
          <w:b/>
          <w:bCs/>
          <w:i/>
          <w:iCs/>
        </w:rPr>
        <w:t>Case classification</w:t>
      </w:r>
    </w:p>
    <w:p w14:paraId="6E20D3D8" w14:textId="77777777" w:rsidR="005D1FD3" w:rsidRPr="00B04B9A" w:rsidRDefault="005D1FD3" w:rsidP="009F76C4">
      <w:pPr>
        <w:spacing w:after="120"/>
      </w:pPr>
      <w:r w:rsidRPr="00B04B9A">
        <w:rPr>
          <w:b/>
          <w:bCs/>
          <w:i/>
          <w:iCs/>
        </w:rPr>
        <w:t>Probable</w:t>
      </w:r>
    </w:p>
    <w:p w14:paraId="7C6C084A" w14:textId="77777777" w:rsidR="005D1FD3" w:rsidRPr="00B04B9A" w:rsidRDefault="005D1FD3" w:rsidP="009F76C4">
      <w:pPr>
        <w:spacing w:after="120"/>
      </w:pPr>
      <w:r w:rsidRPr="00B04B9A">
        <w:t>A person with no clinical signs or symptoms of primary or secondary syphilis who meets one of the following sets of criteria:</w:t>
      </w:r>
    </w:p>
    <w:p w14:paraId="578704C7" w14:textId="77777777" w:rsidR="005D1FD3" w:rsidRPr="00B04B9A" w:rsidRDefault="005D1FD3">
      <w:pPr>
        <w:numPr>
          <w:ilvl w:val="0"/>
          <w:numId w:val="30"/>
        </w:numPr>
        <w:spacing w:after="120"/>
      </w:pPr>
      <w:r w:rsidRPr="00B04B9A">
        <w:t>No prior history of syphilis, and a current reactive nontreponemal test (e.g., VDRL, RPR, or equivalent serologic methods), and a current reactive treponemal test (e.g., TP-PA, EIA, CIA, or equivalent serologic methods), </w:t>
      </w:r>
      <w:r w:rsidRPr="00B04B9A">
        <w:rPr>
          <w:b/>
          <w:bCs/>
        </w:rPr>
        <w:t>OR</w:t>
      </w:r>
    </w:p>
    <w:p w14:paraId="71CF36E8" w14:textId="77777777" w:rsidR="005D1FD3" w:rsidRPr="00B04B9A" w:rsidRDefault="005D1FD3">
      <w:pPr>
        <w:numPr>
          <w:ilvl w:val="0"/>
          <w:numId w:val="30"/>
        </w:numPr>
        <w:spacing w:after="120"/>
      </w:pPr>
      <w:r w:rsidRPr="00B04B9A">
        <w:t>A prior history of syphilis, and a current nontreponemal test titer demonstrating fourfold or greater increase from the last nontreponemal test titer, unless there is evidence that this increase was not sustained for &gt;2 weeks, </w:t>
      </w:r>
      <w:r w:rsidRPr="00B04B9A">
        <w:rPr>
          <w:b/>
          <w:bCs/>
        </w:rPr>
        <w:t>OR</w:t>
      </w:r>
    </w:p>
    <w:p w14:paraId="357A62B6" w14:textId="77777777" w:rsidR="005D1FD3" w:rsidRPr="00B04B9A" w:rsidRDefault="005D1FD3">
      <w:pPr>
        <w:numPr>
          <w:ilvl w:val="0"/>
          <w:numId w:val="30"/>
        </w:numPr>
        <w:spacing w:after="120"/>
      </w:pPr>
      <w:r w:rsidRPr="00B04B9A">
        <w:lastRenderedPageBreak/>
        <w:t>Clinical signs or symptoms and laboratory results that meet the likely or verified criteria for neurologic, ocular, otic, or late clinical manifestations syphilis (see below)</w:t>
      </w:r>
    </w:p>
    <w:p w14:paraId="3329A07B" w14:textId="77777777" w:rsidR="005D1FD3" w:rsidRPr="00B04B9A" w:rsidRDefault="005D1FD3" w:rsidP="009F76C4">
      <w:pPr>
        <w:spacing w:after="120"/>
      </w:pPr>
      <w:r w:rsidRPr="00B04B9A">
        <w:rPr>
          <w:b/>
          <w:bCs/>
        </w:rPr>
        <w:t>AND</w:t>
      </w:r>
      <w:r w:rsidRPr="00B04B9A">
        <w:t> who has no evidence of having acquired the disease within the preceding 12 months (see Syphilis, early non-primary non-secondary)</w:t>
      </w:r>
    </w:p>
    <w:p w14:paraId="5EFE69A5" w14:textId="16BD6C6B" w:rsidR="005D1FD3" w:rsidRPr="00B04B9A" w:rsidRDefault="005D1FD3" w:rsidP="009F76C4">
      <w:pPr>
        <w:spacing w:after="120"/>
      </w:pPr>
      <w:r w:rsidRPr="00B04B9A">
        <w:rPr>
          <w:b/>
          <w:bCs/>
          <w:i/>
          <w:iCs/>
        </w:rPr>
        <w:t>Comments</w:t>
      </w:r>
    </w:p>
    <w:p w14:paraId="6127CC69" w14:textId="77777777" w:rsidR="005D1FD3" w:rsidRPr="00B04B9A" w:rsidRDefault="005D1FD3" w:rsidP="009F76C4">
      <w:pPr>
        <w:spacing w:after="120"/>
      </w:pPr>
      <w:r w:rsidRPr="00B04B9A">
        <w:t>Although cases of syphilis of unknown duration are grouped together with late syphilis for the purposes of surveillance, the conservative clinical and public health responses to these cases will differ when there is uncertainty about the duration of infection. When faced with uncertainty, clinicians should act conservatively and treat unknown duration syphilis as if it were late infection, with three doses of benzathine penicillin. In contrast, the most conservative approach for STD control programs would be to manage cases of syphilis of unknown duration as early non-primary non-secondary infections and search for partners who may have been recently infected. Because this would not be feasible for most STD control programs, programs should consider prioritizing cases of syphilis of unknown duration with higher nontreponemal titers (e.g., 1:32 or higher) for investigation and partner services. Although nontreponemal titers cannot reliably distinguish between early infection (&lt;12 months duration) and late infection (&gt;12 months duration), nontreponemal titers usually are higher early in the course of syphilis infection.</w:t>
      </w:r>
    </w:p>
    <w:p w14:paraId="4ED9C072" w14:textId="77777777" w:rsidR="005D1FD3" w:rsidRPr="00B04B9A" w:rsidRDefault="005D1FD3" w:rsidP="009F76C4">
      <w:pPr>
        <w:spacing w:after="120"/>
        <w:rPr>
          <w:color w:val="2F5496" w:themeColor="accent1" w:themeShade="BF"/>
        </w:rPr>
      </w:pPr>
      <w:r w:rsidRPr="00B04B9A">
        <w:rPr>
          <w:b/>
          <w:bCs/>
          <w:color w:val="2F5496" w:themeColor="accent1" w:themeShade="BF"/>
        </w:rPr>
        <w:t>Syphilis, Congenital (2015)</w:t>
      </w:r>
    </w:p>
    <w:p w14:paraId="12B8A943" w14:textId="77777777" w:rsidR="005D1FD3" w:rsidRPr="00B04B9A" w:rsidRDefault="005D1FD3" w:rsidP="009F76C4">
      <w:pPr>
        <w:spacing w:after="120"/>
      </w:pPr>
      <w:r w:rsidRPr="00B04B9A">
        <w:rPr>
          <w:b/>
          <w:bCs/>
          <w:i/>
          <w:iCs/>
        </w:rPr>
        <w:t>Clinical description</w:t>
      </w:r>
    </w:p>
    <w:p w14:paraId="51422CA1" w14:textId="77777777" w:rsidR="005D1FD3" w:rsidRPr="00B04B9A" w:rsidRDefault="005D1FD3" w:rsidP="009F76C4">
      <w:pPr>
        <w:spacing w:after="120"/>
      </w:pPr>
      <w:r w:rsidRPr="00B04B9A">
        <w:t>A condition caused by infection in utero with </w:t>
      </w:r>
      <w:r w:rsidRPr="00B04B9A">
        <w:rPr>
          <w:i/>
          <w:iCs/>
        </w:rPr>
        <w:t>T. pallidum</w:t>
      </w:r>
      <w:r w:rsidRPr="00B04B9A">
        <w:t xml:space="preserve">. A wide spectrum of severity exists, from inapparent infection to severe cases that are clinically apparent at birth. An infant or child (aged less than 2 years) may have signs such as hepatosplenomegaly, rash, condyloma lata, snuffles, jaundice (nonviral hepatitis), </w:t>
      </w:r>
    </w:p>
    <w:p w14:paraId="6D6A1434" w14:textId="77777777" w:rsidR="005D1FD3" w:rsidRPr="00B04B9A" w:rsidRDefault="005D1FD3" w:rsidP="009F76C4">
      <w:pPr>
        <w:spacing w:after="120"/>
      </w:pPr>
      <w:r w:rsidRPr="00B04B9A">
        <w:t>pseudoparalysis, anemia, or edema (nephrotic syndrome and/or malnutrition). An older child may have stigmata (e.g., interstitial keratitis, nerve deafness, anterior bowing of shins, frontal bossing, mulberry molars, Hutchinson teeth, saddle nose, rhagades, or Clutton joints).</w:t>
      </w:r>
    </w:p>
    <w:p w14:paraId="1996105F" w14:textId="77777777" w:rsidR="005D1FD3" w:rsidRPr="00B04B9A" w:rsidRDefault="005D1FD3" w:rsidP="009F76C4">
      <w:pPr>
        <w:spacing w:after="120"/>
      </w:pPr>
      <w:r w:rsidRPr="00B04B9A">
        <w:rPr>
          <w:b/>
          <w:bCs/>
          <w:i/>
          <w:iCs/>
        </w:rPr>
        <w:t>Laboratory criteria for diagnosis</w:t>
      </w:r>
    </w:p>
    <w:p w14:paraId="2CFEBB32" w14:textId="77777777" w:rsidR="005D1FD3" w:rsidRPr="00B04B9A" w:rsidRDefault="005D1FD3">
      <w:pPr>
        <w:numPr>
          <w:ilvl w:val="0"/>
          <w:numId w:val="31"/>
        </w:numPr>
        <w:spacing w:after="120"/>
      </w:pPr>
      <w:r w:rsidRPr="00B04B9A">
        <w:t>Demonstration of </w:t>
      </w:r>
      <w:r w:rsidRPr="00B04B9A">
        <w:rPr>
          <w:i/>
          <w:iCs/>
        </w:rPr>
        <w:t>T. pallidum</w:t>
      </w:r>
      <w:r w:rsidRPr="00B04B9A">
        <w:t> by darkfield microscopy of lesions, body fluids, or neonatal nasal discharge, or</w:t>
      </w:r>
    </w:p>
    <w:p w14:paraId="436026DC" w14:textId="77777777" w:rsidR="005D1FD3" w:rsidRPr="00B04B9A" w:rsidRDefault="005D1FD3">
      <w:pPr>
        <w:numPr>
          <w:ilvl w:val="0"/>
          <w:numId w:val="31"/>
        </w:numPr>
        <w:spacing w:after="120"/>
      </w:pPr>
      <w:r w:rsidRPr="00B04B9A">
        <w:t>PCR or other equivalent direct molecular methods of lesions, placenta, umbilical cord, or autopsy material, or</w:t>
      </w:r>
    </w:p>
    <w:p w14:paraId="5ABF9A84" w14:textId="77777777" w:rsidR="005D1FD3" w:rsidRPr="00B04B9A" w:rsidRDefault="005D1FD3">
      <w:pPr>
        <w:numPr>
          <w:ilvl w:val="0"/>
          <w:numId w:val="31"/>
        </w:numPr>
        <w:spacing w:after="120"/>
      </w:pPr>
      <w:r w:rsidRPr="00B04B9A">
        <w:t>Immunohistochemistry (IHC), or special stains (e.g., silver staining) of specimens from lesions, neonatal nasal discharge, placenta, umbilical cord, or autopsy material.</w:t>
      </w:r>
    </w:p>
    <w:p w14:paraId="03979692" w14:textId="77777777" w:rsidR="005D1FD3" w:rsidRPr="00B04B9A" w:rsidRDefault="005D1FD3" w:rsidP="009F76C4">
      <w:pPr>
        <w:spacing w:after="120"/>
      </w:pPr>
      <w:r w:rsidRPr="00B04B9A">
        <w:rPr>
          <w:b/>
          <w:bCs/>
          <w:i/>
          <w:iCs/>
        </w:rPr>
        <w:t>Case classification</w:t>
      </w:r>
    </w:p>
    <w:p w14:paraId="6977FFA1" w14:textId="77777777" w:rsidR="005D1FD3" w:rsidRPr="00B04B9A" w:rsidRDefault="005D1FD3" w:rsidP="009F76C4">
      <w:pPr>
        <w:spacing w:after="120"/>
      </w:pPr>
      <w:r w:rsidRPr="00B04B9A">
        <w:rPr>
          <w:i/>
          <w:iCs/>
        </w:rPr>
        <w:t>Probable:</w:t>
      </w:r>
      <w:r w:rsidRPr="00B04B9A">
        <w:t> a condition affecting an infant whose mother had untreated or inadequately treated* syphilis at delivery, regardless of signs in the infant, or an infant or child who has a reactive non-treponemal test for syphilis (VDRL, RPR, or equivalent serologic methods) AND any one of the following:</w:t>
      </w:r>
    </w:p>
    <w:p w14:paraId="3B96C437" w14:textId="77777777" w:rsidR="005D1FD3" w:rsidRPr="00B04B9A" w:rsidRDefault="005D1FD3">
      <w:pPr>
        <w:numPr>
          <w:ilvl w:val="0"/>
          <w:numId w:val="32"/>
        </w:numPr>
        <w:spacing w:after="120"/>
      </w:pPr>
      <w:r w:rsidRPr="00B04B9A">
        <w:t>Any evidence of congenital syphilis on physical examination (see Clinical description)</w:t>
      </w:r>
    </w:p>
    <w:p w14:paraId="21F24E12" w14:textId="77777777" w:rsidR="005D1FD3" w:rsidRPr="00B04B9A" w:rsidRDefault="005D1FD3">
      <w:pPr>
        <w:numPr>
          <w:ilvl w:val="0"/>
          <w:numId w:val="32"/>
        </w:numPr>
        <w:spacing w:after="120"/>
      </w:pPr>
      <w:r w:rsidRPr="00B04B9A">
        <w:lastRenderedPageBreak/>
        <w:t>Any evidence of congenital syphilis on radiographs of long bones</w:t>
      </w:r>
    </w:p>
    <w:p w14:paraId="67A9C514" w14:textId="3FD0E336" w:rsidR="005D1FD3" w:rsidRPr="00B04B9A" w:rsidRDefault="005D1FD3">
      <w:pPr>
        <w:numPr>
          <w:ilvl w:val="0"/>
          <w:numId w:val="32"/>
        </w:numPr>
        <w:spacing w:after="120"/>
      </w:pPr>
      <w:r w:rsidRPr="00B04B9A">
        <w:t xml:space="preserve">A reactive </w:t>
      </w:r>
      <w:r w:rsidR="00AC0D52" w:rsidRPr="00B04B9A">
        <w:t>cerebrospinal fluid (CSF)</w:t>
      </w:r>
      <w:r w:rsidRPr="00B04B9A">
        <w:t xml:space="preserve"> VDRL test</w:t>
      </w:r>
    </w:p>
    <w:p w14:paraId="76FA8779" w14:textId="77777777" w:rsidR="005D1FD3" w:rsidRPr="00B04B9A" w:rsidRDefault="005D1FD3">
      <w:pPr>
        <w:numPr>
          <w:ilvl w:val="0"/>
          <w:numId w:val="32"/>
        </w:numPr>
        <w:spacing w:after="120"/>
      </w:pPr>
      <w:r w:rsidRPr="00B04B9A">
        <w:t>In a nontraumatic lumbar puncture, an elevated CSF leukocyte (white blood cell [WBC]) count or protein (without other cause):</w:t>
      </w:r>
    </w:p>
    <w:p w14:paraId="042C2CCA" w14:textId="77777777" w:rsidR="005D1FD3" w:rsidRPr="00B04B9A" w:rsidRDefault="005D1FD3" w:rsidP="009F76C4">
      <w:pPr>
        <w:spacing w:after="120"/>
      </w:pPr>
      <w:r w:rsidRPr="00B04B9A">
        <w:t>* Adequate treatment is defined as completion of a penicillin-based regimen, in accordance with CDC treatment guidelines, appropriate for stage of infection, initiated 30 or more days before delivery.</w:t>
      </w:r>
    </w:p>
    <w:p w14:paraId="2DBEF05D" w14:textId="77777777" w:rsidR="005D1FD3" w:rsidRPr="00B04B9A" w:rsidRDefault="005D1FD3" w:rsidP="009F76C4">
      <w:pPr>
        <w:spacing w:after="120"/>
      </w:pPr>
      <w:r w:rsidRPr="00B04B9A">
        <w:t>Suggested parameters for abnormal CSF WBC and protein values:</w:t>
      </w:r>
    </w:p>
    <w:p w14:paraId="1117F55B" w14:textId="77777777" w:rsidR="005D1FD3" w:rsidRPr="00B04B9A" w:rsidRDefault="005D1FD3">
      <w:pPr>
        <w:numPr>
          <w:ilvl w:val="0"/>
          <w:numId w:val="33"/>
        </w:numPr>
        <w:spacing w:after="120"/>
      </w:pPr>
      <w:r w:rsidRPr="00B04B9A">
        <w:t>During the first 30 days of life, a CSF WBC count of &gt;15 WBC/mm3 or a CSF protein &gt;120 mg/dL.</w:t>
      </w:r>
    </w:p>
    <w:p w14:paraId="5F2C682B" w14:textId="77777777" w:rsidR="005D1FD3" w:rsidRPr="00B04B9A" w:rsidRDefault="005D1FD3">
      <w:pPr>
        <w:numPr>
          <w:ilvl w:val="0"/>
          <w:numId w:val="33"/>
        </w:numPr>
        <w:spacing w:after="120"/>
      </w:pPr>
      <w:r w:rsidRPr="00B04B9A">
        <w:t>After the first 30 days of life, a CSF WBC count of &gt;5 WBC mm3 or a CSF protein &gt;40 mg/dL, regardless of CSF serology.</w:t>
      </w:r>
    </w:p>
    <w:p w14:paraId="45A517BB" w14:textId="77777777" w:rsidR="005D1FD3" w:rsidRPr="00B04B9A" w:rsidRDefault="005D1FD3">
      <w:pPr>
        <w:numPr>
          <w:ilvl w:val="0"/>
          <w:numId w:val="33"/>
        </w:numPr>
        <w:spacing w:after="120"/>
      </w:pPr>
      <w:r w:rsidRPr="00B04B9A">
        <w:t>The treating clinician should be consulted to interpret the CSF values for the specific patient.</w:t>
      </w:r>
    </w:p>
    <w:p w14:paraId="698C402A" w14:textId="77777777" w:rsidR="005D1FD3" w:rsidRPr="00B04B9A" w:rsidRDefault="005D1FD3" w:rsidP="009F76C4">
      <w:pPr>
        <w:spacing w:after="120"/>
      </w:pPr>
      <w:r w:rsidRPr="00B04B9A">
        <w:rPr>
          <w:i/>
          <w:iCs/>
        </w:rPr>
        <w:t>Confirmed:</w:t>
      </w:r>
      <w:r w:rsidRPr="00B04B9A">
        <w:t> a case that is laboratory confirmed.</w:t>
      </w:r>
    </w:p>
    <w:p w14:paraId="4486864A" w14:textId="77777777" w:rsidR="005D1FD3" w:rsidRPr="00B04B9A" w:rsidRDefault="005D1FD3" w:rsidP="009F76C4">
      <w:pPr>
        <w:spacing w:after="120"/>
        <w:rPr>
          <w:color w:val="2F5496" w:themeColor="accent1" w:themeShade="BF"/>
        </w:rPr>
      </w:pPr>
      <w:r w:rsidRPr="00B04B9A">
        <w:rPr>
          <w:b/>
          <w:bCs/>
          <w:color w:val="2F5496" w:themeColor="accent1" w:themeShade="BF"/>
        </w:rPr>
        <w:t>Syphilis, Congenital (2018)</w:t>
      </w:r>
    </w:p>
    <w:p w14:paraId="77DAA876" w14:textId="77777777" w:rsidR="005D1FD3" w:rsidRPr="00B04B9A" w:rsidRDefault="005D1FD3" w:rsidP="009F76C4">
      <w:pPr>
        <w:spacing w:after="120"/>
      </w:pPr>
      <w:r w:rsidRPr="00B04B9A">
        <w:rPr>
          <w:b/>
          <w:bCs/>
        </w:rPr>
        <w:t>Clinical Description</w:t>
      </w:r>
    </w:p>
    <w:p w14:paraId="1A7DA012" w14:textId="77777777" w:rsidR="005D1FD3" w:rsidRPr="00B04B9A" w:rsidRDefault="005D1FD3" w:rsidP="009F76C4">
      <w:pPr>
        <w:spacing w:after="120"/>
      </w:pPr>
      <w:r w:rsidRPr="00B04B9A">
        <w:t>A condition caused by infection in utero with </w:t>
      </w:r>
      <w:r w:rsidRPr="00B04B9A">
        <w:rPr>
          <w:i/>
          <w:iCs/>
        </w:rPr>
        <w:t>Treponema pallidum</w:t>
      </w:r>
      <w:r w:rsidRPr="00B04B9A">
        <w:t>. A wide spectrum of severity exists, from inapparent infection to severe cases that are clinically apparent at birth. An infant or child (aged less than 2 years) may have signs such as hepatosplenomegaly, rash, condyloma lata, snuffles, jaundice (nonviral hepatitis), pseudoparalysis, anemia, or edema (nephrotic syndrome and/or malnutrition). An older child may have stigmata (e.g., interstitial keratitis, nerve deafness, anterior bowing of shins, frontal bossing, mulberry molars, Hutchinson teeth, saddle nose, rhagades, or Clutton joints).</w:t>
      </w:r>
    </w:p>
    <w:p w14:paraId="7A5D3D5B" w14:textId="77777777" w:rsidR="005D1FD3" w:rsidRPr="00B04B9A" w:rsidRDefault="005D1FD3" w:rsidP="009F76C4">
      <w:pPr>
        <w:spacing w:after="120"/>
      </w:pPr>
      <w:r w:rsidRPr="00B04B9A">
        <w:rPr>
          <w:b/>
          <w:bCs/>
          <w:i/>
          <w:iCs/>
        </w:rPr>
        <w:t>Laboratory Criteria for Diagnosis</w:t>
      </w:r>
    </w:p>
    <w:p w14:paraId="6607BD7F" w14:textId="77777777" w:rsidR="005D1FD3" w:rsidRPr="00B04B9A" w:rsidRDefault="005D1FD3" w:rsidP="009F76C4">
      <w:pPr>
        <w:spacing w:after="120"/>
      </w:pPr>
      <w:r w:rsidRPr="00B04B9A">
        <w:t>Demonstration of </w:t>
      </w:r>
      <w:r w:rsidRPr="00B04B9A">
        <w:rPr>
          <w:i/>
          <w:iCs/>
        </w:rPr>
        <w:t>Treponema pallidum</w:t>
      </w:r>
      <w:r w:rsidRPr="00B04B9A">
        <w:t> by:</w:t>
      </w:r>
    </w:p>
    <w:p w14:paraId="51FDB1A3" w14:textId="77777777" w:rsidR="005D1FD3" w:rsidRPr="00B04B9A" w:rsidRDefault="005D1FD3">
      <w:pPr>
        <w:numPr>
          <w:ilvl w:val="0"/>
          <w:numId w:val="34"/>
        </w:numPr>
        <w:spacing w:after="120"/>
      </w:pPr>
      <w:r w:rsidRPr="00B04B9A">
        <w:t>Darkfield microscopy of lesions, body fluids, or neonatal nasal discharge, </w:t>
      </w:r>
      <w:r w:rsidRPr="00B04B9A">
        <w:rPr>
          <w:b/>
          <w:bCs/>
        </w:rPr>
        <w:t>OR</w:t>
      </w:r>
    </w:p>
    <w:p w14:paraId="0C94A7C3" w14:textId="599BF975" w:rsidR="005D1FD3" w:rsidRPr="00B04B9A" w:rsidRDefault="005D1FD3">
      <w:pPr>
        <w:numPr>
          <w:ilvl w:val="0"/>
          <w:numId w:val="34"/>
        </w:numPr>
        <w:spacing w:after="120"/>
      </w:pPr>
      <w:r w:rsidRPr="00B04B9A">
        <w:t>PCR or other equivalent direct molecular methods of lesions, neonatal nasal discharge, placenta, umbilical cord, or autopsy material, </w:t>
      </w:r>
      <w:r w:rsidRPr="00B04B9A">
        <w:rPr>
          <w:b/>
          <w:bCs/>
        </w:rPr>
        <w:t>OR</w:t>
      </w:r>
    </w:p>
    <w:p w14:paraId="3DF4ACBF" w14:textId="437C1FCD" w:rsidR="005D1FD3" w:rsidRPr="00B04B9A" w:rsidRDefault="005D1FD3">
      <w:pPr>
        <w:numPr>
          <w:ilvl w:val="0"/>
          <w:numId w:val="34"/>
        </w:numPr>
        <w:spacing w:after="120"/>
      </w:pPr>
      <w:r w:rsidRPr="00B04B9A">
        <w:t>IHC, or special stains (e.g., silver staining) of specimens from lesions, placenta, umbilical cord, or autopsy material.</w:t>
      </w:r>
    </w:p>
    <w:p w14:paraId="6E93EB1C" w14:textId="77777777" w:rsidR="005D1FD3" w:rsidRPr="00B04B9A" w:rsidRDefault="005D1FD3" w:rsidP="009F76C4">
      <w:pPr>
        <w:spacing w:after="120"/>
      </w:pPr>
      <w:r w:rsidRPr="00B04B9A">
        <w:rPr>
          <w:b/>
          <w:bCs/>
          <w:i/>
          <w:iCs/>
        </w:rPr>
        <w:t>Case Classification</w:t>
      </w:r>
    </w:p>
    <w:p w14:paraId="3BAF7534" w14:textId="77777777" w:rsidR="005D1FD3" w:rsidRPr="00B04B9A" w:rsidRDefault="005D1FD3" w:rsidP="009F76C4">
      <w:pPr>
        <w:spacing w:after="120"/>
      </w:pPr>
      <w:r w:rsidRPr="00B04B9A">
        <w:rPr>
          <w:b/>
          <w:bCs/>
        </w:rPr>
        <w:t>Probable</w:t>
      </w:r>
    </w:p>
    <w:p w14:paraId="5530123F" w14:textId="00A59FC3" w:rsidR="005D1FD3" w:rsidRPr="00B04B9A" w:rsidRDefault="005D1FD3" w:rsidP="009F76C4">
      <w:pPr>
        <w:spacing w:after="120"/>
      </w:pPr>
      <w:r w:rsidRPr="00B04B9A">
        <w:t>A condition affecting an infant whose mother had untreated or inadequately treated* syphilis at delivery, regardless of signs in the infant, </w:t>
      </w:r>
      <w:r w:rsidRPr="00B04B9A">
        <w:rPr>
          <w:b/>
          <w:bCs/>
        </w:rPr>
        <w:t>OR</w:t>
      </w:r>
      <w:r w:rsidRPr="00B04B9A">
        <w:t> an infant or child who has a reactive non-treponemal test for syphilis (VDRL</w:t>
      </w:r>
      <w:r w:rsidR="00F37E7B" w:rsidRPr="00B04B9A">
        <w:t xml:space="preserve">, </w:t>
      </w:r>
      <w:r w:rsidRPr="00B04B9A">
        <w:t>RPR, </w:t>
      </w:r>
      <w:r w:rsidRPr="00B04B9A">
        <w:rPr>
          <w:b/>
          <w:bCs/>
        </w:rPr>
        <w:t>OR</w:t>
      </w:r>
      <w:r w:rsidRPr="00B04B9A">
        <w:t> equivalent serologic methods) </w:t>
      </w:r>
      <w:r w:rsidRPr="00B04B9A">
        <w:rPr>
          <w:b/>
          <w:bCs/>
        </w:rPr>
        <w:t>AND</w:t>
      </w:r>
      <w:r w:rsidRPr="00B04B9A">
        <w:t> any one of the following:</w:t>
      </w:r>
    </w:p>
    <w:p w14:paraId="3038EA3B" w14:textId="77777777" w:rsidR="005D1FD3" w:rsidRPr="00B04B9A" w:rsidRDefault="005D1FD3">
      <w:pPr>
        <w:numPr>
          <w:ilvl w:val="0"/>
          <w:numId w:val="35"/>
        </w:numPr>
        <w:spacing w:after="120"/>
      </w:pPr>
      <w:r w:rsidRPr="00B04B9A">
        <w:t>Any evidence of congenital syphilis on physical examination (see Clinical description)</w:t>
      </w:r>
    </w:p>
    <w:p w14:paraId="127EB021" w14:textId="77777777" w:rsidR="005D1FD3" w:rsidRPr="00B04B9A" w:rsidRDefault="005D1FD3">
      <w:pPr>
        <w:numPr>
          <w:ilvl w:val="0"/>
          <w:numId w:val="35"/>
        </w:numPr>
        <w:spacing w:after="120"/>
      </w:pPr>
      <w:r w:rsidRPr="00B04B9A">
        <w:t>Any evidence of congenital syphilis on radiographs of long bones</w:t>
      </w:r>
    </w:p>
    <w:p w14:paraId="21379B89" w14:textId="531A99C3" w:rsidR="005D1FD3" w:rsidRPr="00B04B9A" w:rsidRDefault="005D1FD3">
      <w:pPr>
        <w:numPr>
          <w:ilvl w:val="0"/>
          <w:numId w:val="35"/>
        </w:numPr>
        <w:spacing w:after="120"/>
      </w:pPr>
      <w:r w:rsidRPr="00B04B9A">
        <w:t>A reactive CSF venereal disease research laboratory test (VDRL) test</w:t>
      </w:r>
    </w:p>
    <w:p w14:paraId="6D569D6D" w14:textId="77777777" w:rsidR="005D1FD3" w:rsidRPr="00B04B9A" w:rsidRDefault="005D1FD3">
      <w:pPr>
        <w:numPr>
          <w:ilvl w:val="0"/>
          <w:numId w:val="35"/>
        </w:numPr>
        <w:spacing w:after="120"/>
      </w:pPr>
      <w:r w:rsidRPr="00B04B9A">
        <w:lastRenderedPageBreak/>
        <w:t>In a non-traumatic lumbar puncture, an elevated CSF leukocyte (white blood cell, WBC) count or protein (without other cause):</w:t>
      </w:r>
    </w:p>
    <w:p w14:paraId="2EE24374" w14:textId="77777777" w:rsidR="005D1FD3" w:rsidRPr="00B04B9A" w:rsidRDefault="005D1FD3">
      <w:pPr>
        <w:numPr>
          <w:ilvl w:val="0"/>
          <w:numId w:val="36"/>
        </w:numPr>
        <w:spacing w:after="120"/>
      </w:pPr>
      <w:r w:rsidRPr="00B04B9A">
        <w:t>Suggested parameters for abnormal CSF WBC and protein values:</w:t>
      </w:r>
    </w:p>
    <w:p w14:paraId="39427F80" w14:textId="77777777" w:rsidR="005D1FD3" w:rsidRPr="00B04B9A" w:rsidRDefault="005D1FD3">
      <w:pPr>
        <w:numPr>
          <w:ilvl w:val="0"/>
          <w:numId w:val="37"/>
        </w:numPr>
        <w:spacing w:after="120"/>
      </w:pPr>
      <w:r w:rsidRPr="00B04B9A">
        <w:t>During the first 30 days of life, a CSF WBC count of &gt;15 WBC/mm3 or a CSF protein &gt;120 mg/dl is abnormal.</w:t>
      </w:r>
    </w:p>
    <w:p w14:paraId="47221A7B" w14:textId="77777777" w:rsidR="005D1FD3" w:rsidRPr="00B04B9A" w:rsidRDefault="005D1FD3">
      <w:pPr>
        <w:numPr>
          <w:ilvl w:val="0"/>
          <w:numId w:val="37"/>
        </w:numPr>
        <w:spacing w:after="120"/>
      </w:pPr>
      <w:r w:rsidRPr="00B04B9A">
        <w:t>After the first 30 days of life, a CSF WBC count of &gt;5 WBC/mm3 or a CSF protein &gt;40 mg/dl, regardless of CSF serology.</w:t>
      </w:r>
      <w:r w:rsidRPr="00B04B9A">
        <w:br/>
      </w:r>
      <w:r w:rsidRPr="00B04B9A">
        <w:br/>
        <w:t>The treating clinician should be consulted to interpret the CSF values for the specific patient.</w:t>
      </w:r>
    </w:p>
    <w:p w14:paraId="025EB761" w14:textId="77777777" w:rsidR="005D1FD3" w:rsidRPr="00B04B9A" w:rsidRDefault="005D1FD3" w:rsidP="009F76C4">
      <w:pPr>
        <w:spacing w:after="120"/>
      </w:pPr>
      <w:r w:rsidRPr="00B04B9A">
        <w:t>*Adequate treatment is defined as completion of a penicillin-based regimen, in accordance with CDC treatment guidelines, appropriate for stage of infection, initiated 30 or more days before delivery.</w:t>
      </w:r>
    </w:p>
    <w:p w14:paraId="06ADBDC9" w14:textId="77777777" w:rsidR="005D1FD3" w:rsidRPr="00B04B9A" w:rsidRDefault="005D1FD3" w:rsidP="009F76C4">
      <w:pPr>
        <w:spacing w:after="120"/>
      </w:pPr>
      <w:r w:rsidRPr="00B04B9A">
        <w:rPr>
          <w:b/>
          <w:bCs/>
        </w:rPr>
        <w:t>Confirmed</w:t>
      </w:r>
    </w:p>
    <w:p w14:paraId="52568EAE" w14:textId="77777777" w:rsidR="005D1FD3" w:rsidRPr="00B04B9A" w:rsidRDefault="005D1FD3" w:rsidP="009F76C4">
      <w:pPr>
        <w:spacing w:after="120"/>
      </w:pPr>
      <w:r w:rsidRPr="00B04B9A">
        <w:t>A case that is laboratory confirmed.</w:t>
      </w:r>
    </w:p>
    <w:p w14:paraId="6AC1415C" w14:textId="77777777" w:rsidR="005D1FD3" w:rsidRPr="00B04B9A" w:rsidRDefault="005D1FD3" w:rsidP="009F76C4">
      <w:pPr>
        <w:spacing w:after="120"/>
      </w:pPr>
      <w:r w:rsidRPr="00B04B9A">
        <w:rPr>
          <w:b/>
          <w:bCs/>
        </w:rPr>
        <w:t>Comments</w:t>
      </w:r>
    </w:p>
    <w:p w14:paraId="12F54642" w14:textId="77777777" w:rsidR="005D1FD3" w:rsidRPr="00B04B9A" w:rsidRDefault="005D1FD3" w:rsidP="009F76C4">
      <w:pPr>
        <w:spacing w:after="120"/>
      </w:pPr>
      <w:r w:rsidRPr="00B04B9A">
        <w:t>Congenital and acquired syphilis may be difficult to distinguish when a child is seropositive after infancy. Signs of congenital syphilis may not be obvious, and stigmata may not yet have developed. Abnormal values for CSF VDRL, WBC count, and protein may be found in either congenital or acquired syphilis. Findings on radiographs of long bones may help because radiographic changes in the metaphysis and epiphysis are considered classic signs of congenitally acquired syphilis. While maternal antibodies can complicate interpretation of serologic tests in an infant, reactive tests past 18 months of age are considered to reflect the status of the child. The decision may ultimately be based on maternal history and clinical judgment. In a young child, the possibility of sexual abuse should be considered as a cause of acquired rather than congenital syphilis, depending on the clinical picture. For reporting purposes, congenital syphilis includes cases of congenitally acquired syphilis among infants and children as well as syphilitic stillbirths.</w:t>
      </w:r>
    </w:p>
    <w:p w14:paraId="669511AA" w14:textId="77777777" w:rsidR="005D1FD3" w:rsidRPr="00B04B9A" w:rsidRDefault="005D1FD3" w:rsidP="00347A64">
      <w:pPr>
        <w:pStyle w:val="Heading2"/>
      </w:pPr>
      <w:bookmarkStart w:id="80" w:name="_Toc154057181"/>
      <w:r>
        <w:t>Viral Hepatitis</w:t>
      </w:r>
      <w:bookmarkEnd w:id="80"/>
    </w:p>
    <w:p w14:paraId="7FD38FBB" w14:textId="77777777" w:rsidR="005D1FD3" w:rsidRPr="00B04B9A" w:rsidRDefault="005D1FD3" w:rsidP="009F76C4">
      <w:pPr>
        <w:spacing w:after="120"/>
      </w:pPr>
      <w:r w:rsidRPr="00B04B9A">
        <w:t xml:space="preserve">Hepatitis is inflammation of the liver. It can impair vital liver functions such as processing nutrients, filtering the blood and fighting infection. Viral hepatitis is inflammation of the liver caused by infection with a virus. In Massachusetts, the most common types of viral hepatitis are hepatitis A, hepatitis B and hepatitis C. Non-viral hepatitis can also result from heavy alcohol use, toxins, some medications, and certain medical conditions. </w:t>
      </w:r>
    </w:p>
    <w:p w14:paraId="723DE521" w14:textId="77777777" w:rsidR="005D1FD3" w:rsidRPr="00B04B9A" w:rsidRDefault="005D1FD3" w:rsidP="009F76C4">
      <w:pPr>
        <w:spacing w:after="120"/>
        <w:rPr>
          <w:color w:val="2F5496" w:themeColor="accent1" w:themeShade="BF"/>
        </w:rPr>
      </w:pPr>
      <w:r w:rsidRPr="00B04B9A">
        <w:rPr>
          <w:b/>
          <w:bCs/>
          <w:color w:val="2F5496" w:themeColor="accent1" w:themeShade="BF"/>
        </w:rPr>
        <w:t>Hepatitis A, Acute (2019)</w:t>
      </w:r>
    </w:p>
    <w:p w14:paraId="4B8C07EB" w14:textId="77777777" w:rsidR="005D1FD3" w:rsidRPr="00B04B9A" w:rsidRDefault="005D1FD3" w:rsidP="009F76C4">
      <w:pPr>
        <w:spacing w:after="120"/>
      </w:pPr>
      <w:r w:rsidRPr="00B04B9A">
        <w:rPr>
          <w:i/>
          <w:iCs/>
        </w:rPr>
        <w:t xml:space="preserve">Clinical Criteria - </w:t>
      </w:r>
      <w:r w:rsidRPr="00B04B9A">
        <w:t>An acute illness with a discrete onset of any sign or symptom consistent with acute viral hepatitis (e.g., fever, headache, malaise, anorexia, nausea, vomiting, diarrhea, abdominal pain, or dark urine)</w:t>
      </w:r>
    </w:p>
    <w:p w14:paraId="56188F9F" w14:textId="77777777" w:rsidR="005D1FD3" w:rsidRPr="00B04B9A" w:rsidRDefault="005D1FD3" w:rsidP="009F76C4">
      <w:pPr>
        <w:spacing w:after="120"/>
      </w:pPr>
      <w:r w:rsidRPr="00B04B9A">
        <w:rPr>
          <w:b/>
          <w:bCs/>
        </w:rPr>
        <w:t>AND</w:t>
      </w:r>
    </w:p>
    <w:p w14:paraId="074AAB05" w14:textId="77777777" w:rsidR="005D1FD3" w:rsidRPr="00B04B9A" w:rsidRDefault="005D1FD3" w:rsidP="009F76C4">
      <w:pPr>
        <w:spacing w:after="120"/>
      </w:pPr>
      <w:r w:rsidRPr="00B04B9A">
        <w:t>a) jaundice or elevated total bilirubin levels ≥ 3.0 mg/dL, </w:t>
      </w:r>
      <w:r w:rsidRPr="00B04B9A">
        <w:rPr>
          <w:b/>
          <w:bCs/>
        </w:rPr>
        <w:t>OR</w:t>
      </w:r>
      <w:r w:rsidRPr="00B04B9A">
        <w:br/>
        <w:t>b) elevated serum alanine aminotransferase (ALT) levels &gt;200 IU/L,</w:t>
      </w:r>
    </w:p>
    <w:p w14:paraId="568F93A4" w14:textId="77777777" w:rsidR="005D1FD3" w:rsidRPr="00B04B9A" w:rsidRDefault="005D1FD3" w:rsidP="009F76C4">
      <w:pPr>
        <w:spacing w:after="120"/>
      </w:pPr>
      <w:r w:rsidRPr="00B04B9A">
        <w:rPr>
          <w:b/>
          <w:bCs/>
        </w:rPr>
        <w:t>AND</w:t>
      </w:r>
    </w:p>
    <w:p w14:paraId="5D1FD697" w14:textId="77777777" w:rsidR="005D1FD3" w:rsidRPr="00B04B9A" w:rsidRDefault="005D1FD3" w:rsidP="009F76C4">
      <w:pPr>
        <w:spacing w:after="120"/>
      </w:pPr>
      <w:r w:rsidRPr="00B04B9A">
        <w:lastRenderedPageBreak/>
        <w:t>c) the absence of a more likely diagnosis</w:t>
      </w:r>
    </w:p>
    <w:p w14:paraId="29783ACB" w14:textId="77777777" w:rsidR="005D1FD3" w:rsidRPr="00B04B9A" w:rsidRDefault="005D1FD3" w:rsidP="009F76C4">
      <w:pPr>
        <w:spacing w:after="120"/>
      </w:pPr>
      <w:r w:rsidRPr="00B04B9A">
        <w:rPr>
          <w:i/>
          <w:iCs/>
        </w:rPr>
        <w:t>Laboratory Criteria for Diagnosis</w:t>
      </w:r>
    </w:p>
    <w:p w14:paraId="047452B8" w14:textId="77777777" w:rsidR="005D1FD3" w:rsidRPr="00B04B9A" w:rsidRDefault="005D1FD3" w:rsidP="009F76C4">
      <w:pPr>
        <w:spacing w:after="120"/>
      </w:pPr>
      <w:r w:rsidRPr="00B04B9A">
        <w:rPr>
          <w:i/>
          <w:iCs/>
        </w:rPr>
        <w:t>Confirmatory laboratory evidence:</w:t>
      </w:r>
    </w:p>
    <w:p w14:paraId="7D960F91" w14:textId="77777777" w:rsidR="005D1FD3" w:rsidRPr="00B04B9A" w:rsidRDefault="005D1FD3">
      <w:pPr>
        <w:numPr>
          <w:ilvl w:val="0"/>
          <w:numId w:val="38"/>
        </w:numPr>
        <w:tabs>
          <w:tab w:val="left" w:pos="720"/>
        </w:tabs>
        <w:spacing w:after="120"/>
      </w:pPr>
      <w:r w:rsidRPr="00B04B9A">
        <w:t>Immunoglobulin M (IgM) antibody to hepatitis A virus (anti-HAV) positive,</w:t>
      </w:r>
    </w:p>
    <w:p w14:paraId="00E02CC2" w14:textId="77777777" w:rsidR="005D1FD3" w:rsidRPr="00B04B9A" w:rsidRDefault="005D1FD3" w:rsidP="009F76C4">
      <w:pPr>
        <w:spacing w:after="120"/>
      </w:pPr>
      <w:r w:rsidRPr="00B04B9A">
        <w:rPr>
          <w:b/>
          <w:bCs/>
        </w:rPr>
        <w:t>OR</w:t>
      </w:r>
    </w:p>
    <w:p w14:paraId="3321C45A" w14:textId="77777777" w:rsidR="005D1FD3" w:rsidRPr="00B04B9A" w:rsidRDefault="005D1FD3">
      <w:pPr>
        <w:numPr>
          <w:ilvl w:val="0"/>
          <w:numId w:val="39"/>
        </w:numPr>
        <w:tabs>
          <w:tab w:val="left" w:pos="720"/>
        </w:tabs>
        <w:spacing w:after="120"/>
      </w:pPr>
      <w:r w:rsidRPr="00B04B9A">
        <w:t>Nucleic acid amplification test (NAAT; such as Polymerase Chain Reaction [PCR] or genotyping) for hepatitis A virus RNA positive</w:t>
      </w:r>
    </w:p>
    <w:p w14:paraId="31767B2D" w14:textId="77777777" w:rsidR="005D1FD3" w:rsidRPr="00B04B9A" w:rsidRDefault="005D1FD3" w:rsidP="009F76C4">
      <w:pPr>
        <w:spacing w:after="120"/>
      </w:pPr>
      <w:r w:rsidRPr="00B04B9A">
        <w:rPr>
          <w:i/>
          <w:iCs/>
        </w:rPr>
        <w:t>Epidemiologic Linkage</w:t>
      </w:r>
    </w:p>
    <w:p w14:paraId="29604175" w14:textId="77777777" w:rsidR="005D1FD3" w:rsidRPr="00B04B9A" w:rsidRDefault="005D1FD3" w:rsidP="009F76C4">
      <w:pPr>
        <w:spacing w:after="120"/>
      </w:pPr>
      <w:r w:rsidRPr="00B04B9A">
        <w:t>Contact (e.g., household or sexual) with a laboratory-confirmed hepatitis A case 15-50 days prior to onset of symptoms.</w:t>
      </w:r>
    </w:p>
    <w:p w14:paraId="17165BA9" w14:textId="77777777" w:rsidR="005D1FD3" w:rsidRPr="00B04B9A" w:rsidRDefault="005D1FD3" w:rsidP="009F76C4">
      <w:pPr>
        <w:spacing w:after="120"/>
      </w:pPr>
      <w:r w:rsidRPr="00B04B9A">
        <w:rPr>
          <w:i/>
          <w:iCs/>
        </w:rPr>
        <w:t>Criteria to Distinguish a New Case from an Existing Case</w:t>
      </w:r>
    </w:p>
    <w:p w14:paraId="4FC7259B" w14:textId="77777777" w:rsidR="005D1FD3" w:rsidRPr="00B04B9A" w:rsidRDefault="005D1FD3" w:rsidP="009F76C4">
      <w:pPr>
        <w:spacing w:after="120"/>
      </w:pPr>
      <w:r w:rsidRPr="00B04B9A">
        <w:t>Hepatitis A is usually self-limiting and does not result in chronic infection. However, up to 10% of persons with hepatitis A may experience a relapse during the 6 months after acute illnesses. Cases of relapsing hepatitis A should not be enumerated as new cases. In addition, a case should not be counted as a hepatitis A case if there is an alternate, more likely diagnosis.</w:t>
      </w:r>
    </w:p>
    <w:p w14:paraId="25FA8287" w14:textId="77777777" w:rsidR="005D1FD3" w:rsidRPr="00B04B9A" w:rsidRDefault="005D1FD3" w:rsidP="009F76C4">
      <w:pPr>
        <w:spacing w:after="120"/>
      </w:pPr>
      <w:r w:rsidRPr="00B04B9A">
        <w:rPr>
          <w:i/>
          <w:iCs/>
        </w:rPr>
        <w:t>Case Classification</w:t>
      </w:r>
    </w:p>
    <w:p w14:paraId="166E3901" w14:textId="77777777" w:rsidR="005D1FD3" w:rsidRPr="00B04B9A" w:rsidRDefault="005D1FD3" w:rsidP="009F76C4">
      <w:pPr>
        <w:spacing w:after="120"/>
      </w:pPr>
      <w:r w:rsidRPr="00B04B9A">
        <w:rPr>
          <w:i/>
          <w:iCs/>
        </w:rPr>
        <w:t>Confirmed:</w:t>
      </w:r>
    </w:p>
    <w:p w14:paraId="1D8DAB8A" w14:textId="77777777" w:rsidR="005D1FD3" w:rsidRPr="00B04B9A" w:rsidRDefault="005D1FD3">
      <w:pPr>
        <w:numPr>
          <w:ilvl w:val="0"/>
          <w:numId w:val="40"/>
        </w:numPr>
        <w:tabs>
          <w:tab w:val="left" w:pos="720"/>
        </w:tabs>
        <w:spacing w:after="120"/>
      </w:pPr>
      <w:r w:rsidRPr="00B04B9A">
        <w:t>A case that meets the clinical criteria and is IgM anti-HAV positive </w:t>
      </w:r>
      <w:r w:rsidRPr="00B04B9A">
        <w:rPr>
          <w:vertAlign w:val="superscript"/>
        </w:rPr>
        <w:t>§</w:t>
      </w:r>
      <w:r w:rsidRPr="00B04B9A">
        <w:t>, </w:t>
      </w:r>
      <w:r w:rsidRPr="00B04B9A">
        <w:rPr>
          <w:b/>
          <w:bCs/>
        </w:rPr>
        <w:t>OR</w:t>
      </w:r>
    </w:p>
    <w:p w14:paraId="5EFA8E3E" w14:textId="77777777" w:rsidR="005D1FD3" w:rsidRPr="00B04B9A" w:rsidRDefault="005D1FD3">
      <w:pPr>
        <w:numPr>
          <w:ilvl w:val="0"/>
          <w:numId w:val="40"/>
        </w:numPr>
        <w:tabs>
          <w:tab w:val="left" w:pos="720"/>
        </w:tabs>
        <w:spacing w:after="120"/>
      </w:pPr>
      <w:r w:rsidRPr="00B04B9A">
        <w:t>A case that has hepatitis A virus RNA detected by NAAT (such as PCR or genotyping), </w:t>
      </w:r>
      <w:r w:rsidRPr="00B04B9A">
        <w:rPr>
          <w:b/>
          <w:bCs/>
        </w:rPr>
        <w:t>OR</w:t>
      </w:r>
    </w:p>
    <w:p w14:paraId="4D2FDACE" w14:textId="77777777" w:rsidR="005D1FD3" w:rsidRPr="00B04B9A" w:rsidRDefault="005D1FD3">
      <w:pPr>
        <w:numPr>
          <w:ilvl w:val="0"/>
          <w:numId w:val="40"/>
        </w:numPr>
        <w:tabs>
          <w:tab w:val="left" w:pos="720"/>
        </w:tabs>
        <w:spacing w:after="120"/>
      </w:pPr>
      <w:r w:rsidRPr="00B04B9A">
        <w:t>A case that meets the clinical criteria and occurs in a person who had contact (e.g., household or sexual) with a laboratory-confirmed hepatitis A case 15-50 days prior to onset of symptoms.</w:t>
      </w:r>
    </w:p>
    <w:p w14:paraId="3FE9FB76" w14:textId="77777777" w:rsidR="005D1FD3" w:rsidRPr="00B04B9A" w:rsidRDefault="005D1FD3" w:rsidP="009F76C4">
      <w:pPr>
        <w:spacing w:after="120"/>
      </w:pPr>
      <w:r w:rsidRPr="00B04B9A">
        <w:t>§ And not otherwise ruled out by IgM anti-HAV or NAAT for hepatitis A virus testing performed in a public health laboratory.</w:t>
      </w:r>
    </w:p>
    <w:p w14:paraId="0E60A38E" w14:textId="71FB95F7" w:rsidR="005D1FD3" w:rsidRPr="00B04B9A" w:rsidRDefault="1D07E79C" w:rsidP="009F76C4">
      <w:pPr>
        <w:spacing w:after="120"/>
        <w:rPr>
          <w:color w:val="2F5496" w:themeColor="accent1" w:themeShade="BF"/>
        </w:rPr>
      </w:pPr>
      <w:r w:rsidRPr="23C0B236">
        <w:rPr>
          <w:b/>
          <w:bCs/>
          <w:color w:val="2F5496" w:themeColor="accent1" w:themeShade="BF"/>
        </w:rPr>
        <w:t>Hepatitis B, Chronic</w:t>
      </w:r>
      <w:r w:rsidR="005D1FD3" w:rsidRPr="23C0B236">
        <w:rPr>
          <w:b/>
          <w:bCs/>
          <w:color w:val="2F5496" w:themeColor="accent1" w:themeShade="BF"/>
        </w:rPr>
        <w:t xml:space="preserve"> (2012)</w:t>
      </w:r>
    </w:p>
    <w:p w14:paraId="2C6F2F37" w14:textId="77777777" w:rsidR="005D1FD3" w:rsidRPr="00B04B9A" w:rsidRDefault="005D1FD3" w:rsidP="009F76C4">
      <w:pPr>
        <w:spacing w:after="120"/>
      </w:pPr>
      <w:r w:rsidRPr="00B04B9A">
        <w:rPr>
          <w:i/>
          <w:iCs/>
        </w:rPr>
        <w:t>Confirmed:</w:t>
      </w:r>
    </w:p>
    <w:p w14:paraId="40732666" w14:textId="77777777" w:rsidR="005D1FD3" w:rsidRPr="00B04B9A" w:rsidRDefault="005D1FD3" w:rsidP="009F76C4">
      <w:pPr>
        <w:spacing w:after="120"/>
      </w:pPr>
      <w:r w:rsidRPr="00B04B9A">
        <w:t xml:space="preserve">IgM antibodies to hepatitis B core antigen (IgM anti-HBc) negative </w:t>
      </w:r>
    </w:p>
    <w:p w14:paraId="1C94F398" w14:textId="77777777" w:rsidR="005D1FD3" w:rsidRPr="00B04B9A" w:rsidRDefault="005D1FD3" w:rsidP="009F76C4">
      <w:pPr>
        <w:spacing w:after="120"/>
      </w:pPr>
      <w:r w:rsidRPr="00B04B9A">
        <w:rPr>
          <w:b/>
          <w:bCs/>
        </w:rPr>
        <w:t>AND</w:t>
      </w:r>
      <w:r w:rsidRPr="00B04B9A">
        <w:t xml:space="preserve"> </w:t>
      </w:r>
    </w:p>
    <w:p w14:paraId="1951CE36" w14:textId="77777777" w:rsidR="005D1FD3" w:rsidRPr="00B04B9A" w:rsidRDefault="005D1FD3" w:rsidP="009F76C4">
      <w:pPr>
        <w:spacing w:after="120"/>
      </w:pPr>
      <w:r w:rsidRPr="00B04B9A">
        <w:t xml:space="preserve">A positive result on one of the following tests: hepatitis B surface antigen (HBsAg), hepatitis B e antigen (HBeAg), or nucleic acid test for hepatitis B virus DNA (including qualitative, quantitative and genotype testing), </w:t>
      </w:r>
    </w:p>
    <w:p w14:paraId="7260A5BC" w14:textId="77777777" w:rsidR="005D1FD3" w:rsidRPr="00B04B9A" w:rsidRDefault="005D1FD3" w:rsidP="009F76C4">
      <w:pPr>
        <w:spacing w:after="120"/>
      </w:pPr>
      <w:r w:rsidRPr="00B04B9A">
        <w:rPr>
          <w:b/>
          <w:bCs/>
        </w:rPr>
        <w:t>OR</w:t>
      </w:r>
    </w:p>
    <w:p w14:paraId="00C31F60" w14:textId="77777777" w:rsidR="005D1FD3" w:rsidRPr="00B04B9A" w:rsidRDefault="005D1FD3" w:rsidP="009F76C4">
      <w:pPr>
        <w:spacing w:after="120"/>
      </w:pPr>
      <w:r w:rsidRPr="00B04B9A">
        <w:t>HBsAg positive or nucleic acid test for hepatitis B virus DNA (including qualitative, quantitative and genotype testing), or HBeAg positive two times at least 6 months apart (Any combination of these tests performed 6 months apart is acceptable.)</w:t>
      </w:r>
    </w:p>
    <w:p w14:paraId="589765F0" w14:textId="77777777" w:rsidR="005D1FD3" w:rsidRPr="00B04B9A" w:rsidRDefault="005D1FD3" w:rsidP="009F76C4">
      <w:pPr>
        <w:spacing w:after="120"/>
      </w:pPr>
      <w:r w:rsidRPr="00B04B9A">
        <w:rPr>
          <w:i/>
          <w:iCs/>
        </w:rPr>
        <w:t>Probable</w:t>
      </w:r>
      <w:r w:rsidRPr="00B04B9A">
        <w:t>:</w:t>
      </w:r>
    </w:p>
    <w:p w14:paraId="432E8DA4" w14:textId="77777777" w:rsidR="005D1FD3" w:rsidRPr="00B04B9A" w:rsidRDefault="005D1FD3" w:rsidP="009F76C4">
      <w:pPr>
        <w:spacing w:after="120"/>
      </w:pPr>
      <w:r w:rsidRPr="00B04B9A">
        <w:lastRenderedPageBreak/>
        <w:t>A case with a single HBsAg positive or HBV DNA positive (including qualitative, quantitative and genotype testing), or HBeAg positive lab result when no IgM anti-HBc results are available</w:t>
      </w:r>
    </w:p>
    <w:p w14:paraId="6BFCAFA2" w14:textId="59A58CF7" w:rsidR="005D1FD3" w:rsidRPr="00B04B9A" w:rsidRDefault="6711837A" w:rsidP="009F76C4">
      <w:pPr>
        <w:spacing w:after="120"/>
        <w:rPr>
          <w:color w:val="2F5496" w:themeColor="accent1" w:themeShade="BF"/>
        </w:rPr>
      </w:pPr>
      <w:r w:rsidRPr="23C0B236">
        <w:rPr>
          <w:b/>
          <w:bCs/>
          <w:color w:val="2F5496" w:themeColor="accent1" w:themeShade="BF"/>
        </w:rPr>
        <w:t xml:space="preserve">Hepatitis B, </w:t>
      </w:r>
      <w:r w:rsidR="005D1FD3" w:rsidRPr="23C0B236">
        <w:rPr>
          <w:b/>
          <w:bCs/>
          <w:color w:val="2F5496" w:themeColor="accent1" w:themeShade="BF"/>
        </w:rPr>
        <w:t>Acute (2012)</w:t>
      </w:r>
    </w:p>
    <w:p w14:paraId="57EAB8A2" w14:textId="77777777" w:rsidR="005D1FD3" w:rsidRPr="00B04B9A" w:rsidRDefault="005D1FD3" w:rsidP="009F76C4">
      <w:pPr>
        <w:spacing w:after="120"/>
      </w:pPr>
      <w:r w:rsidRPr="00B04B9A">
        <w:t>Clinical Presentation: An acute illness with a discrete onset of symptoms consistent with acute viral hepatitis (e.g., fever, headache, malaise, anorexia, nausea, vomiting, diarrhea, and abdominal pain) and either a) jaundice or b) elevated serum alanine aminotransferase levels &gt; 100 IU/L</w:t>
      </w:r>
    </w:p>
    <w:p w14:paraId="131AFC6A" w14:textId="77777777" w:rsidR="005D1FD3" w:rsidRPr="00B04B9A" w:rsidRDefault="005D1FD3" w:rsidP="009F76C4">
      <w:pPr>
        <w:spacing w:after="120"/>
      </w:pPr>
      <w:r w:rsidRPr="00B04B9A">
        <w:rPr>
          <w:i/>
          <w:iCs/>
        </w:rPr>
        <w:t>Confirmed:</w:t>
      </w:r>
    </w:p>
    <w:p w14:paraId="0D521FAA" w14:textId="77777777" w:rsidR="005D1FD3" w:rsidRPr="00B04B9A" w:rsidRDefault="005D1FD3" w:rsidP="009F76C4">
      <w:pPr>
        <w:spacing w:after="120"/>
      </w:pPr>
      <w:r w:rsidRPr="00B04B9A">
        <w:t>Clinically compatible case* not known to have chronic hepatitis B and</w:t>
      </w:r>
    </w:p>
    <w:p w14:paraId="2295763B" w14:textId="77777777" w:rsidR="005D1FD3" w:rsidRPr="00B04B9A" w:rsidRDefault="005D1FD3" w:rsidP="009F76C4">
      <w:pPr>
        <w:spacing w:after="120"/>
      </w:pPr>
      <w:r w:rsidRPr="00B04B9A">
        <w:t xml:space="preserve">HBsAg positive </w:t>
      </w:r>
    </w:p>
    <w:p w14:paraId="5AE5751F" w14:textId="77777777" w:rsidR="005D1FD3" w:rsidRPr="00B04B9A" w:rsidRDefault="005D1FD3" w:rsidP="009F76C4">
      <w:pPr>
        <w:spacing w:after="120"/>
      </w:pPr>
      <w:r w:rsidRPr="00B04B9A">
        <w:rPr>
          <w:b/>
          <w:bCs/>
        </w:rPr>
        <w:t>AND</w:t>
      </w:r>
    </w:p>
    <w:p w14:paraId="2FCB0F3D" w14:textId="77777777" w:rsidR="005D1FD3" w:rsidRPr="00B04B9A" w:rsidRDefault="005D1FD3" w:rsidP="009F76C4">
      <w:pPr>
        <w:spacing w:after="120"/>
      </w:pPr>
      <w:r w:rsidRPr="00B04B9A">
        <w:t xml:space="preserve">IgM antibody to hepatitis B core antigen (IgM anti– HBc) positive, if done * </w:t>
      </w:r>
    </w:p>
    <w:p w14:paraId="1C145CFF" w14:textId="77777777" w:rsidR="005D1FD3" w:rsidRPr="00B04B9A" w:rsidRDefault="005D1FD3" w:rsidP="009F76C4">
      <w:pPr>
        <w:spacing w:after="120"/>
      </w:pPr>
      <w:r w:rsidRPr="00B04B9A">
        <w:t>A documented negative hepatitis B surface antigen (HBsAg) laboratory test result within 6 months prior to a positive test (either HBsAg, Hepatitis B “e” antigen (HBeAg), or hepatitis B virus nucleic acid testing (HBV NAT) including genotype) result does NOT require an acute clinical presentation to meet the surveillance case definition.</w:t>
      </w:r>
    </w:p>
    <w:p w14:paraId="54406133" w14:textId="77777777" w:rsidR="005D1FD3" w:rsidRPr="00B04B9A" w:rsidRDefault="005D1FD3" w:rsidP="009F76C4">
      <w:pPr>
        <w:spacing w:after="120"/>
      </w:pPr>
      <w:r w:rsidRPr="00B04B9A">
        <w:rPr>
          <w:i/>
          <w:iCs/>
        </w:rPr>
        <w:t>Suspect:</w:t>
      </w:r>
    </w:p>
    <w:p w14:paraId="44DDD511" w14:textId="77777777" w:rsidR="005D1FD3" w:rsidRPr="00B04B9A" w:rsidRDefault="005D1FD3" w:rsidP="009F76C4">
      <w:pPr>
        <w:spacing w:after="120"/>
      </w:pPr>
      <w:r w:rsidRPr="00B04B9A">
        <w:t>Positive IgM antibody to hepatitis B core antigen (IgM anti-HBc) that does not meet the clinical definition</w:t>
      </w:r>
    </w:p>
    <w:p w14:paraId="0D43CA77" w14:textId="77777777" w:rsidR="005D1FD3" w:rsidRPr="00B04B9A" w:rsidRDefault="005D1FD3" w:rsidP="009F76C4">
      <w:pPr>
        <w:spacing w:after="120"/>
      </w:pPr>
      <w:r w:rsidRPr="00B04B9A">
        <w:t>Note that the year into which a case is categorized is based upon the case’s “Event Date”, which is assigned by the following case characteristics, in decreasing order of specificity, dependent on availability of information: symptom onset date, specimen collection date, diagnosis date, or case report date</w:t>
      </w:r>
    </w:p>
    <w:p w14:paraId="7CBAF02C" w14:textId="77777777" w:rsidR="005D1FD3" w:rsidRPr="00B04B9A" w:rsidRDefault="005D1FD3" w:rsidP="4F7CD6E5">
      <w:pPr>
        <w:spacing w:after="120"/>
        <w:rPr>
          <w:b/>
          <w:bCs/>
          <w:color w:val="2F5496" w:themeColor="accent1" w:themeShade="BF"/>
        </w:rPr>
      </w:pPr>
      <w:r w:rsidRPr="00B04B9A">
        <w:rPr>
          <w:b/>
          <w:bCs/>
          <w:color w:val="2F5496" w:themeColor="accent1" w:themeShade="BF"/>
        </w:rPr>
        <w:t>Hepatitis C, Acute (2012)</w:t>
      </w:r>
    </w:p>
    <w:p w14:paraId="2A9CC9FD" w14:textId="77777777" w:rsidR="005D1FD3" w:rsidRPr="00B04B9A" w:rsidRDefault="005D1FD3" w:rsidP="009F76C4">
      <w:pPr>
        <w:spacing w:after="120"/>
      </w:pPr>
      <w:r w:rsidRPr="00B04B9A">
        <w:rPr>
          <w:i/>
          <w:iCs/>
        </w:rPr>
        <w:t xml:space="preserve">Clinical description </w:t>
      </w:r>
      <w:r w:rsidRPr="00B04B9A">
        <w:t>– An acute illness with a discrete onset of any sign or symptom consistent with acute viral hepatitis (e.g. fever, headache, malaise, anorexia, nausea, vomiting, diarrhea, and abdominal pain), and either a) jaundice, or b) elevated ALT levels &gt;400 IU/L. A documented negative HCV antibody laboratory test result followed within 6 months by a positive test result does not require an acute clinical presentation to meet the surveillance case definition.</w:t>
      </w:r>
    </w:p>
    <w:p w14:paraId="5BFDA814" w14:textId="77777777" w:rsidR="005D1FD3" w:rsidRPr="00B04B9A" w:rsidRDefault="005D1FD3" w:rsidP="009F76C4">
      <w:pPr>
        <w:spacing w:after="120"/>
      </w:pPr>
      <w:r w:rsidRPr="00B04B9A">
        <w:rPr>
          <w:i/>
          <w:iCs/>
        </w:rPr>
        <w:t xml:space="preserve">Laboratory criteria for diagnosis </w:t>
      </w:r>
      <w:r w:rsidRPr="00B04B9A">
        <w:t>– One or more of the following three criteria (except in persons less than 18 months of age, for whom only the third criterion would meet the case classification criteria):</w:t>
      </w:r>
    </w:p>
    <w:p w14:paraId="2D25F7CF" w14:textId="77777777" w:rsidR="005D1FD3" w:rsidRPr="00B04B9A" w:rsidRDefault="005D1FD3">
      <w:pPr>
        <w:numPr>
          <w:ilvl w:val="0"/>
          <w:numId w:val="41"/>
        </w:numPr>
        <w:spacing w:after="120"/>
      </w:pPr>
      <w:r w:rsidRPr="00B04B9A">
        <w:t>Anti-HCV screening-test-positive with a signal to cut-off ratio predictive of a true positive as determined for the particular assay as defined by CDC, or</w:t>
      </w:r>
    </w:p>
    <w:p w14:paraId="24A0934C" w14:textId="77777777" w:rsidR="005D1FD3" w:rsidRPr="00B04B9A" w:rsidRDefault="005D1FD3">
      <w:pPr>
        <w:numPr>
          <w:ilvl w:val="0"/>
          <w:numId w:val="41"/>
        </w:numPr>
        <w:spacing w:after="120"/>
      </w:pPr>
      <w:r w:rsidRPr="00B04B9A">
        <w:t>HCV recombinant immunoblot assay positive, or</w:t>
      </w:r>
    </w:p>
    <w:p w14:paraId="3F3F8EF2" w14:textId="377F1B2D" w:rsidR="005D1FD3" w:rsidRPr="00B04B9A" w:rsidRDefault="00DB0813">
      <w:pPr>
        <w:numPr>
          <w:ilvl w:val="0"/>
          <w:numId w:val="41"/>
        </w:numPr>
        <w:spacing w:after="120"/>
      </w:pPr>
      <w:r w:rsidRPr="00B04B9A">
        <w:rPr>
          <w:rFonts w:ascii="Calibri" w:eastAsia="Calibri" w:hAnsi="Calibri" w:cs="Calibri"/>
          <w:szCs w:val="24"/>
        </w:rPr>
        <w:t>Nucleic acid test (NAT)</w:t>
      </w:r>
      <w:r w:rsidR="005D1FD3" w:rsidRPr="00B04B9A">
        <w:t xml:space="preserve"> for HCV RNA positive (including qualitative, quantitative, or genotype testing) and, if done meets the following two criteria:</w:t>
      </w:r>
    </w:p>
    <w:p w14:paraId="045BA692" w14:textId="77777777" w:rsidR="005D1FD3" w:rsidRPr="00B04B9A" w:rsidRDefault="005D1FD3">
      <w:pPr>
        <w:numPr>
          <w:ilvl w:val="0"/>
          <w:numId w:val="41"/>
        </w:numPr>
        <w:spacing w:after="120"/>
      </w:pPr>
      <w:r w:rsidRPr="00B04B9A">
        <w:t>Absence of IgM antibody to hepatitis A virus</w:t>
      </w:r>
    </w:p>
    <w:p w14:paraId="4B11DB8C" w14:textId="77777777" w:rsidR="005D1FD3" w:rsidRPr="00B04B9A" w:rsidRDefault="005D1FD3">
      <w:pPr>
        <w:numPr>
          <w:ilvl w:val="0"/>
          <w:numId w:val="41"/>
        </w:numPr>
        <w:spacing w:after="120"/>
      </w:pPr>
      <w:r w:rsidRPr="00B04B9A">
        <w:t>Absence of IgM antibody to hepatitis B core antigen</w:t>
      </w:r>
    </w:p>
    <w:p w14:paraId="07205FA8" w14:textId="77777777" w:rsidR="005D1FD3" w:rsidRPr="00B04B9A" w:rsidRDefault="005D1FD3" w:rsidP="009F76C4">
      <w:pPr>
        <w:spacing w:after="120"/>
      </w:pPr>
      <w:r w:rsidRPr="00B04B9A">
        <w:rPr>
          <w:i/>
          <w:iCs/>
        </w:rPr>
        <w:lastRenderedPageBreak/>
        <w:t xml:space="preserve">Confirmed </w:t>
      </w:r>
      <w:r w:rsidRPr="00B04B9A">
        <w:t>– A case that meets the clinical case definition, is laboratory confirmed, and is not known to have chronic hepatitis C.</w:t>
      </w:r>
    </w:p>
    <w:p w14:paraId="000262B0" w14:textId="77777777" w:rsidR="005D1FD3" w:rsidRPr="00B04B9A" w:rsidRDefault="005D1FD3" w:rsidP="009F76C4">
      <w:pPr>
        <w:spacing w:after="120"/>
        <w:rPr>
          <w:color w:val="2F5496" w:themeColor="accent1" w:themeShade="BF"/>
        </w:rPr>
      </w:pPr>
      <w:r w:rsidRPr="00B04B9A">
        <w:rPr>
          <w:b/>
          <w:bCs/>
          <w:color w:val="2F5496" w:themeColor="accent1" w:themeShade="BF"/>
        </w:rPr>
        <w:t>Hepatitis C, Past or Present (2012)</w:t>
      </w:r>
    </w:p>
    <w:p w14:paraId="7690A551" w14:textId="71DE3D77" w:rsidR="005D1FD3" w:rsidRPr="00B04B9A" w:rsidRDefault="005D1FD3" w:rsidP="009F76C4">
      <w:pPr>
        <w:spacing w:after="120"/>
      </w:pPr>
      <w:r w:rsidRPr="00B04B9A">
        <w:rPr>
          <w:i/>
          <w:iCs/>
        </w:rPr>
        <w:t xml:space="preserve">Laboratory criteria for diagnosis </w:t>
      </w:r>
      <w:r w:rsidRPr="00B04B9A">
        <w:t>– One or more of the following three criteria (except in persons less than 18 months of age, for whom only the third criterion would meet the case classification criteria):</w:t>
      </w:r>
    </w:p>
    <w:p w14:paraId="17D4224A" w14:textId="77777777" w:rsidR="005D1FD3" w:rsidRPr="00B04B9A" w:rsidRDefault="005D1FD3">
      <w:pPr>
        <w:numPr>
          <w:ilvl w:val="0"/>
          <w:numId w:val="42"/>
        </w:numPr>
        <w:spacing w:after="120"/>
      </w:pPr>
      <w:r w:rsidRPr="00B04B9A">
        <w:t>Anti-HCV screening-test-positive with a signal to cut-off ratio predictive of a true positive as determined for the particular assay as defined by CDC, or</w:t>
      </w:r>
    </w:p>
    <w:p w14:paraId="40341D04" w14:textId="77777777" w:rsidR="005D1FD3" w:rsidRPr="00B04B9A" w:rsidRDefault="005D1FD3">
      <w:pPr>
        <w:numPr>
          <w:ilvl w:val="0"/>
          <w:numId w:val="42"/>
        </w:numPr>
        <w:spacing w:after="120"/>
      </w:pPr>
      <w:r w:rsidRPr="00B04B9A">
        <w:t>HCV recombinant immunoblot assay positive, or</w:t>
      </w:r>
    </w:p>
    <w:p w14:paraId="2A49FBC5" w14:textId="77777777" w:rsidR="005D1FD3" w:rsidRPr="00B04B9A" w:rsidRDefault="005D1FD3">
      <w:pPr>
        <w:numPr>
          <w:ilvl w:val="0"/>
          <w:numId w:val="42"/>
        </w:numPr>
        <w:spacing w:after="120"/>
      </w:pPr>
      <w:r w:rsidRPr="00B04B9A">
        <w:t>NAT for HCV RNA positive (including qualitative, quantitative, or genotype testing)</w:t>
      </w:r>
    </w:p>
    <w:p w14:paraId="734C7BD2" w14:textId="77777777" w:rsidR="005D1FD3" w:rsidRPr="00B04B9A" w:rsidRDefault="005D1FD3" w:rsidP="009F76C4">
      <w:pPr>
        <w:spacing w:after="120"/>
      </w:pPr>
      <w:r w:rsidRPr="00B04B9A">
        <w:rPr>
          <w:i/>
          <w:iCs/>
        </w:rPr>
        <w:t xml:space="preserve">Probable </w:t>
      </w:r>
      <w:r w:rsidRPr="00B04B9A">
        <w:t>– A case that does not meet the case definition for acute hepatitis C, is anti-HCV positive (repeat reactive) by EIA, and has ALT values above the upper limit of normal, but the anti-HCV EIA result has not been verified by an additional more specific assay or the signal to cut-off ratio is unknown.</w:t>
      </w:r>
    </w:p>
    <w:p w14:paraId="58371D86" w14:textId="77777777" w:rsidR="005D1FD3" w:rsidRPr="00B04B9A" w:rsidRDefault="005D1FD3" w:rsidP="009F76C4">
      <w:pPr>
        <w:spacing w:after="120"/>
      </w:pPr>
      <w:r w:rsidRPr="00B04B9A">
        <w:rPr>
          <w:i/>
          <w:iCs/>
        </w:rPr>
        <w:t xml:space="preserve">Confirmed </w:t>
      </w:r>
      <w:r w:rsidRPr="00B04B9A">
        <w:t>– A case that is laboratory confirmed and does not meet the case definition for acute hepatitis C.</w:t>
      </w:r>
    </w:p>
    <w:p w14:paraId="55748FCB" w14:textId="77777777" w:rsidR="005D1FD3" w:rsidRPr="00B04B9A" w:rsidRDefault="005D1FD3" w:rsidP="009F76C4">
      <w:pPr>
        <w:spacing w:after="120"/>
        <w:rPr>
          <w:color w:val="2F5496" w:themeColor="accent1" w:themeShade="BF"/>
        </w:rPr>
      </w:pPr>
      <w:r w:rsidRPr="00B04B9A">
        <w:rPr>
          <w:b/>
          <w:bCs/>
          <w:color w:val="2F5496" w:themeColor="accent1" w:themeShade="BF"/>
        </w:rPr>
        <w:t>Hepatitis C, Acute (2016)</w:t>
      </w:r>
    </w:p>
    <w:p w14:paraId="73BD5115" w14:textId="77777777" w:rsidR="005D1FD3" w:rsidRPr="00B04B9A" w:rsidRDefault="005D1FD3" w:rsidP="009F76C4">
      <w:pPr>
        <w:spacing w:after="120"/>
      </w:pPr>
      <w:r w:rsidRPr="00B04B9A">
        <w:rPr>
          <w:i/>
          <w:iCs/>
        </w:rPr>
        <w:t xml:space="preserve">Clinical criteria </w:t>
      </w:r>
      <w:r w:rsidRPr="00B04B9A">
        <w:t>– An illness with discrete onset of any sign or symptom consistent with viral hepatitis (e.g. fever, headache, malaise, anorexia, nausea, vomiting, diarrhea, and abdominal pain) and a) jaundice or b) a peak elevated serum ALT level &gt;200 IU/L during the period of acute illness.</w:t>
      </w:r>
    </w:p>
    <w:p w14:paraId="40DC99E0" w14:textId="77777777" w:rsidR="005D1FD3" w:rsidRPr="00B04B9A" w:rsidRDefault="005D1FD3" w:rsidP="009F76C4">
      <w:pPr>
        <w:spacing w:after="120"/>
      </w:pPr>
      <w:r w:rsidRPr="00B04B9A">
        <w:rPr>
          <w:i/>
          <w:iCs/>
        </w:rPr>
        <w:t>Laboratory criteria for diagnosis</w:t>
      </w:r>
    </w:p>
    <w:p w14:paraId="6A07FAF8" w14:textId="77777777" w:rsidR="005D1FD3" w:rsidRPr="00B04B9A" w:rsidRDefault="005D1FD3">
      <w:pPr>
        <w:numPr>
          <w:ilvl w:val="0"/>
          <w:numId w:val="43"/>
        </w:numPr>
        <w:spacing w:after="120"/>
      </w:pPr>
      <w:r w:rsidRPr="00B04B9A">
        <w:t>A positive test for antibodies to HCV</w:t>
      </w:r>
    </w:p>
    <w:p w14:paraId="4F33D8B4" w14:textId="77777777" w:rsidR="005D1FD3" w:rsidRPr="00B04B9A" w:rsidRDefault="005D1FD3">
      <w:pPr>
        <w:numPr>
          <w:ilvl w:val="0"/>
          <w:numId w:val="43"/>
        </w:numPr>
        <w:spacing w:after="120"/>
      </w:pPr>
      <w:r w:rsidRPr="00B04B9A">
        <w:t>HCV detection test: NAT for HCV RNA positive, including qualitative, quantitative, or genotype testing</w:t>
      </w:r>
    </w:p>
    <w:p w14:paraId="130D5EB7" w14:textId="77777777" w:rsidR="005D1FD3" w:rsidRPr="00B04B9A" w:rsidRDefault="005D1FD3">
      <w:pPr>
        <w:numPr>
          <w:ilvl w:val="0"/>
          <w:numId w:val="43"/>
        </w:numPr>
        <w:spacing w:after="120"/>
      </w:pPr>
      <w:r w:rsidRPr="00B04B9A">
        <w:t>A positive test indicating presence of HCV antigen when and if a test for HCV antigen is approved by FDA and available</w:t>
      </w:r>
    </w:p>
    <w:p w14:paraId="02F7467C" w14:textId="77777777" w:rsidR="005D1FD3" w:rsidRPr="00B04B9A" w:rsidRDefault="005D1FD3" w:rsidP="009F76C4">
      <w:pPr>
        <w:spacing w:after="120"/>
      </w:pPr>
      <w:r w:rsidRPr="00B04B9A">
        <w:rPr>
          <w:i/>
          <w:iCs/>
        </w:rPr>
        <w:t xml:space="preserve">Probable </w:t>
      </w:r>
      <w:r w:rsidRPr="00B04B9A">
        <w:t>– A case that meets clinical criteria and has a positive anti-HCV antibody test, but has no reports of a positive HCV NAT or positive HCV antigen tests and does not have test seroconversion within 12 months or has no report of test conversion.</w:t>
      </w:r>
    </w:p>
    <w:p w14:paraId="6357B8C5" w14:textId="77777777" w:rsidR="005D1FD3" w:rsidRPr="00B04B9A" w:rsidRDefault="005D1FD3" w:rsidP="009F76C4">
      <w:pPr>
        <w:spacing w:after="120"/>
      </w:pPr>
      <w:r w:rsidRPr="00B04B9A">
        <w:rPr>
          <w:i/>
          <w:iCs/>
        </w:rPr>
        <w:t xml:space="preserve">Confirmed </w:t>
      </w:r>
      <w:r w:rsidRPr="00B04B9A">
        <w:t>– A case that meets clinical criteria and has a positive HCV NAT or HCV antigen, or a documented negative HCV antibody, HCV antigen or NAT laboratory test result followed within 12 months by a positive result of any of these tests (test conversion).</w:t>
      </w:r>
    </w:p>
    <w:p w14:paraId="3758407A" w14:textId="77777777" w:rsidR="005D1FD3" w:rsidRPr="00B04B9A" w:rsidRDefault="005D1FD3" w:rsidP="009F76C4">
      <w:pPr>
        <w:spacing w:after="120"/>
        <w:rPr>
          <w:color w:val="2F5496" w:themeColor="accent1" w:themeShade="BF"/>
        </w:rPr>
      </w:pPr>
      <w:r w:rsidRPr="00B04B9A">
        <w:rPr>
          <w:b/>
          <w:bCs/>
          <w:color w:val="2F5496" w:themeColor="accent1" w:themeShade="BF"/>
        </w:rPr>
        <w:t>Hepatitis C, Chronic (2016)</w:t>
      </w:r>
    </w:p>
    <w:p w14:paraId="4FAE49CF" w14:textId="77777777" w:rsidR="005D1FD3" w:rsidRPr="00B04B9A" w:rsidRDefault="005D1FD3" w:rsidP="009F76C4">
      <w:pPr>
        <w:spacing w:after="120"/>
      </w:pPr>
      <w:r w:rsidRPr="00B04B9A">
        <w:rPr>
          <w:i/>
          <w:iCs/>
        </w:rPr>
        <w:t>Laboratory criteria for diagnosis</w:t>
      </w:r>
    </w:p>
    <w:p w14:paraId="6C525A98" w14:textId="77777777" w:rsidR="005D1FD3" w:rsidRPr="00B04B9A" w:rsidRDefault="005D1FD3">
      <w:pPr>
        <w:numPr>
          <w:ilvl w:val="0"/>
          <w:numId w:val="44"/>
        </w:numPr>
        <w:spacing w:after="120"/>
      </w:pPr>
      <w:r w:rsidRPr="00B04B9A">
        <w:t xml:space="preserve">A positive test for antibodies to HCV </w:t>
      </w:r>
    </w:p>
    <w:p w14:paraId="2E6A759A" w14:textId="77777777" w:rsidR="005D1FD3" w:rsidRPr="00B04B9A" w:rsidRDefault="005D1FD3">
      <w:pPr>
        <w:numPr>
          <w:ilvl w:val="0"/>
          <w:numId w:val="44"/>
        </w:numPr>
        <w:spacing w:after="120"/>
      </w:pPr>
      <w:r w:rsidRPr="00B04B9A">
        <w:t>HCV detection test: NAT for HCV RNA positive, including qualitative, quantitative, or genotype testing</w:t>
      </w:r>
    </w:p>
    <w:p w14:paraId="452E5C80" w14:textId="77777777" w:rsidR="005D1FD3" w:rsidRPr="00B04B9A" w:rsidRDefault="005D1FD3">
      <w:pPr>
        <w:numPr>
          <w:ilvl w:val="0"/>
          <w:numId w:val="44"/>
        </w:numPr>
        <w:spacing w:after="120"/>
      </w:pPr>
      <w:r w:rsidRPr="00B04B9A">
        <w:lastRenderedPageBreak/>
        <w:t>A positive test indicating presence of HCV antigen when and if a test for HCV antigen is approved by FDA and available</w:t>
      </w:r>
    </w:p>
    <w:p w14:paraId="1E9F8640" w14:textId="77777777" w:rsidR="005D1FD3" w:rsidRPr="00B04B9A" w:rsidRDefault="005D1FD3" w:rsidP="009F76C4">
      <w:pPr>
        <w:spacing w:after="120"/>
      </w:pPr>
      <w:r w:rsidRPr="00B04B9A">
        <w:rPr>
          <w:i/>
          <w:iCs/>
        </w:rPr>
        <w:t xml:space="preserve">Probable </w:t>
      </w:r>
      <w:r w:rsidRPr="00B04B9A">
        <w:t>– A case that does not meet clinical criteria or has no report of clinical criteria, and does not have test conversion within 12 months or has no report of test conversion, and has a positive anti-HCV antibody test, but no report of a positive HCV NAT or positive HCV antigen test.</w:t>
      </w:r>
    </w:p>
    <w:p w14:paraId="68EE005E" w14:textId="77777777" w:rsidR="005D1FD3" w:rsidRPr="00B04B9A" w:rsidRDefault="341F7552" w:rsidP="009F76C4">
      <w:pPr>
        <w:spacing w:after="120"/>
      </w:pPr>
      <w:r w:rsidRPr="00B04B9A">
        <w:rPr>
          <w:i/>
          <w:iCs/>
        </w:rPr>
        <w:t xml:space="preserve">Confirmed </w:t>
      </w:r>
      <w:r w:rsidRPr="00B04B9A">
        <w:t>– A case that does not meet clinical criteria or has no report of clinical criteria, and does not have test conversion within 12 months or has no report of test conversion, and has a positive HCV NAT or HCV antigen test.</w:t>
      </w:r>
    </w:p>
    <w:p w14:paraId="340B56D8" w14:textId="723F685D" w:rsidR="5FAF9228" w:rsidRPr="00B04B9A" w:rsidRDefault="5FAF9228" w:rsidP="76F421E0">
      <w:pPr>
        <w:spacing w:after="120"/>
        <w:rPr>
          <w:b/>
          <w:bCs/>
          <w:color w:val="2F5496" w:themeColor="accent1" w:themeShade="BF"/>
          <w:szCs w:val="24"/>
        </w:rPr>
      </w:pPr>
      <w:r w:rsidRPr="00B04B9A">
        <w:rPr>
          <w:b/>
          <w:bCs/>
          <w:color w:val="2F5496" w:themeColor="accent1" w:themeShade="BF"/>
          <w:szCs w:val="24"/>
        </w:rPr>
        <w:t>Hepatitis C, Acute (2020)</w:t>
      </w:r>
    </w:p>
    <w:p w14:paraId="4C9634EC" w14:textId="5A10A3A1" w:rsidR="5FAF9228" w:rsidRPr="00F345D5" w:rsidRDefault="5FAF9228" w:rsidP="00F345D5">
      <w:pPr>
        <w:rPr>
          <w:rFonts w:ascii="Calibri" w:eastAsia="Calibri" w:hAnsi="Calibri" w:cs="Calibri"/>
          <w:b/>
          <w:bCs/>
          <w:i/>
          <w:iCs/>
          <w:szCs w:val="24"/>
        </w:rPr>
      </w:pPr>
      <w:r w:rsidRPr="00F345D5">
        <w:rPr>
          <w:b/>
          <w:bCs/>
        </w:rPr>
        <w:t>Clinical Criteria</w:t>
      </w:r>
    </w:p>
    <w:p w14:paraId="0E22206B" w14:textId="51992307" w:rsidR="38A4F72D" w:rsidRDefault="38A4F72D" w:rsidP="38A4F72D">
      <w:pPr>
        <w:rPr>
          <w:rFonts w:ascii="Calibri" w:eastAsia="Calibri" w:hAnsi="Calibri" w:cs="Calibri"/>
        </w:rPr>
      </w:pPr>
    </w:p>
    <w:p w14:paraId="1DAF15DE" w14:textId="1B18FF25" w:rsidR="5FAF9228" w:rsidRPr="00B04B9A" w:rsidRDefault="5FAF9228" w:rsidP="76F421E0">
      <w:pPr>
        <w:rPr>
          <w:rFonts w:ascii="Calibri" w:eastAsia="Calibri" w:hAnsi="Calibri" w:cs="Calibri"/>
          <w:szCs w:val="24"/>
        </w:rPr>
      </w:pPr>
      <w:r w:rsidRPr="00B04B9A">
        <w:rPr>
          <w:rFonts w:ascii="Calibri" w:eastAsia="Calibri" w:hAnsi="Calibri" w:cs="Calibri"/>
          <w:szCs w:val="24"/>
        </w:rPr>
        <w:t>All hepatitis C virus cases in each classification category should be &gt; 36 months of age, unless known to have been exposed non-perinatally.</w:t>
      </w:r>
    </w:p>
    <w:p w14:paraId="4CB0B4E4" w14:textId="020ABE99" w:rsidR="5FAF9228" w:rsidRPr="00B04B9A" w:rsidRDefault="5FAF9228" w:rsidP="76F421E0">
      <w:pPr>
        <w:rPr>
          <w:rFonts w:ascii="Calibri" w:eastAsia="Calibri" w:hAnsi="Calibri" w:cs="Calibri"/>
          <w:szCs w:val="24"/>
        </w:rPr>
      </w:pPr>
      <w:r w:rsidRPr="00B04B9A">
        <w:rPr>
          <w:rFonts w:ascii="Calibri" w:eastAsia="Calibri" w:hAnsi="Calibri" w:cs="Calibri"/>
          <w:szCs w:val="24"/>
        </w:rPr>
        <w:t>One or more of the following:</w:t>
      </w:r>
    </w:p>
    <w:p w14:paraId="03F18083" w14:textId="0336F86D"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Jaundice, </w:t>
      </w:r>
      <w:r w:rsidRPr="00B04B9A">
        <w:rPr>
          <w:rFonts w:ascii="Calibri" w:eastAsia="Calibri" w:hAnsi="Calibri" w:cs="Calibri"/>
          <w:b/>
          <w:bCs/>
          <w:szCs w:val="24"/>
        </w:rPr>
        <w:t>OR</w:t>
      </w:r>
    </w:p>
    <w:p w14:paraId="36151DFA" w14:textId="1CF2A792"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Peak elevated total bilirubin levels ≥ 3.0 mg/dL, </w:t>
      </w:r>
      <w:r w:rsidRPr="00B04B9A">
        <w:rPr>
          <w:rFonts w:ascii="Calibri" w:eastAsia="Calibri" w:hAnsi="Calibri" w:cs="Calibri"/>
          <w:b/>
          <w:bCs/>
          <w:szCs w:val="24"/>
        </w:rPr>
        <w:t>OR</w:t>
      </w:r>
    </w:p>
    <w:p w14:paraId="3DE7BA8D" w14:textId="444D2B13"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Peak elevated serum </w:t>
      </w:r>
      <w:r w:rsidR="00DB0813" w:rsidRPr="00B04B9A">
        <w:rPr>
          <w:rFonts w:ascii="Calibri" w:eastAsia="Calibri" w:hAnsi="Calibri" w:cs="Calibri"/>
          <w:szCs w:val="24"/>
        </w:rPr>
        <w:t>ALT</w:t>
      </w:r>
      <w:r w:rsidRPr="00B04B9A">
        <w:rPr>
          <w:rFonts w:ascii="Calibri" w:eastAsia="Calibri" w:hAnsi="Calibri" w:cs="Calibri"/>
          <w:szCs w:val="24"/>
        </w:rPr>
        <w:t xml:space="preserve"> levels &gt;200 IU/L,</w:t>
      </w:r>
    </w:p>
    <w:p w14:paraId="52F710EF" w14:textId="1BB6B91E" w:rsidR="5FAF9228" w:rsidRPr="00B04B9A" w:rsidRDefault="40D5C5B5" w:rsidP="008F66D0">
      <w:pPr>
        <w:rPr>
          <w:rFonts w:ascii="Calibri" w:eastAsia="Calibri" w:hAnsi="Calibri" w:cs="Calibri"/>
          <w:b/>
          <w:bCs/>
          <w:szCs w:val="24"/>
        </w:rPr>
      </w:pPr>
      <w:r w:rsidRPr="00B04B9A">
        <w:rPr>
          <w:rFonts w:ascii="Calibri" w:eastAsia="Calibri" w:hAnsi="Calibri" w:cs="Calibri"/>
          <w:b/>
          <w:bCs/>
        </w:rPr>
        <w:t>AND</w:t>
      </w:r>
    </w:p>
    <w:p w14:paraId="6AD5CD6E" w14:textId="76DB9974" w:rsidR="5FAF9228" w:rsidRPr="00B04B9A" w:rsidRDefault="5FAF9228" w:rsidP="76F421E0">
      <w:pPr>
        <w:rPr>
          <w:rFonts w:ascii="Calibri" w:eastAsia="Calibri" w:hAnsi="Calibri" w:cs="Calibri"/>
          <w:szCs w:val="24"/>
        </w:rPr>
      </w:pPr>
      <w:r w:rsidRPr="38A4F72D">
        <w:rPr>
          <w:rFonts w:ascii="Calibri" w:eastAsia="Calibri" w:hAnsi="Calibri" w:cs="Calibri"/>
        </w:rPr>
        <w:t>The absence of a more likely diagnosis (which may include evidence of acute liver disease due to other causes or advanced liver disease due to pre-existing chronic Hepatitis C virus (HCV) infection or other causes, such as alcohol exposure, other viral hepatitis, hemochromatosis, etc.)</w:t>
      </w:r>
    </w:p>
    <w:p w14:paraId="07972F75" w14:textId="36628BDE" w:rsidR="38A4F72D" w:rsidRDefault="38A4F72D" w:rsidP="38A4F72D">
      <w:pPr>
        <w:pStyle w:val="Heading2"/>
        <w:rPr>
          <w:rFonts w:ascii="Calibri" w:eastAsia="Calibri" w:hAnsi="Calibri" w:cs="Calibri"/>
          <w:color w:val="auto"/>
          <w:sz w:val="24"/>
          <w:szCs w:val="24"/>
        </w:rPr>
      </w:pPr>
    </w:p>
    <w:p w14:paraId="0BB9EEA3" w14:textId="42F5B1BF" w:rsidR="5FAF9228" w:rsidRPr="00F345D5" w:rsidRDefault="5FAF9228" w:rsidP="00F345D5">
      <w:pPr>
        <w:rPr>
          <w:rFonts w:ascii="Calibri" w:eastAsia="Calibri" w:hAnsi="Calibri" w:cs="Calibri"/>
          <w:b/>
          <w:bCs/>
          <w:szCs w:val="24"/>
        </w:rPr>
      </w:pPr>
      <w:r w:rsidRPr="00F345D5">
        <w:rPr>
          <w:b/>
          <w:bCs/>
        </w:rPr>
        <w:t>Laboratory Criteria</w:t>
      </w:r>
    </w:p>
    <w:p w14:paraId="382EE95D" w14:textId="4E3FEE82" w:rsidR="38A4F72D" w:rsidRDefault="38A4F72D" w:rsidP="38A4F72D">
      <w:pPr>
        <w:rPr>
          <w:rFonts w:ascii="Calibri" w:eastAsia="Calibri" w:hAnsi="Calibri" w:cs="Calibri"/>
          <w:i/>
          <w:iCs/>
        </w:rPr>
      </w:pPr>
    </w:p>
    <w:p w14:paraId="1C2A8BF1" w14:textId="27221C4D" w:rsidR="5FAF9228" w:rsidRPr="00B04B9A" w:rsidRDefault="5FAF9228" w:rsidP="76F421E0">
      <w:pPr>
        <w:rPr>
          <w:rFonts w:ascii="Calibri" w:eastAsia="Calibri" w:hAnsi="Calibri" w:cs="Calibri"/>
          <w:i/>
          <w:iCs/>
          <w:szCs w:val="24"/>
        </w:rPr>
      </w:pPr>
      <w:r w:rsidRPr="00B04B9A">
        <w:rPr>
          <w:rFonts w:ascii="Calibri" w:eastAsia="Calibri" w:hAnsi="Calibri" w:cs="Calibri"/>
          <w:i/>
          <w:iCs/>
          <w:szCs w:val="24"/>
        </w:rPr>
        <w:t>Confirmatory laboratory evidence:</w:t>
      </w:r>
    </w:p>
    <w:p w14:paraId="2CD68FDC" w14:textId="0B55F68C"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Positive hepatitis C virus detection test: </w:t>
      </w:r>
      <w:r w:rsidR="00DB0813" w:rsidRPr="00B04B9A">
        <w:rPr>
          <w:rFonts w:ascii="Calibri" w:eastAsia="Calibri" w:hAnsi="Calibri" w:cs="Calibri"/>
          <w:szCs w:val="24"/>
        </w:rPr>
        <w:t>NAT</w:t>
      </w:r>
      <w:r w:rsidRPr="00B04B9A">
        <w:rPr>
          <w:rFonts w:ascii="Calibri" w:eastAsia="Calibri" w:hAnsi="Calibri" w:cs="Calibri"/>
          <w:szCs w:val="24"/>
        </w:rPr>
        <w:t xml:space="preserve"> for HCV RNA positive (including qualitative, quantitative, or genotype testing), </w:t>
      </w:r>
      <w:r w:rsidRPr="00B04B9A">
        <w:rPr>
          <w:rFonts w:ascii="Calibri" w:eastAsia="Calibri" w:hAnsi="Calibri" w:cs="Calibri"/>
          <w:b/>
          <w:bCs/>
          <w:szCs w:val="24"/>
        </w:rPr>
        <w:t>OR</w:t>
      </w:r>
    </w:p>
    <w:p w14:paraId="20E536BC" w14:textId="1282A924"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positive test indicating presence of hepatitis C viral antigen(s) (HCV antigen)</w:t>
      </w:r>
    </w:p>
    <w:p w14:paraId="78C192F4" w14:textId="488FC458" w:rsidR="5FAF9228" w:rsidRPr="00B04B9A" w:rsidRDefault="40D5C5B5" w:rsidP="008F66D0">
      <w:pPr>
        <w:rPr>
          <w:rFonts w:ascii="Calibri" w:eastAsia="Calibri" w:hAnsi="Calibri" w:cs="Calibri"/>
          <w:i/>
          <w:iCs/>
          <w:szCs w:val="24"/>
        </w:rPr>
      </w:pPr>
      <w:r w:rsidRPr="00B04B9A">
        <w:rPr>
          <w:rFonts w:ascii="Calibri" w:eastAsia="Calibri" w:hAnsi="Calibri" w:cs="Calibri"/>
          <w:i/>
          <w:iCs/>
        </w:rPr>
        <w:t>Presumptive laboratory evidence:</w:t>
      </w:r>
    </w:p>
    <w:p w14:paraId="1236705E" w14:textId="62172C5E" w:rsidR="5FAF9228" w:rsidRPr="00B04B9A" w:rsidRDefault="5FAF9228" w:rsidP="008F66D0">
      <w:pPr>
        <w:pStyle w:val="ListParagraph"/>
        <w:numPr>
          <w:ilvl w:val="0"/>
          <w:numId w:val="1"/>
        </w:numPr>
        <w:rPr>
          <w:rFonts w:eastAsiaTheme="minorEastAsia"/>
          <w:szCs w:val="24"/>
        </w:rPr>
      </w:pPr>
      <w:r w:rsidRPr="38A4F72D">
        <w:rPr>
          <w:rFonts w:ascii="Calibri" w:eastAsia="Calibri" w:hAnsi="Calibri" w:cs="Calibri"/>
        </w:rPr>
        <w:t>A positive test for antibodies to hepatitis C virus (anti-HCV)</w:t>
      </w:r>
    </w:p>
    <w:p w14:paraId="70BE282B" w14:textId="0C408443" w:rsidR="38A4F72D" w:rsidRDefault="38A4F72D" w:rsidP="38A4F72D">
      <w:pPr>
        <w:pStyle w:val="Heading2"/>
        <w:rPr>
          <w:rFonts w:ascii="Calibri" w:eastAsia="Calibri" w:hAnsi="Calibri" w:cs="Calibri"/>
          <w:color w:val="auto"/>
          <w:sz w:val="24"/>
          <w:szCs w:val="24"/>
        </w:rPr>
      </w:pPr>
    </w:p>
    <w:p w14:paraId="1528F37D" w14:textId="16BCABCB" w:rsidR="5FAF9228" w:rsidRPr="00B04B9A" w:rsidRDefault="40D5C5B5" w:rsidP="00F345D5">
      <w:pPr>
        <w:rPr>
          <w:rFonts w:ascii="Calibri" w:eastAsia="Calibri" w:hAnsi="Calibri" w:cs="Calibri"/>
          <w:bCs/>
          <w:szCs w:val="24"/>
        </w:rPr>
      </w:pPr>
      <w:r w:rsidRPr="00F345D5">
        <w:rPr>
          <w:b/>
          <w:bCs/>
        </w:rPr>
        <w:t>Epidemiologic Linkage</w:t>
      </w:r>
    </w:p>
    <w:p w14:paraId="14B76D65" w14:textId="1BE10898" w:rsidR="38A4F72D" w:rsidRPr="00F345D5" w:rsidRDefault="38A4F72D" w:rsidP="38A4F72D">
      <w:pPr>
        <w:rPr>
          <w:b/>
          <w:bCs/>
        </w:rPr>
      </w:pPr>
    </w:p>
    <w:p w14:paraId="0BCBB61E" w14:textId="5364176E" w:rsidR="5FAF9228" w:rsidRPr="00B04B9A" w:rsidRDefault="5FAF9228" w:rsidP="76F421E0">
      <w:pPr>
        <w:rPr>
          <w:rFonts w:ascii="Calibri" w:eastAsia="Calibri" w:hAnsi="Calibri" w:cs="Calibri"/>
          <w:szCs w:val="24"/>
        </w:rPr>
      </w:pPr>
      <w:r w:rsidRPr="38A4F72D">
        <w:rPr>
          <w:rFonts w:ascii="Calibri" w:eastAsia="Calibri" w:hAnsi="Calibri" w:cs="Calibri"/>
        </w:rPr>
        <w:t>No epidemiologic linkage is required for case classification.</w:t>
      </w:r>
    </w:p>
    <w:p w14:paraId="608F1401" w14:textId="3BB72B56" w:rsidR="38A4F72D" w:rsidRDefault="38A4F72D" w:rsidP="38A4F72D">
      <w:pPr>
        <w:pStyle w:val="Heading2"/>
        <w:rPr>
          <w:rFonts w:ascii="Calibri" w:eastAsia="Calibri" w:hAnsi="Calibri" w:cs="Calibri"/>
          <w:color w:val="auto"/>
          <w:sz w:val="24"/>
          <w:szCs w:val="24"/>
        </w:rPr>
      </w:pPr>
    </w:p>
    <w:p w14:paraId="2F4A3773" w14:textId="4572BD7C" w:rsidR="5FAF9228" w:rsidRPr="00F345D5" w:rsidRDefault="5FAF9228" w:rsidP="00F345D5">
      <w:pPr>
        <w:rPr>
          <w:rFonts w:ascii="Calibri" w:eastAsia="Calibri" w:hAnsi="Calibri" w:cs="Calibri"/>
          <w:b/>
          <w:bCs/>
          <w:szCs w:val="24"/>
        </w:rPr>
      </w:pPr>
      <w:r w:rsidRPr="00F345D5">
        <w:rPr>
          <w:b/>
          <w:bCs/>
        </w:rPr>
        <w:t>Criteria to Distinguish a New Case from an Existing Case</w:t>
      </w:r>
    </w:p>
    <w:p w14:paraId="2CFB29A5" w14:textId="71071A82" w:rsidR="38A4F72D" w:rsidRDefault="38A4F72D" w:rsidP="38A4F72D">
      <w:pPr>
        <w:rPr>
          <w:rFonts w:ascii="Calibri" w:eastAsia="Calibri" w:hAnsi="Calibri" w:cs="Calibri"/>
        </w:rPr>
      </w:pPr>
    </w:p>
    <w:p w14:paraId="00C6BF43" w14:textId="4631E5B5" w:rsidR="5FAF9228" w:rsidRPr="00B04B9A" w:rsidRDefault="5FAF9228" w:rsidP="76F421E0">
      <w:pPr>
        <w:rPr>
          <w:rFonts w:ascii="Calibri" w:eastAsia="Calibri" w:hAnsi="Calibri" w:cs="Calibri"/>
          <w:szCs w:val="24"/>
        </w:rPr>
      </w:pPr>
      <w:r w:rsidRPr="00B04B9A">
        <w:rPr>
          <w:rFonts w:ascii="Calibri" w:eastAsia="Calibri" w:hAnsi="Calibri" w:cs="Calibri"/>
          <w:szCs w:val="24"/>
        </w:rPr>
        <w:t>A new acute case is an incident case that is over the age of 36 months and has not previously been reported meeting case criteria for chronic hepatitis C or for whom there is laboratory evidence of re-infection. Cases under the age of 36 months should be classified under the Perinatal HCV Position Statement (17-ID-08) unless the exposure mode is not perinatal (e.g., healthcare acquired).</w:t>
      </w:r>
    </w:p>
    <w:p w14:paraId="5D367058" w14:textId="74C04C5F" w:rsidR="5FAF9228" w:rsidRPr="00B04B9A" w:rsidRDefault="5FAF9228" w:rsidP="388E5C6E">
      <w:pPr>
        <w:rPr>
          <w:rFonts w:ascii="Calibri" w:eastAsia="Calibri" w:hAnsi="Calibri" w:cs="Calibri"/>
        </w:rPr>
      </w:pPr>
      <w:r w:rsidRPr="388E5C6E">
        <w:rPr>
          <w:rFonts w:ascii="Calibri" w:eastAsia="Calibri" w:hAnsi="Calibri" w:cs="Calibri"/>
        </w:rPr>
        <w:t xml:space="preserve">All jurisdictions are encouraged to track negative HCV viral detection tests to document both spontaneous clearance of infection or sustained viral response to HCV treatment. Cases that have </w:t>
      </w:r>
      <w:r w:rsidRPr="388E5C6E">
        <w:rPr>
          <w:rFonts w:ascii="Calibri" w:eastAsia="Calibri" w:hAnsi="Calibri" w:cs="Calibri"/>
        </w:rPr>
        <w:lastRenderedPageBreak/>
        <w:t>evidence of having cleared the infection at time of initial report or are considered false positive should not be reported to CDC.</w:t>
      </w:r>
    </w:p>
    <w:p w14:paraId="10561A33" w14:textId="3EDED5C2" w:rsidR="388E5C6E" w:rsidRDefault="388E5C6E" w:rsidP="388E5C6E">
      <w:pPr>
        <w:rPr>
          <w:rFonts w:ascii="Calibri" w:eastAsia="Calibri" w:hAnsi="Calibri" w:cs="Calibri"/>
        </w:rPr>
      </w:pPr>
    </w:p>
    <w:p w14:paraId="63FE5BE8" w14:textId="7F2380E7" w:rsidR="5FAF9228" w:rsidRPr="00B04B9A" w:rsidRDefault="5FAF9228" w:rsidP="388E5C6E">
      <w:pPr>
        <w:rPr>
          <w:rFonts w:ascii="Calibri" w:eastAsia="Calibri" w:hAnsi="Calibri" w:cs="Calibri"/>
        </w:rPr>
      </w:pPr>
      <w:r w:rsidRPr="388E5C6E">
        <w:rPr>
          <w:rFonts w:ascii="Calibri" w:eastAsia="Calibri" w:hAnsi="Calibri" w:cs="Calibri"/>
        </w:rPr>
        <w:t>Acute cases determined via anti-HCV test conversion do not need to have a positive HCV viral detection test reported to be considered confirmed acute cases.</w:t>
      </w:r>
    </w:p>
    <w:p w14:paraId="5A90DAD4" w14:textId="6ED5AF18" w:rsidR="388E5C6E" w:rsidRDefault="388E5C6E" w:rsidP="388E5C6E">
      <w:pPr>
        <w:rPr>
          <w:rFonts w:ascii="Calibri" w:eastAsia="Calibri" w:hAnsi="Calibri" w:cs="Calibri"/>
        </w:rPr>
      </w:pPr>
    </w:p>
    <w:p w14:paraId="0DB38758" w14:textId="267DE559" w:rsidR="5FAF9228" w:rsidRPr="00B04B9A" w:rsidRDefault="5FAF9228" w:rsidP="76F421E0">
      <w:pPr>
        <w:rPr>
          <w:rFonts w:ascii="Calibri" w:eastAsia="Calibri" w:hAnsi="Calibri" w:cs="Calibri"/>
          <w:szCs w:val="24"/>
        </w:rPr>
      </w:pPr>
      <w:r w:rsidRPr="00B04B9A">
        <w:rPr>
          <w:rFonts w:ascii="Calibri" w:eastAsia="Calibri" w:hAnsi="Calibri" w:cs="Calibri"/>
          <w:szCs w:val="24"/>
        </w:rPr>
        <w:t>A new probable acute case may be reclassified as confirmed acute if a positive HCV viral detection test is reported in the same reporting year (e.g. prior to CDC closing reporting for the calendar year).</w:t>
      </w:r>
    </w:p>
    <w:p w14:paraId="6B264035" w14:textId="7B5BB1F9" w:rsidR="5FAF9228" w:rsidRPr="00B04B9A" w:rsidRDefault="5FAF9228" w:rsidP="388E5C6E">
      <w:pPr>
        <w:rPr>
          <w:rFonts w:ascii="Calibri" w:eastAsia="Calibri" w:hAnsi="Calibri" w:cs="Calibri"/>
        </w:rPr>
      </w:pPr>
      <w:r w:rsidRPr="388E5C6E">
        <w:rPr>
          <w:rFonts w:ascii="Calibri" w:eastAsia="Calibri" w:hAnsi="Calibri" w:cs="Calibri"/>
        </w:rPr>
        <w:t>Collection of risk history data is recommended for probable and confirmed acute HCV cases. Timing of risk history data to collect ranges from 2 weeks to 12 months prior to symptom onset or diagnosis. The time frame to employ depends on the method of classification (e.g. if a case meets clinical criteria and has a positive HCV detection test, a risk history time frame of 2 weeks to 6 months prior to onset should be used; for a case classified via anti-HCV test conversion or HCV RNA test conversion, 2 weeks to 12 months prior to onset should be considered).</w:t>
      </w:r>
    </w:p>
    <w:p w14:paraId="427AE8BA" w14:textId="1A89BFF6" w:rsidR="388E5C6E" w:rsidRDefault="388E5C6E" w:rsidP="388E5C6E">
      <w:pPr>
        <w:rPr>
          <w:rFonts w:ascii="Calibri" w:eastAsia="Calibri" w:hAnsi="Calibri" w:cs="Calibri"/>
        </w:rPr>
      </w:pPr>
    </w:p>
    <w:p w14:paraId="6F0EFE79" w14:textId="2BF17E02" w:rsidR="5FAF9228" w:rsidRPr="00B04B9A" w:rsidRDefault="5FAF9228" w:rsidP="76F421E0">
      <w:pPr>
        <w:rPr>
          <w:rFonts w:ascii="Calibri" w:eastAsia="Calibri" w:hAnsi="Calibri" w:cs="Calibri"/>
          <w:szCs w:val="24"/>
        </w:rPr>
      </w:pPr>
      <w:r w:rsidRPr="00B04B9A">
        <w:rPr>
          <w:rFonts w:ascii="Calibri" w:eastAsia="Calibri" w:hAnsi="Calibri" w:cs="Calibri"/>
          <w:szCs w:val="24"/>
        </w:rPr>
        <w:t>If evidence indicating resolution of infection is received after a confirmed acute case has been reported to CDC, the case report does not need to be modified as it was a confirmed case at the time of initial report. However, negative HCV viral detection test results received on confirmed acute case, subsequent to an initial positive result, should be appended to case reports, as feasible, and considered for the purpose of data analysis by each jurisdiction.</w:t>
      </w:r>
    </w:p>
    <w:p w14:paraId="087ECD77" w14:textId="499B33C0" w:rsidR="5FAF9228" w:rsidRPr="00B04B9A" w:rsidRDefault="5FAF9228" w:rsidP="388E5C6E">
      <w:pPr>
        <w:rPr>
          <w:rFonts w:ascii="Calibri" w:eastAsia="Calibri" w:hAnsi="Calibri" w:cs="Calibri"/>
        </w:rPr>
      </w:pPr>
      <w:r w:rsidRPr="388E5C6E">
        <w:rPr>
          <w:rFonts w:ascii="Calibri" w:eastAsia="Calibri" w:hAnsi="Calibri" w:cs="Calibri"/>
        </w:rPr>
        <w:t>For probable acute cases, the presence of a negative HCV viral detection test result, in the absence of criteria that would allow for confirmation, indicates that a case should not be classified as probable acute and should not be reported to CDC.</w:t>
      </w:r>
    </w:p>
    <w:p w14:paraId="17C1F7CB" w14:textId="26ECF674" w:rsidR="388E5C6E" w:rsidRDefault="388E5C6E" w:rsidP="388E5C6E">
      <w:pPr>
        <w:rPr>
          <w:rFonts w:ascii="Calibri" w:eastAsia="Calibri" w:hAnsi="Calibri" w:cs="Calibri"/>
        </w:rPr>
      </w:pPr>
    </w:p>
    <w:p w14:paraId="03E3C93B" w14:textId="184C7C64" w:rsidR="5FAF9228" w:rsidRPr="00B04B9A" w:rsidRDefault="5FAF9228" w:rsidP="76F421E0">
      <w:pPr>
        <w:rPr>
          <w:rFonts w:ascii="Calibri" w:eastAsia="Calibri" w:hAnsi="Calibri" w:cs="Calibri"/>
          <w:szCs w:val="24"/>
        </w:rPr>
      </w:pPr>
      <w:r w:rsidRPr="38A4F72D">
        <w:rPr>
          <w:rFonts w:ascii="Calibri" w:eastAsia="Calibri" w:hAnsi="Calibri" w:cs="Calibri"/>
        </w:rPr>
        <w:t>A confirmed acute case may be classified as a confirmed chronic case if a positive HCV viral detection test is reported one year or longer after acute case onset. A confirmed acute case may not be reported as a probable chronic case (i.e. HCV antibody positive, but with an unknown HCV viral detection test). For purposes of incidence and prevalence calculations, confirmed acute and chronic HCV cases should be counted.</w:t>
      </w:r>
    </w:p>
    <w:p w14:paraId="32A4D76A" w14:textId="48C6B0A0" w:rsidR="38A4F72D" w:rsidRDefault="38A4F72D" w:rsidP="38A4F72D">
      <w:pPr>
        <w:pStyle w:val="Heading2"/>
        <w:rPr>
          <w:rFonts w:ascii="Calibri" w:eastAsia="Calibri" w:hAnsi="Calibri" w:cs="Calibri"/>
          <w:color w:val="auto"/>
          <w:sz w:val="24"/>
          <w:szCs w:val="24"/>
        </w:rPr>
      </w:pPr>
    </w:p>
    <w:p w14:paraId="5EFDED35" w14:textId="04DFED5E" w:rsidR="5FAF9228" w:rsidRPr="00BF3DAC" w:rsidRDefault="5FAF9228" w:rsidP="00F345D5">
      <w:pPr>
        <w:rPr>
          <w:rFonts w:ascii="Calibri" w:eastAsia="Calibri" w:hAnsi="Calibri" w:cs="Calibri"/>
          <w:bCs/>
        </w:rPr>
      </w:pPr>
      <w:r w:rsidRPr="00F345D5">
        <w:rPr>
          <w:b/>
          <w:bCs/>
        </w:rPr>
        <w:t>Case Classification</w:t>
      </w:r>
    </w:p>
    <w:p w14:paraId="687335F2" w14:textId="4951C56B" w:rsidR="38A4F72D" w:rsidRDefault="38A4F72D" w:rsidP="38A4F72D">
      <w:pPr>
        <w:pStyle w:val="Heading3"/>
        <w:rPr>
          <w:rFonts w:ascii="Calibri" w:eastAsia="Calibri" w:hAnsi="Calibri" w:cs="Calibri"/>
          <w:b/>
          <w:bCs/>
          <w:color w:val="auto"/>
        </w:rPr>
      </w:pPr>
    </w:p>
    <w:p w14:paraId="68FA8864" w14:textId="57B70B1B" w:rsidR="5FAF9228" w:rsidRPr="00B04B9A" w:rsidRDefault="5FAF9228" w:rsidP="00F345D5">
      <w:pPr>
        <w:rPr>
          <w:rFonts w:ascii="Calibri" w:eastAsia="Calibri" w:hAnsi="Calibri" w:cs="Calibri"/>
          <w:b/>
          <w:bCs/>
        </w:rPr>
      </w:pPr>
      <w:r w:rsidRPr="00F345D5">
        <w:rPr>
          <w:b/>
          <w:bCs/>
        </w:rPr>
        <w:t>Probable</w:t>
      </w:r>
    </w:p>
    <w:p w14:paraId="1291D1FC" w14:textId="74EF62E7"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case that meets clinical criteria and has presumptive laboratory evidence,</w:t>
      </w:r>
      <w:r w:rsidRPr="00B04B9A">
        <w:br/>
      </w:r>
      <w:r w:rsidRPr="00B04B9A">
        <w:rPr>
          <w:rFonts w:ascii="Calibri" w:eastAsia="Calibri" w:hAnsi="Calibri" w:cs="Calibri"/>
          <w:szCs w:val="24"/>
        </w:rPr>
        <w:t>AND</w:t>
      </w:r>
    </w:p>
    <w:p w14:paraId="52E30DAD" w14:textId="18E9C158"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Does not have a hepatitis C virus detection test reported,</w:t>
      </w:r>
      <w:r w:rsidRPr="00B04B9A">
        <w:br/>
      </w:r>
      <w:r w:rsidRPr="00B04B9A">
        <w:rPr>
          <w:rFonts w:ascii="Calibri" w:eastAsia="Calibri" w:hAnsi="Calibri" w:cs="Calibri"/>
          <w:szCs w:val="24"/>
        </w:rPr>
        <w:t>AND</w:t>
      </w:r>
    </w:p>
    <w:p w14:paraId="6A7C88B9" w14:textId="147494DF"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Has no documentation of anti-HCV or HCV RNA test conversion within 12 months,</w:t>
      </w:r>
    </w:p>
    <w:p w14:paraId="19C1D0FA" w14:textId="174B53CC" w:rsidR="5FAF9228" w:rsidRPr="00B04B9A" w:rsidRDefault="40D5C5B5" w:rsidP="00F345D5">
      <w:pPr>
        <w:rPr>
          <w:rFonts w:ascii="Calibri" w:eastAsia="Calibri" w:hAnsi="Calibri" w:cs="Calibri"/>
          <w:b/>
          <w:bCs/>
        </w:rPr>
      </w:pPr>
      <w:r w:rsidRPr="00F345D5">
        <w:rPr>
          <w:b/>
          <w:bCs/>
        </w:rPr>
        <w:t>Confirmed</w:t>
      </w:r>
    </w:p>
    <w:p w14:paraId="35315CA1" w14:textId="143F8A70"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case that meets clinical criteria and has confirmatory laboratory evidence,</w:t>
      </w:r>
      <w:r w:rsidRPr="00B04B9A">
        <w:br/>
      </w:r>
      <w:r w:rsidRPr="00B04B9A">
        <w:rPr>
          <w:rFonts w:ascii="Calibri" w:eastAsia="Calibri" w:hAnsi="Calibri" w:cs="Calibri"/>
          <w:szCs w:val="24"/>
        </w:rPr>
        <w:t>OR</w:t>
      </w:r>
    </w:p>
    <w:p w14:paraId="512AA960" w14:textId="561A2CA9"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documented negative HCV antibody followed within 12 months by a positive HCV antibody test (anti-HCV test conversion) in the absence of a more likely diagnosis,</w:t>
      </w:r>
      <w:r w:rsidRPr="00B04B9A">
        <w:br/>
      </w:r>
      <w:r w:rsidRPr="00B04B9A">
        <w:rPr>
          <w:rFonts w:ascii="Calibri" w:eastAsia="Calibri" w:hAnsi="Calibri" w:cs="Calibri"/>
          <w:szCs w:val="24"/>
        </w:rPr>
        <w:t>OR</w:t>
      </w:r>
    </w:p>
    <w:p w14:paraId="1518B1F5" w14:textId="79A61580"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lastRenderedPageBreak/>
        <w:t xml:space="preserve">A documented negative HCV antibody </w:t>
      </w:r>
      <w:r w:rsidRPr="00B04B9A">
        <w:rPr>
          <w:rFonts w:ascii="Calibri" w:eastAsia="Calibri" w:hAnsi="Calibri" w:cs="Calibri"/>
          <w:b/>
          <w:bCs/>
          <w:szCs w:val="24"/>
        </w:rPr>
        <w:t>OR</w:t>
      </w:r>
      <w:r w:rsidRPr="00B04B9A">
        <w:rPr>
          <w:rFonts w:ascii="Calibri" w:eastAsia="Calibri" w:hAnsi="Calibri" w:cs="Calibri"/>
          <w:szCs w:val="24"/>
        </w:rPr>
        <w:t xml:space="preserve"> negative hepatitis C virus detection test (in someone without a prior diagnosis of HCV infection) followed within 12 months by a positive hepatitis C virus detection test (HCV RNA test conversion) in the absence of a more likely diagnosis</w:t>
      </w:r>
      <w:r w:rsidR="24DB0B1E" w:rsidRPr="00B04B9A">
        <w:rPr>
          <w:rFonts w:ascii="Calibri" w:eastAsia="Calibri" w:hAnsi="Calibri" w:cs="Calibri"/>
          <w:szCs w:val="24"/>
        </w:rPr>
        <w:t>.</w:t>
      </w:r>
    </w:p>
    <w:p w14:paraId="2FE3704E" w14:textId="494535F6" w:rsidR="76F421E0" w:rsidRPr="00991A6F" w:rsidRDefault="76F421E0" w:rsidP="76F421E0">
      <w:pPr>
        <w:rPr>
          <w:rFonts w:ascii="Arial Narrow" w:eastAsia="Arial Narrow" w:hAnsi="Arial Narrow" w:cs="Arial Narrow"/>
          <w:b/>
          <w:bCs/>
          <w:color w:val="FF0000"/>
          <w:szCs w:val="24"/>
        </w:rPr>
      </w:pPr>
    </w:p>
    <w:p w14:paraId="14A7B945" w14:textId="2C426A1D" w:rsidR="24DB0B1E" w:rsidRPr="00991A6F" w:rsidRDefault="24DB0B1E" w:rsidP="76F421E0">
      <w:pPr>
        <w:rPr>
          <w:rFonts w:cstheme="minorHAnsi"/>
          <w:color w:val="FF0000"/>
        </w:rPr>
      </w:pPr>
      <w:r w:rsidRPr="00B04B9A">
        <w:rPr>
          <w:rFonts w:eastAsia="Arial Narrow" w:cstheme="minorHAnsi"/>
          <w:b/>
          <w:bCs/>
          <w:color w:val="2F5496" w:themeColor="accent1" w:themeShade="BF"/>
          <w:szCs w:val="24"/>
        </w:rPr>
        <w:t>Hepatitis C, Chronic (2020)</w:t>
      </w:r>
    </w:p>
    <w:p w14:paraId="3B90848F" w14:textId="447A520D" w:rsidR="24DB0B1E" w:rsidRPr="00B04B9A" w:rsidRDefault="24DB0B1E" w:rsidP="76F421E0">
      <w:pPr>
        <w:rPr>
          <w:rFonts w:ascii="Calibri" w:eastAsia="Calibri" w:hAnsi="Calibri" w:cs="Calibri"/>
          <w:szCs w:val="24"/>
        </w:rPr>
      </w:pPr>
      <w:r w:rsidRPr="00B04B9A">
        <w:rPr>
          <w:rFonts w:ascii="Calibri" w:eastAsia="Calibri" w:hAnsi="Calibri" w:cs="Calibri"/>
          <w:i/>
          <w:iCs/>
          <w:szCs w:val="24"/>
        </w:rPr>
        <w:t xml:space="preserve">Clinical Criteria - </w:t>
      </w:r>
      <w:r w:rsidRPr="00B04B9A">
        <w:rPr>
          <w:rFonts w:ascii="Calibri" w:eastAsia="Calibri" w:hAnsi="Calibri" w:cs="Calibri"/>
          <w:szCs w:val="24"/>
        </w:rPr>
        <w:t>All hepatitis C virus cases in each classification category should be &gt; 36 months of age, unless known to have been exposed non-perinatally.</w:t>
      </w:r>
    </w:p>
    <w:p w14:paraId="3D2F7335" w14:textId="5CC6FF6D" w:rsidR="24DB0B1E" w:rsidRPr="00B04B9A" w:rsidRDefault="24DB0B1E" w:rsidP="76F421E0">
      <w:pPr>
        <w:rPr>
          <w:rFonts w:ascii="Calibri" w:eastAsia="Calibri" w:hAnsi="Calibri" w:cs="Calibri"/>
          <w:szCs w:val="24"/>
        </w:rPr>
      </w:pPr>
      <w:r w:rsidRPr="00B04B9A">
        <w:rPr>
          <w:rFonts w:ascii="Calibri" w:eastAsia="Calibri" w:hAnsi="Calibri" w:cs="Calibri"/>
          <w:szCs w:val="24"/>
        </w:rPr>
        <w:t>One or more of the following:</w:t>
      </w:r>
    </w:p>
    <w:p w14:paraId="27B59D97" w14:textId="7FD595FB"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•Jaundice, </w:t>
      </w:r>
      <w:r w:rsidRPr="00B04B9A">
        <w:rPr>
          <w:rFonts w:ascii="Calibri" w:eastAsia="Calibri" w:hAnsi="Calibri" w:cs="Calibri"/>
          <w:b/>
          <w:bCs/>
          <w:szCs w:val="24"/>
        </w:rPr>
        <w:t>OR</w:t>
      </w:r>
    </w:p>
    <w:p w14:paraId="4F72CCDD" w14:textId="1E0847DE"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•Peak elevated total bilirubin levels ≥ 3.0 mg/dL, </w:t>
      </w:r>
      <w:r w:rsidRPr="00B04B9A">
        <w:rPr>
          <w:rFonts w:ascii="Calibri" w:eastAsia="Calibri" w:hAnsi="Calibri" w:cs="Calibri"/>
          <w:b/>
          <w:bCs/>
          <w:szCs w:val="24"/>
        </w:rPr>
        <w:t>OR</w:t>
      </w:r>
    </w:p>
    <w:p w14:paraId="10363B20" w14:textId="714B86F4"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 xml:space="preserve">•Peak elevated serum </w:t>
      </w:r>
      <w:r w:rsidR="00DB0813" w:rsidRPr="00B04B9A">
        <w:rPr>
          <w:rFonts w:ascii="Calibri" w:eastAsia="Calibri" w:hAnsi="Calibri" w:cs="Calibri"/>
          <w:szCs w:val="24"/>
        </w:rPr>
        <w:t>ALT</w:t>
      </w:r>
      <w:r w:rsidRPr="00B04B9A">
        <w:rPr>
          <w:rFonts w:ascii="Calibri" w:eastAsia="Calibri" w:hAnsi="Calibri" w:cs="Calibri"/>
          <w:szCs w:val="24"/>
        </w:rPr>
        <w:t xml:space="preserve"> levels &gt;200 IU/L,</w:t>
      </w:r>
    </w:p>
    <w:p w14:paraId="6774D244" w14:textId="121B9326"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AND</w:t>
      </w:r>
    </w:p>
    <w:p w14:paraId="5BB5C104" w14:textId="575BF6F3" w:rsidR="24DB0B1E" w:rsidRPr="00B04B9A" w:rsidRDefault="24DB0B1E" w:rsidP="76F421E0">
      <w:pPr>
        <w:rPr>
          <w:rFonts w:ascii="Calibri" w:eastAsia="Calibri" w:hAnsi="Calibri" w:cs="Calibri"/>
          <w:szCs w:val="24"/>
        </w:rPr>
      </w:pPr>
      <w:r w:rsidRPr="00B04B9A">
        <w:rPr>
          <w:rFonts w:ascii="Calibri" w:eastAsia="Calibri" w:hAnsi="Calibri" w:cs="Calibri"/>
          <w:szCs w:val="24"/>
        </w:rPr>
        <w:t>The absence of a more likely diagnosis (which may include evidence of acute liver disease due to other causes or advanced liver disease due to pre-existing chronic Hepatitis C virus (HCV) infection or other causes, such as alcohol exposure, other viral hepatitis, hemochromatosis, etc.)</w:t>
      </w:r>
    </w:p>
    <w:p w14:paraId="619A8C3A" w14:textId="4703AB6F" w:rsidR="24DB0B1E" w:rsidRPr="00B04B9A" w:rsidRDefault="24DB0B1E" w:rsidP="76F421E0">
      <w:pPr>
        <w:rPr>
          <w:rFonts w:ascii="Calibri" w:eastAsia="Calibri" w:hAnsi="Calibri" w:cs="Calibri"/>
          <w:i/>
          <w:iCs/>
          <w:szCs w:val="24"/>
        </w:rPr>
      </w:pPr>
      <w:r w:rsidRPr="00B04B9A">
        <w:rPr>
          <w:rFonts w:ascii="Calibri" w:eastAsia="Calibri" w:hAnsi="Calibri" w:cs="Calibri"/>
          <w:i/>
          <w:iCs/>
          <w:szCs w:val="24"/>
        </w:rPr>
        <w:t>Laboratory Criteria</w:t>
      </w:r>
    </w:p>
    <w:p w14:paraId="43D35B5B" w14:textId="1E604687" w:rsidR="24DB0B1E" w:rsidRPr="00B04B9A" w:rsidRDefault="24DB0B1E" w:rsidP="76F421E0">
      <w:pPr>
        <w:rPr>
          <w:rFonts w:ascii="Calibri" w:eastAsia="Calibri" w:hAnsi="Calibri" w:cs="Calibri"/>
          <w:i/>
          <w:iCs/>
          <w:szCs w:val="24"/>
        </w:rPr>
      </w:pPr>
      <w:r w:rsidRPr="00B04B9A">
        <w:rPr>
          <w:rFonts w:ascii="Calibri" w:eastAsia="Calibri" w:hAnsi="Calibri" w:cs="Calibri"/>
          <w:i/>
          <w:iCs/>
          <w:szCs w:val="24"/>
        </w:rPr>
        <w:t>Confirmatory laboratory evidence:</w:t>
      </w:r>
    </w:p>
    <w:p w14:paraId="0B15666C" w14:textId="5B6EA61F"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•Positive hepatitis C virus detection test: </w:t>
      </w:r>
      <w:r w:rsidR="00DB0813" w:rsidRPr="00B04B9A">
        <w:rPr>
          <w:rFonts w:ascii="Calibri" w:eastAsia="Calibri" w:hAnsi="Calibri" w:cs="Calibri"/>
          <w:szCs w:val="24"/>
        </w:rPr>
        <w:t>NAT</w:t>
      </w:r>
      <w:r w:rsidRPr="00B04B9A">
        <w:rPr>
          <w:rFonts w:ascii="Calibri" w:eastAsia="Calibri" w:hAnsi="Calibri" w:cs="Calibri"/>
          <w:szCs w:val="24"/>
        </w:rPr>
        <w:t xml:space="preserve"> for HCV RNA positive (including qualitative, quantitative, or genotype testing), </w:t>
      </w:r>
      <w:r w:rsidRPr="00B04B9A">
        <w:rPr>
          <w:rFonts w:ascii="Calibri" w:eastAsia="Calibri" w:hAnsi="Calibri" w:cs="Calibri"/>
          <w:b/>
          <w:bCs/>
          <w:szCs w:val="24"/>
        </w:rPr>
        <w:t>OR</w:t>
      </w:r>
    </w:p>
    <w:p w14:paraId="539BA957" w14:textId="18D84745"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•A positive test indicating presence of hepatitis C viral antigen(s) (HCV antigen)</w:t>
      </w:r>
    </w:p>
    <w:p w14:paraId="29F83081" w14:textId="497A2ED1" w:rsidR="24DB0B1E" w:rsidRPr="00B04B9A" w:rsidRDefault="24DB0B1E" w:rsidP="76F421E0">
      <w:pPr>
        <w:rPr>
          <w:rFonts w:ascii="Calibri" w:eastAsia="Calibri" w:hAnsi="Calibri" w:cs="Calibri"/>
          <w:i/>
          <w:iCs/>
          <w:szCs w:val="24"/>
        </w:rPr>
      </w:pPr>
      <w:r w:rsidRPr="00B04B9A">
        <w:rPr>
          <w:rFonts w:ascii="Calibri" w:eastAsia="Calibri" w:hAnsi="Calibri" w:cs="Calibri"/>
          <w:i/>
          <w:iCs/>
          <w:szCs w:val="24"/>
        </w:rPr>
        <w:t>Presumptive laboratory evidence:</w:t>
      </w:r>
    </w:p>
    <w:p w14:paraId="4D856A92" w14:textId="634B99AC"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•A positive test for antibodies to hepatitis C virus (anti-HCV)</w:t>
      </w:r>
    </w:p>
    <w:p w14:paraId="566576FE" w14:textId="5BF72AA1" w:rsidR="24DB0B1E" w:rsidRPr="00B04B9A" w:rsidRDefault="24DB0B1E" w:rsidP="76F421E0">
      <w:pPr>
        <w:rPr>
          <w:rFonts w:ascii="Calibri" w:eastAsia="Calibri" w:hAnsi="Calibri" w:cs="Calibri"/>
          <w:szCs w:val="24"/>
        </w:rPr>
      </w:pPr>
      <w:r w:rsidRPr="00B04B9A">
        <w:rPr>
          <w:rFonts w:ascii="Calibri" w:eastAsia="Calibri" w:hAnsi="Calibri" w:cs="Calibri"/>
          <w:i/>
          <w:iCs/>
          <w:szCs w:val="24"/>
        </w:rPr>
        <w:t xml:space="preserve">Epidemiologic Linkage - </w:t>
      </w:r>
      <w:r w:rsidRPr="00B04B9A">
        <w:rPr>
          <w:rFonts w:ascii="Calibri" w:eastAsia="Calibri" w:hAnsi="Calibri" w:cs="Calibri"/>
          <w:szCs w:val="24"/>
        </w:rPr>
        <w:t>No epidemiologic linkage is required for case classification.</w:t>
      </w:r>
    </w:p>
    <w:p w14:paraId="7BA422A4" w14:textId="0A72C03D" w:rsidR="24DB0B1E" w:rsidRPr="00B04B9A" w:rsidRDefault="24DB0B1E" w:rsidP="76F421E0">
      <w:pPr>
        <w:rPr>
          <w:rFonts w:ascii="Calibri" w:eastAsia="Calibri" w:hAnsi="Calibri" w:cs="Calibri"/>
          <w:i/>
          <w:iCs/>
          <w:szCs w:val="24"/>
        </w:rPr>
      </w:pPr>
      <w:r w:rsidRPr="00B04B9A">
        <w:rPr>
          <w:rFonts w:ascii="Calibri" w:eastAsia="Calibri" w:hAnsi="Calibri" w:cs="Calibri"/>
          <w:i/>
          <w:iCs/>
          <w:szCs w:val="24"/>
        </w:rPr>
        <w:t>Criteria to Distinguish a New Case from an Existing Case</w:t>
      </w:r>
    </w:p>
    <w:p w14:paraId="32250EB4" w14:textId="167D1D03" w:rsidR="24DB0B1E" w:rsidRPr="00B04B9A" w:rsidRDefault="24DB0B1E" w:rsidP="388E5C6E">
      <w:pPr>
        <w:rPr>
          <w:rFonts w:ascii="Calibri" w:eastAsia="Calibri" w:hAnsi="Calibri" w:cs="Calibri"/>
        </w:rPr>
      </w:pPr>
      <w:r w:rsidRPr="388E5C6E">
        <w:rPr>
          <w:rFonts w:ascii="Calibri" w:eastAsia="Calibri" w:hAnsi="Calibri" w:cs="Calibri"/>
        </w:rPr>
        <w:t>All jurisdictions are encouraged to track negative HCV viral detection tests to document both spontaneous clearance of infection or sustained viral response to HCV treatment. Cases that have evidence of having cleared the infection at time of initial report or are considered false positive should not be reported to CDC.</w:t>
      </w:r>
    </w:p>
    <w:p w14:paraId="044FF19C" w14:textId="7318477E" w:rsidR="388E5C6E" w:rsidRDefault="388E5C6E" w:rsidP="388E5C6E">
      <w:pPr>
        <w:rPr>
          <w:rFonts w:ascii="Calibri" w:eastAsia="Calibri" w:hAnsi="Calibri" w:cs="Calibri"/>
        </w:rPr>
      </w:pPr>
    </w:p>
    <w:p w14:paraId="7245FA1E" w14:textId="5F2EDAE3" w:rsidR="24DB0B1E" w:rsidRPr="00B04B9A" w:rsidRDefault="24DB0B1E" w:rsidP="388E5C6E">
      <w:pPr>
        <w:rPr>
          <w:rFonts w:ascii="Calibri" w:eastAsia="Calibri" w:hAnsi="Calibri" w:cs="Calibri"/>
        </w:rPr>
      </w:pPr>
      <w:r w:rsidRPr="388E5C6E">
        <w:rPr>
          <w:rFonts w:ascii="Calibri" w:eastAsia="Calibri" w:hAnsi="Calibri" w:cs="Calibri"/>
        </w:rPr>
        <w:t>If evidence indicating resolution of infection is received after a confirmed chronic case has been reported to CDC, the case report does not need to be modified as it was a confirmed case at the time of initial report. However, negative HCV viral detection test results received on confirmed chronic cases, subsequent to an initial positive result, should be appended to case reports, as feasible, and considered for the purpose of data analysis by each jurisdiction.</w:t>
      </w:r>
    </w:p>
    <w:p w14:paraId="723148E6" w14:textId="242CB2CD" w:rsidR="388E5C6E" w:rsidRDefault="388E5C6E" w:rsidP="388E5C6E">
      <w:pPr>
        <w:rPr>
          <w:rFonts w:ascii="Calibri" w:eastAsia="Calibri" w:hAnsi="Calibri" w:cs="Calibri"/>
        </w:rPr>
      </w:pPr>
    </w:p>
    <w:p w14:paraId="4FF9A220" w14:textId="16BA1068" w:rsidR="24DB0B1E" w:rsidRPr="00B04B9A" w:rsidRDefault="24DB0B1E" w:rsidP="388E5C6E">
      <w:pPr>
        <w:rPr>
          <w:rFonts w:ascii="Calibri" w:eastAsia="Calibri" w:hAnsi="Calibri" w:cs="Calibri"/>
        </w:rPr>
      </w:pPr>
      <w:r w:rsidRPr="388E5C6E">
        <w:rPr>
          <w:rFonts w:ascii="Calibri" w:eastAsia="Calibri" w:hAnsi="Calibri" w:cs="Calibri"/>
        </w:rPr>
        <w:t xml:space="preserve">Evidence for re-infection may include a case of confirmed chronic HCV infection that has at least two sequential negative HCV viral detection tests reported, indicative of treatment initiation and sustained virologic response, followed by a positive HCV viral detection test. Under current treatment recommendations, those two negative tests should be at least three months apart, however, the timing may change as standard of care for HCV treatment evolves. Other evidence of reinfection should be considered, including a report of a new genotype on a case that has previously cleared a different genotype. Jurisdictions are encouraged to ensure that cases of HCV treatment failure are not classified as new cases of HCV infection to the extent that it can be determined. Jurisdictions tracking re-infection should also consider collecting data on prior treatment completion (when relevant and </w:t>
      </w:r>
      <w:r w:rsidRPr="388E5C6E">
        <w:rPr>
          <w:rFonts w:ascii="Calibri" w:eastAsia="Calibri" w:hAnsi="Calibri" w:cs="Calibri"/>
        </w:rPr>
        <w:lastRenderedPageBreak/>
        <w:t>possible to document), treatment failure, change in reported genotype if that applies, and the known time frame for reinfection.</w:t>
      </w:r>
    </w:p>
    <w:p w14:paraId="4BE62BC3" w14:textId="13D3D519" w:rsidR="388E5C6E" w:rsidRDefault="388E5C6E" w:rsidP="388E5C6E">
      <w:pPr>
        <w:rPr>
          <w:rFonts w:ascii="Calibri" w:eastAsia="Calibri" w:hAnsi="Calibri" w:cs="Calibri"/>
        </w:rPr>
      </w:pPr>
    </w:p>
    <w:p w14:paraId="33D5E451" w14:textId="58D680FB" w:rsidR="24DB0B1E" w:rsidRPr="00B04B9A" w:rsidRDefault="24DB0B1E" w:rsidP="388E5C6E">
      <w:pPr>
        <w:rPr>
          <w:rFonts w:ascii="Calibri" w:eastAsia="Calibri" w:hAnsi="Calibri" w:cs="Calibri"/>
        </w:rPr>
      </w:pPr>
      <w:r w:rsidRPr="388E5C6E">
        <w:rPr>
          <w:rFonts w:ascii="Calibri" w:eastAsia="Calibri" w:hAnsi="Calibri" w:cs="Calibri"/>
        </w:rPr>
        <w:t>For probable chronic cases, the presence of a negative HCV viral detection test result, in the absence of criteria that would allow for confirmation, indicates that a case should not be classified as probable chronic and should not be reported to CDC.</w:t>
      </w:r>
    </w:p>
    <w:p w14:paraId="002831D8" w14:textId="163FF71F" w:rsidR="388E5C6E" w:rsidRDefault="388E5C6E" w:rsidP="388E5C6E">
      <w:pPr>
        <w:rPr>
          <w:rFonts w:ascii="Calibri" w:eastAsia="Calibri" w:hAnsi="Calibri" w:cs="Calibri"/>
        </w:rPr>
      </w:pPr>
    </w:p>
    <w:p w14:paraId="63CFCF11" w14:textId="041C92FB" w:rsidR="24DB0B1E" w:rsidRPr="00B04B9A" w:rsidRDefault="24DB0B1E" w:rsidP="388E5C6E">
      <w:pPr>
        <w:rPr>
          <w:rFonts w:ascii="Calibri" w:eastAsia="Calibri" w:hAnsi="Calibri" w:cs="Calibri"/>
        </w:rPr>
      </w:pPr>
      <w:r w:rsidRPr="388E5C6E">
        <w:rPr>
          <w:rFonts w:ascii="Calibri" w:eastAsia="Calibri" w:hAnsi="Calibri" w:cs="Calibri"/>
        </w:rPr>
        <w:t>A new chronic case is a newly reported case that does not have evidence of being an acute case of HCV infection. A confirmed acute case may be classified as a confirmed chronic case if a positive HCV viral detection test is reported one year or longer after acute case onset. A confirmed acute case may not be reported as a probable chronic case (i.e. HCV antibody positive, but with an unknown HCV viral detection test). For purposes of incidence and prevalence calculations, confirmed chronic HCV cases should be counted.</w:t>
      </w:r>
    </w:p>
    <w:p w14:paraId="469F8E7E" w14:textId="5E97DE0C" w:rsidR="388E5C6E" w:rsidRDefault="388E5C6E" w:rsidP="388E5C6E">
      <w:pPr>
        <w:rPr>
          <w:rFonts w:ascii="Calibri" w:eastAsia="Calibri" w:hAnsi="Calibri" w:cs="Calibri"/>
        </w:rPr>
      </w:pPr>
    </w:p>
    <w:p w14:paraId="2E24F4BC" w14:textId="75C7E8CC" w:rsidR="24DB0B1E" w:rsidRPr="00B04B9A" w:rsidRDefault="24DB0B1E" w:rsidP="76F421E0">
      <w:pPr>
        <w:rPr>
          <w:rFonts w:ascii="Calibri" w:eastAsia="Calibri" w:hAnsi="Calibri" w:cs="Calibri"/>
          <w:szCs w:val="24"/>
        </w:rPr>
      </w:pPr>
      <w:r w:rsidRPr="388E5C6E">
        <w:rPr>
          <w:rFonts w:ascii="Calibri" w:eastAsia="Calibri" w:hAnsi="Calibri" w:cs="Calibri"/>
        </w:rPr>
        <w:t>Jurisdictions are also encouraged to track and classify possible re-infection cases that may have been previously submitted to CDC as a confirmed or probable chronic HCV infection case. Jurisdictions tracking re-infection should also consider collecting data on prior treatment completion (when relevant and possible to document), treatment failure, change in reported genotype if that applies, and the known time frame for reinfection.</w:t>
      </w:r>
    </w:p>
    <w:p w14:paraId="55A35BB6" w14:textId="12360EEC" w:rsidR="388E5C6E" w:rsidRDefault="388E5C6E" w:rsidP="388E5C6E">
      <w:pPr>
        <w:rPr>
          <w:rFonts w:ascii="Calibri" w:eastAsia="Calibri" w:hAnsi="Calibri" w:cs="Calibri"/>
          <w:b/>
          <w:bCs/>
        </w:rPr>
      </w:pPr>
    </w:p>
    <w:p w14:paraId="050D591E" w14:textId="5AC11AB6"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Case Classification</w:t>
      </w:r>
    </w:p>
    <w:p w14:paraId="534712BE" w14:textId="6340E474"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Suspect</w:t>
      </w:r>
    </w:p>
    <w:p w14:paraId="39E68559" w14:textId="23E487BA" w:rsidR="24DB0B1E" w:rsidRPr="00B04B9A" w:rsidRDefault="24DB0B1E" w:rsidP="76F421E0">
      <w:pPr>
        <w:rPr>
          <w:rFonts w:ascii="Calibri" w:eastAsia="Calibri" w:hAnsi="Calibri" w:cs="Calibri"/>
          <w:szCs w:val="24"/>
        </w:rPr>
      </w:pPr>
      <w:r w:rsidRPr="00B04B9A">
        <w:rPr>
          <w:rFonts w:ascii="Calibri" w:eastAsia="Calibri" w:hAnsi="Calibri" w:cs="Calibri"/>
          <w:szCs w:val="24"/>
        </w:rPr>
        <w:t>NUL</w:t>
      </w:r>
    </w:p>
    <w:p w14:paraId="0FF881DC" w14:textId="557AE110"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Probable</w:t>
      </w:r>
    </w:p>
    <w:p w14:paraId="72F0B387" w14:textId="4944923B"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•A case that does not meet </w:t>
      </w:r>
      <w:r w:rsidRPr="00B04B9A">
        <w:rPr>
          <w:rFonts w:ascii="Calibri" w:eastAsia="Calibri" w:hAnsi="Calibri" w:cs="Calibri"/>
          <w:b/>
          <w:bCs/>
          <w:szCs w:val="24"/>
        </w:rPr>
        <w:t>OR</w:t>
      </w:r>
      <w:r w:rsidRPr="00B04B9A">
        <w:rPr>
          <w:rFonts w:ascii="Calibri" w:eastAsia="Calibri" w:hAnsi="Calibri" w:cs="Calibri"/>
          <w:szCs w:val="24"/>
        </w:rPr>
        <w:t xml:space="preserve"> has no report of clinical criteria,</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620DBD9F" w14:textId="2D196236"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•Has presumptive laboratory evidence,</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7F567C5A" w14:textId="00FB2544"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•Has no documentation of anti-HCV or RNA test conversion within 12 months,</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7D86A27C" w14:textId="6348E3A3"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•Does not have an HCV RNA detection test reported.</w:t>
      </w:r>
    </w:p>
    <w:p w14:paraId="7C2CE5EC" w14:textId="4F6FAA15"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Confirmed</w:t>
      </w:r>
    </w:p>
    <w:p w14:paraId="10B956BF" w14:textId="4BBCBD6F"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•A case that does not meet </w:t>
      </w:r>
      <w:r w:rsidRPr="00B04B9A">
        <w:rPr>
          <w:rFonts w:ascii="Calibri" w:eastAsia="Calibri" w:hAnsi="Calibri" w:cs="Calibri"/>
          <w:b/>
          <w:bCs/>
          <w:szCs w:val="24"/>
        </w:rPr>
        <w:t>OR</w:t>
      </w:r>
      <w:r w:rsidRPr="00B04B9A">
        <w:rPr>
          <w:rFonts w:ascii="Calibri" w:eastAsia="Calibri" w:hAnsi="Calibri" w:cs="Calibri"/>
          <w:szCs w:val="24"/>
        </w:rPr>
        <w:t xml:space="preserve"> has no report of clinical criteria,</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710C47BD" w14:textId="7D7AAE4A"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•Has confirmatory laboratory evidence,</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66A7C6C5" w14:textId="5D4649A1"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•Has no documentation of anti-HCV or HCV RNA test conversion within 12 months.</w:t>
      </w:r>
    </w:p>
    <w:p w14:paraId="76E558D4" w14:textId="54A746F3" w:rsidR="76F421E0" w:rsidRPr="00991A6F" w:rsidRDefault="76F421E0" w:rsidP="76F421E0">
      <w:pPr>
        <w:rPr>
          <w:rFonts w:ascii="Calibri" w:eastAsia="Calibri" w:hAnsi="Calibri" w:cs="Calibri"/>
          <w:color w:val="FF0000"/>
          <w:szCs w:val="24"/>
        </w:rPr>
      </w:pPr>
    </w:p>
    <w:p w14:paraId="0499A7C4" w14:textId="56E360A0" w:rsidR="76F421E0" w:rsidRPr="00991A6F" w:rsidRDefault="76F421E0" w:rsidP="76F421E0">
      <w:pPr>
        <w:rPr>
          <w:rFonts w:ascii="Calibri" w:eastAsia="Calibri" w:hAnsi="Calibri" w:cs="Calibri"/>
          <w:color w:val="FF0000"/>
          <w:szCs w:val="24"/>
        </w:rPr>
      </w:pPr>
    </w:p>
    <w:p w14:paraId="478D4C03" w14:textId="3A8E2D74" w:rsidR="76F421E0" w:rsidRPr="00991A6F" w:rsidRDefault="76F421E0" w:rsidP="76F421E0">
      <w:pPr>
        <w:spacing w:after="120"/>
        <w:rPr>
          <w:color w:val="FF0000"/>
          <w:szCs w:val="24"/>
        </w:rPr>
      </w:pPr>
    </w:p>
    <w:p w14:paraId="41434C98" w14:textId="1FDD1997" w:rsidR="005D1FD3" w:rsidRPr="00991A6F" w:rsidRDefault="005D1FD3" w:rsidP="00ED2D42">
      <w:pPr>
        <w:rPr>
          <w:color w:val="FF0000"/>
        </w:rPr>
      </w:pPr>
      <w:r w:rsidRPr="00991A6F">
        <w:rPr>
          <w:color w:val="FF0000"/>
        </w:rPr>
        <w:br w:type="page"/>
      </w:r>
    </w:p>
    <w:p w14:paraId="002B6DD5" w14:textId="1A78A737" w:rsidR="005D1FD3" w:rsidRPr="004421C2" w:rsidRDefault="005D1FD3" w:rsidP="38A4F72D">
      <w:pPr>
        <w:pStyle w:val="Heading1"/>
      </w:pPr>
      <w:bookmarkStart w:id="81" w:name="_HIV,_STD,_AND_1"/>
      <w:bookmarkStart w:id="82" w:name="_Toc154057182"/>
      <w:bookmarkStart w:id="83" w:name="_Hlk147387010"/>
      <w:bookmarkEnd w:id="81"/>
      <w:r>
        <w:lastRenderedPageBreak/>
        <w:t>HIV, STD, AND VIRAL HEPATITIS PROGRAM STAFF CONTACT INFORMATION</w:t>
      </w:r>
      <w:bookmarkEnd w:id="82"/>
    </w:p>
    <w:bookmarkEnd w:id="83"/>
    <w:p w14:paraId="094D9134" w14:textId="77777777" w:rsidR="005D1FD3" w:rsidRPr="004421C2" w:rsidRDefault="005D1FD3" w:rsidP="005D1FD3">
      <w:pPr>
        <w:ind w:left="360"/>
      </w:pPr>
      <w:r w:rsidRPr="004421C2">
        <w:rPr>
          <w:b/>
          <w:bCs/>
        </w:rPr>
        <w:t>Table 1. Division of STD Prevention &amp; HIV/AIDS Surveillance, and</w:t>
      </w:r>
      <w:r w:rsidRPr="004421C2">
        <w:t xml:space="preserve"> </w:t>
      </w:r>
      <w:r w:rsidRPr="004421C2">
        <w:rPr>
          <w:b/>
          <w:bCs/>
        </w:rPr>
        <w:t>Ratelle STD/HIV Prevention Training Center</w:t>
      </w:r>
    </w:p>
    <w:tbl>
      <w:tblPr>
        <w:tblStyle w:val="TableGrid"/>
        <w:tblW w:w="0" w:type="auto"/>
        <w:tblLook w:val="06A0" w:firstRow="1" w:lastRow="0" w:firstColumn="1" w:lastColumn="0" w:noHBand="1" w:noVBand="1"/>
      </w:tblPr>
      <w:tblGrid>
        <w:gridCol w:w="2136"/>
        <w:gridCol w:w="2109"/>
        <w:gridCol w:w="2840"/>
        <w:gridCol w:w="2023"/>
      </w:tblGrid>
      <w:tr w:rsidR="00991A6F" w:rsidRPr="00991A6F" w14:paraId="028954BE" w14:textId="77777777" w:rsidTr="00F75AB4">
        <w:tc>
          <w:tcPr>
            <w:tcW w:w="2136" w:type="dxa"/>
          </w:tcPr>
          <w:p w14:paraId="7FC837A7" w14:textId="77777777" w:rsidR="005D1FD3" w:rsidRPr="00B10C1D" w:rsidRDefault="005D1FD3" w:rsidP="0016095F">
            <w:pPr>
              <w:rPr>
                <w:rFonts w:cstheme="minorHAnsi"/>
                <w:b/>
                <w:bCs/>
                <w:sz w:val="22"/>
              </w:rPr>
            </w:pPr>
            <w:r w:rsidRPr="00B10C1D">
              <w:rPr>
                <w:rFonts w:cstheme="minorHAnsi"/>
                <w:b/>
                <w:bCs/>
                <w:sz w:val="22"/>
              </w:rPr>
              <w:t>Topic</w:t>
            </w:r>
          </w:p>
        </w:tc>
        <w:tc>
          <w:tcPr>
            <w:tcW w:w="2109" w:type="dxa"/>
          </w:tcPr>
          <w:p w14:paraId="3F0BF19C" w14:textId="77777777" w:rsidR="005D1FD3" w:rsidRPr="00B10C1D" w:rsidRDefault="005D1FD3" w:rsidP="0016095F">
            <w:pPr>
              <w:rPr>
                <w:rFonts w:cstheme="minorHAnsi"/>
                <w:b/>
                <w:bCs/>
                <w:sz w:val="22"/>
              </w:rPr>
            </w:pPr>
            <w:r w:rsidRPr="00B10C1D">
              <w:rPr>
                <w:rFonts w:cstheme="minorHAnsi"/>
                <w:b/>
                <w:bCs/>
                <w:sz w:val="22"/>
              </w:rPr>
              <w:t>Contact</w:t>
            </w:r>
          </w:p>
        </w:tc>
        <w:tc>
          <w:tcPr>
            <w:tcW w:w="2840" w:type="dxa"/>
          </w:tcPr>
          <w:p w14:paraId="4840D5E6" w14:textId="77777777" w:rsidR="005D1FD3" w:rsidRPr="00B10C1D" w:rsidRDefault="005D1FD3" w:rsidP="0016095F">
            <w:pPr>
              <w:rPr>
                <w:rFonts w:cstheme="minorHAnsi"/>
                <w:b/>
                <w:bCs/>
                <w:sz w:val="22"/>
              </w:rPr>
            </w:pPr>
            <w:r w:rsidRPr="00B10C1D">
              <w:rPr>
                <w:rFonts w:cstheme="minorHAnsi"/>
                <w:b/>
                <w:bCs/>
                <w:sz w:val="22"/>
              </w:rPr>
              <w:t>Email</w:t>
            </w:r>
          </w:p>
        </w:tc>
        <w:tc>
          <w:tcPr>
            <w:tcW w:w="2023" w:type="dxa"/>
          </w:tcPr>
          <w:p w14:paraId="7A5AA56E" w14:textId="77777777" w:rsidR="005D1FD3" w:rsidRPr="00B10C1D" w:rsidRDefault="005D1FD3" w:rsidP="0016095F">
            <w:pPr>
              <w:rPr>
                <w:rFonts w:cstheme="minorHAnsi"/>
                <w:b/>
                <w:bCs/>
                <w:sz w:val="22"/>
              </w:rPr>
            </w:pPr>
            <w:r w:rsidRPr="00B10C1D">
              <w:rPr>
                <w:rFonts w:cstheme="minorHAnsi"/>
                <w:b/>
                <w:bCs/>
                <w:sz w:val="22"/>
              </w:rPr>
              <w:t>Phone</w:t>
            </w:r>
          </w:p>
        </w:tc>
      </w:tr>
      <w:tr w:rsidR="00F75AB4" w:rsidRPr="00991A6F" w14:paraId="12257D45" w14:textId="77777777" w:rsidTr="00F75AB4">
        <w:tc>
          <w:tcPr>
            <w:tcW w:w="2136" w:type="dxa"/>
          </w:tcPr>
          <w:p w14:paraId="6984A02A" w14:textId="77777777" w:rsidR="00F75AB4" w:rsidRPr="00B10C1D" w:rsidRDefault="00F75AB4" w:rsidP="00F75AB4">
            <w:pPr>
              <w:rPr>
                <w:rFonts w:cstheme="minorHAnsi"/>
                <w:sz w:val="22"/>
              </w:rPr>
            </w:pPr>
            <w:r w:rsidRPr="00B10C1D">
              <w:rPr>
                <w:rFonts w:cstheme="minorHAnsi"/>
                <w:kern w:val="24"/>
                <w:sz w:val="22"/>
              </w:rPr>
              <w:t>Policy Development and Administration</w:t>
            </w:r>
          </w:p>
        </w:tc>
        <w:tc>
          <w:tcPr>
            <w:tcW w:w="2109" w:type="dxa"/>
          </w:tcPr>
          <w:p w14:paraId="20014C5F" w14:textId="6B548E82" w:rsidR="00F75AB4" w:rsidRPr="00B10C1D" w:rsidRDefault="00F75AB4" w:rsidP="00F75AB4">
            <w:pPr>
              <w:rPr>
                <w:rFonts w:cstheme="minorHAnsi"/>
                <w:sz w:val="22"/>
              </w:rPr>
            </w:pPr>
            <w:r w:rsidRPr="00B10C1D">
              <w:rPr>
                <w:rFonts w:eastAsiaTheme="minorEastAsia" w:cstheme="minorHAnsi"/>
                <w:kern w:val="24"/>
                <w:sz w:val="22"/>
              </w:rPr>
              <w:t xml:space="preserve">Brenda Hernandez </w:t>
            </w:r>
            <w:r w:rsidRPr="00B10C1D">
              <w:rPr>
                <w:rFonts w:cstheme="minorHAnsi"/>
                <w:kern w:val="24"/>
                <w:sz w:val="22"/>
              </w:rPr>
              <w:t>(Director, Division of STD Prevention)</w:t>
            </w:r>
          </w:p>
        </w:tc>
        <w:tc>
          <w:tcPr>
            <w:tcW w:w="2840" w:type="dxa"/>
          </w:tcPr>
          <w:p w14:paraId="6CDB8C36" w14:textId="7AA3C3AC" w:rsidR="00F75AB4" w:rsidRPr="004421C2" w:rsidRDefault="009479A7" w:rsidP="00F75AB4">
            <w:pPr>
              <w:rPr>
                <w:rFonts w:cstheme="minorHAnsi"/>
                <w:color w:val="3333FF"/>
                <w:sz w:val="22"/>
              </w:rPr>
            </w:pPr>
            <w:hyperlink r:id="rId86" w:history="1">
              <w:r w:rsidR="00F75AB4" w:rsidRPr="004421C2">
                <w:rPr>
                  <w:rStyle w:val="Hyperlink"/>
                  <w:rFonts w:eastAsiaTheme="minorEastAsia" w:cstheme="minorHAnsi"/>
                  <w:color w:val="3333FF"/>
                  <w:kern w:val="24"/>
                  <w:sz w:val="22"/>
                </w:rPr>
                <w:t>Brenda.Hernandez@mass.gov</w:t>
              </w:r>
            </w:hyperlink>
          </w:p>
        </w:tc>
        <w:tc>
          <w:tcPr>
            <w:tcW w:w="2023" w:type="dxa"/>
          </w:tcPr>
          <w:p w14:paraId="3D9EDA32" w14:textId="645806DC" w:rsidR="00F75AB4" w:rsidRPr="00B10C1D" w:rsidRDefault="00F75AB4" w:rsidP="00F75AB4">
            <w:pPr>
              <w:rPr>
                <w:rFonts w:cstheme="minorHAnsi"/>
                <w:sz w:val="22"/>
              </w:rPr>
            </w:pPr>
            <w:r w:rsidRPr="00B10C1D">
              <w:rPr>
                <w:rFonts w:eastAsiaTheme="minorEastAsia" w:cstheme="minorHAnsi"/>
                <w:kern w:val="24"/>
                <w:sz w:val="22"/>
              </w:rPr>
              <w:t>617-983-6943</w:t>
            </w:r>
          </w:p>
        </w:tc>
      </w:tr>
      <w:tr w:rsidR="00991A6F" w:rsidRPr="00991A6F" w14:paraId="6FBFCD6B" w14:textId="77777777" w:rsidTr="00F75AB4">
        <w:tc>
          <w:tcPr>
            <w:tcW w:w="2136" w:type="dxa"/>
          </w:tcPr>
          <w:p w14:paraId="43437005" w14:textId="77777777" w:rsidR="005D1FD3" w:rsidRPr="00B10C1D" w:rsidRDefault="005D1FD3" w:rsidP="0016095F">
            <w:pPr>
              <w:rPr>
                <w:rFonts w:cstheme="minorHAnsi"/>
                <w:sz w:val="22"/>
              </w:rPr>
            </w:pPr>
            <w:r w:rsidRPr="00B10C1D">
              <w:rPr>
                <w:rFonts w:cstheme="minorHAnsi"/>
                <w:kern w:val="24"/>
                <w:sz w:val="22"/>
              </w:rPr>
              <w:t>Sylvie Ratelle STD/HIV Prevention Training Center</w:t>
            </w:r>
          </w:p>
        </w:tc>
        <w:tc>
          <w:tcPr>
            <w:tcW w:w="2109" w:type="dxa"/>
          </w:tcPr>
          <w:p w14:paraId="0D2D5340"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Katherine Hsu (Medical Director)</w:t>
            </w:r>
          </w:p>
          <w:p w14:paraId="1EDF7327" w14:textId="77777777" w:rsidR="005D1FD3" w:rsidRPr="00B10C1D" w:rsidRDefault="005D1FD3" w:rsidP="0016095F">
            <w:pPr>
              <w:rPr>
                <w:rFonts w:cstheme="minorHAnsi"/>
                <w:sz w:val="22"/>
              </w:rPr>
            </w:pPr>
            <w:r w:rsidRPr="00B10C1D">
              <w:rPr>
                <w:rFonts w:cstheme="minorHAnsi"/>
                <w:kern w:val="24"/>
                <w:sz w:val="22"/>
              </w:rPr>
              <w:t>Janine Dyer (Deputy Director)</w:t>
            </w:r>
          </w:p>
        </w:tc>
        <w:tc>
          <w:tcPr>
            <w:tcW w:w="2840" w:type="dxa"/>
          </w:tcPr>
          <w:p w14:paraId="7D515BC8" w14:textId="77777777" w:rsidR="005D1FD3" w:rsidRPr="004421C2" w:rsidRDefault="009479A7" w:rsidP="0016095F">
            <w:pPr>
              <w:pStyle w:val="NormalWeb"/>
              <w:spacing w:before="0" w:beforeAutospacing="0" w:after="0" w:afterAutospacing="0"/>
              <w:rPr>
                <w:rFonts w:asciiTheme="minorHAnsi" w:hAnsiTheme="minorHAnsi" w:cstheme="minorHAnsi"/>
                <w:color w:val="3333FF"/>
                <w:sz w:val="22"/>
                <w:szCs w:val="22"/>
              </w:rPr>
            </w:pPr>
            <w:hyperlink r:id="rId87" w:history="1">
              <w:r w:rsidR="005D1FD3" w:rsidRPr="004421C2">
                <w:rPr>
                  <w:rStyle w:val="Hyperlink"/>
                  <w:rFonts w:asciiTheme="minorHAnsi" w:hAnsiTheme="minorHAnsi" w:cstheme="minorHAnsi"/>
                  <w:color w:val="3333FF"/>
                  <w:kern w:val="24"/>
                  <w:sz w:val="22"/>
                  <w:szCs w:val="22"/>
                </w:rPr>
                <w:t>Katherine.Hsu@mass.gov</w:t>
              </w:r>
            </w:hyperlink>
          </w:p>
          <w:p w14:paraId="353B05D6" w14:textId="77777777" w:rsidR="005D1FD3" w:rsidRPr="004421C2" w:rsidRDefault="009479A7" w:rsidP="0016095F">
            <w:pPr>
              <w:rPr>
                <w:rFonts w:cstheme="minorHAnsi"/>
                <w:color w:val="3333FF"/>
                <w:sz w:val="22"/>
              </w:rPr>
            </w:pPr>
            <w:hyperlink r:id="rId88" w:history="1">
              <w:r w:rsidR="005D1FD3" w:rsidRPr="004421C2">
                <w:rPr>
                  <w:rStyle w:val="Hyperlink"/>
                  <w:rFonts w:cstheme="minorHAnsi"/>
                  <w:color w:val="3333FF"/>
                  <w:kern w:val="24"/>
                  <w:sz w:val="22"/>
                </w:rPr>
                <w:t>Janine.Dyer@mass.gov</w:t>
              </w:r>
            </w:hyperlink>
          </w:p>
        </w:tc>
        <w:tc>
          <w:tcPr>
            <w:tcW w:w="2023" w:type="dxa"/>
          </w:tcPr>
          <w:p w14:paraId="345BB816"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617-983-6948</w:t>
            </w:r>
          </w:p>
          <w:p w14:paraId="3DB1F990" w14:textId="77777777" w:rsidR="005D1FD3" w:rsidRPr="00B10C1D" w:rsidRDefault="005D1FD3" w:rsidP="0016095F">
            <w:pPr>
              <w:rPr>
                <w:rFonts w:cstheme="minorHAnsi"/>
                <w:sz w:val="22"/>
              </w:rPr>
            </w:pPr>
            <w:r w:rsidRPr="00B10C1D">
              <w:rPr>
                <w:rFonts w:cstheme="minorHAnsi"/>
                <w:kern w:val="24"/>
                <w:sz w:val="22"/>
              </w:rPr>
              <w:t>617-983-6964</w:t>
            </w:r>
          </w:p>
        </w:tc>
      </w:tr>
      <w:tr w:rsidR="00991A6F" w:rsidRPr="00991A6F" w14:paraId="35B43695" w14:textId="77777777" w:rsidTr="00F75AB4">
        <w:tc>
          <w:tcPr>
            <w:tcW w:w="2136" w:type="dxa"/>
          </w:tcPr>
          <w:p w14:paraId="2C388659" w14:textId="77777777" w:rsidR="005D1FD3" w:rsidRPr="00B10C1D" w:rsidRDefault="005D1FD3" w:rsidP="0016095F">
            <w:pPr>
              <w:rPr>
                <w:rFonts w:cstheme="minorHAnsi"/>
                <w:sz w:val="22"/>
              </w:rPr>
            </w:pPr>
            <w:r w:rsidRPr="00B10C1D">
              <w:rPr>
                <w:rFonts w:cstheme="minorHAnsi"/>
                <w:kern w:val="24"/>
                <w:sz w:val="22"/>
              </w:rPr>
              <w:t>STD/HIV Surveillance and Epidemiology</w:t>
            </w:r>
          </w:p>
        </w:tc>
        <w:tc>
          <w:tcPr>
            <w:tcW w:w="2109" w:type="dxa"/>
          </w:tcPr>
          <w:p w14:paraId="0F86BD35"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Betsey John (Director, HIV/AIDS and STD Surveillance)</w:t>
            </w:r>
          </w:p>
          <w:p w14:paraId="3F15488F" w14:textId="77777777" w:rsidR="005D1FD3" w:rsidRPr="00B10C1D" w:rsidRDefault="005D1FD3" w:rsidP="0016095F">
            <w:pPr>
              <w:rPr>
                <w:rFonts w:cstheme="minorHAnsi"/>
                <w:sz w:val="22"/>
              </w:rPr>
            </w:pPr>
            <w:r w:rsidRPr="00B10C1D">
              <w:rPr>
                <w:rFonts w:cstheme="minorHAnsi"/>
                <w:kern w:val="24"/>
                <w:sz w:val="22"/>
              </w:rPr>
              <w:t> </w:t>
            </w:r>
          </w:p>
        </w:tc>
        <w:tc>
          <w:tcPr>
            <w:tcW w:w="2840" w:type="dxa"/>
          </w:tcPr>
          <w:p w14:paraId="2E8D7988" w14:textId="77777777" w:rsidR="005D1FD3" w:rsidRPr="004421C2" w:rsidRDefault="009479A7" w:rsidP="0016095F">
            <w:pPr>
              <w:pStyle w:val="NormalWeb"/>
              <w:spacing w:before="0" w:beforeAutospacing="0" w:after="0" w:afterAutospacing="0"/>
              <w:rPr>
                <w:rFonts w:asciiTheme="minorHAnsi" w:hAnsiTheme="minorHAnsi" w:cstheme="minorHAnsi"/>
                <w:color w:val="3333FF"/>
                <w:sz w:val="22"/>
                <w:szCs w:val="22"/>
              </w:rPr>
            </w:pPr>
            <w:hyperlink r:id="rId89" w:history="1">
              <w:r w:rsidR="005D1FD3" w:rsidRPr="004421C2">
                <w:rPr>
                  <w:rStyle w:val="Hyperlink"/>
                  <w:rFonts w:asciiTheme="minorHAnsi" w:hAnsiTheme="minorHAnsi" w:cstheme="minorHAnsi"/>
                  <w:color w:val="3333FF"/>
                  <w:kern w:val="24"/>
                  <w:sz w:val="22"/>
                  <w:szCs w:val="22"/>
                </w:rPr>
                <w:t>Betsey.John@mass.gov</w:t>
              </w:r>
            </w:hyperlink>
            <w:r w:rsidR="005D1FD3" w:rsidRPr="004421C2">
              <w:rPr>
                <w:rFonts w:asciiTheme="minorHAnsi" w:hAnsiTheme="minorHAnsi" w:cstheme="minorHAnsi"/>
                <w:color w:val="3333FF"/>
                <w:kern w:val="24"/>
                <w:sz w:val="22"/>
                <w:szCs w:val="22"/>
                <w:u w:val="single"/>
              </w:rPr>
              <w:t xml:space="preserve">  </w:t>
            </w:r>
          </w:p>
          <w:p w14:paraId="047C193F" w14:textId="77777777" w:rsidR="005D1FD3" w:rsidRPr="004421C2" w:rsidRDefault="005D1FD3" w:rsidP="0016095F">
            <w:pPr>
              <w:rPr>
                <w:rFonts w:cstheme="minorHAnsi"/>
                <w:color w:val="3333FF"/>
                <w:sz w:val="22"/>
              </w:rPr>
            </w:pPr>
            <w:r w:rsidRPr="004421C2">
              <w:rPr>
                <w:rFonts w:cstheme="minorHAnsi"/>
                <w:color w:val="3333FF"/>
                <w:kern w:val="24"/>
                <w:sz w:val="22"/>
              </w:rPr>
              <w:t>  </w:t>
            </w:r>
          </w:p>
        </w:tc>
        <w:tc>
          <w:tcPr>
            <w:tcW w:w="2023" w:type="dxa"/>
          </w:tcPr>
          <w:p w14:paraId="27E13A43"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617-983-6570</w:t>
            </w:r>
          </w:p>
          <w:p w14:paraId="0684F4E9" w14:textId="77777777" w:rsidR="005D1FD3" w:rsidRPr="00B10C1D" w:rsidRDefault="005D1FD3" w:rsidP="0016095F">
            <w:pPr>
              <w:rPr>
                <w:rFonts w:cstheme="minorHAnsi"/>
                <w:sz w:val="22"/>
              </w:rPr>
            </w:pPr>
            <w:r w:rsidRPr="00B10C1D">
              <w:rPr>
                <w:rFonts w:cstheme="minorHAnsi"/>
                <w:kern w:val="24"/>
                <w:sz w:val="22"/>
              </w:rPr>
              <w:t> </w:t>
            </w:r>
          </w:p>
        </w:tc>
      </w:tr>
      <w:tr w:rsidR="00991A6F" w:rsidRPr="00991A6F" w14:paraId="6217450E" w14:textId="77777777" w:rsidTr="00F75AB4">
        <w:tc>
          <w:tcPr>
            <w:tcW w:w="2136" w:type="dxa"/>
          </w:tcPr>
          <w:p w14:paraId="5D9EC4D9" w14:textId="77777777" w:rsidR="005D1FD3" w:rsidRPr="00B10C1D" w:rsidRDefault="005D1FD3" w:rsidP="0016095F">
            <w:pPr>
              <w:rPr>
                <w:rFonts w:cstheme="minorHAnsi"/>
                <w:sz w:val="22"/>
              </w:rPr>
            </w:pPr>
            <w:r w:rsidRPr="00B10C1D">
              <w:rPr>
                <w:rFonts w:cstheme="minorHAnsi"/>
                <w:kern w:val="24"/>
                <w:sz w:val="22"/>
              </w:rPr>
              <w:t xml:space="preserve">STD Clinical Services </w:t>
            </w:r>
          </w:p>
        </w:tc>
        <w:tc>
          <w:tcPr>
            <w:tcW w:w="2109" w:type="dxa"/>
          </w:tcPr>
          <w:p w14:paraId="2EF2A70E"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Katherine Hsu (Medical Director)</w:t>
            </w:r>
          </w:p>
          <w:p w14:paraId="2DFF7EFB" w14:textId="77777777" w:rsidR="005D1FD3" w:rsidRPr="00B10C1D" w:rsidRDefault="005D1FD3" w:rsidP="0016095F">
            <w:pPr>
              <w:rPr>
                <w:rFonts w:cstheme="minorHAnsi"/>
                <w:sz w:val="22"/>
              </w:rPr>
            </w:pPr>
            <w:r w:rsidRPr="00B10C1D">
              <w:rPr>
                <w:rFonts w:cstheme="minorHAnsi"/>
                <w:kern w:val="24"/>
                <w:sz w:val="22"/>
              </w:rPr>
              <w:t>Kaitlin Nichols(Public Health Nurse)</w:t>
            </w:r>
          </w:p>
        </w:tc>
        <w:tc>
          <w:tcPr>
            <w:tcW w:w="2840" w:type="dxa"/>
          </w:tcPr>
          <w:p w14:paraId="3DB7342E" w14:textId="77777777" w:rsidR="005D1FD3" w:rsidRPr="004421C2" w:rsidRDefault="009479A7" w:rsidP="0016095F">
            <w:pPr>
              <w:pStyle w:val="NormalWeb"/>
              <w:spacing w:before="0" w:beforeAutospacing="0" w:after="0" w:afterAutospacing="0"/>
              <w:rPr>
                <w:rFonts w:asciiTheme="minorHAnsi" w:hAnsiTheme="minorHAnsi" w:cstheme="minorHAnsi"/>
                <w:color w:val="3333FF"/>
                <w:sz w:val="22"/>
                <w:szCs w:val="22"/>
              </w:rPr>
            </w:pPr>
            <w:hyperlink r:id="rId90" w:history="1">
              <w:r w:rsidR="005D1FD3" w:rsidRPr="004421C2">
                <w:rPr>
                  <w:rStyle w:val="Hyperlink"/>
                  <w:rFonts w:asciiTheme="minorHAnsi" w:hAnsiTheme="minorHAnsi" w:cstheme="minorHAnsi"/>
                  <w:color w:val="3333FF"/>
                  <w:kern w:val="24"/>
                  <w:sz w:val="22"/>
                  <w:szCs w:val="22"/>
                </w:rPr>
                <w:t>Katherine.Hsu@mass.gov</w:t>
              </w:r>
            </w:hyperlink>
          </w:p>
          <w:p w14:paraId="3859B01D" w14:textId="77777777" w:rsidR="005D1FD3" w:rsidRPr="004421C2" w:rsidRDefault="009479A7" w:rsidP="0016095F">
            <w:pPr>
              <w:rPr>
                <w:rFonts w:cstheme="minorHAnsi"/>
                <w:color w:val="3333FF"/>
                <w:sz w:val="22"/>
              </w:rPr>
            </w:pPr>
            <w:hyperlink r:id="rId91" w:history="1">
              <w:r w:rsidR="005D1FD3" w:rsidRPr="004421C2">
                <w:rPr>
                  <w:rStyle w:val="Hyperlink"/>
                  <w:rFonts w:cstheme="minorHAnsi"/>
                  <w:color w:val="3333FF"/>
                  <w:kern w:val="24"/>
                  <w:sz w:val="22"/>
                </w:rPr>
                <w:t>Kaitlin.Nichols@mass.gov</w:t>
              </w:r>
            </w:hyperlink>
            <w:r w:rsidR="005D1FD3" w:rsidRPr="004421C2">
              <w:rPr>
                <w:rFonts w:cstheme="minorHAnsi"/>
                <w:color w:val="3333FF"/>
                <w:kern w:val="24"/>
                <w:sz w:val="22"/>
              </w:rPr>
              <w:t xml:space="preserve">    </w:t>
            </w:r>
          </w:p>
        </w:tc>
        <w:tc>
          <w:tcPr>
            <w:tcW w:w="2023" w:type="dxa"/>
          </w:tcPr>
          <w:p w14:paraId="63C6157C"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617-983-6948</w:t>
            </w:r>
          </w:p>
          <w:p w14:paraId="413324CB" w14:textId="77777777" w:rsidR="005D1FD3" w:rsidRPr="00B10C1D" w:rsidRDefault="005D1FD3" w:rsidP="0016095F">
            <w:pPr>
              <w:rPr>
                <w:rFonts w:cstheme="minorHAnsi"/>
                <w:sz w:val="22"/>
              </w:rPr>
            </w:pPr>
            <w:r w:rsidRPr="00B10C1D">
              <w:rPr>
                <w:rFonts w:cstheme="minorHAnsi"/>
                <w:kern w:val="24"/>
                <w:sz w:val="22"/>
              </w:rPr>
              <w:t>617-983-6959</w:t>
            </w:r>
          </w:p>
        </w:tc>
      </w:tr>
    </w:tbl>
    <w:p w14:paraId="0F9CFD93" w14:textId="77777777" w:rsidR="005D1FD3" w:rsidRPr="00991A6F" w:rsidRDefault="005D1FD3" w:rsidP="005D1FD3">
      <w:pPr>
        <w:ind w:left="360"/>
        <w:rPr>
          <w:b/>
          <w:bCs/>
          <w:color w:val="FF0000"/>
        </w:rPr>
      </w:pPr>
    </w:p>
    <w:p w14:paraId="14B8BBC8" w14:textId="77777777" w:rsidR="005D1FD3" w:rsidRPr="00B10C1D" w:rsidRDefault="005D1FD3" w:rsidP="005D1FD3">
      <w:pPr>
        <w:ind w:left="360"/>
      </w:pPr>
      <w:r w:rsidRPr="00B10C1D">
        <w:rPr>
          <w:b/>
          <w:bCs/>
        </w:rPr>
        <w:t>Table 2.</w:t>
      </w:r>
      <w:r w:rsidRPr="00B10C1D">
        <w:t xml:space="preserve"> </w:t>
      </w:r>
      <w:r w:rsidRPr="00B10C1D">
        <w:rPr>
          <w:b/>
          <w:bCs/>
        </w:rPr>
        <w:t>Office of HIV/AIDS</w:t>
      </w:r>
    </w:p>
    <w:tbl>
      <w:tblPr>
        <w:tblStyle w:val="TableGrid"/>
        <w:tblW w:w="0" w:type="auto"/>
        <w:tblLook w:val="06A0" w:firstRow="1" w:lastRow="0" w:firstColumn="1" w:lastColumn="0" w:noHBand="1" w:noVBand="1"/>
      </w:tblPr>
      <w:tblGrid>
        <w:gridCol w:w="2136"/>
        <w:gridCol w:w="2109"/>
        <w:gridCol w:w="2722"/>
        <w:gridCol w:w="2023"/>
      </w:tblGrid>
      <w:tr w:rsidR="00B10C1D" w:rsidRPr="00B10C1D" w14:paraId="60032754" w14:textId="77777777" w:rsidTr="00A010D9">
        <w:tc>
          <w:tcPr>
            <w:tcW w:w="2136" w:type="dxa"/>
          </w:tcPr>
          <w:p w14:paraId="0E08B729" w14:textId="77777777" w:rsidR="005D1FD3" w:rsidRPr="00B10C1D" w:rsidRDefault="005D1FD3" w:rsidP="0016095F">
            <w:pPr>
              <w:rPr>
                <w:rFonts w:cstheme="minorHAnsi"/>
                <w:b/>
                <w:bCs/>
                <w:sz w:val="22"/>
              </w:rPr>
            </w:pPr>
            <w:r w:rsidRPr="00B10C1D">
              <w:rPr>
                <w:rFonts w:cstheme="minorHAnsi"/>
                <w:b/>
                <w:bCs/>
                <w:sz w:val="22"/>
              </w:rPr>
              <w:t>Topic</w:t>
            </w:r>
          </w:p>
        </w:tc>
        <w:tc>
          <w:tcPr>
            <w:tcW w:w="2109" w:type="dxa"/>
          </w:tcPr>
          <w:p w14:paraId="7F6748A7" w14:textId="77777777" w:rsidR="005D1FD3" w:rsidRPr="00B10C1D" w:rsidRDefault="005D1FD3" w:rsidP="0016095F">
            <w:pPr>
              <w:rPr>
                <w:rFonts w:cstheme="minorHAnsi"/>
                <w:b/>
                <w:bCs/>
                <w:sz w:val="22"/>
              </w:rPr>
            </w:pPr>
            <w:r w:rsidRPr="00B10C1D">
              <w:rPr>
                <w:rFonts w:cstheme="minorHAnsi"/>
                <w:b/>
                <w:bCs/>
                <w:sz w:val="22"/>
              </w:rPr>
              <w:t>Contact</w:t>
            </w:r>
          </w:p>
        </w:tc>
        <w:tc>
          <w:tcPr>
            <w:tcW w:w="2722" w:type="dxa"/>
          </w:tcPr>
          <w:p w14:paraId="385B27AE" w14:textId="77777777" w:rsidR="005D1FD3" w:rsidRPr="00B10C1D" w:rsidRDefault="005D1FD3" w:rsidP="0016095F">
            <w:pPr>
              <w:rPr>
                <w:rFonts w:cstheme="minorHAnsi"/>
                <w:b/>
                <w:bCs/>
                <w:sz w:val="22"/>
              </w:rPr>
            </w:pPr>
            <w:r w:rsidRPr="00B10C1D">
              <w:rPr>
                <w:rFonts w:cstheme="minorHAnsi"/>
                <w:b/>
                <w:bCs/>
                <w:sz w:val="22"/>
              </w:rPr>
              <w:t>Email</w:t>
            </w:r>
          </w:p>
        </w:tc>
        <w:tc>
          <w:tcPr>
            <w:tcW w:w="2023" w:type="dxa"/>
          </w:tcPr>
          <w:p w14:paraId="1C0DFF2D" w14:textId="77777777" w:rsidR="005D1FD3" w:rsidRPr="00B10C1D" w:rsidRDefault="005D1FD3" w:rsidP="0016095F">
            <w:pPr>
              <w:rPr>
                <w:rFonts w:cstheme="minorHAnsi"/>
                <w:b/>
                <w:bCs/>
                <w:sz w:val="22"/>
              </w:rPr>
            </w:pPr>
            <w:r w:rsidRPr="00B10C1D">
              <w:rPr>
                <w:rFonts w:cstheme="minorHAnsi"/>
                <w:b/>
                <w:bCs/>
                <w:sz w:val="22"/>
              </w:rPr>
              <w:t>Phone</w:t>
            </w:r>
          </w:p>
        </w:tc>
      </w:tr>
      <w:tr w:rsidR="00867D81" w:rsidRPr="00991A6F" w14:paraId="4E40B797" w14:textId="77777777" w:rsidTr="00A010D9">
        <w:tc>
          <w:tcPr>
            <w:tcW w:w="2136" w:type="dxa"/>
          </w:tcPr>
          <w:p w14:paraId="7408B461" w14:textId="77777777" w:rsidR="00867D81" w:rsidRPr="00B10C1D" w:rsidRDefault="00867D81" w:rsidP="00867D81">
            <w:pPr>
              <w:rPr>
                <w:rFonts w:cstheme="minorHAnsi"/>
                <w:sz w:val="22"/>
              </w:rPr>
            </w:pPr>
            <w:r w:rsidRPr="00B10C1D">
              <w:rPr>
                <w:rFonts w:cstheme="minorHAnsi"/>
                <w:kern w:val="24"/>
                <w:sz w:val="22"/>
              </w:rPr>
              <w:t xml:space="preserve">HIV/AIDS Resource Allocation, Policy, and  Programs </w:t>
            </w:r>
          </w:p>
        </w:tc>
        <w:tc>
          <w:tcPr>
            <w:tcW w:w="2109" w:type="dxa"/>
          </w:tcPr>
          <w:p w14:paraId="0CFCD88A" w14:textId="300582BE" w:rsidR="00867D81" w:rsidRPr="00B10C1D" w:rsidRDefault="00867D81" w:rsidP="00867D81">
            <w:pPr>
              <w:rPr>
                <w:rFonts w:cstheme="minorHAnsi"/>
                <w:sz w:val="22"/>
              </w:rPr>
            </w:pPr>
            <w:r w:rsidRPr="00B10C1D">
              <w:rPr>
                <w:rFonts w:cstheme="minorHAnsi"/>
                <w:kern w:val="24"/>
                <w:sz w:val="22"/>
              </w:rPr>
              <w:t>Linda Goldman (Director, Office of HIV/AIDS)</w:t>
            </w:r>
          </w:p>
        </w:tc>
        <w:tc>
          <w:tcPr>
            <w:tcW w:w="2722" w:type="dxa"/>
          </w:tcPr>
          <w:p w14:paraId="71490019" w14:textId="70F116BA" w:rsidR="00867D81" w:rsidRPr="004421C2" w:rsidRDefault="009479A7" w:rsidP="00867D81">
            <w:pPr>
              <w:rPr>
                <w:rFonts w:cstheme="minorHAnsi"/>
                <w:color w:val="3333FF"/>
                <w:sz w:val="22"/>
              </w:rPr>
            </w:pPr>
            <w:hyperlink r:id="rId92" w:history="1">
              <w:r w:rsidR="00867D81" w:rsidRPr="004421C2">
                <w:rPr>
                  <w:rStyle w:val="Hyperlink"/>
                  <w:rFonts w:cstheme="minorHAnsi"/>
                  <w:color w:val="3333FF"/>
                  <w:kern w:val="24"/>
                  <w:sz w:val="22"/>
                </w:rPr>
                <w:t>Linda.Goldman@mass.gov</w:t>
              </w:r>
            </w:hyperlink>
          </w:p>
        </w:tc>
        <w:tc>
          <w:tcPr>
            <w:tcW w:w="2023" w:type="dxa"/>
          </w:tcPr>
          <w:p w14:paraId="43AFE714" w14:textId="1E0D6D9C" w:rsidR="00867D81" w:rsidRPr="00B10C1D" w:rsidRDefault="00867D81" w:rsidP="00867D81">
            <w:pPr>
              <w:rPr>
                <w:rFonts w:cstheme="minorHAnsi"/>
                <w:sz w:val="22"/>
              </w:rPr>
            </w:pPr>
            <w:r w:rsidRPr="00B10C1D">
              <w:rPr>
                <w:rFonts w:cstheme="minorHAnsi"/>
                <w:kern w:val="24"/>
                <w:sz w:val="22"/>
              </w:rPr>
              <w:t>617-624-5347</w:t>
            </w:r>
          </w:p>
        </w:tc>
      </w:tr>
      <w:tr w:rsidR="00991A6F" w:rsidRPr="00991A6F" w14:paraId="49FC907F" w14:textId="77777777" w:rsidTr="00A010D9">
        <w:tc>
          <w:tcPr>
            <w:tcW w:w="2136" w:type="dxa"/>
          </w:tcPr>
          <w:p w14:paraId="23D00714" w14:textId="77777777" w:rsidR="005D1FD3" w:rsidRPr="00B10C1D" w:rsidRDefault="005D1FD3" w:rsidP="0016095F">
            <w:pPr>
              <w:rPr>
                <w:rFonts w:cstheme="minorHAnsi"/>
                <w:sz w:val="22"/>
              </w:rPr>
            </w:pPr>
            <w:r w:rsidRPr="00B10C1D">
              <w:rPr>
                <w:rFonts w:cstheme="minorHAnsi"/>
                <w:kern w:val="24"/>
                <w:sz w:val="22"/>
              </w:rPr>
              <w:t>Health Promotion and Disease Prevention Services</w:t>
            </w:r>
          </w:p>
        </w:tc>
        <w:tc>
          <w:tcPr>
            <w:tcW w:w="2109" w:type="dxa"/>
          </w:tcPr>
          <w:p w14:paraId="7EAC6154" w14:textId="677F6BF4" w:rsidR="005D1FD3" w:rsidRPr="00B10C1D" w:rsidRDefault="005D1FD3" w:rsidP="0016095F">
            <w:pPr>
              <w:rPr>
                <w:rFonts w:cstheme="minorHAnsi"/>
                <w:sz w:val="22"/>
              </w:rPr>
            </w:pPr>
            <w:r w:rsidRPr="00B10C1D">
              <w:rPr>
                <w:rFonts w:cstheme="minorHAnsi"/>
                <w:kern w:val="24"/>
                <w:sz w:val="22"/>
              </w:rPr>
              <w:t>Linda Goldman (</w:t>
            </w:r>
            <w:r w:rsidR="00867D81" w:rsidRPr="00B10C1D">
              <w:rPr>
                <w:rFonts w:cstheme="minorHAnsi"/>
                <w:kern w:val="24"/>
                <w:sz w:val="22"/>
              </w:rPr>
              <w:t>Director, Office of HIV/AIDS</w:t>
            </w:r>
            <w:r w:rsidRPr="00B10C1D">
              <w:rPr>
                <w:rFonts w:cstheme="minorHAnsi"/>
                <w:kern w:val="24"/>
                <w:sz w:val="22"/>
              </w:rPr>
              <w:t>)</w:t>
            </w:r>
          </w:p>
        </w:tc>
        <w:tc>
          <w:tcPr>
            <w:tcW w:w="2722" w:type="dxa"/>
          </w:tcPr>
          <w:p w14:paraId="361ED644" w14:textId="77777777" w:rsidR="005D1FD3" w:rsidRPr="004421C2" w:rsidRDefault="009479A7" w:rsidP="0016095F">
            <w:pPr>
              <w:rPr>
                <w:rFonts w:cstheme="minorHAnsi"/>
                <w:color w:val="3333FF"/>
                <w:sz w:val="22"/>
              </w:rPr>
            </w:pPr>
            <w:hyperlink r:id="rId93" w:history="1">
              <w:r w:rsidR="005D1FD3" w:rsidRPr="004421C2">
                <w:rPr>
                  <w:rStyle w:val="Hyperlink"/>
                  <w:rFonts w:cstheme="minorHAnsi"/>
                  <w:color w:val="3333FF"/>
                  <w:kern w:val="24"/>
                  <w:sz w:val="22"/>
                </w:rPr>
                <w:t>Linda.Goldman@mass.gov</w:t>
              </w:r>
            </w:hyperlink>
          </w:p>
        </w:tc>
        <w:tc>
          <w:tcPr>
            <w:tcW w:w="2023" w:type="dxa"/>
          </w:tcPr>
          <w:p w14:paraId="580EC731" w14:textId="77777777" w:rsidR="005D1FD3" w:rsidRPr="00B10C1D" w:rsidRDefault="005D1FD3" w:rsidP="0016095F">
            <w:pPr>
              <w:rPr>
                <w:rFonts w:cstheme="minorHAnsi"/>
                <w:sz w:val="22"/>
              </w:rPr>
            </w:pPr>
            <w:r w:rsidRPr="00B10C1D">
              <w:rPr>
                <w:rFonts w:cstheme="minorHAnsi"/>
                <w:kern w:val="24"/>
                <w:sz w:val="22"/>
              </w:rPr>
              <w:t>617-624-5347</w:t>
            </w:r>
          </w:p>
        </w:tc>
      </w:tr>
      <w:tr w:rsidR="005D1FD3" w:rsidRPr="00991A6F" w14:paraId="6B07FD98" w14:textId="77777777" w:rsidTr="00A010D9">
        <w:tc>
          <w:tcPr>
            <w:tcW w:w="2136" w:type="dxa"/>
          </w:tcPr>
          <w:p w14:paraId="79402EFA" w14:textId="77777777" w:rsidR="005D1FD3" w:rsidRPr="00B10C1D" w:rsidRDefault="005D1FD3" w:rsidP="0016095F">
            <w:pPr>
              <w:rPr>
                <w:rFonts w:cstheme="minorHAnsi"/>
                <w:sz w:val="22"/>
              </w:rPr>
            </w:pPr>
            <w:r w:rsidRPr="00B10C1D">
              <w:rPr>
                <w:rFonts w:cstheme="minorHAnsi"/>
                <w:kern w:val="24"/>
                <w:sz w:val="22"/>
              </w:rPr>
              <w:t>Behavioral Health and Community Engagement</w:t>
            </w:r>
          </w:p>
        </w:tc>
        <w:tc>
          <w:tcPr>
            <w:tcW w:w="2109" w:type="dxa"/>
          </w:tcPr>
          <w:p w14:paraId="2E571AAB"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 xml:space="preserve">Barry Callis </w:t>
            </w:r>
          </w:p>
          <w:p w14:paraId="5EA6D0AF" w14:textId="77777777" w:rsidR="005D1FD3" w:rsidRPr="00B10C1D" w:rsidRDefault="005D1FD3" w:rsidP="0016095F">
            <w:pPr>
              <w:rPr>
                <w:rFonts w:cstheme="minorHAnsi"/>
                <w:sz w:val="22"/>
              </w:rPr>
            </w:pPr>
            <w:r w:rsidRPr="00B10C1D">
              <w:rPr>
                <w:rFonts w:cstheme="minorHAnsi"/>
                <w:kern w:val="24"/>
                <w:sz w:val="22"/>
              </w:rPr>
              <w:t>(Director of Behavioral Health and Infectious Disease Prevention</w:t>
            </w:r>
          </w:p>
        </w:tc>
        <w:tc>
          <w:tcPr>
            <w:tcW w:w="2722" w:type="dxa"/>
          </w:tcPr>
          <w:p w14:paraId="40A0BD1D" w14:textId="77777777" w:rsidR="005D1FD3" w:rsidRPr="004421C2" w:rsidRDefault="009479A7" w:rsidP="0016095F">
            <w:pPr>
              <w:rPr>
                <w:rFonts w:cstheme="minorHAnsi"/>
                <w:color w:val="3333FF"/>
                <w:sz w:val="22"/>
              </w:rPr>
            </w:pPr>
            <w:hyperlink r:id="rId94" w:history="1">
              <w:r w:rsidR="005D1FD3" w:rsidRPr="004421C2">
                <w:rPr>
                  <w:rStyle w:val="Hyperlink"/>
                  <w:rFonts w:cstheme="minorHAnsi"/>
                  <w:color w:val="3333FF"/>
                  <w:kern w:val="24"/>
                  <w:sz w:val="22"/>
                </w:rPr>
                <w:t>Barry.Callis@mass.gov</w:t>
              </w:r>
            </w:hyperlink>
          </w:p>
        </w:tc>
        <w:tc>
          <w:tcPr>
            <w:tcW w:w="2023" w:type="dxa"/>
          </w:tcPr>
          <w:p w14:paraId="7183DED1" w14:textId="77777777" w:rsidR="005D1FD3" w:rsidRPr="00B10C1D" w:rsidRDefault="005D1FD3" w:rsidP="0016095F">
            <w:pPr>
              <w:rPr>
                <w:rFonts w:cstheme="minorHAnsi"/>
                <w:sz w:val="22"/>
              </w:rPr>
            </w:pPr>
            <w:r w:rsidRPr="00B10C1D">
              <w:rPr>
                <w:rFonts w:cstheme="minorHAnsi"/>
                <w:kern w:val="24"/>
                <w:sz w:val="22"/>
              </w:rPr>
              <w:t>617-624-5316</w:t>
            </w:r>
          </w:p>
        </w:tc>
      </w:tr>
    </w:tbl>
    <w:p w14:paraId="2C98B239" w14:textId="77777777" w:rsidR="005D1FD3" w:rsidRPr="00991A6F" w:rsidRDefault="005D1FD3" w:rsidP="005D1FD3">
      <w:pPr>
        <w:ind w:left="360"/>
        <w:rPr>
          <w:color w:val="FF0000"/>
        </w:rPr>
      </w:pPr>
    </w:p>
    <w:p w14:paraId="78F9EDE0" w14:textId="77777777" w:rsidR="005D1FD3" w:rsidRPr="00991A6F" w:rsidRDefault="005D1FD3" w:rsidP="005D1FD3">
      <w:pPr>
        <w:ind w:left="360"/>
        <w:rPr>
          <w:b/>
          <w:bCs/>
          <w:color w:val="FF0000"/>
        </w:rPr>
      </w:pPr>
      <w:r w:rsidRPr="00991A6F">
        <w:rPr>
          <w:b/>
          <w:bCs/>
          <w:color w:val="FF0000"/>
        </w:rPr>
        <w:br w:type="page"/>
      </w:r>
    </w:p>
    <w:p w14:paraId="27279AEB" w14:textId="77777777" w:rsidR="005D1FD3" w:rsidRPr="00B10C1D" w:rsidRDefault="005D1FD3" w:rsidP="005D1FD3">
      <w:pPr>
        <w:ind w:left="360"/>
      </w:pPr>
      <w:r w:rsidRPr="00B10C1D">
        <w:rPr>
          <w:b/>
          <w:bCs/>
        </w:rPr>
        <w:lastRenderedPageBreak/>
        <w:t>Table 3. Viral Hepatitis Program</w:t>
      </w:r>
    </w:p>
    <w:tbl>
      <w:tblPr>
        <w:tblStyle w:val="TableGrid"/>
        <w:tblW w:w="0" w:type="auto"/>
        <w:tblLook w:val="06A0" w:firstRow="1" w:lastRow="0" w:firstColumn="1" w:lastColumn="0" w:noHBand="1" w:noVBand="1"/>
      </w:tblPr>
      <w:tblGrid>
        <w:gridCol w:w="2136"/>
        <w:gridCol w:w="2109"/>
        <w:gridCol w:w="2722"/>
        <w:gridCol w:w="2023"/>
      </w:tblGrid>
      <w:tr w:rsidR="00991A6F" w:rsidRPr="00991A6F" w14:paraId="34B97F2F" w14:textId="77777777" w:rsidTr="00A010D9">
        <w:tc>
          <w:tcPr>
            <w:tcW w:w="2136" w:type="dxa"/>
          </w:tcPr>
          <w:p w14:paraId="356EFC9E" w14:textId="77777777" w:rsidR="005D1FD3" w:rsidRPr="00B10C1D" w:rsidRDefault="005D1FD3" w:rsidP="0016095F">
            <w:pPr>
              <w:rPr>
                <w:rFonts w:cstheme="minorHAnsi"/>
                <w:b/>
                <w:bCs/>
                <w:sz w:val="22"/>
              </w:rPr>
            </w:pPr>
            <w:r w:rsidRPr="00B10C1D">
              <w:rPr>
                <w:rFonts w:cstheme="minorHAnsi"/>
                <w:b/>
                <w:bCs/>
                <w:sz w:val="22"/>
              </w:rPr>
              <w:t>Topic</w:t>
            </w:r>
          </w:p>
        </w:tc>
        <w:tc>
          <w:tcPr>
            <w:tcW w:w="2109" w:type="dxa"/>
          </w:tcPr>
          <w:p w14:paraId="7DDE0BAB" w14:textId="77777777" w:rsidR="005D1FD3" w:rsidRPr="00B10C1D" w:rsidRDefault="005D1FD3" w:rsidP="0016095F">
            <w:pPr>
              <w:rPr>
                <w:rFonts w:cstheme="minorHAnsi"/>
                <w:b/>
                <w:bCs/>
                <w:sz w:val="22"/>
              </w:rPr>
            </w:pPr>
            <w:r w:rsidRPr="00B10C1D">
              <w:rPr>
                <w:rFonts w:cstheme="minorHAnsi"/>
                <w:b/>
                <w:bCs/>
                <w:sz w:val="22"/>
              </w:rPr>
              <w:t>Contact</w:t>
            </w:r>
          </w:p>
        </w:tc>
        <w:tc>
          <w:tcPr>
            <w:tcW w:w="2722" w:type="dxa"/>
          </w:tcPr>
          <w:p w14:paraId="4A7289E5" w14:textId="77777777" w:rsidR="005D1FD3" w:rsidRPr="00B10C1D" w:rsidRDefault="005D1FD3" w:rsidP="0016095F">
            <w:pPr>
              <w:rPr>
                <w:rFonts w:cstheme="minorHAnsi"/>
                <w:b/>
                <w:bCs/>
                <w:sz w:val="22"/>
              </w:rPr>
            </w:pPr>
            <w:r w:rsidRPr="00B10C1D">
              <w:rPr>
                <w:rFonts w:cstheme="minorHAnsi"/>
                <w:b/>
                <w:bCs/>
                <w:sz w:val="22"/>
              </w:rPr>
              <w:t>Email</w:t>
            </w:r>
          </w:p>
        </w:tc>
        <w:tc>
          <w:tcPr>
            <w:tcW w:w="2023" w:type="dxa"/>
          </w:tcPr>
          <w:p w14:paraId="2720E9E3" w14:textId="77777777" w:rsidR="005D1FD3" w:rsidRPr="00B10C1D" w:rsidRDefault="005D1FD3" w:rsidP="0016095F">
            <w:pPr>
              <w:rPr>
                <w:rFonts w:cstheme="minorHAnsi"/>
                <w:b/>
                <w:bCs/>
                <w:sz w:val="22"/>
              </w:rPr>
            </w:pPr>
            <w:r w:rsidRPr="00B10C1D">
              <w:rPr>
                <w:rFonts w:cstheme="minorHAnsi"/>
                <w:b/>
                <w:bCs/>
                <w:sz w:val="22"/>
              </w:rPr>
              <w:t>Phone</w:t>
            </w:r>
          </w:p>
        </w:tc>
      </w:tr>
      <w:tr w:rsidR="005D1FD3" w:rsidRPr="00991A6F" w14:paraId="7D9AEC40" w14:textId="77777777" w:rsidTr="00A010D9">
        <w:tc>
          <w:tcPr>
            <w:tcW w:w="2136" w:type="dxa"/>
          </w:tcPr>
          <w:p w14:paraId="4B51001F" w14:textId="77777777" w:rsidR="005D1FD3" w:rsidRPr="00B10C1D" w:rsidRDefault="005D1FD3" w:rsidP="0016095F">
            <w:pPr>
              <w:rPr>
                <w:rFonts w:cstheme="minorHAnsi"/>
                <w:sz w:val="22"/>
              </w:rPr>
            </w:pPr>
            <w:r w:rsidRPr="00B10C1D">
              <w:rPr>
                <w:rFonts w:cstheme="minorHAnsi"/>
                <w:kern w:val="24"/>
                <w:sz w:val="22"/>
              </w:rPr>
              <w:t>Viral Hepatitis Surveillance and Epidemiology</w:t>
            </w:r>
          </w:p>
        </w:tc>
        <w:tc>
          <w:tcPr>
            <w:tcW w:w="2109" w:type="dxa"/>
          </w:tcPr>
          <w:p w14:paraId="7D7E7B20"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eastAsiaTheme="minorEastAsia" w:hAnsiTheme="minorHAnsi" w:cstheme="minorHAnsi"/>
                <w:kern w:val="24"/>
                <w:sz w:val="22"/>
                <w:szCs w:val="22"/>
              </w:rPr>
              <w:t>Lindsay Bouton (Programmatic epidemiologist for hepatitis A and B)</w:t>
            </w:r>
          </w:p>
          <w:p w14:paraId="784680F8"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eastAsiaTheme="minorEastAsia" w:hAnsiTheme="minorHAnsi" w:cstheme="minorHAnsi"/>
                <w:kern w:val="24"/>
                <w:sz w:val="22"/>
                <w:szCs w:val="22"/>
              </w:rPr>
              <w:t>Anthony Osinski (Programmatic epidemiologist for hepatitis C)</w:t>
            </w:r>
          </w:p>
          <w:p w14:paraId="43CE9E28" w14:textId="77777777" w:rsidR="005D1FD3" w:rsidRPr="00B10C1D" w:rsidRDefault="005D1FD3" w:rsidP="0016095F">
            <w:pPr>
              <w:rPr>
                <w:rFonts w:cstheme="minorHAnsi"/>
                <w:sz w:val="22"/>
              </w:rPr>
            </w:pPr>
            <w:r w:rsidRPr="00B10C1D">
              <w:rPr>
                <w:rFonts w:eastAsiaTheme="minorEastAsia" w:cstheme="minorHAnsi"/>
                <w:kern w:val="24"/>
                <w:sz w:val="22"/>
              </w:rPr>
              <w:t>Susan Soliva (Surveillance epidemiologist for viral hepatitis)</w:t>
            </w:r>
          </w:p>
        </w:tc>
        <w:tc>
          <w:tcPr>
            <w:tcW w:w="2722" w:type="dxa"/>
          </w:tcPr>
          <w:p w14:paraId="68964C4E" w14:textId="77777777" w:rsidR="005D1FD3" w:rsidRPr="004421C2" w:rsidRDefault="009479A7" w:rsidP="0016095F">
            <w:pPr>
              <w:pStyle w:val="NormalWeb"/>
              <w:spacing w:before="0" w:beforeAutospacing="0" w:after="0" w:afterAutospacing="0"/>
              <w:rPr>
                <w:rFonts w:asciiTheme="minorHAnsi" w:hAnsiTheme="minorHAnsi" w:cstheme="minorHAnsi"/>
                <w:color w:val="3333FF"/>
                <w:sz w:val="22"/>
                <w:szCs w:val="22"/>
              </w:rPr>
            </w:pPr>
            <w:hyperlink r:id="rId95" w:history="1">
              <w:r w:rsidR="005D1FD3" w:rsidRPr="004421C2">
                <w:rPr>
                  <w:rStyle w:val="Hyperlink"/>
                  <w:rFonts w:asciiTheme="minorHAnsi" w:eastAsiaTheme="minorEastAsia" w:hAnsiTheme="minorHAnsi" w:cstheme="minorHAnsi"/>
                  <w:color w:val="3333FF"/>
                  <w:kern w:val="24"/>
                  <w:sz w:val="22"/>
                  <w:szCs w:val="22"/>
                </w:rPr>
                <w:t>Lindsay.Bouton@mass.gov</w:t>
              </w:r>
            </w:hyperlink>
          </w:p>
          <w:p w14:paraId="68FA3C20" w14:textId="77777777" w:rsidR="005D1FD3" w:rsidRPr="004421C2" w:rsidRDefault="009479A7" w:rsidP="0016095F">
            <w:pPr>
              <w:pStyle w:val="NormalWeb"/>
              <w:spacing w:before="0" w:beforeAutospacing="0" w:after="0" w:afterAutospacing="0"/>
              <w:rPr>
                <w:rFonts w:asciiTheme="minorHAnsi" w:hAnsiTheme="minorHAnsi" w:cstheme="minorHAnsi"/>
                <w:color w:val="3333FF"/>
                <w:sz w:val="22"/>
                <w:szCs w:val="22"/>
              </w:rPr>
            </w:pPr>
            <w:hyperlink r:id="rId96" w:history="1">
              <w:r w:rsidR="005D1FD3" w:rsidRPr="004421C2">
                <w:rPr>
                  <w:rStyle w:val="Hyperlink"/>
                  <w:rFonts w:asciiTheme="minorHAnsi" w:eastAsiaTheme="minorEastAsia" w:hAnsiTheme="minorHAnsi" w:cstheme="minorHAnsi"/>
                  <w:color w:val="3333FF"/>
                  <w:kern w:val="24"/>
                  <w:sz w:val="22"/>
                  <w:szCs w:val="22"/>
                </w:rPr>
                <w:t>Anthony.Osinski@mass.gov</w:t>
              </w:r>
            </w:hyperlink>
          </w:p>
          <w:p w14:paraId="62E19820" w14:textId="77777777" w:rsidR="005D1FD3" w:rsidRPr="00991A6F" w:rsidRDefault="005D1FD3" w:rsidP="0016095F">
            <w:pPr>
              <w:rPr>
                <w:rFonts w:cstheme="minorHAnsi"/>
                <w:color w:val="FF0000"/>
                <w:sz w:val="22"/>
              </w:rPr>
            </w:pPr>
            <w:r w:rsidRPr="004421C2">
              <w:rPr>
                <w:rFonts w:eastAsiaTheme="minorEastAsia" w:cstheme="minorHAnsi"/>
                <w:color w:val="3333FF"/>
                <w:kern w:val="24"/>
                <w:sz w:val="22"/>
                <w:u w:val="single"/>
              </w:rPr>
              <w:t>Susan.Soliva@mass.gov</w:t>
            </w:r>
          </w:p>
        </w:tc>
        <w:tc>
          <w:tcPr>
            <w:tcW w:w="2023" w:type="dxa"/>
          </w:tcPr>
          <w:p w14:paraId="0395F12D"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617-983-6800</w:t>
            </w:r>
          </w:p>
          <w:p w14:paraId="2A51EDE4"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617-983-6800</w:t>
            </w:r>
          </w:p>
          <w:p w14:paraId="2420138E" w14:textId="77777777" w:rsidR="005D1FD3" w:rsidRPr="00B10C1D" w:rsidRDefault="005D1FD3" w:rsidP="0016095F">
            <w:pPr>
              <w:rPr>
                <w:rFonts w:cstheme="minorHAnsi"/>
                <w:sz w:val="22"/>
              </w:rPr>
            </w:pPr>
            <w:r w:rsidRPr="00B10C1D">
              <w:rPr>
                <w:rFonts w:cstheme="minorHAnsi"/>
                <w:kern w:val="24"/>
                <w:sz w:val="22"/>
              </w:rPr>
              <w:t>617-983-6801</w:t>
            </w:r>
          </w:p>
        </w:tc>
      </w:tr>
    </w:tbl>
    <w:p w14:paraId="3B663FE6" w14:textId="77777777" w:rsidR="005D1FD3" w:rsidRPr="00991A6F" w:rsidRDefault="005D1FD3" w:rsidP="005D1FD3">
      <w:pPr>
        <w:ind w:left="360"/>
        <w:rPr>
          <w:color w:val="FF0000"/>
        </w:rPr>
      </w:pPr>
    </w:p>
    <w:p w14:paraId="5CAE1CB7" w14:textId="77777777" w:rsidR="005D1FD3" w:rsidRPr="00991A6F" w:rsidRDefault="005D1FD3" w:rsidP="005D1FD3">
      <w:pPr>
        <w:ind w:left="360"/>
        <w:rPr>
          <w:color w:val="FF0000"/>
        </w:rPr>
      </w:pPr>
      <w:r w:rsidRPr="00991A6F">
        <w:rPr>
          <w:color w:val="FF0000"/>
        </w:rPr>
        <w:br w:type="page"/>
      </w:r>
    </w:p>
    <w:p w14:paraId="21B3B137" w14:textId="16EF4DEF" w:rsidR="005D1FD3" w:rsidRPr="009C32E7" w:rsidRDefault="005D1FD3" w:rsidP="38A4F72D">
      <w:pPr>
        <w:pStyle w:val="Heading1"/>
      </w:pPr>
      <w:bookmarkStart w:id="84" w:name="_Toc154057183"/>
      <w:r>
        <w:lastRenderedPageBreak/>
        <w:t>HIV, STD, AND VIRAL HEPATITIS RESOURCES</w:t>
      </w:r>
      <w:bookmarkEnd w:id="84"/>
    </w:p>
    <w:p w14:paraId="1C355F50" w14:textId="77777777" w:rsidR="00AE3188" w:rsidRPr="009C32E7" w:rsidRDefault="00AE3188" w:rsidP="00AE3188">
      <w:r w:rsidRPr="009C32E7">
        <w:rPr>
          <w:b/>
          <w:bCs/>
        </w:rPr>
        <w:t>Training</w:t>
      </w:r>
    </w:p>
    <w:p w14:paraId="46963689" w14:textId="77777777" w:rsidR="00AE3188" w:rsidRPr="009C32E7" w:rsidRDefault="00AE3188" w:rsidP="00AE3188">
      <w:r w:rsidRPr="009C32E7">
        <w:t xml:space="preserve">Professional training to community based organizations, local public health departments, and medical providers can be requested and is free of charge. </w:t>
      </w:r>
    </w:p>
    <w:tbl>
      <w:tblPr>
        <w:tblStyle w:val="TableGrid"/>
        <w:tblW w:w="10080" w:type="dxa"/>
        <w:tblLook w:val="0620" w:firstRow="1" w:lastRow="0" w:firstColumn="0" w:lastColumn="0" w:noHBand="1" w:noVBand="1"/>
      </w:tblPr>
      <w:tblGrid>
        <w:gridCol w:w="4560"/>
        <w:gridCol w:w="5520"/>
      </w:tblGrid>
      <w:tr w:rsidR="009C32E7" w:rsidRPr="009C32E7" w14:paraId="060A9569" w14:textId="77777777" w:rsidTr="00BD0039">
        <w:tc>
          <w:tcPr>
            <w:tcW w:w="4560" w:type="dxa"/>
            <w:hideMark/>
          </w:tcPr>
          <w:p w14:paraId="0BB701A3" w14:textId="77777777" w:rsidR="00AE3188" w:rsidRPr="009C32E7" w:rsidRDefault="00AE3188" w:rsidP="0016095F">
            <w:pPr>
              <w:rPr>
                <w:sz w:val="20"/>
                <w:szCs w:val="20"/>
              </w:rPr>
            </w:pPr>
            <w:r w:rsidRPr="009C32E7">
              <w:rPr>
                <w:b/>
                <w:bCs/>
                <w:sz w:val="20"/>
                <w:szCs w:val="20"/>
              </w:rPr>
              <w:t>Type of Training</w:t>
            </w:r>
          </w:p>
        </w:tc>
        <w:tc>
          <w:tcPr>
            <w:tcW w:w="5520" w:type="dxa"/>
            <w:hideMark/>
          </w:tcPr>
          <w:p w14:paraId="06C671DB" w14:textId="77777777" w:rsidR="00AE3188" w:rsidRPr="009C32E7" w:rsidRDefault="00AE3188" w:rsidP="0016095F">
            <w:pPr>
              <w:rPr>
                <w:sz w:val="20"/>
                <w:szCs w:val="20"/>
              </w:rPr>
            </w:pPr>
            <w:r w:rsidRPr="009C32E7">
              <w:rPr>
                <w:b/>
                <w:bCs/>
                <w:sz w:val="20"/>
                <w:szCs w:val="20"/>
              </w:rPr>
              <w:t>Contact Information and Website</w:t>
            </w:r>
          </w:p>
        </w:tc>
      </w:tr>
      <w:tr w:rsidR="009C32E7" w:rsidRPr="009C32E7" w14:paraId="7D7B8620" w14:textId="77777777" w:rsidTr="00BD0039">
        <w:trPr>
          <w:trHeight w:val="477"/>
        </w:trPr>
        <w:tc>
          <w:tcPr>
            <w:tcW w:w="4560" w:type="dxa"/>
            <w:hideMark/>
          </w:tcPr>
          <w:p w14:paraId="5F128F1F"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 xml:space="preserve">STD Education, STD Partner Notification, and </w:t>
            </w:r>
          </w:p>
          <w:p w14:paraId="66097805" w14:textId="77777777" w:rsidR="00AE3188" w:rsidRPr="009C32E7" w:rsidRDefault="00AE3188" w:rsidP="0016095F">
            <w:pPr>
              <w:rPr>
                <w:rFonts w:cstheme="minorHAnsi"/>
                <w:sz w:val="20"/>
                <w:szCs w:val="20"/>
              </w:rPr>
            </w:pPr>
            <w:r w:rsidRPr="009C32E7">
              <w:rPr>
                <w:rFonts w:cstheme="minorHAnsi"/>
                <w:kern w:val="24"/>
                <w:sz w:val="21"/>
                <w:szCs w:val="21"/>
              </w:rPr>
              <w:t xml:space="preserve">STD Reporting </w:t>
            </w:r>
          </w:p>
        </w:tc>
        <w:tc>
          <w:tcPr>
            <w:tcW w:w="5520" w:type="dxa"/>
            <w:hideMark/>
          </w:tcPr>
          <w:p w14:paraId="144E36E7"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617-983-6940</w:t>
            </w:r>
          </w:p>
          <w:p w14:paraId="179D02A7" w14:textId="77777777" w:rsidR="00AE3188" w:rsidRPr="009C32E7" w:rsidRDefault="009479A7" w:rsidP="0016095F">
            <w:pPr>
              <w:rPr>
                <w:rFonts w:cstheme="minorHAnsi"/>
                <w:sz w:val="20"/>
                <w:szCs w:val="20"/>
              </w:rPr>
            </w:pPr>
            <w:hyperlink r:id="rId97" w:history="1">
              <w:r w:rsidR="00AE3188" w:rsidRPr="009C32E7">
                <w:rPr>
                  <w:rStyle w:val="Hyperlink"/>
                  <w:rFonts w:cstheme="minorHAnsi"/>
                  <w:color w:val="3333FF"/>
                  <w:kern w:val="24"/>
                  <w:sz w:val="21"/>
                  <w:szCs w:val="21"/>
                </w:rPr>
                <w:t>www.mass.gov/dph/cdc/std</w:t>
              </w:r>
            </w:hyperlink>
          </w:p>
        </w:tc>
      </w:tr>
      <w:tr w:rsidR="009C32E7" w:rsidRPr="009C32E7" w14:paraId="604FC03E" w14:textId="77777777" w:rsidTr="00BD0039">
        <w:tc>
          <w:tcPr>
            <w:tcW w:w="4560" w:type="dxa"/>
            <w:hideMark/>
          </w:tcPr>
          <w:p w14:paraId="06D56214" w14:textId="77777777" w:rsidR="00AE3188" w:rsidRPr="009C32E7" w:rsidRDefault="00AE3188" w:rsidP="0016095F">
            <w:pPr>
              <w:rPr>
                <w:rFonts w:cstheme="minorHAnsi"/>
                <w:sz w:val="20"/>
                <w:szCs w:val="20"/>
              </w:rPr>
            </w:pPr>
            <w:r w:rsidRPr="009C32E7">
              <w:rPr>
                <w:rFonts w:cstheme="minorHAnsi"/>
                <w:kern w:val="24"/>
                <w:sz w:val="21"/>
                <w:szCs w:val="21"/>
              </w:rPr>
              <w:t>HIV Reporting and Surveillance Projects</w:t>
            </w:r>
          </w:p>
        </w:tc>
        <w:tc>
          <w:tcPr>
            <w:tcW w:w="5520" w:type="dxa"/>
            <w:hideMark/>
          </w:tcPr>
          <w:p w14:paraId="432054D5"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617-983-6560</w:t>
            </w:r>
          </w:p>
          <w:p w14:paraId="4A6358BA" w14:textId="77777777" w:rsidR="00AE3188" w:rsidRPr="009C32E7" w:rsidRDefault="009479A7" w:rsidP="0016095F">
            <w:pPr>
              <w:rPr>
                <w:rFonts w:cstheme="minorHAnsi"/>
                <w:sz w:val="20"/>
                <w:szCs w:val="20"/>
              </w:rPr>
            </w:pPr>
            <w:hyperlink r:id="rId98" w:history="1">
              <w:r w:rsidR="00AE3188" w:rsidRPr="009C32E7">
                <w:rPr>
                  <w:rStyle w:val="Hyperlink"/>
                  <w:rFonts w:cstheme="minorHAnsi"/>
                  <w:color w:val="3333FF"/>
                  <w:kern w:val="24"/>
                  <w:sz w:val="21"/>
                  <w:szCs w:val="21"/>
                </w:rPr>
                <w:t>www.mass.gov/dph/cdc/aids</w:t>
              </w:r>
            </w:hyperlink>
          </w:p>
        </w:tc>
      </w:tr>
      <w:tr w:rsidR="009C32E7" w:rsidRPr="009C32E7" w14:paraId="2BCED76E" w14:textId="77777777" w:rsidTr="00BD0039">
        <w:tc>
          <w:tcPr>
            <w:tcW w:w="4560" w:type="dxa"/>
            <w:hideMark/>
          </w:tcPr>
          <w:p w14:paraId="6E8F0135" w14:textId="77777777" w:rsidR="00AE3188" w:rsidRPr="009C32E7" w:rsidRDefault="00AE3188" w:rsidP="0016095F">
            <w:pPr>
              <w:rPr>
                <w:rFonts w:cstheme="minorHAnsi"/>
                <w:sz w:val="20"/>
                <w:szCs w:val="20"/>
              </w:rPr>
            </w:pPr>
            <w:r w:rsidRPr="009C32E7">
              <w:rPr>
                <w:rFonts w:cstheme="minorHAnsi"/>
                <w:kern w:val="24"/>
                <w:sz w:val="21"/>
                <w:szCs w:val="21"/>
              </w:rPr>
              <w:t>HIV Provider Trainings</w:t>
            </w:r>
          </w:p>
        </w:tc>
        <w:tc>
          <w:tcPr>
            <w:tcW w:w="5520" w:type="dxa"/>
            <w:hideMark/>
          </w:tcPr>
          <w:p w14:paraId="7F2E43AA"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617-624-5338</w:t>
            </w:r>
          </w:p>
          <w:p w14:paraId="2CE6C2E0" w14:textId="77777777" w:rsidR="00AE3188" w:rsidRPr="009C32E7" w:rsidRDefault="009479A7" w:rsidP="0016095F">
            <w:pPr>
              <w:rPr>
                <w:rFonts w:cstheme="minorHAnsi"/>
                <w:sz w:val="20"/>
                <w:szCs w:val="20"/>
              </w:rPr>
            </w:pPr>
            <w:hyperlink r:id="rId99" w:history="1">
              <w:r w:rsidR="00AE3188" w:rsidRPr="009C32E7">
                <w:rPr>
                  <w:rStyle w:val="Hyperlink"/>
                  <w:rFonts w:cstheme="minorHAnsi"/>
                  <w:color w:val="3333FF"/>
                  <w:kern w:val="24"/>
                  <w:sz w:val="21"/>
                  <w:szCs w:val="21"/>
                </w:rPr>
                <w:t>www.mass.gov/dph/aids</w:t>
              </w:r>
            </w:hyperlink>
            <w:r w:rsidR="00AE3188" w:rsidRPr="009C32E7">
              <w:rPr>
                <w:rFonts w:cstheme="minorHAnsi"/>
                <w:color w:val="3333FF"/>
                <w:kern w:val="24"/>
                <w:sz w:val="21"/>
                <w:szCs w:val="21"/>
              </w:rPr>
              <w:t xml:space="preserve"> </w:t>
            </w:r>
          </w:p>
        </w:tc>
      </w:tr>
      <w:tr w:rsidR="009C32E7" w:rsidRPr="009C32E7" w14:paraId="151C7637" w14:textId="77777777" w:rsidTr="00BD0039">
        <w:tc>
          <w:tcPr>
            <w:tcW w:w="4560" w:type="dxa"/>
            <w:hideMark/>
          </w:tcPr>
          <w:p w14:paraId="392B5873" w14:textId="77777777" w:rsidR="00AE3188" w:rsidRPr="009C32E7" w:rsidRDefault="00AE3188" w:rsidP="0016095F">
            <w:pPr>
              <w:rPr>
                <w:rFonts w:cstheme="minorHAnsi"/>
                <w:sz w:val="20"/>
                <w:szCs w:val="20"/>
              </w:rPr>
            </w:pPr>
            <w:r w:rsidRPr="009C32E7">
              <w:rPr>
                <w:rFonts w:cstheme="minorHAnsi"/>
                <w:kern w:val="24"/>
                <w:sz w:val="21"/>
                <w:szCs w:val="21"/>
              </w:rPr>
              <w:t>Viral Hepatitis Education</w:t>
            </w:r>
          </w:p>
        </w:tc>
        <w:tc>
          <w:tcPr>
            <w:tcW w:w="5520" w:type="dxa"/>
            <w:hideMark/>
          </w:tcPr>
          <w:p w14:paraId="4EED042D"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617-983-6800</w:t>
            </w:r>
          </w:p>
          <w:p w14:paraId="75C6085D" w14:textId="77777777" w:rsidR="00AE3188" w:rsidRPr="009C32E7" w:rsidRDefault="009479A7" w:rsidP="0016095F">
            <w:pPr>
              <w:pStyle w:val="NormalWeb"/>
              <w:spacing w:before="0" w:beforeAutospacing="0" w:after="0" w:afterAutospacing="0"/>
              <w:rPr>
                <w:rFonts w:asciiTheme="minorHAnsi" w:hAnsiTheme="minorHAnsi" w:cstheme="minorHAnsi"/>
                <w:color w:val="3333FF"/>
                <w:sz w:val="36"/>
                <w:szCs w:val="36"/>
              </w:rPr>
            </w:pPr>
            <w:hyperlink r:id="rId100" w:history="1">
              <w:r w:rsidR="00AE3188" w:rsidRPr="009C32E7">
                <w:rPr>
                  <w:rStyle w:val="Hyperlink"/>
                  <w:rFonts w:asciiTheme="minorHAnsi" w:eastAsiaTheme="minorEastAsia" w:hAnsiTheme="minorHAnsi" w:cstheme="minorHAnsi"/>
                  <w:color w:val="3333FF"/>
                  <w:kern w:val="24"/>
                  <w:sz w:val="21"/>
                  <w:szCs w:val="21"/>
                </w:rPr>
                <w:t>https://www.mass.gov/lists/hepatitis-b-educational-materials-and-other-resources</w:t>
              </w:r>
            </w:hyperlink>
          </w:p>
          <w:p w14:paraId="493BC5B4" w14:textId="77777777" w:rsidR="00AE3188" w:rsidRPr="009C32E7" w:rsidRDefault="009479A7" w:rsidP="0016095F">
            <w:pPr>
              <w:rPr>
                <w:rFonts w:cstheme="minorHAnsi"/>
                <w:sz w:val="20"/>
                <w:szCs w:val="20"/>
              </w:rPr>
            </w:pPr>
            <w:hyperlink r:id="rId101" w:history="1">
              <w:r w:rsidR="00AE3188" w:rsidRPr="009C32E7">
                <w:rPr>
                  <w:rStyle w:val="Hyperlink"/>
                  <w:rFonts w:eastAsiaTheme="minorEastAsia" w:cstheme="minorHAnsi"/>
                  <w:color w:val="3333FF"/>
                  <w:kern w:val="24"/>
                  <w:sz w:val="21"/>
                  <w:szCs w:val="21"/>
                </w:rPr>
                <w:t>https://www.mass.gov/lists/hepatitis-c-educational-materials-and-other-resources</w:t>
              </w:r>
            </w:hyperlink>
          </w:p>
        </w:tc>
      </w:tr>
      <w:tr w:rsidR="009C32E7" w:rsidRPr="009C32E7" w14:paraId="2C82A84C" w14:textId="77777777" w:rsidTr="00BD0039">
        <w:tc>
          <w:tcPr>
            <w:tcW w:w="4560" w:type="dxa"/>
            <w:hideMark/>
          </w:tcPr>
          <w:p w14:paraId="7FEFDE10" w14:textId="77777777" w:rsidR="00AE3188" w:rsidRPr="009C32E7" w:rsidRDefault="00AE3188" w:rsidP="0016095F">
            <w:pPr>
              <w:rPr>
                <w:rFonts w:cstheme="minorHAnsi"/>
                <w:sz w:val="20"/>
                <w:szCs w:val="20"/>
              </w:rPr>
            </w:pPr>
            <w:r w:rsidRPr="009C32E7">
              <w:rPr>
                <w:rFonts w:cstheme="minorHAnsi"/>
                <w:kern w:val="24"/>
                <w:sz w:val="21"/>
                <w:szCs w:val="21"/>
              </w:rPr>
              <w:t>STD Diagnosis, Treatment, and Management</w:t>
            </w:r>
          </w:p>
        </w:tc>
        <w:tc>
          <w:tcPr>
            <w:tcW w:w="5520" w:type="dxa"/>
            <w:hideMark/>
          </w:tcPr>
          <w:p w14:paraId="302713F5"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617-983-6945</w:t>
            </w:r>
          </w:p>
          <w:p w14:paraId="6635797D" w14:textId="77777777" w:rsidR="00AE3188" w:rsidRPr="009C32E7" w:rsidRDefault="009479A7" w:rsidP="0016095F">
            <w:pPr>
              <w:rPr>
                <w:rFonts w:cstheme="minorHAnsi"/>
                <w:sz w:val="20"/>
                <w:szCs w:val="20"/>
              </w:rPr>
            </w:pPr>
            <w:hyperlink r:id="rId102" w:history="1">
              <w:r w:rsidR="00AE3188" w:rsidRPr="009C32E7">
                <w:rPr>
                  <w:rStyle w:val="Hyperlink"/>
                  <w:rFonts w:cstheme="minorHAnsi"/>
                  <w:color w:val="3333FF"/>
                  <w:kern w:val="24"/>
                  <w:sz w:val="21"/>
                  <w:szCs w:val="21"/>
                </w:rPr>
                <w:t>www.RatellePTC.org</w:t>
              </w:r>
            </w:hyperlink>
          </w:p>
        </w:tc>
      </w:tr>
    </w:tbl>
    <w:p w14:paraId="4A703748" w14:textId="77777777" w:rsidR="00AE3188" w:rsidRPr="009C32E7" w:rsidRDefault="00AE3188" w:rsidP="00AE3188">
      <w:r w:rsidRPr="009C32E7">
        <w:rPr>
          <w:b/>
          <w:bCs/>
        </w:rPr>
        <w:t xml:space="preserve">Material and Clinical Toolkits </w:t>
      </w:r>
    </w:p>
    <w:p w14:paraId="4E059029" w14:textId="77777777" w:rsidR="00AE3188" w:rsidRPr="009C32E7" w:rsidRDefault="00AE3188" w:rsidP="00AE3188">
      <w:r w:rsidRPr="009C32E7">
        <w:t>Health education materials and clinical toolkits can be requested free of charge.</w:t>
      </w:r>
    </w:p>
    <w:tbl>
      <w:tblPr>
        <w:tblStyle w:val="TableGrid"/>
        <w:tblW w:w="10080" w:type="dxa"/>
        <w:tblLook w:val="0620" w:firstRow="1" w:lastRow="0" w:firstColumn="0" w:lastColumn="0" w:noHBand="1" w:noVBand="1"/>
      </w:tblPr>
      <w:tblGrid>
        <w:gridCol w:w="4560"/>
        <w:gridCol w:w="5520"/>
      </w:tblGrid>
      <w:tr w:rsidR="009C32E7" w:rsidRPr="009C32E7" w14:paraId="33A7866F" w14:textId="77777777" w:rsidTr="00BD0039">
        <w:tc>
          <w:tcPr>
            <w:tcW w:w="4560" w:type="dxa"/>
            <w:hideMark/>
          </w:tcPr>
          <w:p w14:paraId="467847EA" w14:textId="77777777" w:rsidR="00AE3188" w:rsidRPr="009C32E7" w:rsidRDefault="00AE3188" w:rsidP="0016095F">
            <w:pPr>
              <w:rPr>
                <w:sz w:val="20"/>
                <w:szCs w:val="20"/>
              </w:rPr>
            </w:pPr>
            <w:r w:rsidRPr="009C32E7">
              <w:rPr>
                <w:b/>
                <w:bCs/>
                <w:sz w:val="20"/>
                <w:szCs w:val="20"/>
              </w:rPr>
              <w:t>Type of Material</w:t>
            </w:r>
          </w:p>
        </w:tc>
        <w:tc>
          <w:tcPr>
            <w:tcW w:w="5520" w:type="dxa"/>
            <w:hideMark/>
          </w:tcPr>
          <w:p w14:paraId="0F6BBFBE" w14:textId="77777777" w:rsidR="00AE3188" w:rsidRPr="009C32E7" w:rsidRDefault="00AE3188" w:rsidP="0016095F">
            <w:pPr>
              <w:rPr>
                <w:sz w:val="20"/>
                <w:szCs w:val="20"/>
              </w:rPr>
            </w:pPr>
            <w:r w:rsidRPr="009C32E7">
              <w:rPr>
                <w:b/>
                <w:bCs/>
                <w:sz w:val="20"/>
                <w:szCs w:val="20"/>
              </w:rPr>
              <w:t>Contact Information and Website</w:t>
            </w:r>
          </w:p>
        </w:tc>
      </w:tr>
      <w:tr w:rsidR="009C32E7" w:rsidRPr="009C32E7" w14:paraId="44D72A8D" w14:textId="77777777" w:rsidTr="00BD0039">
        <w:trPr>
          <w:trHeight w:val="477"/>
        </w:trPr>
        <w:tc>
          <w:tcPr>
            <w:tcW w:w="4560" w:type="dxa"/>
            <w:hideMark/>
          </w:tcPr>
          <w:p w14:paraId="3CDD22D2" w14:textId="77777777" w:rsidR="00AE3188" w:rsidRPr="009C32E7" w:rsidRDefault="00AE3188" w:rsidP="0016095F">
            <w:pPr>
              <w:rPr>
                <w:rFonts w:cstheme="minorHAnsi"/>
                <w:sz w:val="20"/>
                <w:szCs w:val="20"/>
              </w:rPr>
            </w:pPr>
            <w:r w:rsidRPr="009C32E7">
              <w:rPr>
                <w:rFonts w:cstheme="minorHAnsi"/>
                <w:kern w:val="24"/>
                <w:sz w:val="21"/>
                <w:szCs w:val="21"/>
              </w:rPr>
              <w:t>Massachusetts HIV Epidemiologic Profile</w:t>
            </w:r>
          </w:p>
        </w:tc>
        <w:tc>
          <w:tcPr>
            <w:tcW w:w="5520" w:type="dxa"/>
            <w:hideMark/>
          </w:tcPr>
          <w:p w14:paraId="0A8DAB9B"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617-983-6560</w:t>
            </w:r>
          </w:p>
          <w:p w14:paraId="77FD2090" w14:textId="77777777" w:rsidR="00AE3188" w:rsidRPr="009C32E7" w:rsidRDefault="009479A7" w:rsidP="0016095F">
            <w:pPr>
              <w:rPr>
                <w:rFonts w:cstheme="minorHAnsi"/>
                <w:sz w:val="20"/>
                <w:szCs w:val="20"/>
              </w:rPr>
            </w:pPr>
            <w:hyperlink r:id="rId103" w:history="1">
              <w:r w:rsidR="00AE3188" w:rsidRPr="009C32E7">
                <w:rPr>
                  <w:rStyle w:val="Hyperlink"/>
                  <w:rFonts w:cstheme="minorHAnsi"/>
                  <w:color w:val="3333FF"/>
                  <w:kern w:val="24"/>
                  <w:sz w:val="21"/>
                  <w:szCs w:val="21"/>
                </w:rPr>
                <w:t>https://www.mass.gov/lists/hivaids-epidemiologic-profiles</w:t>
              </w:r>
            </w:hyperlink>
            <w:r w:rsidR="00AE3188" w:rsidRPr="009C32E7">
              <w:rPr>
                <w:rFonts w:cstheme="minorHAnsi"/>
                <w:color w:val="3333FF"/>
                <w:kern w:val="24"/>
                <w:sz w:val="21"/>
                <w:szCs w:val="21"/>
              </w:rPr>
              <w:t xml:space="preserve"> </w:t>
            </w:r>
          </w:p>
        </w:tc>
      </w:tr>
      <w:tr w:rsidR="009C32E7" w:rsidRPr="009C32E7" w14:paraId="31B006CB" w14:textId="77777777" w:rsidTr="00BD0039">
        <w:tc>
          <w:tcPr>
            <w:tcW w:w="4560" w:type="dxa"/>
            <w:hideMark/>
          </w:tcPr>
          <w:p w14:paraId="0D882EFB" w14:textId="77777777" w:rsidR="00AE3188" w:rsidRPr="009C32E7" w:rsidRDefault="00AE3188" w:rsidP="0016095F">
            <w:pPr>
              <w:rPr>
                <w:rFonts w:cstheme="minorHAnsi"/>
                <w:sz w:val="20"/>
                <w:szCs w:val="20"/>
              </w:rPr>
            </w:pPr>
            <w:r w:rsidRPr="009C32E7">
              <w:rPr>
                <w:rFonts w:cstheme="minorHAnsi"/>
                <w:kern w:val="24"/>
                <w:sz w:val="21"/>
                <w:szCs w:val="21"/>
              </w:rPr>
              <w:t>HIV Reporting for Health Care Providers</w:t>
            </w:r>
          </w:p>
        </w:tc>
        <w:tc>
          <w:tcPr>
            <w:tcW w:w="5520" w:type="dxa"/>
            <w:hideMark/>
          </w:tcPr>
          <w:p w14:paraId="3C7EF8CC"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 xml:space="preserve">617-983-6560 </w:t>
            </w:r>
          </w:p>
          <w:p w14:paraId="6E1B8AFD" w14:textId="77777777" w:rsidR="00AE3188" w:rsidRPr="009C32E7" w:rsidRDefault="009479A7" w:rsidP="0016095F">
            <w:pPr>
              <w:rPr>
                <w:rFonts w:cstheme="minorHAnsi"/>
                <w:sz w:val="20"/>
                <w:szCs w:val="20"/>
              </w:rPr>
            </w:pPr>
            <w:hyperlink r:id="rId104" w:history="1">
              <w:r w:rsidR="00AE3188" w:rsidRPr="009C32E7">
                <w:rPr>
                  <w:rStyle w:val="Hyperlink"/>
                  <w:rFonts w:cstheme="minorHAnsi"/>
                  <w:color w:val="3333FF"/>
                  <w:kern w:val="24"/>
                  <w:sz w:val="21"/>
                  <w:szCs w:val="21"/>
                </w:rPr>
                <w:t>https://www.mass.gov/infectious-disease-surveillance-reporting-and-control</w:t>
              </w:r>
            </w:hyperlink>
            <w:r w:rsidR="00AE3188" w:rsidRPr="009C32E7">
              <w:rPr>
                <w:rFonts w:cstheme="minorHAnsi"/>
                <w:color w:val="3333FF"/>
                <w:kern w:val="24"/>
                <w:sz w:val="21"/>
                <w:szCs w:val="21"/>
              </w:rPr>
              <w:t xml:space="preserve"> </w:t>
            </w:r>
          </w:p>
        </w:tc>
      </w:tr>
      <w:tr w:rsidR="009C32E7" w:rsidRPr="009C32E7" w14:paraId="7972222C" w14:textId="77777777" w:rsidTr="00BD0039">
        <w:tc>
          <w:tcPr>
            <w:tcW w:w="4560" w:type="dxa"/>
            <w:hideMark/>
          </w:tcPr>
          <w:p w14:paraId="49016F64" w14:textId="77777777" w:rsidR="00AE3188" w:rsidRPr="009C32E7" w:rsidRDefault="00AE3188" w:rsidP="0016095F">
            <w:pPr>
              <w:rPr>
                <w:rFonts w:cstheme="minorHAnsi"/>
                <w:sz w:val="20"/>
                <w:szCs w:val="20"/>
              </w:rPr>
            </w:pPr>
            <w:r w:rsidRPr="009C32E7">
              <w:rPr>
                <w:rFonts w:cstheme="minorHAnsi"/>
                <w:kern w:val="24"/>
                <w:sz w:val="21"/>
                <w:szCs w:val="21"/>
              </w:rPr>
              <w:t>STD, and HIV Posters and Brochures</w:t>
            </w:r>
          </w:p>
        </w:tc>
        <w:tc>
          <w:tcPr>
            <w:tcW w:w="5520" w:type="dxa"/>
            <w:hideMark/>
          </w:tcPr>
          <w:p w14:paraId="571B1A68"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617-983-6800</w:t>
            </w:r>
          </w:p>
          <w:p w14:paraId="45D0E1C5" w14:textId="77777777" w:rsidR="00AE3188" w:rsidRPr="009C32E7" w:rsidRDefault="009479A7" w:rsidP="0016095F">
            <w:pPr>
              <w:rPr>
                <w:rFonts w:cstheme="minorHAnsi"/>
                <w:sz w:val="20"/>
                <w:szCs w:val="20"/>
              </w:rPr>
            </w:pPr>
            <w:hyperlink r:id="rId105" w:history="1">
              <w:r w:rsidR="00AE3188" w:rsidRPr="009C32E7">
                <w:rPr>
                  <w:rStyle w:val="Hyperlink"/>
                  <w:rFonts w:cstheme="minorHAnsi"/>
                  <w:color w:val="3333FF"/>
                  <w:kern w:val="24"/>
                  <w:sz w:val="21"/>
                  <w:szCs w:val="21"/>
                </w:rPr>
                <w:t>https://massclearinghouse.ehs.state.ma.us/</w:t>
              </w:r>
            </w:hyperlink>
            <w:r w:rsidR="00AE3188" w:rsidRPr="009C32E7">
              <w:rPr>
                <w:rFonts w:cstheme="minorHAnsi"/>
                <w:color w:val="3333FF"/>
                <w:kern w:val="24"/>
                <w:sz w:val="21"/>
                <w:szCs w:val="21"/>
              </w:rPr>
              <w:t xml:space="preserve"> </w:t>
            </w:r>
          </w:p>
        </w:tc>
      </w:tr>
      <w:tr w:rsidR="009C32E7" w:rsidRPr="009C32E7" w14:paraId="199B114A" w14:textId="77777777" w:rsidTr="00BD0039">
        <w:tc>
          <w:tcPr>
            <w:tcW w:w="4560" w:type="dxa"/>
            <w:hideMark/>
          </w:tcPr>
          <w:p w14:paraId="2A95E97F"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 xml:space="preserve">STD Diagnosis, Treatment, and </w:t>
            </w:r>
          </w:p>
          <w:p w14:paraId="542B7C2F" w14:textId="77777777" w:rsidR="00AE3188" w:rsidRPr="009C32E7" w:rsidRDefault="00AE3188" w:rsidP="0016095F">
            <w:pPr>
              <w:rPr>
                <w:rFonts w:cstheme="minorHAnsi"/>
                <w:sz w:val="20"/>
                <w:szCs w:val="20"/>
              </w:rPr>
            </w:pPr>
            <w:r w:rsidRPr="009C32E7">
              <w:rPr>
                <w:rFonts w:cstheme="minorHAnsi"/>
                <w:kern w:val="24"/>
                <w:sz w:val="21"/>
                <w:szCs w:val="21"/>
              </w:rPr>
              <w:t>Management Toolkits</w:t>
            </w:r>
          </w:p>
        </w:tc>
        <w:tc>
          <w:tcPr>
            <w:tcW w:w="5520" w:type="dxa"/>
            <w:hideMark/>
          </w:tcPr>
          <w:p w14:paraId="2348091E" w14:textId="77777777" w:rsidR="00AE3188" w:rsidRPr="009C32E7" w:rsidRDefault="00AE3188" w:rsidP="0016095F">
            <w:pPr>
              <w:pStyle w:val="NormalWeb"/>
              <w:spacing w:before="0" w:beforeAutospacing="0" w:after="0" w:afterAutospacing="0"/>
              <w:rPr>
                <w:rFonts w:asciiTheme="minorHAnsi" w:hAnsiTheme="minorHAnsi" w:cstheme="minorHAnsi"/>
                <w:sz w:val="36"/>
                <w:szCs w:val="36"/>
              </w:rPr>
            </w:pPr>
            <w:r w:rsidRPr="009C32E7">
              <w:rPr>
                <w:rFonts w:asciiTheme="minorHAnsi" w:hAnsiTheme="minorHAnsi" w:cstheme="minorHAnsi"/>
                <w:kern w:val="24"/>
                <w:sz w:val="21"/>
                <w:szCs w:val="21"/>
              </w:rPr>
              <w:t>617-983-9645</w:t>
            </w:r>
          </w:p>
          <w:p w14:paraId="1D9288E9" w14:textId="77777777" w:rsidR="00AE3188" w:rsidRPr="009C32E7" w:rsidRDefault="009479A7" w:rsidP="0016095F">
            <w:pPr>
              <w:rPr>
                <w:rFonts w:cstheme="minorHAnsi"/>
                <w:sz w:val="20"/>
                <w:szCs w:val="20"/>
              </w:rPr>
            </w:pPr>
            <w:hyperlink r:id="rId106" w:history="1">
              <w:r w:rsidR="00AE3188" w:rsidRPr="009C32E7">
                <w:rPr>
                  <w:rStyle w:val="Hyperlink"/>
                  <w:rFonts w:cstheme="minorHAnsi"/>
                  <w:color w:val="3333FF"/>
                  <w:kern w:val="24"/>
                  <w:sz w:val="21"/>
                  <w:szCs w:val="21"/>
                </w:rPr>
                <w:t>www.RatellePTC.org</w:t>
              </w:r>
            </w:hyperlink>
          </w:p>
        </w:tc>
      </w:tr>
      <w:tr w:rsidR="00AE3188" w:rsidRPr="009C32E7" w14:paraId="7283288B" w14:textId="77777777" w:rsidTr="00BD0039">
        <w:tc>
          <w:tcPr>
            <w:tcW w:w="4560" w:type="dxa"/>
          </w:tcPr>
          <w:p w14:paraId="6CF2F1A9" w14:textId="77777777" w:rsidR="00AE3188" w:rsidRPr="009C32E7" w:rsidRDefault="00AE3188" w:rsidP="0016095F">
            <w:pPr>
              <w:rPr>
                <w:rFonts w:cstheme="minorHAnsi"/>
                <w:kern w:val="24"/>
                <w:sz w:val="21"/>
                <w:szCs w:val="21"/>
              </w:rPr>
            </w:pPr>
            <w:r w:rsidRPr="009C32E7">
              <w:rPr>
                <w:rFonts w:cstheme="minorHAnsi"/>
                <w:kern w:val="24"/>
                <w:sz w:val="21"/>
                <w:szCs w:val="21"/>
              </w:rPr>
              <w:t>Partner Services Program Information</w:t>
            </w:r>
          </w:p>
          <w:p w14:paraId="3F2DDFEC" w14:textId="77777777" w:rsidR="00AE3188" w:rsidRPr="009C32E7" w:rsidRDefault="00AE3188" w:rsidP="0016095F">
            <w:pPr>
              <w:pStyle w:val="NormalWeb"/>
              <w:spacing w:before="0" w:beforeAutospacing="0" w:after="0" w:afterAutospacing="0"/>
              <w:rPr>
                <w:rFonts w:asciiTheme="minorHAnsi" w:hAnsiTheme="minorHAnsi" w:cstheme="minorHAnsi"/>
                <w:kern w:val="24"/>
                <w:sz w:val="21"/>
                <w:szCs w:val="21"/>
              </w:rPr>
            </w:pPr>
          </w:p>
        </w:tc>
        <w:tc>
          <w:tcPr>
            <w:tcW w:w="5520" w:type="dxa"/>
          </w:tcPr>
          <w:p w14:paraId="5DF44091" w14:textId="77777777" w:rsidR="00AE3188" w:rsidRPr="009C32E7" w:rsidRDefault="00AE3188" w:rsidP="0016095F">
            <w:pPr>
              <w:pStyle w:val="NormalWeb"/>
              <w:rPr>
                <w:rFonts w:asciiTheme="minorHAnsi" w:hAnsiTheme="minorHAnsi" w:cstheme="minorHAnsi"/>
                <w:kern w:val="24"/>
                <w:sz w:val="21"/>
                <w:szCs w:val="21"/>
              </w:rPr>
            </w:pPr>
            <w:r w:rsidRPr="009C32E7">
              <w:rPr>
                <w:rFonts w:asciiTheme="minorHAnsi" w:hAnsiTheme="minorHAnsi" w:cstheme="minorHAnsi"/>
                <w:kern w:val="24"/>
                <w:sz w:val="21"/>
                <w:szCs w:val="21"/>
              </w:rPr>
              <w:t>617-983-6999</w:t>
            </w:r>
          </w:p>
          <w:p w14:paraId="7E5DE0BA" w14:textId="77777777" w:rsidR="00AE3188" w:rsidRPr="009C32E7" w:rsidRDefault="009479A7" w:rsidP="0016095F">
            <w:pPr>
              <w:pStyle w:val="NormalWeb"/>
              <w:spacing w:before="0" w:beforeAutospacing="0" w:after="0" w:afterAutospacing="0"/>
              <w:rPr>
                <w:rFonts w:asciiTheme="minorHAnsi" w:hAnsiTheme="minorHAnsi" w:cstheme="minorHAnsi"/>
                <w:kern w:val="24"/>
                <w:sz w:val="21"/>
                <w:szCs w:val="21"/>
              </w:rPr>
            </w:pPr>
            <w:hyperlink r:id="rId107" w:history="1">
              <w:r w:rsidR="00AE3188" w:rsidRPr="009C32E7">
                <w:rPr>
                  <w:rStyle w:val="Hyperlink"/>
                  <w:rFonts w:asciiTheme="minorHAnsi" w:hAnsiTheme="minorHAnsi" w:cstheme="minorHAnsi"/>
                  <w:color w:val="3333FF"/>
                  <w:kern w:val="24"/>
                  <w:sz w:val="21"/>
                  <w:szCs w:val="21"/>
                </w:rPr>
                <w:t>https://www.mass.gov/partner-services-program-psp</w:t>
              </w:r>
            </w:hyperlink>
            <w:r w:rsidR="00AE3188" w:rsidRPr="009C32E7">
              <w:rPr>
                <w:rFonts w:asciiTheme="minorHAnsi" w:hAnsiTheme="minorHAnsi" w:cstheme="minorHAnsi"/>
                <w:color w:val="3333FF"/>
                <w:kern w:val="24"/>
                <w:sz w:val="21"/>
                <w:szCs w:val="21"/>
              </w:rPr>
              <w:t xml:space="preserve"> </w:t>
            </w:r>
          </w:p>
        </w:tc>
      </w:tr>
    </w:tbl>
    <w:p w14:paraId="2CB748C5" w14:textId="77777777" w:rsidR="00AE3188" w:rsidRPr="009C32E7" w:rsidRDefault="00AE3188" w:rsidP="00AE3188">
      <w:pPr>
        <w:ind w:left="360"/>
        <w:rPr>
          <w:b/>
          <w:bCs/>
          <w:sz w:val="20"/>
          <w:szCs w:val="20"/>
        </w:rPr>
      </w:pPr>
    </w:p>
    <w:p w14:paraId="0E6F732E" w14:textId="77777777" w:rsidR="00AE3188" w:rsidRPr="009C32E7" w:rsidRDefault="00AE3188" w:rsidP="00AE3188">
      <w:pPr>
        <w:ind w:left="360"/>
        <w:rPr>
          <w:b/>
          <w:bCs/>
          <w:sz w:val="20"/>
          <w:szCs w:val="20"/>
        </w:rPr>
      </w:pPr>
      <w:r w:rsidRPr="009C32E7">
        <w:rPr>
          <w:b/>
          <w:bCs/>
          <w:sz w:val="20"/>
          <w:szCs w:val="20"/>
        </w:rPr>
        <w:t xml:space="preserve">MDPH and MDPH Funded Websites </w:t>
      </w:r>
    </w:p>
    <w:p w14:paraId="64A2555F" w14:textId="77777777" w:rsidR="00AE3188" w:rsidRPr="009C32E7" w:rsidRDefault="00AE3188" w:rsidP="00AE3188">
      <w:pPr>
        <w:ind w:left="360"/>
        <w:rPr>
          <w:b/>
          <w:bCs/>
          <w:color w:val="3333FF"/>
          <w:sz w:val="20"/>
          <w:szCs w:val="20"/>
        </w:rPr>
      </w:pPr>
      <w:r w:rsidRPr="009C32E7">
        <w:rPr>
          <w:b/>
          <w:bCs/>
          <w:sz w:val="20"/>
          <w:szCs w:val="20"/>
        </w:rPr>
        <w:t>Bureau of Infectious Disease and Laboratory Sciences</w:t>
      </w:r>
      <w:r w:rsidRPr="009C32E7">
        <w:rPr>
          <w:b/>
          <w:bCs/>
          <w:sz w:val="20"/>
          <w:szCs w:val="20"/>
        </w:rPr>
        <w:tab/>
      </w:r>
      <w:hyperlink r:id="rId108" w:history="1">
        <w:r w:rsidRPr="009C32E7">
          <w:rPr>
            <w:rStyle w:val="Hyperlink"/>
            <w:b/>
            <w:bCs/>
            <w:color w:val="3333FF"/>
            <w:sz w:val="20"/>
            <w:szCs w:val="20"/>
          </w:rPr>
          <w:t>www.mass.gov/orgs/bureau-of-infectious-disease-</w:t>
        </w:r>
      </w:hyperlink>
      <w:r w:rsidRPr="009C32E7">
        <w:rPr>
          <w:b/>
          <w:bCs/>
          <w:color w:val="3333FF"/>
          <w:sz w:val="20"/>
          <w:szCs w:val="20"/>
        </w:rPr>
        <w:t xml:space="preserve"> </w:t>
      </w:r>
    </w:p>
    <w:p w14:paraId="42B1F70D" w14:textId="77777777" w:rsidR="00AE3188" w:rsidRPr="009C32E7" w:rsidRDefault="00AE3188" w:rsidP="00AE3188">
      <w:pPr>
        <w:ind w:left="4680" w:firstLine="360"/>
        <w:rPr>
          <w:b/>
          <w:bCs/>
          <w:color w:val="3333FF"/>
          <w:sz w:val="20"/>
          <w:szCs w:val="20"/>
        </w:rPr>
      </w:pPr>
      <w:r w:rsidRPr="009C32E7">
        <w:rPr>
          <w:b/>
          <w:bCs/>
          <w:color w:val="3333FF"/>
          <w:sz w:val="20"/>
          <w:szCs w:val="20"/>
          <w:u w:val="single"/>
        </w:rPr>
        <w:t>and-laboratory-sciences</w:t>
      </w:r>
      <w:r w:rsidRPr="009C32E7">
        <w:rPr>
          <w:b/>
          <w:bCs/>
          <w:color w:val="3333FF"/>
          <w:sz w:val="20"/>
          <w:szCs w:val="20"/>
        </w:rPr>
        <w:t xml:space="preserve"> </w:t>
      </w:r>
    </w:p>
    <w:p w14:paraId="405F89E2" w14:textId="77777777" w:rsidR="00AE3188" w:rsidRPr="009C32E7" w:rsidRDefault="00AE3188" w:rsidP="00AE3188">
      <w:pPr>
        <w:ind w:left="360"/>
        <w:rPr>
          <w:b/>
          <w:bCs/>
          <w:color w:val="3333FF"/>
          <w:sz w:val="20"/>
          <w:szCs w:val="20"/>
        </w:rPr>
      </w:pPr>
      <w:r w:rsidRPr="009C32E7">
        <w:rPr>
          <w:b/>
          <w:bCs/>
          <w:sz w:val="20"/>
          <w:szCs w:val="20"/>
        </w:rPr>
        <w:t>Office of HIV/AIDS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09" w:history="1">
        <w:r w:rsidRPr="009C32E7">
          <w:rPr>
            <w:rStyle w:val="Hyperlink"/>
            <w:b/>
            <w:bCs/>
            <w:color w:val="3333FF"/>
            <w:sz w:val="20"/>
            <w:szCs w:val="20"/>
          </w:rPr>
          <w:t>www.mass.gov/dph/aids</w:t>
        </w:r>
      </w:hyperlink>
    </w:p>
    <w:p w14:paraId="2C398CFA" w14:textId="77777777" w:rsidR="00AE3188" w:rsidRPr="009C32E7" w:rsidRDefault="00AE3188" w:rsidP="00AE3188">
      <w:pPr>
        <w:ind w:left="360"/>
        <w:rPr>
          <w:b/>
          <w:bCs/>
          <w:color w:val="3333FF"/>
          <w:sz w:val="20"/>
          <w:szCs w:val="20"/>
        </w:rPr>
      </w:pPr>
      <w:r w:rsidRPr="009C32E7">
        <w:rPr>
          <w:b/>
          <w:bCs/>
          <w:sz w:val="20"/>
          <w:szCs w:val="20"/>
        </w:rPr>
        <w:t>Viral Hepatitis Programs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0" w:history="1">
        <w:r w:rsidRPr="009C32E7">
          <w:rPr>
            <w:rStyle w:val="Hyperlink"/>
            <w:b/>
            <w:bCs/>
            <w:color w:val="3333FF"/>
            <w:sz w:val="20"/>
            <w:szCs w:val="20"/>
          </w:rPr>
          <w:t>www.mass.gov//hepatitis-a</w:t>
        </w:r>
      </w:hyperlink>
    </w:p>
    <w:p w14:paraId="36E21F8C" w14:textId="77777777" w:rsidR="00AE3188" w:rsidRPr="009C32E7" w:rsidRDefault="00AE3188" w:rsidP="00AE3188">
      <w:pPr>
        <w:ind w:left="360"/>
        <w:rPr>
          <w:b/>
          <w:bCs/>
          <w:sz w:val="20"/>
          <w:szCs w:val="20"/>
        </w:rPr>
      </w:pP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1" w:history="1">
        <w:r w:rsidRPr="009C32E7">
          <w:rPr>
            <w:rStyle w:val="Hyperlink"/>
            <w:b/>
            <w:bCs/>
            <w:color w:val="3333FF"/>
            <w:sz w:val="20"/>
            <w:szCs w:val="20"/>
          </w:rPr>
          <w:t>www.mass.gov/hepatitis-b-hbv</w:t>
        </w:r>
      </w:hyperlink>
    </w:p>
    <w:p w14:paraId="1BE117B3" w14:textId="77777777" w:rsidR="00AE3188" w:rsidRPr="009C32E7" w:rsidRDefault="00AE3188" w:rsidP="00AE3188">
      <w:pPr>
        <w:ind w:left="360"/>
        <w:rPr>
          <w:b/>
          <w:bCs/>
          <w:sz w:val="20"/>
          <w:szCs w:val="20"/>
        </w:rPr>
      </w:pP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2" w:history="1">
        <w:r w:rsidRPr="009C32E7">
          <w:rPr>
            <w:rStyle w:val="Hyperlink"/>
            <w:b/>
            <w:bCs/>
            <w:color w:val="3333FF"/>
            <w:sz w:val="20"/>
            <w:szCs w:val="20"/>
          </w:rPr>
          <w:t>www.mass.gov/hepatitis-c-hcv</w:t>
        </w:r>
      </w:hyperlink>
    </w:p>
    <w:p w14:paraId="2556FFB3" w14:textId="77777777" w:rsidR="00AE3188" w:rsidRPr="009C32E7" w:rsidRDefault="00AE3188" w:rsidP="00AE3188">
      <w:pPr>
        <w:ind w:left="360"/>
        <w:rPr>
          <w:b/>
          <w:bCs/>
          <w:color w:val="3333FF"/>
          <w:sz w:val="20"/>
          <w:szCs w:val="20"/>
        </w:rPr>
      </w:pPr>
      <w:r w:rsidRPr="009C32E7">
        <w:rPr>
          <w:b/>
          <w:bCs/>
          <w:sz w:val="20"/>
          <w:szCs w:val="20"/>
        </w:rPr>
        <w:t>Sylvie Ratelle STD/HIV Prevention Training Center</w:t>
      </w:r>
      <w:r w:rsidRPr="009C32E7">
        <w:rPr>
          <w:b/>
          <w:bCs/>
          <w:sz w:val="20"/>
          <w:szCs w:val="20"/>
        </w:rPr>
        <w:tab/>
      </w:r>
      <w:hyperlink r:id="rId113" w:history="1">
        <w:r w:rsidRPr="009C32E7">
          <w:rPr>
            <w:rStyle w:val="Hyperlink"/>
            <w:b/>
            <w:bCs/>
            <w:color w:val="3333FF"/>
            <w:sz w:val="20"/>
            <w:szCs w:val="20"/>
          </w:rPr>
          <w:t>www.RatellePTC.org</w:t>
        </w:r>
      </w:hyperlink>
    </w:p>
    <w:p w14:paraId="159C4F6B" w14:textId="77777777" w:rsidR="00AE3188" w:rsidRPr="009C32E7" w:rsidRDefault="00AE3188" w:rsidP="00AE3188">
      <w:pPr>
        <w:ind w:left="360"/>
        <w:rPr>
          <w:b/>
          <w:bCs/>
          <w:color w:val="3333FF"/>
          <w:sz w:val="20"/>
          <w:szCs w:val="20"/>
        </w:rPr>
      </w:pPr>
      <w:r w:rsidRPr="009C32E7">
        <w:rPr>
          <w:b/>
          <w:bCs/>
          <w:sz w:val="20"/>
          <w:szCs w:val="20"/>
        </w:rPr>
        <w:t>Division of STD Prevention</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4" w:history="1">
        <w:r w:rsidRPr="009C32E7">
          <w:rPr>
            <w:rStyle w:val="Hyperlink"/>
            <w:b/>
            <w:bCs/>
            <w:color w:val="3333FF"/>
            <w:sz w:val="20"/>
            <w:szCs w:val="20"/>
          </w:rPr>
          <w:t>www.mass.gov/dph/cdc/std</w:t>
        </w:r>
      </w:hyperlink>
    </w:p>
    <w:p w14:paraId="289F8A19" w14:textId="77777777" w:rsidR="00AE3188" w:rsidRPr="009C32E7" w:rsidRDefault="00AE3188" w:rsidP="00AE3188">
      <w:pPr>
        <w:ind w:left="360"/>
        <w:rPr>
          <w:b/>
          <w:bCs/>
          <w:sz w:val="20"/>
          <w:szCs w:val="20"/>
        </w:rPr>
      </w:pPr>
      <w:r w:rsidRPr="009C32E7">
        <w:rPr>
          <w:b/>
          <w:bCs/>
          <w:sz w:val="20"/>
          <w:szCs w:val="20"/>
        </w:rPr>
        <w:t xml:space="preserve">National Websites </w:t>
      </w:r>
    </w:p>
    <w:p w14:paraId="0B81ACD7" w14:textId="77777777" w:rsidR="00AE3188" w:rsidRPr="009C32E7" w:rsidRDefault="00AE3188" w:rsidP="00AE3188">
      <w:pPr>
        <w:ind w:left="360"/>
        <w:rPr>
          <w:b/>
          <w:bCs/>
          <w:color w:val="3333FF"/>
          <w:sz w:val="20"/>
          <w:szCs w:val="20"/>
        </w:rPr>
      </w:pPr>
      <w:r w:rsidRPr="009C32E7">
        <w:rPr>
          <w:b/>
          <w:bCs/>
          <w:sz w:val="20"/>
          <w:szCs w:val="20"/>
        </w:rPr>
        <w:t>Centers for Disease Control and Prevention</w:t>
      </w:r>
      <w:r w:rsidRPr="009C32E7">
        <w:rPr>
          <w:b/>
          <w:bCs/>
          <w:sz w:val="20"/>
          <w:szCs w:val="20"/>
        </w:rPr>
        <w:tab/>
      </w:r>
      <w:r w:rsidRPr="009C32E7">
        <w:rPr>
          <w:b/>
          <w:bCs/>
          <w:sz w:val="20"/>
          <w:szCs w:val="20"/>
        </w:rPr>
        <w:tab/>
      </w:r>
      <w:hyperlink r:id="rId115" w:history="1">
        <w:r w:rsidRPr="009C32E7">
          <w:rPr>
            <w:rStyle w:val="Hyperlink"/>
            <w:b/>
            <w:bCs/>
            <w:color w:val="3333FF"/>
            <w:sz w:val="20"/>
            <w:szCs w:val="20"/>
          </w:rPr>
          <w:t>www.cdc.gov</w:t>
        </w:r>
      </w:hyperlink>
    </w:p>
    <w:p w14:paraId="08D059B9" w14:textId="77777777" w:rsidR="00AE3188" w:rsidRPr="009C32E7" w:rsidRDefault="00AE3188" w:rsidP="00AE3188">
      <w:pPr>
        <w:ind w:left="360"/>
        <w:rPr>
          <w:b/>
          <w:bCs/>
          <w:color w:val="3333FF"/>
          <w:sz w:val="20"/>
          <w:szCs w:val="20"/>
        </w:rPr>
      </w:pPr>
      <w:r w:rsidRPr="009C32E7">
        <w:rPr>
          <w:b/>
          <w:bCs/>
          <w:sz w:val="20"/>
          <w:szCs w:val="20"/>
        </w:rPr>
        <w:tab/>
        <w:t>Division of STD Prevention</w:t>
      </w:r>
      <w:r w:rsidRPr="009C32E7">
        <w:rPr>
          <w:b/>
          <w:bCs/>
          <w:sz w:val="20"/>
          <w:szCs w:val="20"/>
        </w:rPr>
        <w:tab/>
      </w:r>
      <w:r w:rsidRPr="009C32E7">
        <w:rPr>
          <w:b/>
          <w:bCs/>
          <w:sz w:val="20"/>
          <w:szCs w:val="20"/>
        </w:rPr>
        <w:tab/>
      </w:r>
      <w:r w:rsidRPr="009C32E7">
        <w:rPr>
          <w:b/>
          <w:bCs/>
          <w:sz w:val="20"/>
          <w:szCs w:val="20"/>
        </w:rPr>
        <w:tab/>
      </w:r>
      <w:hyperlink r:id="rId116" w:history="1">
        <w:r w:rsidRPr="009C32E7">
          <w:rPr>
            <w:rStyle w:val="Hyperlink"/>
            <w:b/>
            <w:bCs/>
            <w:color w:val="3333FF"/>
            <w:sz w:val="20"/>
            <w:szCs w:val="20"/>
          </w:rPr>
          <w:t>www.cdc.gov/std</w:t>
        </w:r>
      </w:hyperlink>
    </w:p>
    <w:p w14:paraId="3C0EC8BA" w14:textId="77777777" w:rsidR="00AE3188" w:rsidRPr="009C32E7" w:rsidRDefault="00AE3188" w:rsidP="00AE3188">
      <w:pPr>
        <w:ind w:left="360"/>
        <w:rPr>
          <w:b/>
          <w:bCs/>
          <w:color w:val="3333FF"/>
          <w:sz w:val="20"/>
          <w:szCs w:val="20"/>
        </w:rPr>
      </w:pPr>
      <w:r w:rsidRPr="009C32E7">
        <w:rPr>
          <w:b/>
          <w:bCs/>
          <w:sz w:val="20"/>
          <w:szCs w:val="20"/>
        </w:rPr>
        <w:tab/>
        <w:t>Division of HIV Prevention</w:t>
      </w:r>
      <w:r w:rsidRPr="009C32E7">
        <w:rPr>
          <w:b/>
          <w:bCs/>
          <w:sz w:val="20"/>
          <w:szCs w:val="20"/>
        </w:rPr>
        <w:tab/>
      </w:r>
      <w:r w:rsidRPr="009C32E7">
        <w:rPr>
          <w:b/>
          <w:bCs/>
          <w:sz w:val="20"/>
          <w:szCs w:val="20"/>
        </w:rPr>
        <w:tab/>
      </w:r>
      <w:r w:rsidRPr="009C32E7">
        <w:rPr>
          <w:b/>
          <w:bCs/>
          <w:sz w:val="20"/>
          <w:szCs w:val="20"/>
        </w:rPr>
        <w:tab/>
      </w:r>
      <w:hyperlink r:id="rId117" w:history="1">
        <w:r w:rsidRPr="009C32E7">
          <w:rPr>
            <w:rStyle w:val="Hyperlink"/>
            <w:b/>
            <w:bCs/>
            <w:color w:val="3333FF"/>
            <w:sz w:val="20"/>
            <w:szCs w:val="20"/>
          </w:rPr>
          <w:t>www.cdc.gov/hiv</w:t>
        </w:r>
      </w:hyperlink>
    </w:p>
    <w:p w14:paraId="1E375C18" w14:textId="77777777" w:rsidR="00AE3188" w:rsidRPr="009C32E7" w:rsidRDefault="00AE3188" w:rsidP="00AE3188">
      <w:pPr>
        <w:ind w:left="360"/>
        <w:rPr>
          <w:b/>
          <w:bCs/>
          <w:sz w:val="20"/>
          <w:szCs w:val="20"/>
        </w:rPr>
      </w:pPr>
      <w:r w:rsidRPr="009C32E7">
        <w:rPr>
          <w:b/>
          <w:bCs/>
          <w:sz w:val="20"/>
          <w:szCs w:val="20"/>
        </w:rPr>
        <w:tab/>
        <w:t>Division of Viral Hepatitis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8" w:history="1">
        <w:r w:rsidRPr="009C32E7">
          <w:rPr>
            <w:rStyle w:val="Hyperlink"/>
            <w:b/>
            <w:bCs/>
            <w:color w:val="3333FF"/>
            <w:sz w:val="20"/>
            <w:szCs w:val="20"/>
          </w:rPr>
          <w:t>www.cdc.gov/hepatitis</w:t>
        </w:r>
      </w:hyperlink>
    </w:p>
    <w:p w14:paraId="4CD4B400" w14:textId="77777777" w:rsidR="00AE3188" w:rsidRPr="009C32E7" w:rsidRDefault="00AE3188" w:rsidP="00AE3188">
      <w:pPr>
        <w:ind w:left="360"/>
        <w:rPr>
          <w:b/>
          <w:bCs/>
          <w:color w:val="3333FF"/>
          <w:sz w:val="20"/>
          <w:szCs w:val="20"/>
        </w:rPr>
      </w:pPr>
      <w:r w:rsidRPr="009C32E7">
        <w:rPr>
          <w:b/>
          <w:bCs/>
          <w:sz w:val="20"/>
          <w:szCs w:val="20"/>
        </w:rPr>
        <w:tab/>
        <w:t xml:space="preserve">National Network of STD/HIV Prevention </w:t>
      </w:r>
      <w:r w:rsidRPr="009C32E7">
        <w:rPr>
          <w:b/>
          <w:bCs/>
          <w:sz w:val="20"/>
          <w:szCs w:val="20"/>
        </w:rPr>
        <w:tab/>
      </w:r>
      <w:r w:rsidRPr="009C32E7">
        <w:rPr>
          <w:b/>
          <w:bCs/>
          <w:sz w:val="20"/>
          <w:szCs w:val="20"/>
        </w:rPr>
        <w:tab/>
      </w:r>
      <w:hyperlink r:id="rId119" w:history="1">
        <w:r w:rsidRPr="009C32E7">
          <w:rPr>
            <w:rStyle w:val="Hyperlink"/>
            <w:b/>
            <w:bCs/>
            <w:color w:val="3333FF"/>
            <w:sz w:val="20"/>
            <w:szCs w:val="20"/>
          </w:rPr>
          <w:t>www.nnptc.org</w:t>
        </w:r>
      </w:hyperlink>
    </w:p>
    <w:p w14:paraId="758D90DA" w14:textId="1DB8B7D1" w:rsidR="005D1FD3" w:rsidRPr="00991A6F" w:rsidRDefault="00AE3188" w:rsidP="00AE3188">
      <w:pPr>
        <w:ind w:left="360"/>
        <w:rPr>
          <w:b/>
          <w:bCs/>
          <w:color w:val="FF0000"/>
          <w:sz w:val="20"/>
          <w:szCs w:val="20"/>
        </w:rPr>
      </w:pPr>
      <w:r w:rsidRPr="009C32E7">
        <w:rPr>
          <w:b/>
          <w:bCs/>
          <w:sz w:val="20"/>
          <w:szCs w:val="20"/>
        </w:rPr>
        <w:tab/>
        <w:t>Training Centers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p>
    <w:sectPr w:rsidR="005D1FD3" w:rsidRPr="00991A6F" w:rsidSect="00E966E3">
      <w:headerReference w:type="default" r:id="rId120"/>
      <w:headerReference w:type="first" r:id="rId121"/>
      <w:footerReference w:type="first" r:id="rId122"/>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68F44" w14:textId="77777777" w:rsidR="002B7E3D" w:rsidRDefault="002B7E3D" w:rsidP="00E966E3">
      <w:r>
        <w:separator/>
      </w:r>
    </w:p>
  </w:endnote>
  <w:endnote w:type="continuationSeparator" w:id="0">
    <w:p w14:paraId="29D316DF" w14:textId="77777777" w:rsidR="002B7E3D" w:rsidRDefault="002B7E3D" w:rsidP="00E966E3">
      <w:r>
        <w:continuationSeparator/>
      </w:r>
    </w:p>
  </w:endnote>
  <w:endnote w:type="continuationNotice" w:id="1">
    <w:p w14:paraId="70DD9910" w14:textId="77777777" w:rsidR="002B7E3D" w:rsidRDefault="002B7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649163"/>
      <w:docPartObj>
        <w:docPartGallery w:val="Page Numbers (Bottom of Page)"/>
        <w:docPartUnique/>
      </w:docPartObj>
    </w:sdtPr>
    <w:sdtEndPr>
      <w:rPr>
        <w:noProof/>
      </w:rPr>
    </w:sdtEndPr>
    <w:sdtContent>
      <w:p w14:paraId="448BF59E" w14:textId="29A8309A" w:rsidR="00E966E3" w:rsidRDefault="00E966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BF8E2E" w14:textId="77777777" w:rsidR="00E966E3" w:rsidRDefault="00E96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120"/>
      <w:gridCol w:w="3120"/>
      <w:gridCol w:w="3120"/>
    </w:tblGrid>
    <w:tr w:rsidR="76F421E0" w14:paraId="24CA2191" w14:textId="77777777" w:rsidTr="00165FC1">
      <w:tc>
        <w:tcPr>
          <w:tcW w:w="3120" w:type="dxa"/>
        </w:tcPr>
        <w:p w14:paraId="55C388CE" w14:textId="744C410A" w:rsidR="76F421E0" w:rsidRDefault="76F421E0" w:rsidP="00E20FF2">
          <w:pPr>
            <w:rPr>
              <w:szCs w:val="24"/>
            </w:rPr>
          </w:pPr>
        </w:p>
      </w:tc>
      <w:tc>
        <w:tcPr>
          <w:tcW w:w="3120" w:type="dxa"/>
        </w:tcPr>
        <w:p w14:paraId="33105386" w14:textId="2D4E5938" w:rsidR="76F421E0" w:rsidRDefault="76F421E0" w:rsidP="00464482">
          <w:pPr>
            <w:pStyle w:val="Header"/>
            <w:jc w:val="center"/>
            <w:rPr>
              <w:szCs w:val="24"/>
            </w:rPr>
          </w:pPr>
        </w:p>
      </w:tc>
      <w:tc>
        <w:tcPr>
          <w:tcW w:w="3120" w:type="dxa"/>
        </w:tcPr>
        <w:p w14:paraId="25081998" w14:textId="4E7CDD51" w:rsidR="76F421E0" w:rsidRDefault="76F421E0" w:rsidP="00464482">
          <w:pPr>
            <w:pStyle w:val="Header"/>
            <w:ind w:right="-115"/>
            <w:jc w:val="right"/>
            <w:rPr>
              <w:szCs w:val="24"/>
            </w:rPr>
          </w:pPr>
        </w:p>
      </w:tc>
    </w:tr>
  </w:tbl>
  <w:p w14:paraId="695736E1" w14:textId="76A67D90" w:rsidR="76F421E0" w:rsidRDefault="76F421E0" w:rsidP="00464482">
    <w:pPr>
      <w:pStyle w:val="Foo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360"/>
      <w:gridCol w:w="3360"/>
      <w:gridCol w:w="3360"/>
    </w:tblGrid>
    <w:tr w:rsidR="76F421E0" w14:paraId="0E6B06F1" w14:textId="77777777" w:rsidTr="00165FC1">
      <w:tc>
        <w:tcPr>
          <w:tcW w:w="3360" w:type="dxa"/>
        </w:tcPr>
        <w:p w14:paraId="3C1D926C" w14:textId="658802B0" w:rsidR="76F421E0" w:rsidRDefault="76F421E0" w:rsidP="00464482">
          <w:pPr>
            <w:pStyle w:val="Header"/>
            <w:ind w:left="-115"/>
            <w:rPr>
              <w:szCs w:val="24"/>
            </w:rPr>
          </w:pPr>
        </w:p>
      </w:tc>
      <w:tc>
        <w:tcPr>
          <w:tcW w:w="3360" w:type="dxa"/>
        </w:tcPr>
        <w:p w14:paraId="4597EAB2" w14:textId="4B2CF1ED" w:rsidR="76F421E0" w:rsidRDefault="76F421E0" w:rsidP="00464482">
          <w:pPr>
            <w:pStyle w:val="Header"/>
            <w:jc w:val="center"/>
            <w:rPr>
              <w:szCs w:val="24"/>
            </w:rPr>
          </w:pPr>
        </w:p>
      </w:tc>
      <w:tc>
        <w:tcPr>
          <w:tcW w:w="3360" w:type="dxa"/>
        </w:tcPr>
        <w:p w14:paraId="7299E481" w14:textId="2E68C24C" w:rsidR="76F421E0" w:rsidRDefault="76F421E0" w:rsidP="00464482">
          <w:pPr>
            <w:pStyle w:val="Header"/>
            <w:ind w:right="-115"/>
            <w:jc w:val="right"/>
            <w:rPr>
              <w:szCs w:val="24"/>
            </w:rPr>
          </w:pPr>
        </w:p>
      </w:tc>
    </w:tr>
  </w:tbl>
  <w:p w14:paraId="46C15283" w14:textId="1BE1BBEA" w:rsidR="76F421E0" w:rsidRDefault="76F421E0" w:rsidP="00464482">
    <w:pPr>
      <w:pStyle w:val="Footer"/>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6F421E0" w14:paraId="26B2720D" w14:textId="77777777" w:rsidTr="00464482">
      <w:tc>
        <w:tcPr>
          <w:tcW w:w="3360" w:type="dxa"/>
        </w:tcPr>
        <w:p w14:paraId="30B172D2" w14:textId="21335812" w:rsidR="76F421E0" w:rsidRDefault="76F421E0" w:rsidP="00464482">
          <w:pPr>
            <w:pStyle w:val="Header"/>
            <w:ind w:left="-115"/>
            <w:rPr>
              <w:szCs w:val="24"/>
            </w:rPr>
          </w:pPr>
        </w:p>
      </w:tc>
      <w:tc>
        <w:tcPr>
          <w:tcW w:w="3360" w:type="dxa"/>
        </w:tcPr>
        <w:p w14:paraId="585CD773" w14:textId="0E3F422E" w:rsidR="76F421E0" w:rsidRDefault="76F421E0" w:rsidP="00464482">
          <w:pPr>
            <w:pStyle w:val="Header"/>
            <w:jc w:val="center"/>
            <w:rPr>
              <w:szCs w:val="24"/>
            </w:rPr>
          </w:pPr>
        </w:p>
      </w:tc>
      <w:tc>
        <w:tcPr>
          <w:tcW w:w="3360" w:type="dxa"/>
        </w:tcPr>
        <w:p w14:paraId="287A9E57" w14:textId="0C268253" w:rsidR="76F421E0" w:rsidRDefault="76F421E0" w:rsidP="00464482">
          <w:pPr>
            <w:pStyle w:val="Header"/>
            <w:ind w:right="-115"/>
            <w:jc w:val="right"/>
            <w:rPr>
              <w:szCs w:val="24"/>
            </w:rPr>
          </w:pPr>
        </w:p>
      </w:tc>
    </w:tr>
  </w:tbl>
  <w:p w14:paraId="2879EF78" w14:textId="1FACE25F" w:rsidR="76F421E0" w:rsidRDefault="76F421E0" w:rsidP="00464482">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4E250" w14:textId="77777777" w:rsidR="002B7E3D" w:rsidRDefault="002B7E3D" w:rsidP="00E966E3">
      <w:r>
        <w:separator/>
      </w:r>
    </w:p>
  </w:footnote>
  <w:footnote w:type="continuationSeparator" w:id="0">
    <w:p w14:paraId="71E78178" w14:textId="77777777" w:rsidR="002B7E3D" w:rsidRDefault="002B7E3D" w:rsidP="00E966E3">
      <w:r>
        <w:continuationSeparator/>
      </w:r>
    </w:p>
  </w:footnote>
  <w:footnote w:type="continuationNotice" w:id="1">
    <w:p w14:paraId="27735310" w14:textId="77777777" w:rsidR="002B7E3D" w:rsidRDefault="002B7E3D"/>
  </w:footnote>
  <w:footnote w:id="2">
    <w:p w14:paraId="452E6D65" w14:textId="22D36ADE" w:rsidR="6DABE1AC" w:rsidRPr="008E0170" w:rsidRDefault="6DABE1AC" w:rsidP="003C07CE">
      <w:pPr>
        <w:pStyle w:val="FootnoteText"/>
        <w:rPr>
          <w:rFonts w:ascii="Calibri" w:eastAsia="Calibri" w:hAnsi="Calibri" w:cs="Calibri"/>
          <w:color w:val="3333FF"/>
        </w:rPr>
      </w:pPr>
      <w:r w:rsidRPr="00A360E9">
        <w:rPr>
          <w:rStyle w:val="FootnoteReference"/>
        </w:rPr>
        <w:footnoteRef/>
      </w:r>
      <w:r w:rsidRPr="00A360E9">
        <w:t xml:space="preserve"> </w:t>
      </w:r>
      <w:r w:rsidRPr="00A360E9">
        <w:rPr>
          <w:rFonts w:ascii="Calibri" w:eastAsia="Calibri" w:hAnsi="Calibri" w:cs="Calibri"/>
        </w:rPr>
        <w:t xml:space="preserve">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8E0170">
          <w:rPr>
            <w:rStyle w:val="Hyperlink"/>
            <w:rFonts w:ascii="Calibri" w:eastAsia="Calibri" w:hAnsi="Calibri" w:cs="Calibri"/>
            <w:color w:val="3333FF"/>
          </w:rPr>
          <w:t>https://www.mass.gov/service-details/partner-services-program-information-for-healthcare-providers</w:t>
        </w:r>
      </w:hyperlink>
      <w:r w:rsidRPr="008E0170">
        <w:rPr>
          <w:rFonts w:ascii="Calibri" w:eastAsia="Calibri" w:hAnsi="Calibri" w:cs="Calibri"/>
          <w:color w:val="3333FF"/>
        </w:rPr>
        <w:t xml:space="preserve">) </w:t>
      </w:r>
    </w:p>
  </w:footnote>
  <w:footnote w:id="3">
    <w:p w14:paraId="26B3EF77" w14:textId="435CBC1D" w:rsidR="005A43F9" w:rsidRDefault="005A43F9">
      <w:pPr>
        <w:pStyle w:val="FootnoteText"/>
      </w:pPr>
      <w:r>
        <w:rPr>
          <w:rStyle w:val="FootnoteReference"/>
        </w:rPr>
        <w:footnoteRef/>
      </w:r>
      <w:r>
        <w:t xml:space="preserve"> </w:t>
      </w:r>
      <w:r w:rsidRPr="005A43F9">
        <w:t xml:space="preserve">Source: CDC Press Release, July 16, 2021: Trends in STD case reports during the U.S. COVID-19 pandemic, January-December 2020 available at: </w:t>
      </w:r>
      <w:hyperlink r:id="rId2" w:history="1">
        <w:r w:rsidRPr="005A43F9">
          <w:rPr>
            <w:rStyle w:val="Hyperlink"/>
          </w:rPr>
          <w:t>https://www.cdc.gov/nchhstp/newsroom/2021/2020-std-trend-report.html</w:t>
        </w:r>
      </w:hyperlink>
      <w:r w:rsidRPr="005A43F9">
        <w:t xml:space="preserve"> </w:t>
      </w:r>
    </w:p>
  </w:footnote>
  <w:footnote w:id="4">
    <w:p w14:paraId="3BEFC163" w14:textId="6C9D6FE7" w:rsidR="003F78DE" w:rsidRDefault="003F78DE">
      <w:pPr>
        <w:pStyle w:val="FootnoteText"/>
      </w:pPr>
      <w:r>
        <w:rPr>
          <w:rStyle w:val="FootnoteReference"/>
        </w:rPr>
        <w:footnoteRef/>
      </w:r>
      <w:r>
        <w:t xml:space="preserve"> CDC. Preliminary 2021 STD Surveillance Data. </w:t>
      </w:r>
      <w:hyperlink r:id="rId3" w:anchor=":~:text=Preliminary%20data%20show%202.5%20million,%2C%20syphilis%2C%20and%20congenital%20syphilis" w:history="1">
        <w:r w:rsidRPr="00EC1C0C">
          <w:rPr>
            <w:rStyle w:val="Hyperlink"/>
          </w:rPr>
          <w:t>https://www.cdc.gov/std/statistics/2021/default.htm#:~:text=Preliminary%20data%20show%202.5%20million,%2C%20syphilis%2C%20and%20congenital%20syphilis</w:t>
        </w:r>
      </w:hyperlink>
      <w:r w:rsidRPr="003F78DE">
        <w:t>.</w:t>
      </w:r>
      <w:r>
        <w:t xml:space="preserve"> </w:t>
      </w:r>
    </w:p>
  </w:footnote>
  <w:footnote w:id="5">
    <w:p w14:paraId="57B28ACA" w14:textId="6A796638" w:rsidR="00702358" w:rsidRDefault="00702358">
      <w:pPr>
        <w:pStyle w:val="FootnoteText"/>
      </w:pPr>
      <w:r>
        <w:rPr>
          <w:rStyle w:val="FootnoteReference"/>
        </w:rPr>
        <w:footnoteRef/>
      </w:r>
      <w:r>
        <w:t xml:space="preserve"> CDC. </w:t>
      </w:r>
      <w:r w:rsidRPr="00702358">
        <w:t>Impact of COVID-19 on STDs</w:t>
      </w:r>
      <w:r>
        <w:t xml:space="preserve">. </w:t>
      </w:r>
      <w:hyperlink r:id="rId4" w:history="1">
        <w:r w:rsidRPr="00EC1C0C">
          <w:rPr>
            <w:rStyle w:val="Hyperlink"/>
          </w:rPr>
          <w:t>https://www.cdc.gov/std/statistics/2020/impact.htm</w:t>
        </w:r>
      </w:hyperlink>
      <w:r>
        <w:t xml:space="preserve"> </w:t>
      </w:r>
    </w:p>
  </w:footnote>
  <w:footnote w:id="6">
    <w:p w14:paraId="0D43E88E" w14:textId="72601382" w:rsidR="005A43F9" w:rsidRDefault="005A43F9">
      <w:pPr>
        <w:pStyle w:val="FootnoteText"/>
      </w:pPr>
      <w:r>
        <w:rPr>
          <w:rStyle w:val="FootnoteReference"/>
        </w:rPr>
        <w:footnoteRef/>
      </w:r>
      <w:r>
        <w:t xml:space="preserve"> </w:t>
      </w:r>
      <w:r w:rsidRPr="005A43F9">
        <w:t xml:space="preserve">Please consider the impact of the COVID-19 pandemic on infectious disease screening, treatment, and surveillance in the interpretation </w:t>
      </w:r>
      <w:r w:rsidR="00256F80">
        <w:t>of data from 2020 to 2022.</w:t>
      </w:r>
    </w:p>
  </w:footnote>
  <w:footnote w:id="7">
    <w:p w14:paraId="299FF290" w14:textId="16A91C47" w:rsidR="00AA0382" w:rsidRPr="007E21AE" w:rsidRDefault="00AA0382">
      <w:pPr>
        <w:pStyle w:val="FootnoteText"/>
      </w:pPr>
      <w:r w:rsidRPr="007E21AE">
        <w:rPr>
          <w:rStyle w:val="FootnoteReference"/>
        </w:rPr>
        <w:footnoteRef/>
      </w:r>
      <w:r w:rsidR="76F421E0" w:rsidRPr="007E21AE">
        <w:t xml:space="preserve"> </w:t>
      </w:r>
      <w:r w:rsidR="00066245" w:rsidRPr="00066245">
        <w:t>Please note reported numbers among individuals of transgender experience and individuals who are nonbinary are likely to be underestimates as there may be underreporting or misreporting of gender due to the absence of appropriate collection of gender options (e.g., individuals who are genderqueer, pangender, gender fluid, androgynous, etc.).</w:t>
      </w:r>
    </w:p>
  </w:footnote>
  <w:footnote w:id="8">
    <w:p w14:paraId="7EA5037C" w14:textId="6A26CE0D" w:rsidR="79913B0A" w:rsidRPr="007E21AE" w:rsidRDefault="79913B0A" w:rsidP="00EF05A6">
      <w:pPr>
        <w:rPr>
          <w:rFonts w:ascii="Calibri" w:eastAsia="Calibri" w:hAnsi="Calibri" w:cs="Calibri"/>
          <w:sz w:val="20"/>
          <w:szCs w:val="20"/>
        </w:rPr>
      </w:pPr>
      <w:r w:rsidRPr="007E21AE">
        <w:rPr>
          <w:rStyle w:val="FootnoteReference"/>
          <w:sz w:val="20"/>
          <w:szCs w:val="20"/>
        </w:rPr>
        <w:footnoteRef/>
      </w:r>
      <w:r w:rsidRPr="007E21AE">
        <w:rPr>
          <w:sz w:val="20"/>
          <w:szCs w:val="20"/>
        </w:rPr>
        <w:t xml:space="preserve"> </w:t>
      </w:r>
      <w:r w:rsidR="0028027F" w:rsidRPr="0028027F">
        <w:rPr>
          <w:rFonts w:ascii="Calibri" w:eastAsia="Calibri" w:hAnsi="Calibri" w:cs="Calibri"/>
          <w:sz w:val="20"/>
          <w:szCs w:val="20"/>
        </w:rPr>
        <w:t>Centers for Disease Control and Prevention. Sexually Transmitted Disease Surveillance 2021 Atlanta: U.S. Department of Health and Human Services; 2023. Please note, 2021 state rankings are presented because 2022 rankings were not yet available at the time of this publication. Additionally, due to a network security incident in December 2021, the Maryland Department of Health could not finalize their 2021 STD case notification data. Although 2021 data from Maryland were included in the national case counts, state-specific data have been suppressed and are therefore not included in the rates ranked by state.</w:t>
      </w:r>
    </w:p>
  </w:footnote>
  <w:footnote w:id="9">
    <w:p w14:paraId="799FE312" w14:textId="600D665E" w:rsidR="00AA0382" w:rsidRDefault="00AA0382">
      <w:pPr>
        <w:pStyle w:val="FootnoteText"/>
      </w:pPr>
      <w:r w:rsidRPr="007E21AE">
        <w:rPr>
          <w:rStyle w:val="FootnoteReference"/>
        </w:rPr>
        <w:footnoteRef/>
      </w:r>
      <w:r w:rsidRPr="007E21AE">
        <w:t xml:space="preserve"> HIV prevalence data are preliminary and subject to change.</w:t>
      </w:r>
    </w:p>
  </w:footnote>
  <w:footnote w:id="10">
    <w:p w14:paraId="34A8419A" w14:textId="77777777" w:rsidR="001536A7" w:rsidRDefault="001536A7" w:rsidP="001536A7">
      <w:pPr>
        <w:pStyle w:val="FootnoteText"/>
      </w:pPr>
      <w:r>
        <w:rPr>
          <w:rStyle w:val="FootnoteReference"/>
        </w:rPr>
        <w:footnoteRef/>
      </w:r>
      <w:r>
        <w:t xml:space="preserve"> </w:t>
      </w:r>
      <w:r w:rsidRPr="005A5442">
        <w:t xml:space="preserve">Please consider the impact of the COVID-19 pandemic on infectious disease screening, treatment, and surveillance in the interpretation </w:t>
      </w:r>
      <w:r>
        <w:t>of data from 2020 to 2022.</w:t>
      </w:r>
    </w:p>
  </w:footnote>
  <w:footnote w:id="11">
    <w:p w14:paraId="767404B1" w14:textId="64D6492C" w:rsidR="005A5442" w:rsidRDefault="005A5442">
      <w:pPr>
        <w:pStyle w:val="FootnoteText"/>
      </w:pPr>
      <w:r>
        <w:rPr>
          <w:rStyle w:val="FootnoteReference"/>
        </w:rPr>
        <w:footnoteRef/>
      </w:r>
      <w:r>
        <w:t xml:space="preserve"> </w:t>
      </w:r>
      <w:r w:rsidRPr="005A5442">
        <w:t xml:space="preserve">For more information, see: Joint MDPH and BPHC Clinical Advisory: Increase in newly diagnosed HIV infections among persons who inject drugs in Boston, March 15, 2021, available at: </w:t>
      </w:r>
      <w:hyperlink r:id="rId5" w:history="1">
        <w:r w:rsidRPr="005A5442">
          <w:rPr>
            <w:rStyle w:val="Hyperlink"/>
          </w:rPr>
          <w:t>https://www.mass.gov/doc/joint-mdph-and-bphc-clinical-advisory-hiv-transmission-through-injection-drug-use-in-boston-march-15-2021/download</w:t>
        </w:r>
      </w:hyperlink>
      <w:r w:rsidRPr="005A5442">
        <w:t xml:space="preserve">  </w:t>
      </w:r>
    </w:p>
  </w:footnote>
  <w:footnote w:id="12">
    <w:p w14:paraId="08D7D462" w14:textId="77777777" w:rsidR="00F7494C" w:rsidRDefault="00F7494C" w:rsidP="00F7494C">
      <w:pPr>
        <w:pStyle w:val="FootnoteText"/>
      </w:pPr>
      <w:r>
        <w:rPr>
          <w:rStyle w:val="FootnoteReference"/>
        </w:rPr>
        <w:footnoteRef/>
      </w:r>
      <w:r>
        <w:t xml:space="preserve"> </w:t>
      </w:r>
      <w:r w:rsidRPr="00A106B1">
        <w:t xml:space="preserve">Please consider the impact of the COVID-19 pandemic on infectious disease screening, treatment, and surveillance in the interpretation </w:t>
      </w:r>
      <w:r>
        <w:t>of data from 2020 to 2022.</w:t>
      </w:r>
    </w:p>
  </w:footnote>
  <w:footnote w:id="13">
    <w:p w14:paraId="36BFCE84" w14:textId="6E38D3F5" w:rsidR="00FB12BF" w:rsidRDefault="00FB12BF">
      <w:pPr>
        <w:pStyle w:val="FootnoteText"/>
      </w:pPr>
      <w:r>
        <w:rPr>
          <w:rStyle w:val="FootnoteReference"/>
        </w:rPr>
        <w:footnoteRef/>
      </w:r>
      <w:r>
        <w:t xml:space="preserve"> </w:t>
      </w:r>
      <w:r w:rsidRPr="00FB12BF">
        <w:t xml:space="preserve">Please consider the impact of the COVID-19 pandemic on infectious disease screening, treatment, and surveillance in the interpretation </w:t>
      </w:r>
      <w:r w:rsidR="00256F80">
        <w:t>of data from 2020 to 2022.</w:t>
      </w:r>
    </w:p>
  </w:footnote>
  <w:footnote w:id="14">
    <w:p w14:paraId="3553F566" w14:textId="36E7DD17" w:rsidR="00FB12BF" w:rsidRDefault="00FB12BF" w:rsidP="00FB12BF">
      <w:pPr>
        <w:pStyle w:val="FootnoteText"/>
      </w:pPr>
      <w:r>
        <w:rPr>
          <w:rStyle w:val="FootnoteReference"/>
        </w:rPr>
        <w:footnoteRef/>
      </w:r>
      <w:r>
        <w:t xml:space="preserve"> </w:t>
      </w:r>
      <w:r w:rsidRPr="00FB12BF">
        <w:t>CDC,</w:t>
      </w:r>
      <w:r w:rsidR="007E21AE">
        <w:t xml:space="preserve"> </w:t>
      </w:r>
      <w:r w:rsidRPr="00FB12BF">
        <w:t xml:space="preserve">Trends in Reported Cases and Rates of Reported Cases for Nationally Notifiable STDs, United States, 2017-2021*, available at </w:t>
      </w:r>
      <w:hyperlink r:id="rId6" w:history="1">
        <w:r w:rsidRPr="00FB12BF">
          <w:rPr>
            <w:rStyle w:val="Hyperlink"/>
          </w:rPr>
          <w:t>https://www.cdc.gov/std/statistics/2021/default.htm</w:t>
        </w:r>
      </w:hyperlink>
      <w:r w:rsidRPr="00FB12BF">
        <w:t xml:space="preserve"> </w:t>
      </w:r>
    </w:p>
    <w:p w14:paraId="63D9E23C" w14:textId="6FA45594" w:rsidR="00FB12BF" w:rsidRDefault="00FB12BF">
      <w:pPr>
        <w:pStyle w:val="FootnoteText"/>
      </w:pPr>
      <w:r w:rsidRPr="00FB12BF">
        <w:t>Pagaoa, Melissa MPH; Grey, Jeremy PhD; Torrone, Elizabeth PhD; Kreisel, Kristen PhD; Stenger, Mark MA; Weinstock, Hillard MD Trends in Nationally Notifiable Sexually Transmitted Disease Case Reports During the US COVID-19 Pandemic, January to December 2020, Sexually Transmitted Diseases: October 2021 - Volume 48 - Issue 10 - p 798-804</w:t>
      </w:r>
      <w:r w:rsidRPr="00FB12BF">
        <w:rPr>
          <w:vertAlign w:val="superscript"/>
        </w:rPr>
        <w:t xml:space="preserve"> </w:t>
      </w:r>
    </w:p>
  </w:footnote>
  <w:footnote w:id="15">
    <w:p w14:paraId="04CAEBA8" w14:textId="70390A8E" w:rsidR="00F0008F" w:rsidRDefault="00F0008F">
      <w:pPr>
        <w:pStyle w:val="FootnoteText"/>
      </w:pPr>
      <w:r>
        <w:rPr>
          <w:rStyle w:val="FootnoteReference"/>
        </w:rPr>
        <w:footnoteRef/>
      </w:r>
      <w:r>
        <w:t xml:space="preserve"> </w:t>
      </w:r>
      <w:r w:rsidRPr="00F0008F">
        <w:t xml:space="preserve">For more information, see COVID-19 State of Emergency </w:t>
      </w:r>
      <w:hyperlink r:id="rId7" w:history="1">
        <w:r w:rsidRPr="00F0008F">
          <w:rPr>
            <w:rStyle w:val="Hyperlink"/>
          </w:rPr>
          <w:t>https://www.mass.gov/info-details/covid-19-state-of-emergency#health-care-delivery-(archive)-</w:t>
        </w:r>
      </w:hyperlink>
    </w:p>
  </w:footnote>
  <w:footnote w:id="16">
    <w:p w14:paraId="502A3331" w14:textId="43FB9F51" w:rsidR="003D5936" w:rsidRPr="002735AE" w:rsidRDefault="003D5936">
      <w:pPr>
        <w:pStyle w:val="FootnoteText"/>
      </w:pPr>
      <w:r w:rsidRPr="002735AE">
        <w:rPr>
          <w:rStyle w:val="FootnoteReference"/>
        </w:rPr>
        <w:footnoteRef/>
      </w:r>
      <w:r w:rsidRPr="002735AE">
        <w:t xml:space="preserve"> Please consider the impact of the COVID-19 pandemic on infectious disease screening, treatment, and surveillance in the interpretation </w:t>
      </w:r>
      <w:r w:rsidR="00256F80">
        <w:t>of data from 2020 to 2022.</w:t>
      </w:r>
    </w:p>
  </w:footnote>
  <w:footnote w:id="17">
    <w:p w14:paraId="04653560" w14:textId="2B817AC0" w:rsidR="2F702A1B" w:rsidRDefault="2F702A1B" w:rsidP="2F702A1B">
      <w:pPr>
        <w:rPr>
          <w:rFonts w:ascii="Calibri" w:eastAsia="Calibri" w:hAnsi="Calibri" w:cs="Calibri"/>
          <w:color w:val="0563C1"/>
          <w:sz w:val="20"/>
          <w:szCs w:val="20"/>
          <w:u w:val="single"/>
        </w:rPr>
      </w:pPr>
      <w:r w:rsidRPr="2F702A1B">
        <w:rPr>
          <w:rStyle w:val="FootnoteReference"/>
          <w:sz w:val="20"/>
          <w:szCs w:val="20"/>
        </w:rPr>
        <w:footnoteRef/>
      </w:r>
      <w:r w:rsidRPr="2F702A1B">
        <w:rPr>
          <w:sz w:val="20"/>
          <w:szCs w:val="20"/>
        </w:rPr>
        <w:t xml:space="preserve"> For more information, see </w:t>
      </w:r>
      <w:r w:rsidRPr="2F702A1B">
        <w:rPr>
          <w:rFonts w:ascii="Calibri" w:eastAsia="Calibri" w:hAnsi="Calibri" w:cs="Calibri"/>
          <w:sz w:val="20"/>
          <w:szCs w:val="20"/>
        </w:rPr>
        <w:t xml:space="preserve">STD Treatment Options | 2020 | Dear Colleague Letters | NCHHSTP | CDC. Published April 6, 2020. Accessed November 11, 2022. </w:t>
      </w:r>
      <w:hyperlink r:id="rId8">
        <w:r w:rsidRPr="2F702A1B">
          <w:rPr>
            <w:rStyle w:val="Hyperlink"/>
            <w:rFonts w:ascii="Calibri" w:eastAsia="Calibri" w:hAnsi="Calibri" w:cs="Calibri"/>
            <w:sz w:val="20"/>
            <w:szCs w:val="20"/>
          </w:rPr>
          <w:t>https://www.cdc.gov/nchhstp/dear_colleague/2020/dcl-040620-std-treatment-options.html</w:t>
        </w:r>
      </w:hyperlink>
    </w:p>
  </w:footnote>
  <w:footnote w:id="18">
    <w:p w14:paraId="0B2DEDB1" w14:textId="45FC9103" w:rsidR="00F73920" w:rsidRDefault="00F73920">
      <w:pPr>
        <w:pStyle w:val="FootnoteText"/>
      </w:pPr>
      <w:r>
        <w:rPr>
          <w:rStyle w:val="FootnoteReference"/>
        </w:rPr>
        <w:footnoteRef/>
      </w:r>
      <w:r>
        <w:t xml:space="preserve"> </w:t>
      </w:r>
      <w:r w:rsidR="00DA1584" w:rsidRPr="00DA1584">
        <w:t>Source</w:t>
      </w:r>
      <w:r w:rsidR="00DA1584" w:rsidRPr="00DA1584">
        <w:rPr>
          <w:i/>
          <w:iCs/>
        </w:rPr>
        <w:t>: Final Recommendation Statement: Chlamydia and Gonorrhea: Screening</w:t>
      </w:r>
      <w:r w:rsidR="00DA1584" w:rsidRPr="00DA1584">
        <w:t xml:space="preserve">. U.S. Preventive Services Task Force. September 2021. </w:t>
      </w:r>
      <w:hyperlink r:id="rId9" w:history="1">
        <w:r w:rsidR="00DA1584" w:rsidRPr="00DA1584">
          <w:rPr>
            <w:rStyle w:val="Hyperlink"/>
          </w:rPr>
          <w:t>https://www.uspreventiveservicestaskforce.org/uspstf/recommendation/chlamydia-and-gonorrhea-screening#fullrecommendationstart</w:t>
        </w:r>
      </w:hyperlink>
      <w:r w:rsidR="00DA1584" w:rsidRPr="00DA1584">
        <w:t xml:space="preserve"> .</w:t>
      </w:r>
    </w:p>
  </w:footnote>
  <w:footnote w:id="19">
    <w:p w14:paraId="6CA2466B" w14:textId="51407ACE" w:rsidR="00156145" w:rsidRDefault="00156145">
      <w:pPr>
        <w:pStyle w:val="FootnoteText"/>
      </w:pPr>
      <w:r>
        <w:rPr>
          <w:rStyle w:val="FootnoteReference"/>
        </w:rPr>
        <w:footnoteRef/>
      </w:r>
      <w:r>
        <w:t xml:space="preserve"> </w:t>
      </w:r>
      <w:r w:rsidR="009661AD" w:rsidRPr="009661AD">
        <w:t xml:space="preserve">For more information, see MDPH Chlamydia Screening Advisory (2022) </w:t>
      </w:r>
      <w:hyperlink r:id="rId10" w:history="1">
        <w:r w:rsidR="009661AD" w:rsidRPr="009661AD">
          <w:rPr>
            <w:rStyle w:val="Hyperlink"/>
          </w:rPr>
          <w:t>https://www.mass.gov/doc/chlamydia-screening-advisory-2022/download</w:t>
        </w:r>
      </w:hyperlink>
      <w:r w:rsidR="009661AD" w:rsidRPr="009661AD">
        <w:t xml:space="preserve"> </w:t>
      </w:r>
    </w:p>
  </w:footnote>
  <w:footnote w:id="20">
    <w:p w14:paraId="65FFD533" w14:textId="7715E2A8" w:rsidR="00401015" w:rsidRDefault="00401015">
      <w:pPr>
        <w:pStyle w:val="FootnoteText"/>
      </w:pPr>
      <w:r>
        <w:rPr>
          <w:rStyle w:val="FootnoteReference"/>
        </w:rPr>
        <w:footnoteRef/>
      </w:r>
      <w:r>
        <w:t xml:space="preserve"> </w:t>
      </w:r>
      <w:r w:rsidRPr="00401015">
        <w:t xml:space="preserve">Please consider the impact of the COVID-19 pandemic on infectious disease screening, treatment, and surveillance in the interpretation </w:t>
      </w:r>
      <w:r w:rsidR="00256F80">
        <w:t>of data from 2020 to 2022.</w:t>
      </w:r>
    </w:p>
  </w:footnote>
  <w:footnote w:id="21">
    <w:p w14:paraId="154317E0" w14:textId="70524F5D" w:rsidR="00865514" w:rsidRDefault="00865514">
      <w:pPr>
        <w:pStyle w:val="FootnoteText"/>
      </w:pPr>
      <w:r>
        <w:rPr>
          <w:rStyle w:val="FootnoteReference"/>
        </w:rPr>
        <w:footnoteRef/>
      </w:r>
      <w:r>
        <w:t xml:space="preserve"> </w:t>
      </w:r>
      <w:r w:rsidRPr="00865514">
        <w:t xml:space="preserve">Please consider the impact of the COVID-19 pandemic on infectious disease screening, treatment, and surveillance in the interpretation </w:t>
      </w:r>
      <w:r w:rsidR="00256F80">
        <w:t>of data from 2020 to 2022.</w:t>
      </w:r>
    </w:p>
  </w:footnote>
  <w:footnote w:id="22">
    <w:p w14:paraId="3512938A" w14:textId="31F30896" w:rsidR="00865514" w:rsidRDefault="00865514">
      <w:pPr>
        <w:pStyle w:val="FootnoteText"/>
      </w:pPr>
      <w:r>
        <w:rPr>
          <w:rStyle w:val="FootnoteReference"/>
        </w:rPr>
        <w:footnoteRef/>
      </w:r>
      <w:r w:rsidR="2F702A1B">
        <w:t xml:space="preserve"> </w:t>
      </w:r>
      <w:r w:rsidR="2F702A1B" w:rsidRPr="00865514">
        <w:t>Centers for Disease Control and Prevention,</w:t>
      </w:r>
      <w:r w:rsidR="2F702A1B">
        <w:t xml:space="preserve"> </w:t>
      </w:r>
      <w:r w:rsidR="2F702A1B" w:rsidRPr="00865514">
        <w:t xml:space="preserve">Sexually Transmitted Disease Surveillance 2021, available at </w:t>
      </w:r>
      <w:hyperlink r:id="rId11" w:history="1">
        <w:r w:rsidR="2F702A1B" w:rsidRPr="2F702A1B">
          <w:rPr>
            <w:rStyle w:val="Hyperlink"/>
          </w:rPr>
          <w:t>https://www.cdc.gov/std/statistics/2021/default.htm</w:t>
        </w:r>
      </w:hyperlink>
      <w:r w:rsidR="2F702A1B">
        <w:t xml:space="preserve"> </w:t>
      </w:r>
      <w:r w:rsidR="2F702A1B" w:rsidRPr="00865514">
        <w:t xml:space="preserve"> </w:t>
      </w:r>
    </w:p>
  </w:footnote>
  <w:footnote w:id="23">
    <w:p w14:paraId="1CC13573" w14:textId="10127A48" w:rsidR="00663153" w:rsidRDefault="00663153">
      <w:pPr>
        <w:pStyle w:val="FootnoteText"/>
      </w:pPr>
      <w:r>
        <w:rPr>
          <w:rStyle w:val="FootnoteReference"/>
        </w:rPr>
        <w:footnoteRef/>
      </w:r>
      <w:r w:rsidR="2F702A1B">
        <w:t xml:space="preserve">  Centers for Disease Control and Prevention. Sexually Transmitted Disease Surveillance 2021 Atlanta: U.S. Department of Health and Human Services; 2023. Please note, 2021 state rankings are presented because 2022 rankings were not yet available at the time of this publication. Additionally, due to a network security incident in December 2021, the Maryland Department of Health could not finalize their 2021 STD case notification data. Although 2021 data from Maryland were included in the national case counts, state-specific data have been suppressed and are therefore not included in the rates ranked by state.</w:t>
      </w:r>
    </w:p>
  </w:footnote>
  <w:footnote w:id="24">
    <w:p w14:paraId="19457BDA" w14:textId="2221052C" w:rsidR="00663153" w:rsidRDefault="00663153">
      <w:pPr>
        <w:pStyle w:val="FootnoteText"/>
      </w:pPr>
      <w:r>
        <w:rPr>
          <w:rStyle w:val="FootnoteReference"/>
        </w:rPr>
        <w:footnoteRef/>
      </w:r>
      <w:r>
        <w:t xml:space="preserve"> </w:t>
      </w:r>
      <w:r w:rsidRPr="00663153">
        <w:t>Among cities that reported at least 12 confirmed chlamydia cases in 202</w:t>
      </w:r>
      <w:r w:rsidR="00F22E17">
        <w:t>2</w:t>
      </w:r>
      <w:r w:rsidRPr="00663153">
        <w:t>.</w:t>
      </w:r>
    </w:p>
  </w:footnote>
  <w:footnote w:id="25">
    <w:p w14:paraId="0228ECAA" w14:textId="54CB2ABC" w:rsidR="00B73C75" w:rsidRDefault="00B73C75">
      <w:pPr>
        <w:pStyle w:val="FootnoteText"/>
      </w:pPr>
      <w:r>
        <w:rPr>
          <w:rStyle w:val="FootnoteReference"/>
        </w:rPr>
        <w:footnoteRef/>
      </w:r>
      <w:r>
        <w:t xml:space="preserve"> </w:t>
      </w:r>
      <w:r w:rsidRPr="00B73C75">
        <w:t xml:space="preserve">Please consider the impact of the COVID-19 pandemic on infectious disease screening, treatment, and surveillance in the interpretation </w:t>
      </w:r>
      <w:r w:rsidR="00256F80">
        <w:t>of data from 2020 to 2022.</w:t>
      </w:r>
    </w:p>
  </w:footnote>
  <w:footnote w:id="26">
    <w:p w14:paraId="6935CABE" w14:textId="34DDA3EA" w:rsidR="00663153" w:rsidRDefault="00663153">
      <w:pPr>
        <w:pStyle w:val="FootnoteText"/>
      </w:pPr>
      <w:r>
        <w:rPr>
          <w:rStyle w:val="FootnoteReference"/>
        </w:rPr>
        <w:footnoteRef/>
      </w:r>
      <w:r w:rsidR="2F702A1B">
        <w:t xml:space="preserve"> </w:t>
      </w:r>
      <w:r w:rsidR="2F702A1B" w:rsidRPr="00663153">
        <w:t>The chlamydia incidence rate for Provincetown is high because of small population size (2,583), as opposed to the number of cases (76).</w:t>
      </w:r>
    </w:p>
  </w:footnote>
  <w:footnote w:id="27">
    <w:p w14:paraId="1540B849" w14:textId="7CF3A3FF" w:rsidR="00DA3473" w:rsidRDefault="00DA3473">
      <w:pPr>
        <w:pStyle w:val="FootnoteText"/>
      </w:pPr>
      <w:r>
        <w:rPr>
          <w:rStyle w:val="FootnoteReference"/>
        </w:rPr>
        <w:footnoteRef/>
      </w:r>
      <w:r>
        <w:t xml:space="preserve"> </w:t>
      </w:r>
      <w:r w:rsidRPr="00DA3473">
        <w:t xml:space="preserve">For more information, see: </w:t>
      </w:r>
      <w:hyperlink r:id="rId12" w:history="1">
        <w:r w:rsidRPr="00DA3473">
          <w:rPr>
            <w:rStyle w:val="Hyperlink"/>
          </w:rPr>
          <w:t>https://www.atsdr.cdc.gov/placeandhealth/svi/index.html</w:t>
        </w:r>
      </w:hyperlink>
      <w:r w:rsidRPr="00DA3473">
        <w:t xml:space="preserve">  </w:t>
      </w:r>
    </w:p>
  </w:footnote>
  <w:footnote w:id="28">
    <w:p w14:paraId="637389F1" w14:textId="2AAE54B0" w:rsidR="00DA3473" w:rsidRDefault="00DA3473">
      <w:pPr>
        <w:pStyle w:val="FootnoteText"/>
      </w:pPr>
      <w:r>
        <w:rPr>
          <w:rStyle w:val="FootnoteReference"/>
        </w:rPr>
        <w:footnoteRef/>
      </w:r>
      <w:r>
        <w:t xml:space="preserve"> </w:t>
      </w:r>
      <w:r w:rsidRPr="00DA3473">
        <w:t xml:space="preserve">Gant, Z., Dailey, A., Hu, X. et al. A Census Tract–Level Examination of Diagnosed HIV Infection and Social Vulnerability among Black/African American, Hispanic/Latinx, and White Adults, 2018: United States. J. Racial and Ethnic Health Disparities (2022). </w:t>
      </w:r>
      <w:hyperlink r:id="rId13" w:history="1">
        <w:r w:rsidRPr="00DA3473">
          <w:rPr>
            <w:rStyle w:val="Hyperlink"/>
          </w:rPr>
          <w:t>https://doi.org/10.1007/s40615-022-01456-7</w:t>
        </w:r>
      </w:hyperlink>
      <w:r w:rsidRPr="00DA3473">
        <w:t xml:space="preserve">   </w:t>
      </w:r>
    </w:p>
  </w:footnote>
  <w:footnote w:id="29">
    <w:p w14:paraId="52204C45" w14:textId="68D0BB4C" w:rsidR="00DA3473" w:rsidRDefault="00DA3473">
      <w:pPr>
        <w:pStyle w:val="FootnoteText"/>
      </w:pPr>
      <w:r>
        <w:rPr>
          <w:rStyle w:val="FootnoteReference"/>
        </w:rPr>
        <w:footnoteRef/>
      </w:r>
      <w:r>
        <w:t xml:space="preserve"> </w:t>
      </w:r>
      <w:r w:rsidRPr="00DA3473">
        <w:t xml:space="preserve">Copen CE, Haderxhanaj LT, Renfro KJ, Loosier PS. County-Level Chlamydia and Gonorrhea Rates by Social Vulnerability, United States, 2014-2018. Sex Transm Dis. 2022 Dec 1;49(12):822-825. </w:t>
      </w:r>
    </w:p>
  </w:footnote>
  <w:footnote w:id="30">
    <w:p w14:paraId="35B3E13F" w14:textId="2F9ADD89" w:rsidR="00DA3473" w:rsidRDefault="00DA3473">
      <w:pPr>
        <w:pStyle w:val="FootnoteText"/>
      </w:pPr>
      <w:r>
        <w:rPr>
          <w:rStyle w:val="FootnoteReference"/>
        </w:rPr>
        <w:footnoteRef/>
      </w:r>
      <w:r>
        <w:t xml:space="preserve"> </w:t>
      </w:r>
      <w:r w:rsidRPr="00DA3473">
        <w:t xml:space="preserve">Dasgupta S, Bowen VB, Leidner A, et al. Association Between Social Vulnerability and a County’s Risk for Becoming a COVID-19 Hotspot — United States, June 1–July 25, 2020. MMWR Morb Mortal Wkly Rep 2020;69:1535–1541. DOI: </w:t>
      </w:r>
      <w:hyperlink r:id="rId14" w:history="1">
        <w:r w:rsidRPr="00DA3473">
          <w:rPr>
            <w:rStyle w:val="Hyperlink"/>
          </w:rPr>
          <w:t>http://dx.doi.org/10.15585/mmwr.mm6942a3</w:t>
        </w:r>
      </w:hyperlink>
      <w:r w:rsidRPr="00DA3473">
        <w:t xml:space="preserve">  </w:t>
      </w:r>
    </w:p>
  </w:footnote>
  <w:footnote w:id="31">
    <w:p w14:paraId="167BC63A" w14:textId="77777777" w:rsidR="00D438FE" w:rsidRDefault="00D438FE" w:rsidP="00D438FE">
      <w:pPr>
        <w:pStyle w:val="FootnoteText"/>
      </w:pPr>
      <w:r>
        <w:rPr>
          <w:rStyle w:val="FootnoteReference"/>
        </w:rPr>
        <w:footnoteRef/>
      </w:r>
      <w:r>
        <w:t xml:space="preserve"> </w:t>
      </w:r>
      <w:r w:rsidRPr="00B73C75">
        <w:t xml:space="preserve">Please consider the impact of the COVID-19 pandemic on infectious disease screening, treatment, and surveillance in the interpretation </w:t>
      </w:r>
      <w:r>
        <w:t>of data from 2020 to 2022.</w:t>
      </w:r>
    </w:p>
  </w:footnote>
  <w:footnote w:id="32">
    <w:p w14:paraId="135B31A6" w14:textId="782F4F34" w:rsidR="005C6590" w:rsidRDefault="005C6590">
      <w:pPr>
        <w:pStyle w:val="FootnoteText"/>
      </w:pPr>
      <w:r>
        <w:rPr>
          <w:rStyle w:val="FootnoteReference"/>
        </w:rPr>
        <w:footnoteRef/>
      </w:r>
      <w:r>
        <w:t xml:space="preserve"> </w:t>
      </w:r>
      <w:r w:rsidRPr="005C6590">
        <w:t xml:space="preserve">Please consider the impact of the COVID-19 pandemic on infectious disease screening, treatment, and surveillance in the interpretation </w:t>
      </w:r>
      <w:r w:rsidR="00256F80">
        <w:t>of data from 2020 to 2022.</w:t>
      </w:r>
    </w:p>
  </w:footnote>
  <w:footnote w:id="33">
    <w:p w14:paraId="5E48AF6D" w14:textId="71F5FFC3" w:rsidR="007614DA" w:rsidRDefault="007614DA">
      <w:pPr>
        <w:pStyle w:val="FootnoteText"/>
      </w:pPr>
      <w:r>
        <w:rPr>
          <w:rStyle w:val="FootnoteReference"/>
        </w:rPr>
        <w:footnoteRef/>
      </w:r>
      <w:r>
        <w:t xml:space="preserve"> </w:t>
      </w:r>
      <w:r w:rsidRPr="007614DA">
        <w:t xml:space="preserve">Please consider the impact of the COVID-19 pandemic on infectious disease screening, treatment, and surveillance in the interpretation </w:t>
      </w:r>
      <w:r w:rsidR="00256F80">
        <w:t>of data from 2020 to 2022.</w:t>
      </w:r>
    </w:p>
  </w:footnote>
  <w:footnote w:id="34">
    <w:p w14:paraId="466B76F8" w14:textId="1440F1E6" w:rsidR="00AA6A7E" w:rsidRDefault="00AA6A7E">
      <w:pPr>
        <w:pStyle w:val="FootnoteText"/>
      </w:pPr>
      <w:r>
        <w:rPr>
          <w:rStyle w:val="FootnoteReference"/>
        </w:rPr>
        <w:footnoteRef/>
      </w:r>
      <w:r>
        <w:t xml:space="preserve"> </w:t>
      </w:r>
      <w:r w:rsidRPr="00AA6A7E">
        <w:t xml:space="preserve">Please consider the impact of the COVID-19 pandemic on infectious disease screening, treatment, and surveillance in the interpretation </w:t>
      </w:r>
      <w:r w:rsidR="00256F80">
        <w:t>of data from 2020 to 2022.</w:t>
      </w:r>
    </w:p>
  </w:footnote>
  <w:footnote w:id="35">
    <w:p w14:paraId="6FA07192" w14:textId="576C4263" w:rsidR="00271362" w:rsidRDefault="00271362">
      <w:pPr>
        <w:pStyle w:val="FootnoteText"/>
      </w:pPr>
      <w:r>
        <w:rPr>
          <w:rStyle w:val="FootnoteReference"/>
        </w:rPr>
        <w:footnoteRef/>
      </w:r>
      <w:r>
        <w:t xml:space="preserve"> </w:t>
      </w:r>
      <w:r w:rsidRPr="00271362">
        <w:t xml:space="preserve">Centers for Disease Control and Prevention, Trends in Reported Cases and Rates of Reported Cases for Nationally Notifiable STDs, United States, 2017-2021*, available at </w:t>
      </w:r>
      <w:hyperlink r:id="rId15" w:history="1">
        <w:r w:rsidRPr="00271362">
          <w:rPr>
            <w:rStyle w:val="Hyperlink"/>
          </w:rPr>
          <w:t>https://www.cdc.gov/std/statistics/2021/default.htm</w:t>
        </w:r>
      </w:hyperlink>
      <w:r w:rsidRPr="00271362">
        <w:t xml:space="preserve"> </w:t>
      </w:r>
    </w:p>
  </w:footnote>
  <w:footnote w:id="36">
    <w:p w14:paraId="73BB7F3B" w14:textId="6A44FD5D" w:rsidR="00271362" w:rsidRDefault="00271362">
      <w:pPr>
        <w:pStyle w:val="FootnoteText"/>
      </w:pPr>
      <w:r>
        <w:rPr>
          <w:rStyle w:val="FootnoteReference"/>
        </w:rPr>
        <w:footnoteRef/>
      </w:r>
      <w:r w:rsidR="2F702A1B">
        <w:t xml:space="preserve"> Centers for Disease Control and Prevention. Sexually Transmitted Disease Surveillance 2021 Atlanta: U.S. Department of Health and Human Services; 2023. Please note, 2021 state rankings are presented because 2022 rankings were not yet available at the time of this publication. Additionally, due to a network security incident in December 2021, the Maryland Department of Health could not finalize their 2021 STD case notification data. Although 2021 data from Maryland were included in the national case counts, state-specific data have been suppressed and are therefore not included in the rates ranked by state.</w:t>
      </w:r>
    </w:p>
  </w:footnote>
  <w:footnote w:id="37">
    <w:p w14:paraId="4ECDF62F" w14:textId="4E367A45" w:rsidR="00271362" w:rsidRDefault="00271362">
      <w:pPr>
        <w:pStyle w:val="FootnoteText"/>
      </w:pPr>
      <w:r>
        <w:rPr>
          <w:rStyle w:val="FootnoteReference"/>
        </w:rPr>
        <w:footnoteRef/>
      </w:r>
      <w:r>
        <w:t xml:space="preserve"> </w:t>
      </w:r>
      <w:r w:rsidRPr="00271362">
        <w:t>Among cities that reported at least 12 confirmed gonorrhea cases in 202</w:t>
      </w:r>
      <w:r w:rsidR="00BD35AA">
        <w:t>2</w:t>
      </w:r>
      <w:r w:rsidRPr="00271362">
        <w:t>.</w:t>
      </w:r>
    </w:p>
  </w:footnote>
  <w:footnote w:id="38">
    <w:p w14:paraId="438926B3" w14:textId="52E0098A" w:rsidR="00271362" w:rsidRDefault="00271362">
      <w:pPr>
        <w:pStyle w:val="FootnoteText"/>
      </w:pPr>
      <w:r>
        <w:rPr>
          <w:rStyle w:val="FootnoteReference"/>
        </w:rPr>
        <w:footnoteRef/>
      </w:r>
      <w:r w:rsidR="2F702A1B">
        <w:t xml:space="preserve"> </w:t>
      </w:r>
      <w:r w:rsidR="2F702A1B" w:rsidRPr="00271362">
        <w:t>The gonorrhea incidence rate for Provincetown is high because of small population size (2</w:t>
      </w:r>
      <w:r w:rsidR="00F22E17">
        <w:t>,</w:t>
      </w:r>
      <w:r w:rsidR="2F702A1B" w:rsidRPr="00271362">
        <w:t>583), as opposed to the number of cases (77).</w:t>
      </w:r>
    </w:p>
  </w:footnote>
  <w:footnote w:id="39">
    <w:p w14:paraId="2318E09D" w14:textId="77777777" w:rsidR="00540C4B" w:rsidRDefault="00540C4B" w:rsidP="00540C4B">
      <w:pPr>
        <w:pStyle w:val="FootnoteText"/>
      </w:pPr>
      <w:r>
        <w:rPr>
          <w:rStyle w:val="FootnoteReference"/>
        </w:rPr>
        <w:footnoteRef/>
      </w:r>
      <w:r>
        <w:t xml:space="preserve"> </w:t>
      </w:r>
      <w:r w:rsidRPr="00AA6A7E">
        <w:t xml:space="preserve">Please consider the impact of the COVID-19 pandemic on infectious disease screening, treatment, and surveillance in the interpretation </w:t>
      </w:r>
      <w:r>
        <w:t>of data from 2020 to 2022.</w:t>
      </w:r>
    </w:p>
  </w:footnote>
  <w:footnote w:id="40">
    <w:p w14:paraId="7BEEB92D" w14:textId="0097F7FA" w:rsidR="00936271" w:rsidRDefault="00936271">
      <w:pPr>
        <w:pStyle w:val="FootnoteText"/>
      </w:pPr>
      <w:r>
        <w:rPr>
          <w:rStyle w:val="FootnoteReference"/>
        </w:rPr>
        <w:footnoteRef/>
      </w:r>
      <w:r>
        <w:t xml:space="preserve"> </w:t>
      </w:r>
      <w:r w:rsidRPr="00936271">
        <w:t>Infectious syphilis includes diagnoses made in the primary, secondary, and early non-primary non-secondary stages of infection (latent asymptomatic syphilis where infection occurred in the past 12 months).</w:t>
      </w:r>
    </w:p>
  </w:footnote>
  <w:footnote w:id="41">
    <w:p w14:paraId="7D01828A" w14:textId="246B71D9" w:rsidR="00936271" w:rsidRDefault="00936271">
      <w:pPr>
        <w:pStyle w:val="FootnoteText"/>
      </w:pPr>
      <w:r>
        <w:rPr>
          <w:rStyle w:val="FootnoteReference"/>
        </w:rPr>
        <w:footnoteRef/>
      </w:r>
      <w:r>
        <w:t xml:space="preserve"> </w:t>
      </w:r>
      <w:r w:rsidRPr="00936271">
        <w:t xml:space="preserve">Please consider the impact of the COVID-19 pandemic on infectious disease screening, treatment, and surveillance in the interpretation </w:t>
      </w:r>
      <w:r w:rsidR="00256F80">
        <w:t>of data from 2020 to 2022.</w:t>
      </w:r>
    </w:p>
  </w:footnote>
  <w:footnote w:id="42">
    <w:p w14:paraId="0B4C0008" w14:textId="1CDCF31E" w:rsidR="00446A17" w:rsidRDefault="00446A17">
      <w:pPr>
        <w:pStyle w:val="FootnoteText"/>
      </w:pPr>
      <w:r>
        <w:rPr>
          <w:rStyle w:val="FootnoteReference"/>
        </w:rPr>
        <w:footnoteRef/>
      </w:r>
      <w:r>
        <w:t xml:space="preserve"> </w:t>
      </w:r>
      <w:r w:rsidRPr="00446A17">
        <w:t>Infectious syphilis includes diagnoses made in the primary, secondary, and early non-primary non-secondary stages of infection (latent asymptomatic syphilis where infection occurred in the past 12 months).</w:t>
      </w:r>
    </w:p>
  </w:footnote>
  <w:footnote w:id="43">
    <w:p w14:paraId="039267BB" w14:textId="6B091495" w:rsidR="00446A17" w:rsidRDefault="00446A17">
      <w:pPr>
        <w:pStyle w:val="FootnoteText"/>
      </w:pPr>
      <w:r>
        <w:rPr>
          <w:rStyle w:val="FootnoteReference"/>
        </w:rPr>
        <w:footnoteRef/>
      </w:r>
      <w:r>
        <w:t xml:space="preserve"> </w:t>
      </w:r>
      <w:r w:rsidRPr="00446A17">
        <w:t xml:space="preserve">Please consider the impact of the COVID-19 pandemic on infectious disease screening, treatment, and surveillance in the interpretation </w:t>
      </w:r>
      <w:r w:rsidR="00256F80">
        <w:t>of data from 2020 to 2022.</w:t>
      </w:r>
    </w:p>
  </w:footnote>
  <w:footnote w:id="44">
    <w:p w14:paraId="50A3C4E7" w14:textId="57F18D21" w:rsidR="00D839FD" w:rsidRDefault="00D839FD">
      <w:pPr>
        <w:pStyle w:val="FootnoteText"/>
      </w:pPr>
      <w:r>
        <w:rPr>
          <w:rStyle w:val="FootnoteReference"/>
        </w:rPr>
        <w:footnoteRef/>
      </w:r>
      <w:r>
        <w:t xml:space="preserve"> </w:t>
      </w:r>
      <w:r w:rsidRPr="00D839FD">
        <w:t>Infectious syphilis includes diagnoses made in the primary, secondary, and early non-primary non-secondary stages of infection (latent asymptomatic syphilis where infection occurred in the past 12 months).</w:t>
      </w:r>
    </w:p>
  </w:footnote>
  <w:footnote w:id="45">
    <w:p w14:paraId="4394FCED" w14:textId="5F5FE5CB" w:rsidR="00D839FD" w:rsidRDefault="00D839FD">
      <w:pPr>
        <w:pStyle w:val="FootnoteText"/>
      </w:pPr>
      <w:r>
        <w:rPr>
          <w:rStyle w:val="FootnoteReference"/>
        </w:rPr>
        <w:footnoteRef/>
      </w:r>
      <w:r>
        <w:t xml:space="preserve"> </w:t>
      </w:r>
      <w:r w:rsidRPr="00D839FD">
        <w:t xml:space="preserve">Please consider the impact of the COVID-19 pandemic on infectious disease screening, treatment, and surveillance in the interpretation </w:t>
      </w:r>
      <w:r w:rsidR="00256F80">
        <w:t>of data from 2020 to 2022.</w:t>
      </w:r>
    </w:p>
  </w:footnote>
  <w:footnote w:id="46">
    <w:p w14:paraId="0A408A65" w14:textId="12C69193" w:rsidR="00D839FD" w:rsidRDefault="00D839FD">
      <w:pPr>
        <w:pStyle w:val="FootnoteText"/>
      </w:pPr>
      <w:r>
        <w:rPr>
          <w:rStyle w:val="FootnoteReference"/>
        </w:rPr>
        <w:footnoteRef/>
      </w:r>
      <w:r w:rsidR="2F702A1B">
        <w:t xml:space="preserve"> Centers for Disease Control and Prevention. Sexually Transmitted Disease Surveillance 2021 Atlanta: U.S. Department of Health and Human Services; 2023. Please note, 2021 state rankings are presented because 2022 rankings were not yet available at the time of this publication. Additionally, due to a network security incident in December 2021, the Maryland Department of Health could not finalize their 2021 STD case notification data. Although 2021 data from Maryland were included in the national case counts, state-specific data have been suppressed and are therefore not included in the rates ranked by state.</w:t>
      </w:r>
    </w:p>
  </w:footnote>
  <w:footnote w:id="47">
    <w:p w14:paraId="0DD65C4E" w14:textId="051BBDFF" w:rsidR="00D839FD" w:rsidRDefault="00D839FD">
      <w:pPr>
        <w:pStyle w:val="FootnoteText"/>
      </w:pPr>
      <w:r>
        <w:rPr>
          <w:rStyle w:val="FootnoteReference"/>
        </w:rPr>
        <w:footnoteRef/>
      </w:r>
      <w:r w:rsidR="2F702A1B">
        <w:t xml:space="preserve"> </w:t>
      </w:r>
      <w:r w:rsidR="2F702A1B" w:rsidRPr="00535F39">
        <w:t>Among cities that reported at least 12 confirmed syphilis cases in 2022.</w:t>
      </w:r>
    </w:p>
  </w:footnote>
  <w:footnote w:id="48">
    <w:p w14:paraId="39669E2A" w14:textId="508EC5E4" w:rsidR="2F702A1B" w:rsidRDefault="2F702A1B" w:rsidP="00F345D5">
      <w:pPr>
        <w:pStyle w:val="FootnoteText"/>
      </w:pPr>
      <w:r w:rsidRPr="2F702A1B">
        <w:rPr>
          <w:rStyle w:val="FootnoteReference"/>
        </w:rPr>
        <w:footnoteRef/>
      </w:r>
      <w:r>
        <w:t xml:space="preserve"> The syphilis incidence rate for Provincetown is high because of small population size (2</w:t>
      </w:r>
      <w:r w:rsidR="00F76279">
        <w:t>,</w:t>
      </w:r>
      <w:r>
        <w:t>583), as opposed to the number of cases (20).</w:t>
      </w:r>
    </w:p>
  </w:footnote>
  <w:footnote w:id="49">
    <w:p w14:paraId="14D24BC4" w14:textId="77777777" w:rsidR="00B45473" w:rsidRDefault="00B45473" w:rsidP="00B45473">
      <w:pPr>
        <w:pStyle w:val="FootnoteText"/>
      </w:pPr>
      <w:r>
        <w:rPr>
          <w:rStyle w:val="FootnoteReference"/>
        </w:rPr>
        <w:footnoteRef/>
      </w:r>
      <w:r>
        <w:t xml:space="preserve"> </w:t>
      </w:r>
      <w:r w:rsidRPr="00D839FD">
        <w:t xml:space="preserve">Please consider the impact of the COVID-19 pandemic on infectious disease screening, treatment, and surveillance in the interpretation </w:t>
      </w:r>
      <w:r>
        <w:t>of data from 2020 to 2022.</w:t>
      </w:r>
    </w:p>
  </w:footnote>
  <w:footnote w:id="50">
    <w:p w14:paraId="181CF506" w14:textId="0A854F0D" w:rsidR="00D62257" w:rsidRDefault="00D62257">
      <w:pPr>
        <w:pStyle w:val="FootnoteText"/>
      </w:pPr>
      <w:r>
        <w:rPr>
          <w:rStyle w:val="FootnoteReference"/>
        </w:rPr>
        <w:footnoteRef/>
      </w:r>
      <w:r>
        <w:t xml:space="preserve"> </w:t>
      </w:r>
      <w:r w:rsidRPr="00D62257">
        <w:t xml:space="preserve">For more information, see Centers for Disease Control and Prevention. </w:t>
      </w:r>
      <w:r w:rsidRPr="00D62257">
        <w:rPr>
          <w:i/>
          <w:iCs/>
        </w:rPr>
        <w:t>Diagnose and Treat to Save Lives: Decreasing Deaths Among People with HIV</w:t>
      </w:r>
      <w:r w:rsidRPr="00D62257">
        <w:t xml:space="preserve">. Atlanta: U.S. Department of Health and Human Services; 2020, available at: </w:t>
      </w:r>
      <w:hyperlink r:id="rId16" w:history="1">
        <w:r w:rsidRPr="00D62257">
          <w:rPr>
            <w:rStyle w:val="Hyperlink"/>
          </w:rPr>
          <w:t>https://www.cdc.gov/hiv/statistics/deaths/index.html</w:t>
        </w:r>
      </w:hyperlink>
      <w:r w:rsidRPr="00D62257">
        <w:t xml:space="preserve"> </w:t>
      </w:r>
    </w:p>
  </w:footnote>
  <w:footnote w:id="51">
    <w:p w14:paraId="68B1A750" w14:textId="608ACE3B" w:rsidR="00D62257" w:rsidRDefault="00D62257">
      <w:pPr>
        <w:pStyle w:val="FootnoteText"/>
      </w:pPr>
      <w:r>
        <w:rPr>
          <w:rStyle w:val="FootnoteReference"/>
        </w:rPr>
        <w:footnoteRef/>
      </w:r>
      <w:r>
        <w:t xml:space="preserve"> </w:t>
      </w:r>
      <w:r w:rsidRPr="00D62257">
        <w:t xml:space="preserve">Please consider the impact of the COVID-19 pandemic on infectious disease screening, treatment, and surveillance in the interpretation </w:t>
      </w:r>
      <w:r w:rsidR="00256F80">
        <w:t>of data from 2020 to 2022.</w:t>
      </w:r>
    </w:p>
  </w:footnote>
  <w:footnote w:id="52">
    <w:p w14:paraId="48821817" w14:textId="787C88B3" w:rsidR="00D62257" w:rsidRDefault="00D62257">
      <w:pPr>
        <w:pStyle w:val="FootnoteText"/>
      </w:pPr>
      <w:r>
        <w:rPr>
          <w:rStyle w:val="FootnoteReference"/>
        </w:rPr>
        <w:footnoteRef/>
      </w:r>
      <w:r>
        <w:t xml:space="preserve"> </w:t>
      </w:r>
      <w:r w:rsidRPr="00D62257">
        <w:t>202</w:t>
      </w:r>
      <w:r w:rsidR="00275BD1">
        <w:t>2</w:t>
      </w:r>
      <w:r w:rsidRPr="00D62257">
        <w:t xml:space="preserve"> HIV prevalence data are preliminary and subject to change.</w:t>
      </w:r>
    </w:p>
  </w:footnote>
  <w:footnote w:id="53">
    <w:p w14:paraId="66B1A412" w14:textId="72E7A275" w:rsidR="007C073D" w:rsidRDefault="007C073D">
      <w:pPr>
        <w:pStyle w:val="FootnoteText"/>
      </w:pPr>
      <w:r>
        <w:rPr>
          <w:rStyle w:val="FootnoteReference"/>
        </w:rPr>
        <w:footnoteRef/>
      </w:r>
      <w:r>
        <w:t xml:space="preserve"> </w:t>
      </w:r>
      <w:r w:rsidRPr="007C073D">
        <w:t xml:space="preserve">Please consider the impact of the COVID-19 pandemic on infectious disease screening, treatment, and surveillance in the interpretation </w:t>
      </w:r>
      <w:r w:rsidR="00256F80">
        <w:t>of data from 2020 to 2022.</w:t>
      </w:r>
    </w:p>
  </w:footnote>
  <w:footnote w:id="54">
    <w:p w14:paraId="68829BA7" w14:textId="77777777" w:rsidR="00690F7D" w:rsidRDefault="00690F7D" w:rsidP="00690F7D">
      <w:pPr>
        <w:pStyle w:val="FootnoteText"/>
      </w:pPr>
      <w:r>
        <w:rPr>
          <w:rStyle w:val="FootnoteReference"/>
        </w:rPr>
        <w:footnoteRef/>
      </w:r>
      <w:r>
        <w:t xml:space="preserve"> </w:t>
      </w:r>
      <w:r w:rsidRPr="0098752F">
        <w:t>Among cities that reported at least 12 HIV infections during 20</w:t>
      </w:r>
      <w:r>
        <w:t>20</w:t>
      </w:r>
      <w:r w:rsidRPr="0098752F">
        <w:t>-202</w:t>
      </w:r>
      <w:r>
        <w:t>2</w:t>
      </w:r>
      <w:r w:rsidRPr="0098752F">
        <w:t>. City/town is based on residence at HIV infection diagnosis and excludes individuals diagnosed in a correctional facility.</w:t>
      </w:r>
    </w:p>
  </w:footnote>
  <w:footnote w:id="55">
    <w:p w14:paraId="759A4AEE" w14:textId="77777777" w:rsidR="00690F7D" w:rsidRDefault="00690F7D" w:rsidP="00690F7D">
      <w:pPr>
        <w:pStyle w:val="FootnoteText"/>
      </w:pPr>
      <w:r>
        <w:rPr>
          <w:rStyle w:val="FootnoteReference"/>
        </w:rPr>
        <w:footnoteRef/>
      </w:r>
      <w:r>
        <w:t xml:space="preserve"> </w:t>
      </w:r>
      <w:r w:rsidRPr="0098752F">
        <w:t xml:space="preserve">Please consider the impact of the COVID-19 pandemic on infectious disease screening, treatment, and surveillance in the interpretation </w:t>
      </w:r>
      <w:r>
        <w:t>of data from 2020 to 2022.</w:t>
      </w:r>
    </w:p>
  </w:footnote>
  <w:footnote w:id="56">
    <w:p w14:paraId="43E84BFD" w14:textId="77777777" w:rsidR="00D35C56" w:rsidRDefault="00D35C56" w:rsidP="00D35C56">
      <w:pPr>
        <w:pStyle w:val="FootnoteText"/>
      </w:pPr>
      <w:r>
        <w:rPr>
          <w:rStyle w:val="FootnoteReference"/>
        </w:rPr>
        <w:footnoteRef/>
      </w:r>
      <w:r>
        <w:t xml:space="preserve"> </w:t>
      </w:r>
      <w:r w:rsidRPr="0098752F">
        <w:t xml:space="preserve">Among cities that reported at least </w:t>
      </w:r>
      <w:r w:rsidRPr="00EC65B6">
        <w:t>50 PLWH in 2022</w:t>
      </w:r>
      <w:r w:rsidRPr="0098752F">
        <w:t>. City/town is based on residence at HIV infection diagnosis and excludes individuals diagnosed in a correctional facility.</w:t>
      </w:r>
    </w:p>
  </w:footnote>
  <w:footnote w:id="57">
    <w:p w14:paraId="41B80DB0" w14:textId="77777777" w:rsidR="00D35C56" w:rsidRDefault="00D35C56" w:rsidP="00D35C56">
      <w:pPr>
        <w:pStyle w:val="FootnoteText"/>
      </w:pPr>
      <w:r>
        <w:rPr>
          <w:rStyle w:val="FootnoteReference"/>
        </w:rPr>
        <w:footnoteRef/>
      </w:r>
      <w:r>
        <w:t xml:space="preserve"> </w:t>
      </w:r>
      <w:r w:rsidRPr="0098752F">
        <w:t xml:space="preserve">Please consider the impact of the COVID-19 pandemic on infectious disease screening, treatment, and surveillance in the interpretation </w:t>
      </w:r>
      <w:r>
        <w:t>of data from 2020 to 2022.</w:t>
      </w:r>
    </w:p>
  </w:footnote>
  <w:footnote w:id="58">
    <w:p w14:paraId="422EC30E" w14:textId="7423C174" w:rsidR="00A85C6D" w:rsidRDefault="00A85C6D">
      <w:pPr>
        <w:pStyle w:val="FootnoteText"/>
      </w:pPr>
      <w:r>
        <w:rPr>
          <w:rStyle w:val="FootnoteReference"/>
        </w:rPr>
        <w:footnoteRef/>
      </w:r>
      <w:r>
        <w:t xml:space="preserve"> </w:t>
      </w:r>
      <w:r w:rsidRPr="00A85C6D">
        <w:t>The rate of HIV prevalence for Provincetown is very high because of small population size (3,663), as opposed to the number of cases (431). The same is true for Shirley (population N = 7,431; case N = 59) and to a lesser extent also for Chelsea (population N = 40,787; case N = 308).</w:t>
      </w:r>
    </w:p>
  </w:footnote>
  <w:footnote w:id="59">
    <w:p w14:paraId="042BD830" w14:textId="484C56E1" w:rsidR="009568B8" w:rsidRDefault="009568B8" w:rsidP="009568B8">
      <w:pPr>
        <w:pStyle w:val="FootnoteText"/>
      </w:pPr>
      <w:r>
        <w:rPr>
          <w:rStyle w:val="FootnoteReference"/>
        </w:rPr>
        <w:footnoteRef/>
      </w:r>
      <w:r>
        <w:t xml:space="preserve"> </w:t>
      </w:r>
      <w:r w:rsidRPr="009568B8">
        <w:t>2021 data are used for this analysis because geocoded 2022 HIV diagnoses data were not available at the time of publication. Please consider the impact of the COVID-19 pandemic on infectious disease screening, treatment, and surveillance in the interpretation of data from 2020 to 2022.</w:t>
      </w:r>
    </w:p>
  </w:footnote>
  <w:footnote w:id="60">
    <w:p w14:paraId="0589F60B" w14:textId="5CA6FD25" w:rsidR="00905F8B" w:rsidRDefault="00905F8B">
      <w:pPr>
        <w:pStyle w:val="FootnoteText"/>
      </w:pPr>
      <w:r>
        <w:rPr>
          <w:rStyle w:val="FootnoteReference"/>
        </w:rPr>
        <w:footnoteRef/>
      </w:r>
      <w:r>
        <w:t xml:space="preserve"> </w:t>
      </w:r>
      <w:r w:rsidRPr="00905F8B">
        <w:t>Data reflect sex assigned at birth and therefore not gender identity or gender expression of transgender individuals.</w:t>
      </w:r>
    </w:p>
  </w:footnote>
  <w:footnote w:id="61">
    <w:p w14:paraId="1374E97F" w14:textId="37CD26B3" w:rsidR="00B87580" w:rsidRDefault="00B87580">
      <w:pPr>
        <w:pStyle w:val="FootnoteText"/>
      </w:pPr>
      <w:r>
        <w:rPr>
          <w:rStyle w:val="FootnoteReference"/>
        </w:rPr>
        <w:footnoteRef/>
      </w:r>
      <w:r>
        <w:t xml:space="preserve"> </w:t>
      </w:r>
      <w:r w:rsidRPr="00B87580">
        <w:t xml:space="preserve">Please consider the impact of the COVID-19 pandemic on infectious disease screening, treatment, and surveillance in the interpretation </w:t>
      </w:r>
      <w:r w:rsidR="00256F80">
        <w:t>of data from 2020 to 2022.</w:t>
      </w:r>
    </w:p>
  </w:footnote>
  <w:footnote w:id="62">
    <w:p w14:paraId="749C10A3" w14:textId="50A25538" w:rsidR="00B87580" w:rsidRPr="00EF05A6" w:rsidRDefault="00B87580" w:rsidP="76F421E0">
      <w:pPr>
        <w:pStyle w:val="FootnoteText"/>
        <w:rPr>
          <w:rFonts w:ascii="Calibri" w:eastAsia="Calibri" w:hAnsi="Calibri" w:cs="Calibri"/>
        </w:rPr>
      </w:pPr>
      <w:r>
        <w:rPr>
          <w:rStyle w:val="FootnoteReference"/>
        </w:rPr>
        <w:footnoteRef/>
      </w:r>
      <w:r w:rsidR="76F421E0">
        <w:t xml:space="preserve"> </w:t>
      </w:r>
      <w:r w:rsidR="00D75BD1">
        <w:rPr>
          <w:rFonts w:ascii="Calibri" w:eastAsia="Calibri" w:hAnsi="Calibri" w:cs="Calibri"/>
        </w:rPr>
        <w:t>P</w:t>
      </w:r>
      <w:r w:rsidR="76F421E0" w:rsidRPr="00EF05A6">
        <w:rPr>
          <w:rFonts w:ascii="Calibri" w:eastAsia="Calibri" w:hAnsi="Calibri" w:cs="Calibri"/>
        </w:rPr>
        <w:t>lease note reported numbers among individuals of transgender experience are likely to be underestimates as there may be underreporting or misreporting of gender due to the absence of appropriate collection of gender options (e.g., individuals who are nonbinary, and women and men of transgender experience, etc.)</w:t>
      </w:r>
    </w:p>
  </w:footnote>
  <w:footnote w:id="63">
    <w:p w14:paraId="4934EC25" w14:textId="1E022A3D" w:rsidR="00AB4F8C" w:rsidRDefault="00AB4F8C">
      <w:pPr>
        <w:pStyle w:val="FootnoteText"/>
      </w:pPr>
      <w:r>
        <w:rPr>
          <w:rStyle w:val="FootnoteReference"/>
        </w:rPr>
        <w:footnoteRef/>
      </w:r>
      <w:r>
        <w:t xml:space="preserve"> </w:t>
      </w:r>
      <w:r w:rsidRPr="00AB4F8C">
        <w:t>Persons whose current gender identity corresponds with their sex assigned at birth.</w:t>
      </w:r>
    </w:p>
  </w:footnote>
  <w:footnote w:id="64">
    <w:p w14:paraId="11675F6C" w14:textId="67907A13" w:rsidR="388E5C6E" w:rsidRDefault="388E5C6E" w:rsidP="00FF6766">
      <w:pPr>
        <w:pStyle w:val="FootnoteText"/>
      </w:pPr>
      <w:r w:rsidRPr="00C45916">
        <w:rPr>
          <w:rStyle w:val="FootnoteReference"/>
        </w:rPr>
        <w:footnoteRef/>
      </w:r>
      <w:r w:rsidRPr="00C45916">
        <w:t>P</w:t>
      </w:r>
      <w:r w:rsidRPr="00C45916">
        <w:rPr>
          <w:rFonts w:ascii="Calibri" w:eastAsia="Calibri" w:hAnsi="Calibri" w:cs="Calibri"/>
        </w:rPr>
        <w:t>resumed heterosexual exposure includes individuals assigned female at birth with a negative history of injection drug use who report having sex with an individual that identifies as male of unknown HIV status and risk</w:t>
      </w:r>
    </w:p>
  </w:footnote>
  <w:footnote w:id="65">
    <w:p w14:paraId="2CE29C3B" w14:textId="281FF497" w:rsidR="00B20329" w:rsidRDefault="00B20329">
      <w:pPr>
        <w:pStyle w:val="FootnoteText"/>
      </w:pPr>
      <w:r>
        <w:rPr>
          <w:rStyle w:val="FootnoteReference"/>
        </w:rPr>
        <w:footnoteRef/>
      </w:r>
      <w:r w:rsidR="034544F5">
        <w:t xml:space="preserve"> </w:t>
      </w:r>
      <w:r w:rsidR="034544F5" w:rsidRPr="00B20329">
        <w:t xml:space="preserve">Please consider the impact of the COVID-19 pandemic on infectious disease screening, treatment, and surveillance in the interpretation </w:t>
      </w:r>
      <w:r w:rsidR="034544F5">
        <w:t>of data from 2020 to 2022.</w:t>
      </w:r>
    </w:p>
  </w:footnote>
  <w:footnote w:id="66">
    <w:p w14:paraId="0D98803F" w14:textId="35043B6F" w:rsidR="003709C9" w:rsidRDefault="003709C9">
      <w:pPr>
        <w:pStyle w:val="FootnoteText"/>
      </w:pPr>
      <w:r>
        <w:rPr>
          <w:rStyle w:val="FootnoteReference"/>
        </w:rPr>
        <w:footnoteRef/>
      </w:r>
      <w:r>
        <w:t xml:space="preserve"> </w:t>
      </w:r>
      <w:r w:rsidRPr="003709C9">
        <w:t xml:space="preserve">Please consider the impact of the COVID-19 pandemic on infectious disease screening, treatment, and surveillance in the interpretation </w:t>
      </w:r>
      <w:r w:rsidR="00256F80">
        <w:t>of data from 2020 to 2022.</w:t>
      </w:r>
    </w:p>
  </w:footnote>
  <w:footnote w:id="67">
    <w:p w14:paraId="6F8206B3" w14:textId="7CE9C5C8" w:rsidR="003709C9" w:rsidRDefault="003709C9">
      <w:pPr>
        <w:pStyle w:val="FootnoteText"/>
      </w:pPr>
      <w:r>
        <w:rPr>
          <w:rStyle w:val="FootnoteReference"/>
        </w:rPr>
        <w:footnoteRef/>
      </w:r>
      <w:r>
        <w:t xml:space="preserve"> </w:t>
      </w:r>
      <w:r w:rsidRPr="003709C9">
        <w:t>202</w:t>
      </w:r>
      <w:r w:rsidR="00803CE1">
        <w:t>2</w:t>
      </w:r>
      <w:r w:rsidRPr="003709C9">
        <w:t xml:space="preserve"> HIV prevalence data are preliminary and subject to change.</w:t>
      </w:r>
    </w:p>
  </w:footnote>
  <w:footnote w:id="68">
    <w:p w14:paraId="1F1F205E" w14:textId="1450AB62" w:rsidR="00A22BBE" w:rsidRDefault="00A22BBE">
      <w:pPr>
        <w:pStyle w:val="FootnoteText"/>
      </w:pPr>
      <w:r>
        <w:rPr>
          <w:rStyle w:val="FootnoteReference"/>
        </w:rPr>
        <w:footnoteRef/>
      </w:r>
      <w:r>
        <w:t xml:space="preserve"> </w:t>
      </w:r>
      <w:r w:rsidRPr="00A22BBE">
        <w:t xml:space="preserve">Please consider the impact of the COVID-19 pandemic on infectious disease screening, treatment, and surveillance in the interpretation </w:t>
      </w:r>
      <w:r w:rsidR="00256F80">
        <w:t>of data from 2020 to 2022.</w:t>
      </w:r>
    </w:p>
  </w:footnote>
  <w:footnote w:id="69">
    <w:p w14:paraId="6EE3C6E4" w14:textId="4BB2B44D" w:rsidR="38A4F72D" w:rsidRDefault="38A4F72D" w:rsidP="00F345D5">
      <w:pPr>
        <w:pStyle w:val="FootnoteText"/>
      </w:pPr>
      <w:r w:rsidRPr="38A4F72D">
        <w:rPr>
          <w:rStyle w:val="FootnoteReference"/>
        </w:rPr>
        <w:footnoteRef/>
      </w:r>
      <w:r>
        <w:t xml:space="preserve"> Please consider the impact of the COVID-19 pandemic on infectious disease screening, treatment, and surveillance in the interpretation of data from 2020 to 2022.</w:t>
      </w:r>
    </w:p>
  </w:footnote>
  <w:footnote w:id="70">
    <w:p w14:paraId="704F303D" w14:textId="13C15DC7" w:rsidR="002F1CA2" w:rsidRDefault="002F1CA2">
      <w:pPr>
        <w:pStyle w:val="FootnoteText"/>
      </w:pPr>
      <w:r>
        <w:rPr>
          <w:rStyle w:val="FootnoteReference"/>
        </w:rPr>
        <w:footnoteRef/>
      </w:r>
      <w:r>
        <w:t xml:space="preserve"> </w:t>
      </w:r>
      <w:r w:rsidRPr="002F1CA2">
        <w:t>Nelson NP, Weng MK, Hofmeister MG, et al. Prevention of Hepatitis A Virus Infection in the United States: Recommendations of the Advisory Committee on Immunization Practices, 2020. MMWR Recomm Rep 2020;69(No. RR-5):1–38. DOI: </w:t>
      </w:r>
      <w:hyperlink r:id="rId17" w:history="1">
        <w:r w:rsidRPr="002F1CA2">
          <w:rPr>
            <w:rStyle w:val="Hyperlink"/>
          </w:rPr>
          <w:t>http://dx.doi.org/10.15585/mmwr.rr6905a1</w:t>
        </w:r>
      </w:hyperlink>
    </w:p>
  </w:footnote>
  <w:footnote w:id="71">
    <w:p w14:paraId="5551B47D" w14:textId="1AF0EEF3" w:rsidR="004C3766" w:rsidRDefault="004C3766">
      <w:pPr>
        <w:pStyle w:val="FootnoteText"/>
      </w:pPr>
      <w:r>
        <w:rPr>
          <w:rStyle w:val="FootnoteReference"/>
        </w:rPr>
        <w:footnoteRef/>
      </w:r>
      <w:r>
        <w:t xml:space="preserve"> </w:t>
      </w:r>
      <w:r w:rsidRPr="004C3766">
        <w:t xml:space="preserve">Please consider the impact of the COVID-19 pandemic on infectious disease screening, treatment, and surveillance in the interpretation </w:t>
      </w:r>
      <w:r w:rsidR="00256F80">
        <w:t>of data from 2020 to 2022.</w:t>
      </w:r>
    </w:p>
  </w:footnote>
  <w:footnote w:id="72">
    <w:p w14:paraId="0C426A50" w14:textId="58E07F1C" w:rsidR="004C3766" w:rsidRPr="004C3766" w:rsidRDefault="004C3766" w:rsidP="004C3766">
      <w:pPr>
        <w:pStyle w:val="FootnoteText"/>
      </w:pPr>
      <w:r>
        <w:rPr>
          <w:rStyle w:val="FootnoteReference"/>
        </w:rPr>
        <w:footnoteRef/>
      </w:r>
      <w:r w:rsidR="7F3FE6A1">
        <w:t xml:space="preserve"> For more information, see </w:t>
      </w:r>
      <w:hyperlink w:anchor="_HIV,_STD,_AND" w:history="1">
        <w:r w:rsidR="7F3FE6A1" w:rsidRPr="001A56F5">
          <w:rPr>
            <w:rStyle w:val="Hyperlink"/>
          </w:rPr>
          <w:t>HIV, STD, and Viral Hepatitis Case Classifications</w:t>
        </w:r>
      </w:hyperlink>
      <w:r w:rsidR="001A56F5">
        <w:t>.</w:t>
      </w:r>
      <w:r>
        <w:t xml:space="preserve"> </w:t>
      </w:r>
    </w:p>
    <w:p w14:paraId="5AD638A2" w14:textId="6AF52E0A" w:rsidR="004C3766" w:rsidRDefault="004C3766">
      <w:pPr>
        <w:pStyle w:val="FootnoteText"/>
      </w:pPr>
    </w:p>
  </w:footnote>
  <w:footnote w:id="73">
    <w:p w14:paraId="35FA4D6E" w14:textId="61078F93" w:rsidR="005B0A6B" w:rsidRDefault="005B0A6B">
      <w:pPr>
        <w:pStyle w:val="FootnoteText"/>
      </w:pPr>
      <w:r>
        <w:rPr>
          <w:rStyle w:val="FootnoteReference"/>
        </w:rPr>
        <w:footnoteRef/>
      </w:r>
      <w:r>
        <w:t xml:space="preserve"> </w:t>
      </w:r>
      <w:r w:rsidRPr="005B0A6B">
        <w:t xml:space="preserve">Please consider the impact of the COVID-19 pandemic on infectious disease screening, treatment, and surveillance in the interpretation </w:t>
      </w:r>
      <w:r w:rsidR="00256F80">
        <w:t>of data from 2020 to 2022.</w:t>
      </w:r>
    </w:p>
  </w:footnote>
  <w:footnote w:id="74">
    <w:p w14:paraId="40B3FF8A" w14:textId="1ACC47A0" w:rsidR="003D0661" w:rsidRDefault="003D0661">
      <w:pPr>
        <w:pStyle w:val="FootnoteText"/>
      </w:pPr>
      <w:r>
        <w:rPr>
          <w:rStyle w:val="FootnoteReference"/>
        </w:rPr>
        <w:footnoteRef/>
      </w:r>
      <w:r>
        <w:t xml:space="preserve"> </w:t>
      </w:r>
      <w:r w:rsidRPr="003D0661">
        <w:t xml:space="preserve">Please consider the impact of the COVID-19 pandemic on infectious disease screening, treatment, and surveillance in the interpretation </w:t>
      </w:r>
      <w:r w:rsidR="00256F80">
        <w:t>of data from 2020 to 2022.</w:t>
      </w:r>
    </w:p>
  </w:footnote>
  <w:footnote w:id="75">
    <w:p w14:paraId="679D019C" w14:textId="21894965" w:rsidR="003D0661" w:rsidRDefault="003D0661">
      <w:pPr>
        <w:pStyle w:val="FootnoteText"/>
      </w:pPr>
      <w:r>
        <w:rPr>
          <w:rStyle w:val="FootnoteReference"/>
        </w:rPr>
        <w:footnoteRef/>
      </w:r>
      <w:r>
        <w:t xml:space="preserve"> </w:t>
      </w:r>
      <w:r w:rsidRPr="003D0661">
        <w:t>Case definitions and classifications can be found in the Technical Notes</w:t>
      </w:r>
      <w:r>
        <w:t>.</w:t>
      </w:r>
    </w:p>
  </w:footnote>
  <w:footnote w:id="76">
    <w:p w14:paraId="623DB1E8" w14:textId="40465756" w:rsidR="00986826" w:rsidRPr="00986826" w:rsidRDefault="00986826" w:rsidP="00986826">
      <w:pPr>
        <w:pStyle w:val="FootnoteText"/>
      </w:pPr>
      <w:r>
        <w:rPr>
          <w:rStyle w:val="FootnoteReference"/>
        </w:rPr>
        <w:footnoteRef/>
      </w:r>
      <w:r>
        <w:t xml:space="preserve"> </w:t>
      </w:r>
      <w:r w:rsidRPr="00986826">
        <w:t xml:space="preserve">Please consider the impact of the COVID-19 pandemic on infectious disease screening, treatment, and surveillance in the interpretation </w:t>
      </w:r>
      <w:r w:rsidR="00256F80">
        <w:t>of data from 2020 to 2022.</w:t>
      </w:r>
    </w:p>
    <w:p w14:paraId="73DF0DE2" w14:textId="77777777" w:rsidR="00986826" w:rsidRPr="00986826" w:rsidRDefault="00986826" w:rsidP="00986826">
      <w:pPr>
        <w:pStyle w:val="FootnoteText"/>
      </w:pPr>
      <w:r w:rsidRPr="00986826">
        <w:t xml:space="preserve">Please note, in 2016, revised case definitions for acute and chronic HCV infection were implemented that contain significant changes from the case definitions for 2012 to 2015. For further information see </w:t>
      </w:r>
      <w:hyperlink r:id="rId18" w:history="1">
        <w:r w:rsidRPr="00986826">
          <w:rPr>
            <w:rStyle w:val="Hyperlink"/>
          </w:rPr>
          <w:t>https://wwwn.cdc.gov/nndss/conditions/</w:t>
        </w:r>
      </w:hyperlink>
    </w:p>
    <w:p w14:paraId="4D1F2737" w14:textId="4F2499ED" w:rsidR="00986826" w:rsidRDefault="00986826">
      <w:pPr>
        <w:pStyle w:val="FootnoteText"/>
      </w:pPr>
    </w:p>
  </w:footnote>
  <w:footnote w:id="77">
    <w:p w14:paraId="7F8D566B" w14:textId="77777777" w:rsidR="005E3164" w:rsidRPr="00986826" w:rsidRDefault="005E3164" w:rsidP="005E3164">
      <w:pPr>
        <w:pStyle w:val="FootnoteText"/>
      </w:pPr>
      <w:r>
        <w:rPr>
          <w:rStyle w:val="FootnoteReference"/>
        </w:rPr>
        <w:footnoteRef/>
      </w:r>
      <w:r>
        <w:t xml:space="preserve"> </w:t>
      </w:r>
      <w:r w:rsidRPr="00986826">
        <w:t xml:space="preserve">Please consider the impact of the COVID-19 pandemic on infectious disease screening, treatment, and surveillance in the interpretation </w:t>
      </w:r>
      <w:r>
        <w:t>of data from 2020 to 2022.</w:t>
      </w:r>
    </w:p>
    <w:p w14:paraId="6C394AD1" w14:textId="77777777" w:rsidR="005E3164" w:rsidRPr="00986826" w:rsidRDefault="005E3164" w:rsidP="005E3164">
      <w:pPr>
        <w:pStyle w:val="FootnoteText"/>
      </w:pPr>
      <w:r w:rsidRPr="00986826">
        <w:t xml:space="preserve">Please note, in 2016, revised case definitions for acute and chronic HCV infection were implemented that contain significant changes from the case definitions for 2012 to 2015. For further information see </w:t>
      </w:r>
      <w:hyperlink r:id="rId19" w:history="1">
        <w:r w:rsidRPr="00986826">
          <w:rPr>
            <w:rStyle w:val="Hyperlink"/>
          </w:rPr>
          <w:t>https://wwwn.cdc.gov/nndss/conditions/</w:t>
        </w:r>
      </w:hyperlink>
    </w:p>
    <w:p w14:paraId="6CF82F2E" w14:textId="77777777" w:rsidR="005E3164" w:rsidRDefault="005E3164" w:rsidP="005E3164">
      <w:pPr>
        <w:pStyle w:val="FootnoteText"/>
      </w:pPr>
    </w:p>
  </w:footnote>
  <w:footnote w:id="78">
    <w:p w14:paraId="74D777D0" w14:textId="1506A2A1" w:rsidR="00986826" w:rsidRDefault="00986826">
      <w:pPr>
        <w:pStyle w:val="FootnoteText"/>
      </w:pPr>
      <w:r>
        <w:rPr>
          <w:rStyle w:val="FootnoteReference"/>
        </w:rPr>
        <w:footnoteRef/>
      </w:r>
      <w:r>
        <w:t xml:space="preserve"> </w:t>
      </w:r>
      <w:r w:rsidRPr="00986826">
        <w:t xml:space="preserve">Please consider the impact of the COVID-19 pandemic on infectious disease screening, treatment, and surveillance in the interpretation </w:t>
      </w:r>
      <w:r w:rsidR="00256F80">
        <w:t>of data from 2020 to 2022.</w:t>
      </w:r>
    </w:p>
  </w:footnote>
  <w:footnote w:id="79">
    <w:p w14:paraId="78A8D574" w14:textId="375A0FE2" w:rsidR="00FC0547" w:rsidRDefault="00FC0547">
      <w:pPr>
        <w:pStyle w:val="FootnoteText"/>
      </w:pPr>
      <w:r>
        <w:rPr>
          <w:rStyle w:val="FootnoteReference"/>
        </w:rPr>
        <w:footnoteRef/>
      </w:r>
      <w:r>
        <w:t xml:space="preserve"> </w:t>
      </w:r>
      <w:r w:rsidRPr="00FC0547">
        <w:t xml:space="preserve">Please consider the impact of the COVID-19 pandemic on infectious disease screening, treatment, and surveillance in the interpretation </w:t>
      </w:r>
      <w:r w:rsidR="00256F80">
        <w:t>of data from 2020 to 2022.</w:t>
      </w:r>
    </w:p>
  </w:footnote>
  <w:footnote w:id="80">
    <w:p w14:paraId="1D7E6D2D" w14:textId="2F1C5028" w:rsidR="007E659D" w:rsidRDefault="007E659D">
      <w:pPr>
        <w:pStyle w:val="FootnoteText"/>
      </w:pPr>
      <w:r>
        <w:rPr>
          <w:rStyle w:val="FootnoteReference"/>
        </w:rPr>
        <w:footnoteRef/>
      </w:r>
      <w:r>
        <w:t xml:space="preserve"> </w:t>
      </w:r>
      <w:r w:rsidRPr="007E659D">
        <w:t>Infectious syphilis includes diagnoses made in the primary, secondary, and early non-primary non-secondary stages of infection (latent asymptomatic syphilis where infection occurred in the past 12 months).</w:t>
      </w:r>
    </w:p>
  </w:footnote>
  <w:footnote w:id="81">
    <w:p w14:paraId="67C5A94A" w14:textId="3C5E443D" w:rsidR="38A4F72D" w:rsidRDefault="38A4F72D" w:rsidP="00F345D5">
      <w:pPr>
        <w:pStyle w:val="FootnoteText"/>
      </w:pPr>
      <w:r w:rsidRPr="38A4F72D">
        <w:rPr>
          <w:rStyle w:val="FootnoteReference"/>
        </w:rPr>
        <w:footnoteRef/>
      </w:r>
      <w:r>
        <w:t xml:space="preserve"> HIV/syphilis co-infections include all infectious syphilis cases reported in 2022 that were ever diagnosed with HIV infection.</w:t>
      </w:r>
    </w:p>
  </w:footnote>
  <w:footnote w:id="82">
    <w:p w14:paraId="789D35D6" w14:textId="0C058948" w:rsidR="007E659D" w:rsidRDefault="007E659D">
      <w:pPr>
        <w:pStyle w:val="FootnoteText"/>
      </w:pPr>
      <w:r>
        <w:rPr>
          <w:rStyle w:val="FootnoteReference"/>
        </w:rPr>
        <w:footnoteRef/>
      </w:r>
      <w:r>
        <w:t xml:space="preserve"> </w:t>
      </w:r>
      <w:r w:rsidRPr="007E659D">
        <w:t xml:space="preserve">Please consider the impact of the COVID-19 pandemic on infectious disease screening, treatment, and surveillance in the interpretation </w:t>
      </w:r>
      <w:r w:rsidR="00256F80">
        <w:t>of data from 2020 to 2022.</w:t>
      </w:r>
    </w:p>
  </w:footnote>
  <w:footnote w:id="83">
    <w:p w14:paraId="02222AD3" w14:textId="03DD4D6E" w:rsidR="00AA6657" w:rsidRDefault="00AA6657">
      <w:pPr>
        <w:pStyle w:val="FootnoteText"/>
      </w:pPr>
      <w:r>
        <w:rPr>
          <w:rStyle w:val="FootnoteReference"/>
        </w:rPr>
        <w:footnoteRef/>
      </w:r>
      <w:r>
        <w:t xml:space="preserve"> </w:t>
      </w:r>
      <w:r w:rsidRPr="00AA6657">
        <w:t>Case counts are based on current gender and include individuals of transgender experience who currently identify as male.</w:t>
      </w:r>
    </w:p>
  </w:footnote>
  <w:footnote w:id="84">
    <w:p w14:paraId="4D1AAB7D" w14:textId="7460DA9D" w:rsidR="38A4F72D" w:rsidRDefault="38A4F72D" w:rsidP="38A4F72D">
      <w:pPr>
        <w:pStyle w:val="FootnoteText"/>
      </w:pPr>
      <w:r w:rsidRPr="38A4F72D">
        <w:rPr>
          <w:rStyle w:val="FootnoteReference"/>
        </w:rPr>
        <w:footnoteRef/>
      </w:r>
      <w:r>
        <w:t xml:space="preserve"> HIV/gonorrhea co-infections include all laboratory-confirmed gonorrhea cases reported in 2022 that were ever diagnosed with HIV infection.</w:t>
      </w:r>
    </w:p>
  </w:footnote>
  <w:footnote w:id="85">
    <w:p w14:paraId="0D0F48E2" w14:textId="2C8B1498" w:rsidR="00E37594" w:rsidRDefault="00E37594">
      <w:pPr>
        <w:pStyle w:val="FootnoteText"/>
      </w:pPr>
      <w:r>
        <w:rPr>
          <w:rStyle w:val="FootnoteReference"/>
        </w:rPr>
        <w:footnoteRef/>
      </w:r>
      <w:r>
        <w:t xml:space="preserve"> </w:t>
      </w:r>
      <w:r w:rsidRPr="00E37594">
        <w:t xml:space="preserve">Please consider the impact of the COVID-19 pandemic on infectious disease screening, treatment, and surveillance in the interpretation </w:t>
      </w:r>
      <w:r w:rsidR="00256F80">
        <w:t>of data from 2020 to 2022.</w:t>
      </w:r>
    </w:p>
  </w:footnote>
  <w:footnote w:id="86">
    <w:p w14:paraId="33F9CE9F" w14:textId="24496D1A" w:rsidR="00F715F6" w:rsidRDefault="00F715F6">
      <w:pPr>
        <w:pStyle w:val="FootnoteText"/>
      </w:pPr>
      <w:r>
        <w:rPr>
          <w:rStyle w:val="FootnoteReference"/>
        </w:rPr>
        <w:footnoteRef/>
      </w:r>
      <w:r>
        <w:t xml:space="preserve"> </w:t>
      </w:r>
      <w:r w:rsidRPr="00F715F6">
        <w:t xml:space="preserve">Total number of annual HIV diagnoses presented here is larger than totals presented elsewhere in the report because all HIV diagnoses, including those first made in another state, were included in the co-infection analysis. </w:t>
      </w:r>
    </w:p>
  </w:footnote>
  <w:footnote w:id="87">
    <w:p w14:paraId="6019429B" w14:textId="522E1585" w:rsidR="00F715F6" w:rsidRDefault="00F715F6">
      <w:pPr>
        <w:pStyle w:val="FootnoteText"/>
      </w:pPr>
      <w:r>
        <w:rPr>
          <w:rStyle w:val="FootnoteReference"/>
        </w:rPr>
        <w:footnoteRef/>
      </w:r>
      <w:r>
        <w:t xml:space="preserve"> </w:t>
      </w:r>
      <w:r w:rsidRPr="00F715F6">
        <w:t xml:space="preserve">Please consider the impact of the COVID-19 pandemic on infectious disease screening, treatment, and surveillance in the interpretation </w:t>
      </w:r>
      <w:r w:rsidR="00256F80">
        <w:t>of data from 2020 to 2022.</w:t>
      </w:r>
    </w:p>
  </w:footnote>
  <w:footnote w:id="88">
    <w:p w14:paraId="7A529966" w14:textId="48EFDC5A" w:rsidR="00EF0049" w:rsidRDefault="00EF0049">
      <w:pPr>
        <w:pStyle w:val="FootnoteText"/>
      </w:pPr>
      <w:r>
        <w:rPr>
          <w:rStyle w:val="FootnoteReference"/>
        </w:rPr>
        <w:footnoteRef/>
      </w:r>
      <w:r>
        <w:t xml:space="preserve"> </w:t>
      </w:r>
      <w:r w:rsidRPr="00EF0049">
        <w:t>HIV/HCV co-infections include all HIV infection diagnoses reported</w:t>
      </w:r>
      <w:r w:rsidR="0015777B">
        <w:t xml:space="preserve"> from 2018 - </w:t>
      </w:r>
      <w:r w:rsidRPr="00EF0049">
        <w:t>202</w:t>
      </w:r>
      <w:r w:rsidR="002B4BE9">
        <w:t>2</w:t>
      </w:r>
      <w:r w:rsidRPr="00EF0049">
        <w:t xml:space="preserve"> that were ever diagnosed with HCV infection. Total number of annual HIV diagnoses presented here is larger than totals presented elsewhere in the report because all HIV diagnoses, including those first made in another state, were included in the co-infection analysis. </w:t>
      </w:r>
    </w:p>
  </w:footnote>
  <w:footnote w:id="89">
    <w:p w14:paraId="051A2CBA" w14:textId="0AF06E7B" w:rsidR="00EF0049" w:rsidRDefault="00EF0049">
      <w:pPr>
        <w:pStyle w:val="FootnoteText"/>
      </w:pPr>
      <w:r>
        <w:rPr>
          <w:rStyle w:val="FootnoteReference"/>
        </w:rPr>
        <w:footnoteRef/>
      </w:r>
      <w:r>
        <w:t xml:space="preserve"> </w:t>
      </w:r>
      <w:r w:rsidRPr="00EF0049">
        <w:t xml:space="preserve">Please consider the impact of the COVID-19 pandemic on infectious disease screening, treatment, and surveillance in the interpretation </w:t>
      </w:r>
      <w:r w:rsidR="00256F80">
        <w:t>of data from 2020 to 2022.</w:t>
      </w:r>
    </w:p>
  </w:footnote>
  <w:footnote w:id="90">
    <w:p w14:paraId="367E961C" w14:textId="76BBF76C" w:rsidR="38A4F72D" w:rsidRDefault="38A4F72D" w:rsidP="00F345D5">
      <w:pPr>
        <w:pStyle w:val="FootnoteText"/>
      </w:pPr>
      <w:r w:rsidRPr="38A4F72D">
        <w:rPr>
          <w:rStyle w:val="FootnoteReference"/>
        </w:rPr>
        <w:footnoteRef/>
      </w:r>
      <w:r>
        <w:t xml:space="preserve"> HIV/HCV co-infections include all HIV infection diagnoses reported in 2022 that were ever diagnosed with HCV infection. Total number of annual HIV diagnoses presented here is larger than totals presented elsewhere in the report because all HIV diagnoses, including those first made in another state, were included in the co-infection analysis.</w:t>
      </w:r>
    </w:p>
  </w:footnote>
  <w:footnote w:id="91">
    <w:p w14:paraId="5F223C0A" w14:textId="40BAD3ED" w:rsidR="00B53A1C" w:rsidRDefault="00B53A1C">
      <w:pPr>
        <w:pStyle w:val="FootnoteText"/>
      </w:pPr>
      <w:r>
        <w:rPr>
          <w:rStyle w:val="FootnoteReference"/>
        </w:rPr>
        <w:footnoteRef/>
      </w:r>
      <w:r>
        <w:t xml:space="preserve"> </w:t>
      </w:r>
      <w:r w:rsidRPr="00B53A1C">
        <w:t xml:space="preserve">Please consider the impact of the COVID-19 pandemic on infectious disease screening, treatment, and surveillance in the interpretation </w:t>
      </w:r>
      <w:r w:rsidR="00256F80">
        <w:t>of data from 2020 to 2022.</w:t>
      </w:r>
    </w:p>
  </w:footnote>
  <w:footnote w:id="92">
    <w:p w14:paraId="04ECF3F8" w14:textId="5638462B" w:rsidR="007E3833" w:rsidRPr="007E3833" w:rsidRDefault="007E3833">
      <w:pPr>
        <w:pStyle w:val="FootnoteText"/>
        <w:rPr>
          <w:sz w:val="16"/>
          <w:szCs w:val="16"/>
        </w:rPr>
      </w:pPr>
      <w:r w:rsidRPr="007E3833">
        <w:rPr>
          <w:rStyle w:val="FootnoteReference"/>
          <w:sz w:val="16"/>
          <w:szCs w:val="16"/>
        </w:rPr>
        <w:footnoteRef/>
      </w:r>
      <w:r w:rsidRPr="007E3833">
        <w:rPr>
          <w:sz w:val="16"/>
          <w:szCs w:val="16"/>
        </w:rPr>
        <w:t xml:space="preserve"> </w:t>
      </w:r>
      <w:r w:rsidRPr="007E3833">
        <w:t xml:space="preserve">Please consider the impact of the COVID-19 pandemic on infectious disease screening, treatment, and surveillance in the interpretation </w:t>
      </w:r>
      <w:r w:rsidR="00256F80">
        <w:t>of data from 2020 to 2022.</w:t>
      </w:r>
    </w:p>
  </w:footnote>
  <w:footnote w:id="93">
    <w:p w14:paraId="7B92DF10" w14:textId="296599F0" w:rsidR="007E3833" w:rsidRDefault="007E3833">
      <w:pPr>
        <w:pStyle w:val="FootnoteText"/>
      </w:pPr>
      <w:r w:rsidRPr="007E3833">
        <w:rPr>
          <w:rStyle w:val="FootnoteReference"/>
          <w:sz w:val="16"/>
          <w:szCs w:val="16"/>
        </w:rPr>
        <w:footnoteRef/>
      </w:r>
      <w:r w:rsidRPr="007E3833">
        <w:rPr>
          <w:sz w:val="16"/>
          <w:szCs w:val="16"/>
        </w:rPr>
        <w:t xml:space="preserve"> </w:t>
      </w:r>
      <w:r w:rsidR="00F23D94" w:rsidRPr="00F23D94">
        <w:t xml:space="preserve">Centers for Disease Control and Prevention. </w:t>
      </w:r>
      <w:r w:rsidR="00F23D94" w:rsidRPr="00F23D94">
        <w:rPr>
          <w:i/>
          <w:iCs/>
        </w:rPr>
        <w:t>Sexually Transmitted Disease Surveillance 2021</w:t>
      </w:r>
      <w:r w:rsidR="00F23D94" w:rsidRPr="00F23D94">
        <w:t>. Atlanta: U.S. Department of Health and Human Services; 2023. National percentages among 15-24 year-olds also exclude cases of unknown age for comparability with Massachusetts percentages. Please note, 2021 percentages are presented because 2022 percentages by age were not yet available at the time of this publication.</w:t>
      </w:r>
    </w:p>
  </w:footnote>
  <w:footnote w:id="94">
    <w:p w14:paraId="7098055F" w14:textId="4A4745B0" w:rsidR="00A2586D" w:rsidRDefault="00A2586D">
      <w:pPr>
        <w:pStyle w:val="FootnoteText"/>
      </w:pPr>
      <w:r>
        <w:rPr>
          <w:rStyle w:val="FootnoteReference"/>
        </w:rPr>
        <w:footnoteRef/>
      </w:r>
      <w:r>
        <w:t xml:space="preserve"> </w:t>
      </w:r>
      <w:r w:rsidRPr="00A2586D">
        <w:t xml:space="preserve">Please consider the impact of the COVID-19 pandemic on infectious disease screening, treatment, and surveillance in the interpretation </w:t>
      </w:r>
      <w:r w:rsidR="00256F80">
        <w:t>of data from 2020 to 2022.</w:t>
      </w:r>
    </w:p>
  </w:footnote>
  <w:footnote w:id="95">
    <w:p w14:paraId="06C5D495" w14:textId="72EED711" w:rsidR="0016072F" w:rsidRDefault="0016072F">
      <w:pPr>
        <w:pStyle w:val="FootnoteText"/>
      </w:pPr>
      <w:r>
        <w:rPr>
          <w:rStyle w:val="FootnoteReference"/>
        </w:rPr>
        <w:footnoteRef/>
      </w:r>
      <w:r>
        <w:t xml:space="preserve"> </w:t>
      </w:r>
      <w:r w:rsidR="00794545" w:rsidRPr="00794545">
        <w:t>Centers for Disease Control and Prevention. Sexually Transmitted Disease Surveillance 2021. Atlanta: U.S. Department of Health and Human Services; 2023. National percentages among 15-24 year-olds also exclude cases of unknown age for comparability with Massachusetts percentages. Please note, 2021 national data are presented because 2022 data by age and gender were not yet available at the time of this publication.</w:t>
      </w:r>
    </w:p>
  </w:footnote>
  <w:footnote w:id="96">
    <w:p w14:paraId="65180813" w14:textId="4B91590B" w:rsidR="00FE4D0D" w:rsidRDefault="00FE4D0D">
      <w:pPr>
        <w:pStyle w:val="FootnoteText"/>
      </w:pPr>
      <w:r>
        <w:rPr>
          <w:rStyle w:val="FootnoteReference"/>
        </w:rPr>
        <w:footnoteRef/>
      </w:r>
      <w:r>
        <w:t xml:space="preserve"> </w:t>
      </w:r>
      <w:r w:rsidRPr="00FE4D0D">
        <w:t xml:space="preserve">Please consider the impact of the COVID-19 pandemic on infectious disease screening, treatment, and surveillance in the interpretation </w:t>
      </w:r>
      <w:r w:rsidR="00383CB6">
        <w:t>of data from 2020 to 2022</w:t>
      </w:r>
      <w:r w:rsidRPr="00FE4D0D">
        <w:t>.</w:t>
      </w:r>
    </w:p>
  </w:footnote>
  <w:footnote w:id="97">
    <w:p w14:paraId="4DBF0335" w14:textId="584CD354" w:rsidR="00B333F2" w:rsidRPr="00B333F2" w:rsidRDefault="003A6561" w:rsidP="00B333F2">
      <w:pPr>
        <w:pStyle w:val="FootnoteText"/>
      </w:pPr>
      <w:r>
        <w:rPr>
          <w:rStyle w:val="FootnoteReference"/>
        </w:rPr>
        <w:footnoteRef/>
      </w:r>
      <w:r w:rsidR="39A4D4D3">
        <w:t xml:space="preserve"> P</w:t>
      </w:r>
      <w:r w:rsidR="39A4D4D3" w:rsidRPr="00B333F2">
        <w:t>robable and Confirmed Hepatitis C 2002, N=</w:t>
      </w:r>
      <w:r w:rsidR="39A4D4D3">
        <w:t>9,039</w:t>
      </w:r>
      <w:r w:rsidR="39A4D4D3" w:rsidRPr="00B333F2">
        <w:t xml:space="preserve"> (excludes 160 with missing age and/or gender), 2007 N=</w:t>
      </w:r>
      <w:r w:rsidR="39A4D4D3">
        <w:t>8,259</w:t>
      </w:r>
      <w:r w:rsidR="39A4D4D3" w:rsidRPr="00B333F2">
        <w:t xml:space="preserve"> (excludes 798 with missing age and/or gender), 2022 N=</w:t>
      </w:r>
      <w:r w:rsidR="39A4D4D3">
        <w:t>2,807</w:t>
      </w:r>
      <w:r w:rsidR="39A4D4D3" w:rsidRPr="00B333F2">
        <w:t xml:space="preserve"> (excludes 52 with missing age and/or gender). Cases reported as transgender</w:t>
      </w:r>
      <w:r w:rsidR="00343DE5">
        <w:t xml:space="preserve"> </w:t>
      </w:r>
      <w:r w:rsidR="39A4D4D3" w:rsidRPr="00B333F2">
        <w:t xml:space="preserve">are not depicted in Figure </w:t>
      </w:r>
      <w:r w:rsidR="00957C3F">
        <w:t>35</w:t>
      </w:r>
      <w:r w:rsidR="39A4D4D3" w:rsidRPr="00B333F2">
        <w:t xml:space="preserve"> separately due to small numbers. Data Source: Bureau of Infectious Disease and Laboratory Sciences, data are current as of 8/24/2023 and subject to </w:t>
      </w:r>
      <w:r w:rsidR="00343DE5" w:rsidRPr="00B333F2">
        <w:t>change.</w:t>
      </w:r>
    </w:p>
    <w:p w14:paraId="7BE18BE1" w14:textId="3C0B1FAF" w:rsidR="003A6561" w:rsidRDefault="003A6561">
      <w:pPr>
        <w:pStyle w:val="FootnoteText"/>
      </w:pPr>
    </w:p>
  </w:footnote>
  <w:footnote w:id="98">
    <w:p w14:paraId="534C29CB" w14:textId="22B9F4EC" w:rsidR="005D38C1" w:rsidRDefault="005D38C1" w:rsidP="005D38C1">
      <w:pPr>
        <w:pStyle w:val="FootnoteText"/>
      </w:pPr>
      <w:r>
        <w:rPr>
          <w:rStyle w:val="FootnoteReference"/>
        </w:rPr>
        <w:footnoteRef/>
      </w:r>
      <w:r>
        <w:t xml:space="preserve"> </w:t>
      </w:r>
      <w:r w:rsidRPr="003A6561">
        <w:t xml:space="preserve">Please consider the impact of the COVID-19 pandemic on infectious disease screening, treatment, and surveillance in the interpretation </w:t>
      </w:r>
      <w:r w:rsidR="00383CB6">
        <w:t>of data from 2020 to 2022</w:t>
      </w:r>
      <w:r w:rsidRPr="003A6561">
        <w:t>.</w:t>
      </w:r>
    </w:p>
  </w:footnote>
  <w:footnote w:id="99">
    <w:p w14:paraId="064C41CE" w14:textId="77777777" w:rsidR="009E3E87" w:rsidRPr="004F63D2" w:rsidRDefault="009E3E87" w:rsidP="009E3E87">
      <w:pPr>
        <w:pStyle w:val="FootnoteText"/>
      </w:pPr>
      <w:r w:rsidRPr="004F63D2">
        <w:rPr>
          <w:rStyle w:val="FootnoteReference"/>
        </w:rPr>
        <w:footnoteRef/>
      </w:r>
      <w:r w:rsidRPr="004F63D2">
        <w:t xml:space="preserve"> The number of respondents (unweighted) varied for each question because participants may not answer all questions.</w:t>
      </w:r>
    </w:p>
  </w:footnote>
  <w:footnote w:id="100">
    <w:p w14:paraId="5AE0FFF5" w14:textId="5277E5F4" w:rsidR="009378D7" w:rsidRDefault="009378D7">
      <w:pPr>
        <w:pStyle w:val="FootnoteText"/>
      </w:pPr>
      <w:r>
        <w:rPr>
          <w:rStyle w:val="FootnoteReference"/>
        </w:rPr>
        <w:footnoteRef/>
      </w:r>
      <w:r>
        <w:t xml:space="preserve"> </w:t>
      </w:r>
      <w:r w:rsidRPr="009378D7">
        <w:t>Not asked. Some questions were removed from the YRBS in 2021 to allow for the addition questions related to COVID-19 and adverse childhood experiences.</w:t>
      </w:r>
    </w:p>
  </w:footnote>
  <w:footnote w:id="101">
    <w:p w14:paraId="36852DBD" w14:textId="77777777" w:rsidR="009378D7" w:rsidRPr="004F63D2" w:rsidRDefault="009378D7" w:rsidP="009E3E87">
      <w:pPr>
        <w:pStyle w:val="FootnoteText"/>
      </w:pPr>
      <w:r w:rsidRPr="004F63D2">
        <w:rPr>
          <w:rStyle w:val="FootnoteReference"/>
        </w:rPr>
        <w:footnoteRef/>
      </w:r>
      <w:r w:rsidRPr="004F63D2">
        <w:t xml:space="preserve"> Among youth reporting sexual intercourse in the past three months</w:t>
      </w:r>
    </w:p>
  </w:footnote>
  <w:footnote w:id="102">
    <w:p w14:paraId="493E12FB" w14:textId="37BEBA8F" w:rsidR="009378D7" w:rsidRPr="004F63D2" w:rsidRDefault="009378D7" w:rsidP="009E3E87">
      <w:pPr>
        <w:pStyle w:val="FootnoteText"/>
      </w:pPr>
      <w:r w:rsidRPr="004F63D2">
        <w:rPr>
          <w:rStyle w:val="FootnoteReference"/>
        </w:rPr>
        <w:footnoteRef/>
      </w:r>
      <w:r w:rsidRPr="004F63D2">
        <w:t xml:space="preserve"> Among youth reporting sexual intercourse in the past three months</w:t>
      </w:r>
    </w:p>
  </w:footnote>
  <w:footnote w:id="103">
    <w:p w14:paraId="556FCB67" w14:textId="17B38D62" w:rsidR="005F6247" w:rsidRDefault="005F6247">
      <w:pPr>
        <w:pStyle w:val="FootnoteText"/>
      </w:pPr>
      <w:r>
        <w:rPr>
          <w:rStyle w:val="FootnoteReference"/>
        </w:rPr>
        <w:footnoteRef/>
      </w:r>
      <w:r>
        <w:t xml:space="preserve"> </w:t>
      </w:r>
      <w:r w:rsidRPr="005F6247">
        <w:t>For more information, see: Mpofu JJ, Underwood JM, Thornton JE, Brener ND, Rico A, Kilmer G, Harris WA, Leon-Nguyen M, Chyen D, Lim C, Mbaka CK, Smith-Grant J, Whittle L, Jones SE, Krause KH, Li J, Shanklin SL, McKinnon I, Arrey L, Queen BE, Roberts AM. Overview and Methods for the Youth Risk Behavior Surveillance System - United States, 2021. MMWR Suppl. 2023 Apr 28;72(1):1-12. doi: 10.15585/mmwr.su7201a1. PMID: 37104281; PMCID: PMC10156160.</w:t>
      </w:r>
    </w:p>
  </w:footnote>
  <w:footnote w:id="104">
    <w:p w14:paraId="57460FA9" w14:textId="01F527B7" w:rsidR="00EB02A0" w:rsidRPr="00EB02A0" w:rsidRDefault="00EB02A0">
      <w:pPr>
        <w:pStyle w:val="FootnoteText"/>
      </w:pPr>
      <w:r w:rsidRPr="00EB02A0">
        <w:rPr>
          <w:rStyle w:val="FootnoteReference"/>
        </w:rPr>
        <w:footnoteRef/>
      </w:r>
      <w:r w:rsidRPr="00EB02A0">
        <w:t xml:space="preserve"> Multiple source estimation method for MSM rate (20</w:t>
      </w:r>
      <w:r w:rsidR="00383CB6">
        <w:t>20</w:t>
      </w:r>
      <w:r w:rsidR="00383CB6" w:rsidRPr="00383CB6">
        <w:t>–</w:t>
      </w:r>
      <w:r w:rsidRPr="00EB02A0">
        <w:t>202</w:t>
      </w:r>
      <w:r w:rsidR="00383CB6">
        <w:t>2</w:t>
      </w:r>
      <w:r w:rsidRPr="00EB02A0">
        <w:t xml:space="preserve"> BRFSS, UMDI Interim 2020 Population Estimates by Age, Sex, Race, and Municipality, UMass Donahue Institute Population Estimates Program, March 1, 2022; and MDPH Bureau of Infectious Disease and Laboratory Sciences, data as of 7/1/202</w:t>
      </w:r>
      <w:r w:rsidR="00775ABA">
        <w:t>3</w:t>
      </w:r>
      <w:r w:rsidRPr="00EB02A0">
        <w:t>)</w:t>
      </w:r>
    </w:p>
  </w:footnote>
  <w:footnote w:id="105">
    <w:p w14:paraId="20BEAA29" w14:textId="3AD060C7" w:rsidR="00775ABA" w:rsidRDefault="00775ABA" w:rsidP="00775ABA">
      <w:pPr>
        <w:pStyle w:val="FootnoteText"/>
      </w:pPr>
      <w:r>
        <w:rPr>
          <w:rStyle w:val="FootnoteReference"/>
        </w:rPr>
        <w:footnoteRef/>
      </w:r>
      <w:r>
        <w:t xml:space="preserve"> </w:t>
      </w:r>
      <w:r w:rsidRPr="003A6561">
        <w:t xml:space="preserve">Please consider the impact of the COVID-19 pandemic on infectious disease screening, treatment, and surveillance in the interpretation </w:t>
      </w:r>
      <w:r w:rsidR="00383CB6">
        <w:t>of data from 2020 to 2022</w:t>
      </w:r>
      <w:r w:rsidRPr="003A6561">
        <w:t>.</w:t>
      </w:r>
    </w:p>
  </w:footnote>
  <w:footnote w:id="106">
    <w:p w14:paraId="6DB99E55" w14:textId="4FB9DCF7" w:rsidR="00043689" w:rsidRDefault="00043689">
      <w:pPr>
        <w:pStyle w:val="FootnoteText"/>
      </w:pPr>
      <w:r>
        <w:rPr>
          <w:rStyle w:val="FootnoteReference"/>
        </w:rPr>
        <w:footnoteRef/>
      </w:r>
      <w:r>
        <w:t xml:space="preserve"> </w:t>
      </w:r>
      <w:r w:rsidRPr="00043689">
        <w:t>Multiple source estimation method for MSM rate (</w:t>
      </w:r>
      <w:r w:rsidR="00383CB6" w:rsidRPr="00EB02A0">
        <w:t>20</w:t>
      </w:r>
      <w:r w:rsidR="00383CB6">
        <w:t>20</w:t>
      </w:r>
      <w:r w:rsidR="00383CB6" w:rsidRPr="00383CB6">
        <w:t>–</w:t>
      </w:r>
      <w:r w:rsidR="00383CB6" w:rsidRPr="00EB02A0">
        <w:t>202</w:t>
      </w:r>
      <w:r w:rsidR="00383CB6">
        <w:t>2</w:t>
      </w:r>
      <w:r w:rsidRPr="00043689">
        <w:t xml:space="preserve"> BRFSS, UMDI Interim 2020 Population Estimates by Age, Sex, Race, and Municipality, UMass Donahue Institute Population Estimates Program, March 1, 2022, and  MDPH Bureau of Infectious Disease and Laboratory Sciences, data as of 7/</w:t>
      </w:r>
      <w:r w:rsidR="00383CB6">
        <w:t>21</w:t>
      </w:r>
      <w:r w:rsidRPr="00043689">
        <w:t>/202</w:t>
      </w:r>
      <w:r w:rsidR="00383CB6">
        <w:t>3</w:t>
      </w:r>
      <w:r w:rsidRPr="00043689">
        <w:t>)</w:t>
      </w:r>
    </w:p>
  </w:footnote>
  <w:footnote w:id="107">
    <w:p w14:paraId="062BC209" w14:textId="2AD0FAC2" w:rsidR="00043689" w:rsidRDefault="00043689">
      <w:pPr>
        <w:pStyle w:val="FootnoteText"/>
      </w:pPr>
      <w:r>
        <w:rPr>
          <w:rStyle w:val="FootnoteReference"/>
        </w:rPr>
        <w:footnoteRef/>
      </w:r>
      <w:r>
        <w:t xml:space="preserve"> </w:t>
      </w:r>
      <w:r w:rsidRPr="00043689">
        <w:t>Infectious syphilis includes diagnoses made in the primary, secondary, and early non-primary non-secondary stages of infection (latent asymptomatic syphilis where infection occurred in the past 12 months).</w:t>
      </w:r>
    </w:p>
  </w:footnote>
  <w:footnote w:id="108">
    <w:p w14:paraId="18276F11" w14:textId="4FE3368B" w:rsidR="00E11171" w:rsidRDefault="00E11171">
      <w:pPr>
        <w:pStyle w:val="FootnoteText"/>
      </w:pPr>
      <w:r>
        <w:rPr>
          <w:rStyle w:val="FootnoteReference"/>
        </w:rPr>
        <w:footnoteRef/>
      </w:r>
      <w:r>
        <w:t xml:space="preserve"> </w:t>
      </w:r>
      <w:r w:rsidRPr="00E11171">
        <w:t>Infectious syphilis includes diagnoses made in the primary, secondary, and early non-primary non-secondary stages of infection (latent asymptomatic syphilis where infection occurred in the past 12 months).</w:t>
      </w:r>
    </w:p>
  </w:footnote>
  <w:footnote w:id="109">
    <w:p w14:paraId="6AAAAFF4" w14:textId="372AF5EE" w:rsidR="00E11171" w:rsidRDefault="00E11171">
      <w:pPr>
        <w:pStyle w:val="FootnoteText"/>
      </w:pPr>
      <w:r>
        <w:rPr>
          <w:rStyle w:val="FootnoteReference"/>
        </w:rPr>
        <w:footnoteRef/>
      </w:r>
      <w:r>
        <w:t xml:space="preserve"> </w:t>
      </w:r>
      <w:r w:rsidRPr="00E11171">
        <w:t xml:space="preserve">Please consider the impact of the COVID-19 pandemic on infectious disease screening, treatment, and surveillance in the interpretation </w:t>
      </w:r>
      <w:r w:rsidR="00256F80">
        <w:t>of data from 2020 to 2022.</w:t>
      </w:r>
    </w:p>
  </w:footnote>
  <w:footnote w:id="110">
    <w:p w14:paraId="4CDE96BC" w14:textId="6265DEC4" w:rsidR="00E11171" w:rsidRPr="00E11171" w:rsidRDefault="00E11171" w:rsidP="00E11171">
      <w:pPr>
        <w:rPr>
          <w:sz w:val="20"/>
          <w:szCs w:val="20"/>
        </w:rPr>
      </w:pPr>
      <w:r>
        <w:rPr>
          <w:rStyle w:val="FootnoteReference"/>
        </w:rPr>
        <w:footnoteRef/>
      </w:r>
      <w:r>
        <w:t xml:space="preserve"> </w:t>
      </w:r>
      <w:r w:rsidRPr="00E11171">
        <w:rPr>
          <w:sz w:val="20"/>
          <w:szCs w:val="20"/>
        </w:rPr>
        <w:t xml:space="preserve">Please note that the syphilis/HIV co-infection rate among MSM is based on self-report; not database matching analyses, which were used to calculate </w:t>
      </w:r>
      <w:hyperlink w:anchor="_HIV/SYPHILIS" w:history="1">
        <w:r w:rsidRPr="007B479B">
          <w:rPr>
            <w:rStyle w:val="Hyperlink"/>
            <w:color w:val="3333FF"/>
            <w:sz w:val="20"/>
            <w:szCs w:val="20"/>
          </w:rPr>
          <w:t>HIV/syphilis co-infection</w:t>
        </w:r>
      </w:hyperlink>
      <w:r w:rsidRPr="00E11171">
        <w:rPr>
          <w:sz w:val="20"/>
          <w:szCs w:val="20"/>
        </w:rPr>
        <w:t xml:space="preserve"> rates </w:t>
      </w:r>
      <w:r w:rsidR="00734C00">
        <w:rPr>
          <w:sz w:val="20"/>
          <w:szCs w:val="20"/>
        </w:rPr>
        <w:t>elsewhere in</w:t>
      </w:r>
      <w:r w:rsidRPr="00E11171">
        <w:rPr>
          <w:sz w:val="20"/>
          <w:szCs w:val="20"/>
        </w:rPr>
        <w:t xml:space="preserve"> this report.</w:t>
      </w:r>
    </w:p>
    <w:p w14:paraId="0EF551D0" w14:textId="12499A8B" w:rsidR="00E11171" w:rsidRDefault="00E11171">
      <w:pPr>
        <w:pStyle w:val="FootnoteText"/>
      </w:pPr>
    </w:p>
  </w:footnote>
  <w:footnote w:id="111">
    <w:p w14:paraId="0F190E04" w14:textId="61D07FE8" w:rsidR="00BA0B92" w:rsidRDefault="00BA0B92">
      <w:pPr>
        <w:pStyle w:val="FootnoteText"/>
      </w:pPr>
      <w:r>
        <w:rPr>
          <w:rStyle w:val="FootnoteReference"/>
        </w:rPr>
        <w:footnoteRef/>
      </w:r>
      <w:r>
        <w:t xml:space="preserve"> </w:t>
      </w:r>
      <w:r w:rsidRPr="00BA0B92">
        <w:t>Infectious syphilis includes diagnoses made in the primary, secondary, and early non-primary non-secondary stages of infection (latent asymptomatic syphilis where infection occurred in the past 12 months).</w:t>
      </w:r>
    </w:p>
  </w:footnote>
  <w:footnote w:id="112">
    <w:p w14:paraId="0E2492E4" w14:textId="000302A2" w:rsidR="00BA0B92" w:rsidRDefault="00BA0B92">
      <w:pPr>
        <w:pStyle w:val="FootnoteText"/>
      </w:pPr>
      <w:r>
        <w:rPr>
          <w:rStyle w:val="FootnoteReference"/>
        </w:rPr>
        <w:footnoteRef/>
      </w:r>
      <w:r>
        <w:t xml:space="preserve"> </w:t>
      </w:r>
      <w:r w:rsidRPr="00BA0B92">
        <w:t xml:space="preserve">Please consider the impact of the COVID-19 pandemic on infectious disease screening, treatment, and surveillance in the interpretation </w:t>
      </w:r>
      <w:r w:rsidR="00256F80">
        <w:t>of data from 2020 to 2022.</w:t>
      </w:r>
    </w:p>
  </w:footnote>
  <w:footnote w:id="113">
    <w:p w14:paraId="128D12F1" w14:textId="2EEABBA3" w:rsidR="00E1705D" w:rsidRDefault="00E1705D">
      <w:pPr>
        <w:pStyle w:val="FootnoteText"/>
      </w:pPr>
      <w:r>
        <w:rPr>
          <w:rStyle w:val="FootnoteReference"/>
        </w:rPr>
        <w:footnoteRef/>
      </w:r>
      <w:r>
        <w:t xml:space="preserve"> </w:t>
      </w:r>
      <w:r w:rsidRPr="00E1705D">
        <w:t xml:space="preserve">Please consider the impact of the COVID-19 pandemic on infectious disease screening, treatment, and surveillance in the interpretation </w:t>
      </w:r>
      <w:r w:rsidR="00256F80">
        <w:t>of data from 2020 to 2022.</w:t>
      </w:r>
    </w:p>
  </w:footnote>
  <w:footnote w:id="114">
    <w:p w14:paraId="4B066F39" w14:textId="08230693" w:rsidR="00E1705D" w:rsidRDefault="00E1705D">
      <w:pPr>
        <w:pStyle w:val="FootnoteText"/>
      </w:pPr>
      <w:r>
        <w:rPr>
          <w:rStyle w:val="FootnoteReference"/>
        </w:rPr>
        <w:footnoteRef/>
      </w:r>
      <w:r>
        <w:t xml:space="preserve"> </w:t>
      </w:r>
      <w:r w:rsidRPr="00E1705D">
        <w:t>Infectious syphilis includes diagnoses made in the primary, secondary, and early non-primary non-secondary stages of infection (latent asymptomatic syphilis where infection occurred in the past 12 months).</w:t>
      </w:r>
    </w:p>
  </w:footnote>
  <w:footnote w:id="115">
    <w:p w14:paraId="583CC50F" w14:textId="110AB957" w:rsidR="00E1705D" w:rsidRDefault="00E1705D">
      <w:pPr>
        <w:pStyle w:val="FootnoteText"/>
      </w:pPr>
      <w:r>
        <w:rPr>
          <w:rStyle w:val="FootnoteReference"/>
        </w:rPr>
        <w:footnoteRef/>
      </w:r>
      <w:r>
        <w:t xml:space="preserve"> </w:t>
      </w:r>
      <w:r w:rsidRPr="00E1705D">
        <w:t xml:space="preserve">Please consider the impact of the COVID-19 pandemic on infectious disease screening, treatment, and surveillance in the interpretation </w:t>
      </w:r>
      <w:r w:rsidR="00256F80">
        <w:t>of data from 2020 to 2022.</w:t>
      </w:r>
    </w:p>
  </w:footnote>
  <w:footnote w:id="116">
    <w:p w14:paraId="30AB6DE8" w14:textId="2530D356" w:rsidR="0016286F" w:rsidRDefault="0016286F">
      <w:pPr>
        <w:pStyle w:val="FootnoteText"/>
      </w:pPr>
      <w:r>
        <w:rPr>
          <w:rStyle w:val="FootnoteReference"/>
        </w:rPr>
        <w:footnoteRef/>
      </w:r>
      <w:r>
        <w:t xml:space="preserve"> </w:t>
      </w:r>
      <w:r w:rsidRPr="0016286F">
        <w:t xml:space="preserve">Please consider the impact of the COVID-19 pandemic on infectious disease screening, treatment, and surveillance in the interpretation </w:t>
      </w:r>
      <w:r w:rsidR="00256F80">
        <w:t>of data from 2020 to 2022.</w:t>
      </w:r>
    </w:p>
  </w:footnote>
  <w:footnote w:id="117">
    <w:p w14:paraId="1BB14E49" w14:textId="7427F3D9" w:rsidR="0016286F" w:rsidRDefault="0016286F">
      <w:pPr>
        <w:pStyle w:val="FootnoteText"/>
      </w:pPr>
      <w:r>
        <w:rPr>
          <w:rStyle w:val="FootnoteReference"/>
        </w:rPr>
        <w:footnoteRef/>
      </w:r>
      <w:r>
        <w:t xml:space="preserve"> </w:t>
      </w:r>
      <w:r w:rsidRPr="0016286F">
        <w:t>For more information see: Charles Alpren et al. “Opioid Use Fueling HIV Transmission in an Urban Setting: An Outbreak of HIV Infection Among People Who Inject Drugs—Massachusetts, 2015–2018”, </w:t>
      </w:r>
      <w:r w:rsidRPr="0016286F">
        <w:rPr>
          <w:i/>
          <w:iCs/>
        </w:rPr>
        <w:t>American Journal of Public Health</w:t>
      </w:r>
      <w:r w:rsidRPr="0016286F">
        <w:t> 110, no. 1 (January 1, 2020): pp. 37-44.</w:t>
      </w:r>
      <w:hyperlink r:id="rId20" w:history="1">
        <w:r w:rsidRPr="0016286F">
          <w:rPr>
            <w:rStyle w:val="Hyperlink"/>
          </w:rPr>
          <w:t>https://doi.org/10.2105/AJPH.2019.305366</w:t>
        </w:r>
      </w:hyperlink>
    </w:p>
  </w:footnote>
  <w:footnote w:id="118">
    <w:p w14:paraId="24C689E6" w14:textId="4B5317C9" w:rsidR="0016286F" w:rsidRDefault="0016286F">
      <w:pPr>
        <w:pStyle w:val="FootnoteText"/>
      </w:pPr>
      <w:r>
        <w:rPr>
          <w:rStyle w:val="FootnoteReference"/>
        </w:rPr>
        <w:footnoteRef/>
      </w:r>
      <w:r>
        <w:t xml:space="preserve"> </w:t>
      </w:r>
      <w:r w:rsidRPr="0016286F">
        <w:t xml:space="preserve">For more information, see: Joint MDPH and BPHC Clinical Advisory: Increase in newly diagnosed HIV infections among persons who inject drugs in Boston, March 15, 2021, available at: </w:t>
      </w:r>
      <w:hyperlink r:id="rId21" w:history="1">
        <w:r w:rsidRPr="0016286F">
          <w:rPr>
            <w:rStyle w:val="Hyperlink"/>
          </w:rPr>
          <w:t>https://www.mass.gov/doc/joint-mdph-and-bphc-clinical-advisory-hiv-transmission-through-injection-drug-use-in-boston-march-15-2021/download</w:t>
        </w:r>
      </w:hyperlink>
      <w:r w:rsidRPr="0016286F">
        <w:t xml:space="preserve"> </w:t>
      </w:r>
    </w:p>
  </w:footnote>
  <w:footnote w:id="119">
    <w:p w14:paraId="4903CEDB" w14:textId="2568BFB9" w:rsidR="00F95EEE" w:rsidRDefault="00F95EEE">
      <w:pPr>
        <w:pStyle w:val="FootnoteText"/>
      </w:pPr>
      <w:r>
        <w:rPr>
          <w:rStyle w:val="FootnoteReference"/>
        </w:rPr>
        <w:footnoteRef/>
      </w:r>
      <w:r>
        <w:t xml:space="preserve"> </w:t>
      </w:r>
      <w:r w:rsidRPr="00F95EEE">
        <w:t>For more information, see: Charles Alpren et al. “Opioid Use Fueling HIV Transmission in an Urban Setting: An Outbreak of HIV Infection Among People Who Inject Drugs—Massachusetts, 2015–2018”, </w:t>
      </w:r>
      <w:r w:rsidRPr="00F95EEE">
        <w:rPr>
          <w:i/>
          <w:iCs/>
        </w:rPr>
        <w:t>American Journal of Public Health</w:t>
      </w:r>
      <w:r w:rsidRPr="00F95EEE">
        <w:t xml:space="preserve"> 110, no. 1 (January 1, 2020): pp. 37-44. </w:t>
      </w:r>
      <w:hyperlink r:id="rId22" w:history="1">
        <w:r w:rsidRPr="00F95EEE">
          <w:rPr>
            <w:rStyle w:val="Hyperlink"/>
          </w:rPr>
          <w:t>https://doi.org/10.2105/AJPH.2019.305366</w:t>
        </w:r>
      </w:hyperlink>
    </w:p>
  </w:footnote>
  <w:footnote w:id="120">
    <w:p w14:paraId="76CA42CB" w14:textId="6F162802" w:rsidR="00F95EEE" w:rsidRDefault="00F95EEE">
      <w:pPr>
        <w:pStyle w:val="FootnoteText"/>
      </w:pPr>
      <w:r>
        <w:rPr>
          <w:rStyle w:val="FootnoteReference"/>
        </w:rPr>
        <w:footnoteRef/>
      </w:r>
      <w:r>
        <w:t xml:space="preserve"> </w:t>
      </w:r>
      <w:r w:rsidRPr="00F95EEE">
        <w:t xml:space="preserve">Please consider the impact of the COVID-19 pandemic on infectious disease screening, treatment, and surveillance in the interpretation </w:t>
      </w:r>
      <w:r w:rsidR="00256F80">
        <w:t>of data from 2020 to 2022.</w:t>
      </w:r>
    </w:p>
  </w:footnote>
  <w:footnote w:id="121">
    <w:p w14:paraId="38602085" w14:textId="70359E34" w:rsidR="00F95EEE" w:rsidRDefault="00F95EEE">
      <w:pPr>
        <w:pStyle w:val="FootnoteText"/>
      </w:pPr>
      <w:r>
        <w:rPr>
          <w:rStyle w:val="FootnoteReference"/>
        </w:rPr>
        <w:footnoteRef/>
      </w:r>
      <w:r>
        <w:t xml:space="preserve"> </w:t>
      </w:r>
      <w:r w:rsidRPr="00F95EEE">
        <w:t xml:space="preserve">For more information, see: Joint MDPH and BPHC Clinical Advisory: Increase in newly diagnosed HIV infections among persons who inject drugs in Boston, March 15, 2021, available at: </w:t>
      </w:r>
      <w:hyperlink r:id="rId23" w:history="1">
        <w:r w:rsidRPr="00F95EEE">
          <w:rPr>
            <w:rStyle w:val="Hyperlink"/>
          </w:rPr>
          <w:t>https://www.mass.gov/doc/joint-mdph-and-bphc-clinical-advisory-hiv-transmission-through-injection-drug-use-in-boston-march-15-2021/download</w:t>
        </w:r>
      </w:hyperlink>
    </w:p>
  </w:footnote>
  <w:footnote w:id="122">
    <w:p w14:paraId="1A66D70E" w14:textId="53490B12" w:rsidR="00234003" w:rsidRDefault="00234003">
      <w:pPr>
        <w:pStyle w:val="FootnoteText"/>
      </w:pPr>
      <w:r>
        <w:rPr>
          <w:rStyle w:val="FootnoteReference"/>
        </w:rPr>
        <w:footnoteRef/>
      </w:r>
      <w:r>
        <w:t xml:space="preserve"> </w:t>
      </w:r>
      <w:r w:rsidRPr="00234003">
        <w:t xml:space="preserve">Please consider the impact of the COVID-19 pandemic on infectious disease screening, treatment, and surveillance in the interpretation </w:t>
      </w:r>
      <w:r w:rsidR="00256F80">
        <w:t>of data from 2020 to 2022.</w:t>
      </w:r>
    </w:p>
  </w:footnote>
  <w:footnote w:id="123">
    <w:p w14:paraId="26D0F39E" w14:textId="461E6D1B" w:rsidR="00234003" w:rsidRDefault="00234003" w:rsidP="00234003">
      <w:pPr>
        <w:pStyle w:val="FootnoteText"/>
      </w:pPr>
      <w:r>
        <w:rPr>
          <w:rStyle w:val="FootnoteReference"/>
        </w:rPr>
        <w:footnoteRef/>
      </w:r>
      <w:r>
        <w:t xml:space="preserve"> </w:t>
      </w:r>
      <w:r w:rsidRPr="00234003">
        <w:t xml:space="preserve">Please consider the impact of the COVID-19 pandemic on infectious disease screening, treatment, and surveillance in the interpretation </w:t>
      </w:r>
      <w:r w:rsidR="00256F80">
        <w:t>of data from 2020 to 2022.</w:t>
      </w:r>
    </w:p>
  </w:footnote>
  <w:footnote w:id="124">
    <w:p w14:paraId="6DE224BA" w14:textId="69E12B93" w:rsidR="007D7E86" w:rsidRDefault="007D7E86">
      <w:pPr>
        <w:pStyle w:val="FootnoteText"/>
      </w:pPr>
      <w:r>
        <w:rPr>
          <w:rStyle w:val="FootnoteReference"/>
        </w:rPr>
        <w:footnoteRef/>
      </w:r>
      <w:r>
        <w:t xml:space="preserve"> </w:t>
      </w:r>
      <w:r w:rsidRPr="007D7E86">
        <w:t xml:space="preserve">Population Data Source: UMDI Interim 2020 Population Estimates by Age, Sex, Race, and Municipality, UMass Donahue Institute Population Estimates Program, March 1, 2022; </w:t>
      </w:r>
    </w:p>
  </w:footnote>
  <w:footnote w:id="125">
    <w:p w14:paraId="7FA54021" w14:textId="6EEE1CB6" w:rsidR="007D7E86" w:rsidRDefault="007D7E86">
      <w:pPr>
        <w:pStyle w:val="FootnoteText"/>
      </w:pPr>
      <w:r>
        <w:rPr>
          <w:rStyle w:val="FootnoteReference"/>
        </w:rPr>
        <w:footnoteRef/>
      </w:r>
      <w:r>
        <w:t xml:space="preserve"> </w:t>
      </w:r>
      <w:r w:rsidRPr="007D7E86">
        <w:t>Infectious syphilis includes diagnoses made in the primary, secondary, and early non-primary non-secondary stages of infection (latent asymptomatic syphilis where infection occurred in the past 12 months).</w:t>
      </w:r>
    </w:p>
  </w:footnote>
  <w:footnote w:id="126">
    <w:p w14:paraId="7E176D4D" w14:textId="4BABC091" w:rsidR="007D7E86" w:rsidRDefault="007D7E86">
      <w:pPr>
        <w:pStyle w:val="FootnoteText"/>
      </w:pPr>
      <w:r>
        <w:rPr>
          <w:rStyle w:val="FootnoteReference"/>
        </w:rPr>
        <w:footnoteRef/>
      </w:r>
      <w:r>
        <w:t xml:space="preserve"> </w:t>
      </w:r>
      <w:r w:rsidRPr="007D7E86">
        <w:t xml:space="preserve">Please consider the impact of the COVID-19 pandemic on infectious disease screening, treatment, and surveillance in the interpretation </w:t>
      </w:r>
      <w:r w:rsidR="00256F80">
        <w:t>of data from 2020 to 2022.</w:t>
      </w:r>
    </w:p>
  </w:footnote>
  <w:footnote w:id="127">
    <w:p w14:paraId="3E79D62A" w14:textId="291572D0" w:rsidR="00F77C3D" w:rsidRDefault="00F77C3D">
      <w:pPr>
        <w:pStyle w:val="FootnoteText"/>
      </w:pPr>
      <w:r>
        <w:rPr>
          <w:rStyle w:val="FootnoteReference"/>
        </w:rPr>
        <w:footnoteRef/>
      </w:r>
      <w:r>
        <w:t xml:space="preserve"> </w:t>
      </w:r>
      <w:r w:rsidRPr="00F77C3D">
        <w:t>Infectious syphilis includes diagnoses made in the primary, secondary, and early non-primary non-secondary stages of infection (latent asymptomatic syphilis where infection occurred in the past 12 months).</w:t>
      </w:r>
    </w:p>
  </w:footnote>
  <w:footnote w:id="128">
    <w:p w14:paraId="6C598259" w14:textId="1264198C" w:rsidR="00F77C3D" w:rsidRDefault="00F77C3D">
      <w:pPr>
        <w:pStyle w:val="FootnoteText"/>
      </w:pPr>
      <w:r>
        <w:rPr>
          <w:rStyle w:val="FootnoteReference"/>
        </w:rPr>
        <w:footnoteRef/>
      </w:r>
      <w:r>
        <w:t xml:space="preserve"> </w:t>
      </w:r>
      <w:r w:rsidRPr="00F77C3D">
        <w:t xml:space="preserve">Please consider the impact of the COVID-19 pandemic on infectious disease screening, treatment, and surveillance in the interpretation </w:t>
      </w:r>
      <w:r w:rsidR="00256F80">
        <w:t>of data from 2020 to 2022.</w:t>
      </w:r>
    </w:p>
  </w:footnote>
  <w:footnote w:id="129">
    <w:p w14:paraId="27004556" w14:textId="5A14AE76" w:rsidR="00F77C3D" w:rsidRDefault="00F77C3D">
      <w:pPr>
        <w:pStyle w:val="FootnoteText"/>
      </w:pPr>
      <w:r>
        <w:rPr>
          <w:rStyle w:val="FootnoteReference"/>
        </w:rPr>
        <w:footnoteRef/>
      </w:r>
      <w:r w:rsidR="41714869">
        <w:t xml:space="preserve"> </w:t>
      </w:r>
      <w:r w:rsidR="41714869" w:rsidRPr="00F77C3D">
        <w:t>As of 01/01/2020, BIDLS calculates rates per 100,000 population using denominators estimated by the University of Massachusetts Donahue Institute: UMDI Interim 2020 Population Estimates by Age, Sex, Race, and Municipality, UMass Donahue Institute Population Estimates Program, March 1, 2022; Note that rates and trends calculated using previous methods cannot be compared to these. All rates are age-adjusted using the 2000 US standard population.</w:t>
      </w:r>
    </w:p>
  </w:footnote>
  <w:footnote w:id="130">
    <w:p w14:paraId="39460C18" w14:textId="74506ABF" w:rsidR="00F77C3D" w:rsidRDefault="00F77C3D">
      <w:pPr>
        <w:pStyle w:val="FootnoteText"/>
      </w:pPr>
      <w:r>
        <w:rPr>
          <w:rStyle w:val="FootnoteReference"/>
        </w:rPr>
        <w:footnoteRef/>
      </w:r>
      <w:r>
        <w:t xml:space="preserve"> </w:t>
      </w:r>
      <w:r w:rsidRPr="00F77C3D">
        <w:t xml:space="preserve">Please consider the impact of the COVID-19 pandemic on infectious disease screening, treatment, and surveillance in the interpretation </w:t>
      </w:r>
      <w:r w:rsidR="00256F80">
        <w:t>of data from 2020 to 2022.</w:t>
      </w:r>
    </w:p>
  </w:footnote>
  <w:footnote w:id="131">
    <w:p w14:paraId="20A6B19C" w14:textId="6E610E41" w:rsidR="004D5C8E" w:rsidRDefault="004D5C8E">
      <w:pPr>
        <w:pStyle w:val="FootnoteText"/>
      </w:pPr>
      <w:r>
        <w:rPr>
          <w:rStyle w:val="FootnoteReference"/>
        </w:rPr>
        <w:footnoteRef/>
      </w:r>
      <w:r>
        <w:t xml:space="preserve"> </w:t>
      </w:r>
      <w:r w:rsidRPr="004D5C8E">
        <w:t xml:space="preserve">Please consider the impact of the COVID-19 pandemic on infectious disease screening, treatment, and surveillance in the interpretation </w:t>
      </w:r>
      <w:r w:rsidR="00256F80">
        <w:t>of data from 2020 to 2022.</w:t>
      </w:r>
    </w:p>
  </w:footnote>
  <w:footnote w:id="132">
    <w:p w14:paraId="130F0AEA" w14:textId="64AEEDF8" w:rsidR="00BB7166" w:rsidRDefault="00BB7166">
      <w:pPr>
        <w:pStyle w:val="FootnoteText"/>
      </w:pPr>
      <w:r>
        <w:rPr>
          <w:rStyle w:val="FootnoteReference"/>
        </w:rPr>
        <w:footnoteRef/>
      </w:r>
      <w:r>
        <w:t xml:space="preserve"> </w:t>
      </w:r>
      <w:r w:rsidRPr="00BB7166">
        <w:t xml:space="preserve">A condition caused by infection in utero with </w:t>
      </w:r>
      <w:r w:rsidRPr="00BB7166">
        <w:rPr>
          <w:i/>
          <w:iCs/>
        </w:rPr>
        <w:t>Treponema pallidum</w:t>
      </w:r>
      <w:r w:rsidRPr="00BB7166">
        <w:t xml:space="preserve">. A wide spectrum of severity exists, from inapparent infection to severe cases that are clinically apparent at birth. For more information see </w:t>
      </w:r>
      <w:hyperlink r:id="rId24" w:history="1">
        <w:r w:rsidRPr="00BB7166">
          <w:rPr>
            <w:rStyle w:val="Hyperlink"/>
          </w:rPr>
          <w:t>http://www.cdc.gov/std/stats/congenitalsyphilisdef-rev-jan-2015.pdf</w:t>
        </w:r>
      </w:hyperlink>
      <w:r w:rsidRPr="00BB7166">
        <w:rPr>
          <w:u w:val="single"/>
        </w:rPr>
        <w:t xml:space="preserve">  </w:t>
      </w:r>
    </w:p>
  </w:footnote>
  <w:footnote w:id="133">
    <w:p w14:paraId="41D9B3B4" w14:textId="20D2FEDC" w:rsidR="00BB7166" w:rsidRDefault="00BB7166">
      <w:pPr>
        <w:pStyle w:val="FootnoteText"/>
      </w:pPr>
      <w:r>
        <w:rPr>
          <w:rStyle w:val="FootnoteReference"/>
        </w:rPr>
        <w:footnoteRef/>
      </w:r>
      <w:r>
        <w:t xml:space="preserve"> </w:t>
      </w:r>
      <w:r w:rsidR="00764EFB" w:rsidRPr="00764EFB">
        <w:t xml:space="preserve">On January 1, 2015, the congenital case definition was updated to better define treatment and laboratory parameters for classifying cases. From 2019 through 2021, one confirmed cases of congenital syphilis and 6 syphilitic stillbirths </w:t>
      </w:r>
      <w:r w:rsidR="00764EFB">
        <w:t xml:space="preserve">were </w:t>
      </w:r>
      <w:r w:rsidR="00764EFB" w:rsidRPr="00764EFB">
        <w:t>reported. All other reportable cases from 2015 to 2021 met the case definition of probable congenital syphilis which uses the birthing person’s treatment adequacy and timing as the primary criteria for this classification status</w:t>
      </w:r>
      <w:r w:rsidR="00764EFB">
        <w:t>.</w:t>
      </w:r>
    </w:p>
  </w:footnote>
  <w:footnote w:id="134">
    <w:p w14:paraId="17AFCA13" w14:textId="114121B7" w:rsidR="00BB7166" w:rsidRDefault="00BB7166">
      <w:pPr>
        <w:pStyle w:val="FootnoteText"/>
      </w:pPr>
      <w:r>
        <w:rPr>
          <w:rStyle w:val="FootnoteReference"/>
        </w:rPr>
        <w:footnoteRef/>
      </w:r>
      <w:r>
        <w:t xml:space="preserve"> </w:t>
      </w:r>
      <w:r w:rsidR="00B01A7D" w:rsidRPr="00B01A7D">
        <w:t xml:space="preserve">Please consider the impact of the COVID-19 pandemic on infectious disease screening, treatment, and surveillance in the interpretation </w:t>
      </w:r>
      <w:r w:rsidR="00256F80">
        <w:t>of data from 2020 to 2022.</w:t>
      </w:r>
    </w:p>
  </w:footnote>
  <w:footnote w:id="135">
    <w:p w14:paraId="3D10DF7F" w14:textId="1FAD2F87" w:rsidR="00B01A7D" w:rsidRDefault="00B01A7D">
      <w:pPr>
        <w:pStyle w:val="FootnoteText"/>
      </w:pPr>
      <w:r>
        <w:rPr>
          <w:rStyle w:val="FootnoteReference"/>
        </w:rPr>
        <w:footnoteRef/>
      </w:r>
      <w:r>
        <w:t xml:space="preserve"> </w:t>
      </w:r>
      <w:r w:rsidR="0017096C" w:rsidRPr="0017096C">
        <w:t>Centers for Disease Control and Prevention. Sexually Transmitted Disease Surveillance 2021 Atlanta: U.S. Department of Health and Human Services; 2023. Please note, 2021 state rankings are presented because 2022 rankings were not yet available at the time of this publication. Additionally, due to a network security incident in December 2021, the Maryland Department of Health could not finalize their 2021 STD case notification data. Although 2021 data from Maryland were included in the national case counts, state-specific data have been suppressed and are therefore not included in the rates ranked by state.</w:t>
      </w:r>
    </w:p>
  </w:footnote>
  <w:footnote w:id="136">
    <w:p w14:paraId="79EB5181" w14:textId="4E80C20E" w:rsidR="0017574F" w:rsidRDefault="0017574F">
      <w:pPr>
        <w:pStyle w:val="FootnoteText"/>
      </w:pPr>
      <w:r>
        <w:rPr>
          <w:rStyle w:val="FootnoteReference"/>
        </w:rPr>
        <w:footnoteRef/>
      </w:r>
      <w:r>
        <w:t xml:space="preserve"> </w:t>
      </w:r>
      <w:r w:rsidRPr="0017574F">
        <w:t xml:space="preserve">Recent HIV diagnoses among women include </w:t>
      </w:r>
      <w:r w:rsidR="0056532F">
        <w:t>377</w:t>
      </w:r>
      <w:r w:rsidRPr="0017574F">
        <w:t xml:space="preserve"> individuals assigned female sex at birth. Data included reflect sex assigned at birth and therefore not gender identity or gender expression of transgender individuals (N=14 transgender individuals diagnosed with HIV infection from 20</w:t>
      </w:r>
      <w:r w:rsidR="0056532F">
        <w:t>20</w:t>
      </w:r>
      <w:r w:rsidRPr="0017574F">
        <w:t xml:space="preserve"> – 202</w:t>
      </w:r>
      <w:r w:rsidR="0056532F">
        <w:t>2</w:t>
      </w:r>
      <w:r w:rsidRPr="0017574F">
        <w:t>).</w:t>
      </w:r>
      <w:r w:rsidRPr="0017574F">
        <w:rPr>
          <w:vertAlign w:val="superscript"/>
        </w:rPr>
        <w:t xml:space="preserve"> </w:t>
      </w:r>
    </w:p>
  </w:footnote>
  <w:footnote w:id="137">
    <w:p w14:paraId="117B2972" w14:textId="2DE7544A" w:rsidR="00E420FF" w:rsidRDefault="00E420FF">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interpretation </w:t>
      </w:r>
      <w:r w:rsidR="00256F80">
        <w:t>of data from 2020 to 2022.</w:t>
      </w:r>
    </w:p>
  </w:footnote>
  <w:footnote w:id="138">
    <w:p w14:paraId="2A9E3CD8" w14:textId="77777777" w:rsidR="002C4A99" w:rsidRDefault="002C4A99" w:rsidP="002C4A99">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interpretation </w:t>
      </w:r>
      <w:r>
        <w:t>of data from 2020 to 2022.</w:t>
      </w:r>
    </w:p>
  </w:footnote>
  <w:footnote w:id="139">
    <w:p w14:paraId="0406B7CB" w14:textId="77777777" w:rsidR="005D49B5" w:rsidRDefault="005D49B5" w:rsidP="005D49B5">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interpretation </w:t>
      </w:r>
      <w:r>
        <w:t>of data from 2020 to 2022.</w:t>
      </w:r>
    </w:p>
  </w:footnote>
  <w:footnote w:id="140">
    <w:p w14:paraId="1DD7C80C" w14:textId="77777777" w:rsidR="005D49B5" w:rsidRDefault="005D49B5" w:rsidP="005D49B5">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interpretation </w:t>
      </w:r>
      <w:r>
        <w:t>of data from 2020 to 2022.</w:t>
      </w:r>
    </w:p>
  </w:footnote>
  <w:footnote w:id="141">
    <w:p w14:paraId="09D3D0F1" w14:textId="77777777" w:rsidR="005D49B5" w:rsidRDefault="005D49B5" w:rsidP="005D49B5">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interpretation </w:t>
      </w:r>
      <w:r>
        <w:t>of data from 2020 to 2022.</w:t>
      </w:r>
    </w:p>
  </w:footnote>
  <w:footnote w:id="142">
    <w:p w14:paraId="37DE3DD8" w14:textId="77777777" w:rsidR="00B31EE7" w:rsidRDefault="00B31EE7" w:rsidP="00B31EE7">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interpretation </w:t>
      </w:r>
      <w:r>
        <w:t>of data from 2020 to 2022.</w:t>
      </w:r>
    </w:p>
  </w:footnote>
  <w:footnote w:id="143">
    <w:p w14:paraId="7DB9C34C" w14:textId="77777777" w:rsidR="003E6885" w:rsidRDefault="003E6885" w:rsidP="003E6885">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interpretation </w:t>
      </w:r>
      <w:r>
        <w:t>of data from 2020 to 2022.</w:t>
      </w:r>
    </w:p>
  </w:footnote>
  <w:footnote w:id="144">
    <w:p w14:paraId="65D451CE" w14:textId="77777777" w:rsidR="00957EE9" w:rsidRDefault="00957EE9" w:rsidP="00957EE9">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interpretation </w:t>
      </w:r>
      <w:r>
        <w:t>of data from 2020 to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FB9B" w14:textId="13440B7B" w:rsidR="41714869" w:rsidRDefault="41714869" w:rsidP="00917840">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120"/>
      <w:gridCol w:w="3120"/>
      <w:gridCol w:w="3120"/>
    </w:tblGrid>
    <w:tr w:rsidR="76F421E0" w14:paraId="098CF5FB" w14:textId="77777777" w:rsidTr="00165FC1">
      <w:tc>
        <w:tcPr>
          <w:tcW w:w="3120" w:type="dxa"/>
        </w:tcPr>
        <w:p w14:paraId="01562C8F" w14:textId="7FF10F85" w:rsidR="76F421E0" w:rsidRDefault="76F421E0" w:rsidP="009439F5">
          <w:pPr>
            <w:pStyle w:val="Header"/>
            <w:ind w:left="-115"/>
            <w:rPr>
              <w:szCs w:val="24"/>
            </w:rPr>
          </w:pPr>
        </w:p>
      </w:tc>
      <w:tc>
        <w:tcPr>
          <w:tcW w:w="3120" w:type="dxa"/>
        </w:tcPr>
        <w:p w14:paraId="59B67811" w14:textId="1B83B6D9" w:rsidR="76F421E0" w:rsidRDefault="76F421E0" w:rsidP="00E20FF2">
          <w:pPr>
            <w:pStyle w:val="Header"/>
            <w:jc w:val="center"/>
            <w:rPr>
              <w:szCs w:val="24"/>
            </w:rPr>
          </w:pPr>
        </w:p>
      </w:tc>
      <w:tc>
        <w:tcPr>
          <w:tcW w:w="3120" w:type="dxa"/>
        </w:tcPr>
        <w:p w14:paraId="0E7BBC00" w14:textId="3B0943BF" w:rsidR="76F421E0" w:rsidRDefault="76F421E0" w:rsidP="00E20FF2">
          <w:pPr>
            <w:rPr>
              <w:szCs w:val="24"/>
            </w:rPr>
          </w:pPr>
        </w:p>
      </w:tc>
    </w:tr>
  </w:tbl>
  <w:p w14:paraId="6018C077" w14:textId="7AF635F4" w:rsidR="76F421E0" w:rsidRDefault="76F421E0" w:rsidP="00464482">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AED7" w14:textId="12BF012E" w:rsidR="41714869" w:rsidRDefault="41714869" w:rsidP="00051C8E">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360"/>
      <w:gridCol w:w="3360"/>
      <w:gridCol w:w="3360"/>
    </w:tblGrid>
    <w:tr w:rsidR="76F421E0" w14:paraId="2C30B7D9" w14:textId="77777777" w:rsidTr="00165FC1">
      <w:tc>
        <w:tcPr>
          <w:tcW w:w="3360" w:type="dxa"/>
        </w:tcPr>
        <w:p w14:paraId="42EDC2B0" w14:textId="29DF8D8E" w:rsidR="76F421E0" w:rsidRDefault="76F421E0" w:rsidP="00464482">
          <w:pPr>
            <w:pStyle w:val="Header"/>
            <w:ind w:left="-115"/>
            <w:rPr>
              <w:szCs w:val="24"/>
            </w:rPr>
          </w:pPr>
        </w:p>
      </w:tc>
      <w:tc>
        <w:tcPr>
          <w:tcW w:w="3360" w:type="dxa"/>
        </w:tcPr>
        <w:p w14:paraId="3BDF3A63" w14:textId="5DD85F8A" w:rsidR="76F421E0" w:rsidRDefault="76F421E0" w:rsidP="00464482">
          <w:pPr>
            <w:pStyle w:val="Header"/>
            <w:jc w:val="center"/>
            <w:rPr>
              <w:szCs w:val="24"/>
            </w:rPr>
          </w:pPr>
        </w:p>
      </w:tc>
      <w:tc>
        <w:tcPr>
          <w:tcW w:w="3360" w:type="dxa"/>
        </w:tcPr>
        <w:p w14:paraId="75593EA6" w14:textId="6EDEB4C0" w:rsidR="76F421E0" w:rsidRDefault="76F421E0" w:rsidP="00464482">
          <w:pPr>
            <w:pStyle w:val="Header"/>
            <w:ind w:right="-115"/>
            <w:jc w:val="right"/>
            <w:rPr>
              <w:szCs w:val="24"/>
            </w:rPr>
          </w:pPr>
        </w:p>
      </w:tc>
    </w:tr>
  </w:tbl>
  <w:p w14:paraId="35091B32" w14:textId="71B15B0F" w:rsidR="76F421E0" w:rsidRDefault="76F421E0" w:rsidP="00464482">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1083" w14:textId="55980211" w:rsidR="41714869" w:rsidRDefault="41714869" w:rsidP="00E279BE">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360"/>
      <w:gridCol w:w="3360"/>
      <w:gridCol w:w="3360"/>
    </w:tblGrid>
    <w:tr w:rsidR="76F421E0" w14:paraId="3208F6E6" w14:textId="77777777" w:rsidTr="00165FC1">
      <w:tc>
        <w:tcPr>
          <w:tcW w:w="3360" w:type="dxa"/>
        </w:tcPr>
        <w:p w14:paraId="4E06714E" w14:textId="704D2618" w:rsidR="76F421E0" w:rsidRDefault="76F421E0" w:rsidP="00464482">
          <w:pPr>
            <w:pStyle w:val="Header"/>
            <w:ind w:left="-115"/>
            <w:rPr>
              <w:szCs w:val="24"/>
            </w:rPr>
          </w:pPr>
        </w:p>
      </w:tc>
      <w:tc>
        <w:tcPr>
          <w:tcW w:w="3360" w:type="dxa"/>
        </w:tcPr>
        <w:p w14:paraId="18DCAF43" w14:textId="2F7FD6FC" w:rsidR="76F421E0" w:rsidRDefault="76F421E0" w:rsidP="00464482">
          <w:pPr>
            <w:pStyle w:val="Header"/>
            <w:jc w:val="center"/>
            <w:rPr>
              <w:szCs w:val="24"/>
            </w:rPr>
          </w:pPr>
        </w:p>
      </w:tc>
      <w:tc>
        <w:tcPr>
          <w:tcW w:w="3360" w:type="dxa"/>
        </w:tcPr>
        <w:p w14:paraId="23586B76" w14:textId="3F626A56" w:rsidR="76F421E0" w:rsidRDefault="76F421E0" w:rsidP="00464482">
          <w:pPr>
            <w:pStyle w:val="Header"/>
            <w:ind w:right="-115"/>
            <w:jc w:val="right"/>
            <w:rPr>
              <w:szCs w:val="24"/>
            </w:rPr>
          </w:pPr>
        </w:p>
      </w:tc>
    </w:tr>
  </w:tbl>
  <w:p w14:paraId="6097D1FA" w14:textId="0B542F93" w:rsidR="76F421E0" w:rsidRDefault="76F421E0" w:rsidP="00464482">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111"/>
    <w:multiLevelType w:val="hybridMultilevel"/>
    <w:tmpl w:val="78526A04"/>
    <w:lvl w:ilvl="0" w:tplc="8DF4404A">
      <w:start w:val="1"/>
      <w:numFmt w:val="bullet"/>
      <w:lvlText w:val="•"/>
      <w:lvlJc w:val="left"/>
      <w:pPr>
        <w:tabs>
          <w:tab w:val="num" w:pos="720"/>
        </w:tabs>
        <w:ind w:left="720" w:hanging="360"/>
      </w:pPr>
      <w:rPr>
        <w:rFonts w:ascii="Arial" w:hAnsi="Arial" w:hint="default"/>
      </w:rPr>
    </w:lvl>
    <w:lvl w:ilvl="1" w:tplc="A9103EE4" w:tentative="1">
      <w:start w:val="1"/>
      <w:numFmt w:val="bullet"/>
      <w:lvlText w:val="•"/>
      <w:lvlJc w:val="left"/>
      <w:pPr>
        <w:tabs>
          <w:tab w:val="num" w:pos="1440"/>
        </w:tabs>
        <w:ind w:left="1440" w:hanging="360"/>
      </w:pPr>
      <w:rPr>
        <w:rFonts w:ascii="Arial" w:hAnsi="Arial" w:hint="default"/>
      </w:rPr>
    </w:lvl>
    <w:lvl w:ilvl="2" w:tplc="1638E37A" w:tentative="1">
      <w:start w:val="1"/>
      <w:numFmt w:val="bullet"/>
      <w:lvlText w:val="•"/>
      <w:lvlJc w:val="left"/>
      <w:pPr>
        <w:tabs>
          <w:tab w:val="num" w:pos="2160"/>
        </w:tabs>
        <w:ind w:left="2160" w:hanging="360"/>
      </w:pPr>
      <w:rPr>
        <w:rFonts w:ascii="Arial" w:hAnsi="Arial" w:hint="default"/>
      </w:rPr>
    </w:lvl>
    <w:lvl w:ilvl="3" w:tplc="835C0698" w:tentative="1">
      <w:start w:val="1"/>
      <w:numFmt w:val="bullet"/>
      <w:lvlText w:val="•"/>
      <w:lvlJc w:val="left"/>
      <w:pPr>
        <w:tabs>
          <w:tab w:val="num" w:pos="2880"/>
        </w:tabs>
        <w:ind w:left="2880" w:hanging="360"/>
      </w:pPr>
      <w:rPr>
        <w:rFonts w:ascii="Arial" w:hAnsi="Arial" w:hint="default"/>
      </w:rPr>
    </w:lvl>
    <w:lvl w:ilvl="4" w:tplc="44FA9178" w:tentative="1">
      <w:start w:val="1"/>
      <w:numFmt w:val="bullet"/>
      <w:lvlText w:val="•"/>
      <w:lvlJc w:val="left"/>
      <w:pPr>
        <w:tabs>
          <w:tab w:val="num" w:pos="3600"/>
        </w:tabs>
        <w:ind w:left="3600" w:hanging="360"/>
      </w:pPr>
      <w:rPr>
        <w:rFonts w:ascii="Arial" w:hAnsi="Arial" w:hint="default"/>
      </w:rPr>
    </w:lvl>
    <w:lvl w:ilvl="5" w:tplc="29A8693C" w:tentative="1">
      <w:start w:val="1"/>
      <w:numFmt w:val="bullet"/>
      <w:lvlText w:val="•"/>
      <w:lvlJc w:val="left"/>
      <w:pPr>
        <w:tabs>
          <w:tab w:val="num" w:pos="4320"/>
        </w:tabs>
        <w:ind w:left="4320" w:hanging="360"/>
      </w:pPr>
      <w:rPr>
        <w:rFonts w:ascii="Arial" w:hAnsi="Arial" w:hint="default"/>
      </w:rPr>
    </w:lvl>
    <w:lvl w:ilvl="6" w:tplc="A13E75EE" w:tentative="1">
      <w:start w:val="1"/>
      <w:numFmt w:val="bullet"/>
      <w:lvlText w:val="•"/>
      <w:lvlJc w:val="left"/>
      <w:pPr>
        <w:tabs>
          <w:tab w:val="num" w:pos="5040"/>
        </w:tabs>
        <w:ind w:left="5040" w:hanging="360"/>
      </w:pPr>
      <w:rPr>
        <w:rFonts w:ascii="Arial" w:hAnsi="Arial" w:hint="default"/>
      </w:rPr>
    </w:lvl>
    <w:lvl w:ilvl="7" w:tplc="A9AA4F78" w:tentative="1">
      <w:start w:val="1"/>
      <w:numFmt w:val="bullet"/>
      <w:lvlText w:val="•"/>
      <w:lvlJc w:val="left"/>
      <w:pPr>
        <w:tabs>
          <w:tab w:val="num" w:pos="5760"/>
        </w:tabs>
        <w:ind w:left="5760" w:hanging="360"/>
      </w:pPr>
      <w:rPr>
        <w:rFonts w:ascii="Arial" w:hAnsi="Arial" w:hint="default"/>
      </w:rPr>
    </w:lvl>
    <w:lvl w:ilvl="8" w:tplc="117876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7B073B"/>
    <w:multiLevelType w:val="hybridMultilevel"/>
    <w:tmpl w:val="396C458C"/>
    <w:lvl w:ilvl="0" w:tplc="87B6B274">
      <w:start w:val="1"/>
      <w:numFmt w:val="bullet"/>
      <w:lvlText w:val="•"/>
      <w:lvlJc w:val="left"/>
      <w:pPr>
        <w:tabs>
          <w:tab w:val="num" w:pos="720"/>
        </w:tabs>
        <w:ind w:left="720" w:hanging="360"/>
      </w:pPr>
      <w:rPr>
        <w:rFonts w:ascii="Arial" w:hAnsi="Arial" w:hint="default"/>
      </w:rPr>
    </w:lvl>
    <w:lvl w:ilvl="1" w:tplc="BB60D322" w:tentative="1">
      <w:start w:val="1"/>
      <w:numFmt w:val="bullet"/>
      <w:lvlText w:val="•"/>
      <w:lvlJc w:val="left"/>
      <w:pPr>
        <w:tabs>
          <w:tab w:val="num" w:pos="1440"/>
        </w:tabs>
        <w:ind w:left="1440" w:hanging="360"/>
      </w:pPr>
      <w:rPr>
        <w:rFonts w:ascii="Arial" w:hAnsi="Arial" w:hint="default"/>
      </w:rPr>
    </w:lvl>
    <w:lvl w:ilvl="2" w:tplc="7AEAE88C" w:tentative="1">
      <w:start w:val="1"/>
      <w:numFmt w:val="bullet"/>
      <w:lvlText w:val="•"/>
      <w:lvlJc w:val="left"/>
      <w:pPr>
        <w:tabs>
          <w:tab w:val="num" w:pos="2160"/>
        </w:tabs>
        <w:ind w:left="2160" w:hanging="360"/>
      </w:pPr>
      <w:rPr>
        <w:rFonts w:ascii="Arial" w:hAnsi="Arial" w:hint="default"/>
      </w:rPr>
    </w:lvl>
    <w:lvl w:ilvl="3" w:tplc="00F65736" w:tentative="1">
      <w:start w:val="1"/>
      <w:numFmt w:val="bullet"/>
      <w:lvlText w:val="•"/>
      <w:lvlJc w:val="left"/>
      <w:pPr>
        <w:tabs>
          <w:tab w:val="num" w:pos="2880"/>
        </w:tabs>
        <w:ind w:left="2880" w:hanging="360"/>
      </w:pPr>
      <w:rPr>
        <w:rFonts w:ascii="Arial" w:hAnsi="Arial" w:hint="default"/>
      </w:rPr>
    </w:lvl>
    <w:lvl w:ilvl="4" w:tplc="28F6ECF4" w:tentative="1">
      <w:start w:val="1"/>
      <w:numFmt w:val="bullet"/>
      <w:lvlText w:val="•"/>
      <w:lvlJc w:val="left"/>
      <w:pPr>
        <w:tabs>
          <w:tab w:val="num" w:pos="3600"/>
        </w:tabs>
        <w:ind w:left="3600" w:hanging="360"/>
      </w:pPr>
      <w:rPr>
        <w:rFonts w:ascii="Arial" w:hAnsi="Arial" w:hint="default"/>
      </w:rPr>
    </w:lvl>
    <w:lvl w:ilvl="5" w:tplc="FCBA2BC4" w:tentative="1">
      <w:start w:val="1"/>
      <w:numFmt w:val="bullet"/>
      <w:lvlText w:val="•"/>
      <w:lvlJc w:val="left"/>
      <w:pPr>
        <w:tabs>
          <w:tab w:val="num" w:pos="4320"/>
        </w:tabs>
        <w:ind w:left="4320" w:hanging="360"/>
      </w:pPr>
      <w:rPr>
        <w:rFonts w:ascii="Arial" w:hAnsi="Arial" w:hint="default"/>
      </w:rPr>
    </w:lvl>
    <w:lvl w:ilvl="6" w:tplc="47B8F28A" w:tentative="1">
      <w:start w:val="1"/>
      <w:numFmt w:val="bullet"/>
      <w:lvlText w:val="•"/>
      <w:lvlJc w:val="left"/>
      <w:pPr>
        <w:tabs>
          <w:tab w:val="num" w:pos="5040"/>
        </w:tabs>
        <w:ind w:left="5040" w:hanging="360"/>
      </w:pPr>
      <w:rPr>
        <w:rFonts w:ascii="Arial" w:hAnsi="Arial" w:hint="default"/>
      </w:rPr>
    </w:lvl>
    <w:lvl w:ilvl="7" w:tplc="4BC885B6" w:tentative="1">
      <w:start w:val="1"/>
      <w:numFmt w:val="bullet"/>
      <w:lvlText w:val="•"/>
      <w:lvlJc w:val="left"/>
      <w:pPr>
        <w:tabs>
          <w:tab w:val="num" w:pos="5760"/>
        </w:tabs>
        <w:ind w:left="5760" w:hanging="360"/>
      </w:pPr>
      <w:rPr>
        <w:rFonts w:ascii="Arial" w:hAnsi="Arial" w:hint="default"/>
      </w:rPr>
    </w:lvl>
    <w:lvl w:ilvl="8" w:tplc="33361B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5595E"/>
    <w:multiLevelType w:val="hybridMultilevel"/>
    <w:tmpl w:val="8B7A6BF6"/>
    <w:lvl w:ilvl="0" w:tplc="15DE2BC4">
      <w:start w:val="1"/>
      <w:numFmt w:val="bullet"/>
      <w:lvlText w:val="•"/>
      <w:lvlJc w:val="left"/>
      <w:pPr>
        <w:tabs>
          <w:tab w:val="num" w:pos="720"/>
        </w:tabs>
        <w:ind w:left="720" w:hanging="360"/>
      </w:pPr>
      <w:rPr>
        <w:rFonts w:ascii="Arial" w:hAnsi="Arial" w:hint="default"/>
      </w:rPr>
    </w:lvl>
    <w:lvl w:ilvl="1" w:tplc="78CA62A4" w:tentative="1">
      <w:start w:val="1"/>
      <w:numFmt w:val="bullet"/>
      <w:lvlText w:val="•"/>
      <w:lvlJc w:val="left"/>
      <w:pPr>
        <w:tabs>
          <w:tab w:val="num" w:pos="1440"/>
        </w:tabs>
        <w:ind w:left="1440" w:hanging="360"/>
      </w:pPr>
      <w:rPr>
        <w:rFonts w:ascii="Arial" w:hAnsi="Arial" w:hint="default"/>
      </w:rPr>
    </w:lvl>
    <w:lvl w:ilvl="2" w:tplc="942E175E" w:tentative="1">
      <w:start w:val="1"/>
      <w:numFmt w:val="bullet"/>
      <w:lvlText w:val="•"/>
      <w:lvlJc w:val="left"/>
      <w:pPr>
        <w:tabs>
          <w:tab w:val="num" w:pos="2160"/>
        </w:tabs>
        <w:ind w:left="2160" w:hanging="360"/>
      </w:pPr>
      <w:rPr>
        <w:rFonts w:ascii="Arial" w:hAnsi="Arial" w:hint="default"/>
      </w:rPr>
    </w:lvl>
    <w:lvl w:ilvl="3" w:tplc="F2F071D2" w:tentative="1">
      <w:start w:val="1"/>
      <w:numFmt w:val="bullet"/>
      <w:lvlText w:val="•"/>
      <w:lvlJc w:val="left"/>
      <w:pPr>
        <w:tabs>
          <w:tab w:val="num" w:pos="2880"/>
        </w:tabs>
        <w:ind w:left="2880" w:hanging="360"/>
      </w:pPr>
      <w:rPr>
        <w:rFonts w:ascii="Arial" w:hAnsi="Arial" w:hint="default"/>
      </w:rPr>
    </w:lvl>
    <w:lvl w:ilvl="4" w:tplc="E268516A" w:tentative="1">
      <w:start w:val="1"/>
      <w:numFmt w:val="bullet"/>
      <w:lvlText w:val="•"/>
      <w:lvlJc w:val="left"/>
      <w:pPr>
        <w:tabs>
          <w:tab w:val="num" w:pos="3600"/>
        </w:tabs>
        <w:ind w:left="3600" w:hanging="360"/>
      </w:pPr>
      <w:rPr>
        <w:rFonts w:ascii="Arial" w:hAnsi="Arial" w:hint="default"/>
      </w:rPr>
    </w:lvl>
    <w:lvl w:ilvl="5" w:tplc="B1942F6E" w:tentative="1">
      <w:start w:val="1"/>
      <w:numFmt w:val="bullet"/>
      <w:lvlText w:val="•"/>
      <w:lvlJc w:val="left"/>
      <w:pPr>
        <w:tabs>
          <w:tab w:val="num" w:pos="4320"/>
        </w:tabs>
        <w:ind w:left="4320" w:hanging="360"/>
      </w:pPr>
      <w:rPr>
        <w:rFonts w:ascii="Arial" w:hAnsi="Arial" w:hint="default"/>
      </w:rPr>
    </w:lvl>
    <w:lvl w:ilvl="6" w:tplc="E0FEF1F6" w:tentative="1">
      <w:start w:val="1"/>
      <w:numFmt w:val="bullet"/>
      <w:lvlText w:val="•"/>
      <w:lvlJc w:val="left"/>
      <w:pPr>
        <w:tabs>
          <w:tab w:val="num" w:pos="5040"/>
        </w:tabs>
        <w:ind w:left="5040" w:hanging="360"/>
      </w:pPr>
      <w:rPr>
        <w:rFonts w:ascii="Arial" w:hAnsi="Arial" w:hint="default"/>
      </w:rPr>
    </w:lvl>
    <w:lvl w:ilvl="7" w:tplc="25209900" w:tentative="1">
      <w:start w:val="1"/>
      <w:numFmt w:val="bullet"/>
      <w:lvlText w:val="•"/>
      <w:lvlJc w:val="left"/>
      <w:pPr>
        <w:tabs>
          <w:tab w:val="num" w:pos="5760"/>
        </w:tabs>
        <w:ind w:left="5760" w:hanging="360"/>
      </w:pPr>
      <w:rPr>
        <w:rFonts w:ascii="Arial" w:hAnsi="Arial" w:hint="default"/>
      </w:rPr>
    </w:lvl>
    <w:lvl w:ilvl="8" w:tplc="32CAFC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7131B9"/>
    <w:multiLevelType w:val="hybridMultilevel"/>
    <w:tmpl w:val="9CFCF8E0"/>
    <w:lvl w:ilvl="0" w:tplc="63067336">
      <w:start w:val="1"/>
      <w:numFmt w:val="bullet"/>
      <w:lvlText w:val="•"/>
      <w:lvlJc w:val="left"/>
      <w:pPr>
        <w:tabs>
          <w:tab w:val="num" w:pos="720"/>
        </w:tabs>
        <w:ind w:left="720" w:hanging="360"/>
      </w:pPr>
      <w:rPr>
        <w:rFonts w:ascii="Arial" w:hAnsi="Arial" w:hint="default"/>
      </w:rPr>
    </w:lvl>
    <w:lvl w:ilvl="1" w:tplc="59742C28" w:tentative="1">
      <w:start w:val="1"/>
      <w:numFmt w:val="bullet"/>
      <w:lvlText w:val="•"/>
      <w:lvlJc w:val="left"/>
      <w:pPr>
        <w:tabs>
          <w:tab w:val="num" w:pos="1440"/>
        </w:tabs>
        <w:ind w:left="1440" w:hanging="360"/>
      </w:pPr>
      <w:rPr>
        <w:rFonts w:ascii="Arial" w:hAnsi="Arial" w:hint="default"/>
      </w:rPr>
    </w:lvl>
    <w:lvl w:ilvl="2" w:tplc="6B60B944" w:tentative="1">
      <w:start w:val="1"/>
      <w:numFmt w:val="bullet"/>
      <w:lvlText w:val="•"/>
      <w:lvlJc w:val="left"/>
      <w:pPr>
        <w:tabs>
          <w:tab w:val="num" w:pos="2160"/>
        </w:tabs>
        <w:ind w:left="2160" w:hanging="360"/>
      </w:pPr>
      <w:rPr>
        <w:rFonts w:ascii="Arial" w:hAnsi="Arial" w:hint="default"/>
      </w:rPr>
    </w:lvl>
    <w:lvl w:ilvl="3" w:tplc="E94EFCB4" w:tentative="1">
      <w:start w:val="1"/>
      <w:numFmt w:val="bullet"/>
      <w:lvlText w:val="•"/>
      <w:lvlJc w:val="left"/>
      <w:pPr>
        <w:tabs>
          <w:tab w:val="num" w:pos="2880"/>
        </w:tabs>
        <w:ind w:left="2880" w:hanging="360"/>
      </w:pPr>
      <w:rPr>
        <w:rFonts w:ascii="Arial" w:hAnsi="Arial" w:hint="default"/>
      </w:rPr>
    </w:lvl>
    <w:lvl w:ilvl="4" w:tplc="33A6E4C0" w:tentative="1">
      <w:start w:val="1"/>
      <w:numFmt w:val="bullet"/>
      <w:lvlText w:val="•"/>
      <w:lvlJc w:val="left"/>
      <w:pPr>
        <w:tabs>
          <w:tab w:val="num" w:pos="3600"/>
        </w:tabs>
        <w:ind w:left="3600" w:hanging="360"/>
      </w:pPr>
      <w:rPr>
        <w:rFonts w:ascii="Arial" w:hAnsi="Arial" w:hint="default"/>
      </w:rPr>
    </w:lvl>
    <w:lvl w:ilvl="5" w:tplc="2BEE92EA" w:tentative="1">
      <w:start w:val="1"/>
      <w:numFmt w:val="bullet"/>
      <w:lvlText w:val="•"/>
      <w:lvlJc w:val="left"/>
      <w:pPr>
        <w:tabs>
          <w:tab w:val="num" w:pos="4320"/>
        </w:tabs>
        <w:ind w:left="4320" w:hanging="360"/>
      </w:pPr>
      <w:rPr>
        <w:rFonts w:ascii="Arial" w:hAnsi="Arial" w:hint="default"/>
      </w:rPr>
    </w:lvl>
    <w:lvl w:ilvl="6" w:tplc="8884B898" w:tentative="1">
      <w:start w:val="1"/>
      <w:numFmt w:val="bullet"/>
      <w:lvlText w:val="•"/>
      <w:lvlJc w:val="left"/>
      <w:pPr>
        <w:tabs>
          <w:tab w:val="num" w:pos="5040"/>
        </w:tabs>
        <w:ind w:left="5040" w:hanging="360"/>
      </w:pPr>
      <w:rPr>
        <w:rFonts w:ascii="Arial" w:hAnsi="Arial" w:hint="default"/>
      </w:rPr>
    </w:lvl>
    <w:lvl w:ilvl="7" w:tplc="51C66F74" w:tentative="1">
      <w:start w:val="1"/>
      <w:numFmt w:val="bullet"/>
      <w:lvlText w:val="•"/>
      <w:lvlJc w:val="left"/>
      <w:pPr>
        <w:tabs>
          <w:tab w:val="num" w:pos="5760"/>
        </w:tabs>
        <w:ind w:left="5760" w:hanging="360"/>
      </w:pPr>
      <w:rPr>
        <w:rFonts w:ascii="Arial" w:hAnsi="Arial" w:hint="default"/>
      </w:rPr>
    </w:lvl>
    <w:lvl w:ilvl="8" w:tplc="43B299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D749D1"/>
    <w:multiLevelType w:val="hybridMultilevel"/>
    <w:tmpl w:val="2A06AB14"/>
    <w:lvl w:ilvl="0" w:tplc="AF224DC6">
      <w:start w:val="1"/>
      <w:numFmt w:val="bullet"/>
      <w:lvlText w:val="•"/>
      <w:lvlJc w:val="left"/>
      <w:pPr>
        <w:tabs>
          <w:tab w:val="num" w:pos="720"/>
        </w:tabs>
        <w:ind w:left="720" w:hanging="360"/>
      </w:pPr>
      <w:rPr>
        <w:rFonts w:ascii="Arial" w:hAnsi="Arial" w:hint="default"/>
      </w:rPr>
    </w:lvl>
    <w:lvl w:ilvl="1" w:tplc="2C8A2B5A" w:tentative="1">
      <w:start w:val="1"/>
      <w:numFmt w:val="bullet"/>
      <w:lvlText w:val="•"/>
      <w:lvlJc w:val="left"/>
      <w:pPr>
        <w:tabs>
          <w:tab w:val="num" w:pos="1440"/>
        </w:tabs>
        <w:ind w:left="1440" w:hanging="360"/>
      </w:pPr>
      <w:rPr>
        <w:rFonts w:ascii="Arial" w:hAnsi="Arial" w:hint="default"/>
      </w:rPr>
    </w:lvl>
    <w:lvl w:ilvl="2" w:tplc="9410D6FC" w:tentative="1">
      <w:start w:val="1"/>
      <w:numFmt w:val="bullet"/>
      <w:lvlText w:val="•"/>
      <w:lvlJc w:val="left"/>
      <w:pPr>
        <w:tabs>
          <w:tab w:val="num" w:pos="2160"/>
        </w:tabs>
        <w:ind w:left="2160" w:hanging="360"/>
      </w:pPr>
      <w:rPr>
        <w:rFonts w:ascii="Arial" w:hAnsi="Arial" w:hint="default"/>
      </w:rPr>
    </w:lvl>
    <w:lvl w:ilvl="3" w:tplc="07966566" w:tentative="1">
      <w:start w:val="1"/>
      <w:numFmt w:val="bullet"/>
      <w:lvlText w:val="•"/>
      <w:lvlJc w:val="left"/>
      <w:pPr>
        <w:tabs>
          <w:tab w:val="num" w:pos="2880"/>
        </w:tabs>
        <w:ind w:left="2880" w:hanging="360"/>
      </w:pPr>
      <w:rPr>
        <w:rFonts w:ascii="Arial" w:hAnsi="Arial" w:hint="default"/>
      </w:rPr>
    </w:lvl>
    <w:lvl w:ilvl="4" w:tplc="7FD47F84" w:tentative="1">
      <w:start w:val="1"/>
      <w:numFmt w:val="bullet"/>
      <w:lvlText w:val="•"/>
      <w:lvlJc w:val="left"/>
      <w:pPr>
        <w:tabs>
          <w:tab w:val="num" w:pos="3600"/>
        </w:tabs>
        <w:ind w:left="3600" w:hanging="360"/>
      </w:pPr>
      <w:rPr>
        <w:rFonts w:ascii="Arial" w:hAnsi="Arial" w:hint="default"/>
      </w:rPr>
    </w:lvl>
    <w:lvl w:ilvl="5" w:tplc="4ED23266" w:tentative="1">
      <w:start w:val="1"/>
      <w:numFmt w:val="bullet"/>
      <w:lvlText w:val="•"/>
      <w:lvlJc w:val="left"/>
      <w:pPr>
        <w:tabs>
          <w:tab w:val="num" w:pos="4320"/>
        </w:tabs>
        <w:ind w:left="4320" w:hanging="360"/>
      </w:pPr>
      <w:rPr>
        <w:rFonts w:ascii="Arial" w:hAnsi="Arial" w:hint="default"/>
      </w:rPr>
    </w:lvl>
    <w:lvl w:ilvl="6" w:tplc="C1E05170" w:tentative="1">
      <w:start w:val="1"/>
      <w:numFmt w:val="bullet"/>
      <w:lvlText w:val="•"/>
      <w:lvlJc w:val="left"/>
      <w:pPr>
        <w:tabs>
          <w:tab w:val="num" w:pos="5040"/>
        </w:tabs>
        <w:ind w:left="5040" w:hanging="360"/>
      </w:pPr>
      <w:rPr>
        <w:rFonts w:ascii="Arial" w:hAnsi="Arial" w:hint="default"/>
      </w:rPr>
    </w:lvl>
    <w:lvl w:ilvl="7" w:tplc="9130530C" w:tentative="1">
      <w:start w:val="1"/>
      <w:numFmt w:val="bullet"/>
      <w:lvlText w:val="•"/>
      <w:lvlJc w:val="left"/>
      <w:pPr>
        <w:tabs>
          <w:tab w:val="num" w:pos="5760"/>
        </w:tabs>
        <w:ind w:left="5760" w:hanging="360"/>
      </w:pPr>
      <w:rPr>
        <w:rFonts w:ascii="Arial" w:hAnsi="Arial" w:hint="default"/>
      </w:rPr>
    </w:lvl>
    <w:lvl w:ilvl="8" w:tplc="7592BB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EC0B29"/>
    <w:multiLevelType w:val="hybridMultilevel"/>
    <w:tmpl w:val="CB448A56"/>
    <w:lvl w:ilvl="0" w:tplc="68E45760">
      <w:start w:val="1"/>
      <w:numFmt w:val="bullet"/>
      <w:lvlText w:val="•"/>
      <w:lvlJc w:val="left"/>
      <w:pPr>
        <w:tabs>
          <w:tab w:val="num" w:pos="720"/>
        </w:tabs>
        <w:ind w:left="720" w:hanging="360"/>
      </w:pPr>
      <w:rPr>
        <w:rFonts w:ascii="Arial" w:hAnsi="Arial" w:hint="default"/>
      </w:rPr>
    </w:lvl>
    <w:lvl w:ilvl="1" w:tplc="950A3790" w:tentative="1">
      <w:start w:val="1"/>
      <w:numFmt w:val="bullet"/>
      <w:lvlText w:val="•"/>
      <w:lvlJc w:val="left"/>
      <w:pPr>
        <w:tabs>
          <w:tab w:val="num" w:pos="1440"/>
        </w:tabs>
        <w:ind w:left="1440" w:hanging="360"/>
      </w:pPr>
      <w:rPr>
        <w:rFonts w:ascii="Arial" w:hAnsi="Arial" w:hint="default"/>
      </w:rPr>
    </w:lvl>
    <w:lvl w:ilvl="2" w:tplc="F8B83528" w:tentative="1">
      <w:start w:val="1"/>
      <w:numFmt w:val="bullet"/>
      <w:lvlText w:val="•"/>
      <w:lvlJc w:val="left"/>
      <w:pPr>
        <w:tabs>
          <w:tab w:val="num" w:pos="2160"/>
        </w:tabs>
        <w:ind w:left="2160" w:hanging="360"/>
      </w:pPr>
      <w:rPr>
        <w:rFonts w:ascii="Arial" w:hAnsi="Arial" w:hint="default"/>
      </w:rPr>
    </w:lvl>
    <w:lvl w:ilvl="3" w:tplc="B764FA86" w:tentative="1">
      <w:start w:val="1"/>
      <w:numFmt w:val="bullet"/>
      <w:lvlText w:val="•"/>
      <w:lvlJc w:val="left"/>
      <w:pPr>
        <w:tabs>
          <w:tab w:val="num" w:pos="2880"/>
        </w:tabs>
        <w:ind w:left="2880" w:hanging="360"/>
      </w:pPr>
      <w:rPr>
        <w:rFonts w:ascii="Arial" w:hAnsi="Arial" w:hint="default"/>
      </w:rPr>
    </w:lvl>
    <w:lvl w:ilvl="4" w:tplc="9D5AF350" w:tentative="1">
      <w:start w:val="1"/>
      <w:numFmt w:val="bullet"/>
      <w:lvlText w:val="•"/>
      <w:lvlJc w:val="left"/>
      <w:pPr>
        <w:tabs>
          <w:tab w:val="num" w:pos="3600"/>
        </w:tabs>
        <w:ind w:left="3600" w:hanging="360"/>
      </w:pPr>
      <w:rPr>
        <w:rFonts w:ascii="Arial" w:hAnsi="Arial" w:hint="default"/>
      </w:rPr>
    </w:lvl>
    <w:lvl w:ilvl="5" w:tplc="0CA430CE" w:tentative="1">
      <w:start w:val="1"/>
      <w:numFmt w:val="bullet"/>
      <w:lvlText w:val="•"/>
      <w:lvlJc w:val="left"/>
      <w:pPr>
        <w:tabs>
          <w:tab w:val="num" w:pos="4320"/>
        </w:tabs>
        <w:ind w:left="4320" w:hanging="360"/>
      </w:pPr>
      <w:rPr>
        <w:rFonts w:ascii="Arial" w:hAnsi="Arial" w:hint="default"/>
      </w:rPr>
    </w:lvl>
    <w:lvl w:ilvl="6" w:tplc="D596833A" w:tentative="1">
      <w:start w:val="1"/>
      <w:numFmt w:val="bullet"/>
      <w:lvlText w:val="•"/>
      <w:lvlJc w:val="left"/>
      <w:pPr>
        <w:tabs>
          <w:tab w:val="num" w:pos="5040"/>
        </w:tabs>
        <w:ind w:left="5040" w:hanging="360"/>
      </w:pPr>
      <w:rPr>
        <w:rFonts w:ascii="Arial" w:hAnsi="Arial" w:hint="default"/>
      </w:rPr>
    </w:lvl>
    <w:lvl w:ilvl="7" w:tplc="B652EA74" w:tentative="1">
      <w:start w:val="1"/>
      <w:numFmt w:val="bullet"/>
      <w:lvlText w:val="•"/>
      <w:lvlJc w:val="left"/>
      <w:pPr>
        <w:tabs>
          <w:tab w:val="num" w:pos="5760"/>
        </w:tabs>
        <w:ind w:left="5760" w:hanging="360"/>
      </w:pPr>
      <w:rPr>
        <w:rFonts w:ascii="Arial" w:hAnsi="Arial" w:hint="default"/>
      </w:rPr>
    </w:lvl>
    <w:lvl w:ilvl="8" w:tplc="2CEE24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40429F"/>
    <w:multiLevelType w:val="hybridMultilevel"/>
    <w:tmpl w:val="3D3EEC72"/>
    <w:lvl w:ilvl="0" w:tplc="5FACC7D4">
      <w:start w:val="1"/>
      <w:numFmt w:val="bullet"/>
      <w:lvlText w:val="•"/>
      <w:lvlJc w:val="left"/>
      <w:pPr>
        <w:tabs>
          <w:tab w:val="num" w:pos="720"/>
        </w:tabs>
        <w:ind w:left="720" w:hanging="360"/>
      </w:pPr>
      <w:rPr>
        <w:rFonts w:ascii="Arial" w:hAnsi="Arial" w:hint="default"/>
      </w:rPr>
    </w:lvl>
    <w:lvl w:ilvl="1" w:tplc="A498C7B2">
      <w:start w:val="1"/>
      <w:numFmt w:val="bullet"/>
      <w:lvlText w:val="•"/>
      <w:lvlJc w:val="left"/>
      <w:pPr>
        <w:tabs>
          <w:tab w:val="num" w:pos="1440"/>
        </w:tabs>
        <w:ind w:left="1440" w:hanging="360"/>
      </w:pPr>
      <w:rPr>
        <w:rFonts w:ascii="Arial" w:hAnsi="Arial" w:hint="default"/>
      </w:rPr>
    </w:lvl>
    <w:lvl w:ilvl="2" w:tplc="7E90E62A" w:tentative="1">
      <w:start w:val="1"/>
      <w:numFmt w:val="bullet"/>
      <w:lvlText w:val="•"/>
      <w:lvlJc w:val="left"/>
      <w:pPr>
        <w:tabs>
          <w:tab w:val="num" w:pos="2160"/>
        </w:tabs>
        <w:ind w:left="2160" w:hanging="360"/>
      </w:pPr>
      <w:rPr>
        <w:rFonts w:ascii="Arial" w:hAnsi="Arial" w:hint="default"/>
      </w:rPr>
    </w:lvl>
    <w:lvl w:ilvl="3" w:tplc="74427CDE" w:tentative="1">
      <w:start w:val="1"/>
      <w:numFmt w:val="bullet"/>
      <w:lvlText w:val="•"/>
      <w:lvlJc w:val="left"/>
      <w:pPr>
        <w:tabs>
          <w:tab w:val="num" w:pos="2880"/>
        </w:tabs>
        <w:ind w:left="2880" w:hanging="360"/>
      </w:pPr>
      <w:rPr>
        <w:rFonts w:ascii="Arial" w:hAnsi="Arial" w:hint="default"/>
      </w:rPr>
    </w:lvl>
    <w:lvl w:ilvl="4" w:tplc="B4802934" w:tentative="1">
      <w:start w:val="1"/>
      <w:numFmt w:val="bullet"/>
      <w:lvlText w:val="•"/>
      <w:lvlJc w:val="left"/>
      <w:pPr>
        <w:tabs>
          <w:tab w:val="num" w:pos="3600"/>
        </w:tabs>
        <w:ind w:left="3600" w:hanging="360"/>
      </w:pPr>
      <w:rPr>
        <w:rFonts w:ascii="Arial" w:hAnsi="Arial" w:hint="default"/>
      </w:rPr>
    </w:lvl>
    <w:lvl w:ilvl="5" w:tplc="3D265B54" w:tentative="1">
      <w:start w:val="1"/>
      <w:numFmt w:val="bullet"/>
      <w:lvlText w:val="•"/>
      <w:lvlJc w:val="left"/>
      <w:pPr>
        <w:tabs>
          <w:tab w:val="num" w:pos="4320"/>
        </w:tabs>
        <w:ind w:left="4320" w:hanging="360"/>
      </w:pPr>
      <w:rPr>
        <w:rFonts w:ascii="Arial" w:hAnsi="Arial" w:hint="default"/>
      </w:rPr>
    </w:lvl>
    <w:lvl w:ilvl="6" w:tplc="0A68A5CC" w:tentative="1">
      <w:start w:val="1"/>
      <w:numFmt w:val="bullet"/>
      <w:lvlText w:val="•"/>
      <w:lvlJc w:val="left"/>
      <w:pPr>
        <w:tabs>
          <w:tab w:val="num" w:pos="5040"/>
        </w:tabs>
        <w:ind w:left="5040" w:hanging="360"/>
      </w:pPr>
      <w:rPr>
        <w:rFonts w:ascii="Arial" w:hAnsi="Arial" w:hint="default"/>
      </w:rPr>
    </w:lvl>
    <w:lvl w:ilvl="7" w:tplc="05783850" w:tentative="1">
      <w:start w:val="1"/>
      <w:numFmt w:val="bullet"/>
      <w:lvlText w:val="•"/>
      <w:lvlJc w:val="left"/>
      <w:pPr>
        <w:tabs>
          <w:tab w:val="num" w:pos="5760"/>
        </w:tabs>
        <w:ind w:left="5760" w:hanging="360"/>
      </w:pPr>
      <w:rPr>
        <w:rFonts w:ascii="Arial" w:hAnsi="Arial" w:hint="default"/>
      </w:rPr>
    </w:lvl>
    <w:lvl w:ilvl="8" w:tplc="A55AF1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BE0687"/>
    <w:multiLevelType w:val="hybridMultilevel"/>
    <w:tmpl w:val="1C6831C0"/>
    <w:lvl w:ilvl="0" w:tplc="EA3C85A4">
      <w:start w:val="1"/>
      <w:numFmt w:val="bullet"/>
      <w:lvlText w:val="•"/>
      <w:lvlJc w:val="left"/>
      <w:pPr>
        <w:tabs>
          <w:tab w:val="num" w:pos="720"/>
        </w:tabs>
        <w:ind w:left="720" w:hanging="360"/>
      </w:pPr>
      <w:rPr>
        <w:rFonts w:ascii="Arial" w:hAnsi="Arial" w:hint="default"/>
      </w:rPr>
    </w:lvl>
    <w:lvl w:ilvl="1" w:tplc="85629E84" w:tentative="1">
      <w:start w:val="1"/>
      <w:numFmt w:val="bullet"/>
      <w:lvlText w:val="•"/>
      <w:lvlJc w:val="left"/>
      <w:pPr>
        <w:tabs>
          <w:tab w:val="num" w:pos="1440"/>
        </w:tabs>
        <w:ind w:left="1440" w:hanging="360"/>
      </w:pPr>
      <w:rPr>
        <w:rFonts w:ascii="Arial" w:hAnsi="Arial" w:hint="default"/>
      </w:rPr>
    </w:lvl>
    <w:lvl w:ilvl="2" w:tplc="BB02ABD2" w:tentative="1">
      <w:start w:val="1"/>
      <w:numFmt w:val="bullet"/>
      <w:lvlText w:val="•"/>
      <w:lvlJc w:val="left"/>
      <w:pPr>
        <w:tabs>
          <w:tab w:val="num" w:pos="2160"/>
        </w:tabs>
        <w:ind w:left="2160" w:hanging="360"/>
      </w:pPr>
      <w:rPr>
        <w:rFonts w:ascii="Arial" w:hAnsi="Arial" w:hint="default"/>
      </w:rPr>
    </w:lvl>
    <w:lvl w:ilvl="3" w:tplc="2BC8E4DC" w:tentative="1">
      <w:start w:val="1"/>
      <w:numFmt w:val="bullet"/>
      <w:lvlText w:val="•"/>
      <w:lvlJc w:val="left"/>
      <w:pPr>
        <w:tabs>
          <w:tab w:val="num" w:pos="2880"/>
        </w:tabs>
        <w:ind w:left="2880" w:hanging="360"/>
      </w:pPr>
      <w:rPr>
        <w:rFonts w:ascii="Arial" w:hAnsi="Arial" w:hint="default"/>
      </w:rPr>
    </w:lvl>
    <w:lvl w:ilvl="4" w:tplc="7E20FBBA" w:tentative="1">
      <w:start w:val="1"/>
      <w:numFmt w:val="bullet"/>
      <w:lvlText w:val="•"/>
      <w:lvlJc w:val="left"/>
      <w:pPr>
        <w:tabs>
          <w:tab w:val="num" w:pos="3600"/>
        </w:tabs>
        <w:ind w:left="3600" w:hanging="360"/>
      </w:pPr>
      <w:rPr>
        <w:rFonts w:ascii="Arial" w:hAnsi="Arial" w:hint="default"/>
      </w:rPr>
    </w:lvl>
    <w:lvl w:ilvl="5" w:tplc="CB82EB6E" w:tentative="1">
      <w:start w:val="1"/>
      <w:numFmt w:val="bullet"/>
      <w:lvlText w:val="•"/>
      <w:lvlJc w:val="left"/>
      <w:pPr>
        <w:tabs>
          <w:tab w:val="num" w:pos="4320"/>
        </w:tabs>
        <w:ind w:left="4320" w:hanging="360"/>
      </w:pPr>
      <w:rPr>
        <w:rFonts w:ascii="Arial" w:hAnsi="Arial" w:hint="default"/>
      </w:rPr>
    </w:lvl>
    <w:lvl w:ilvl="6" w:tplc="987EA10A" w:tentative="1">
      <w:start w:val="1"/>
      <w:numFmt w:val="bullet"/>
      <w:lvlText w:val="•"/>
      <w:lvlJc w:val="left"/>
      <w:pPr>
        <w:tabs>
          <w:tab w:val="num" w:pos="5040"/>
        </w:tabs>
        <w:ind w:left="5040" w:hanging="360"/>
      </w:pPr>
      <w:rPr>
        <w:rFonts w:ascii="Arial" w:hAnsi="Arial" w:hint="default"/>
      </w:rPr>
    </w:lvl>
    <w:lvl w:ilvl="7" w:tplc="9536E442" w:tentative="1">
      <w:start w:val="1"/>
      <w:numFmt w:val="bullet"/>
      <w:lvlText w:val="•"/>
      <w:lvlJc w:val="left"/>
      <w:pPr>
        <w:tabs>
          <w:tab w:val="num" w:pos="5760"/>
        </w:tabs>
        <w:ind w:left="5760" w:hanging="360"/>
      </w:pPr>
      <w:rPr>
        <w:rFonts w:ascii="Arial" w:hAnsi="Arial" w:hint="default"/>
      </w:rPr>
    </w:lvl>
    <w:lvl w:ilvl="8" w:tplc="34DE92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884AF3"/>
    <w:multiLevelType w:val="hybridMultilevel"/>
    <w:tmpl w:val="2DEC0C5C"/>
    <w:lvl w:ilvl="0" w:tplc="9E048A02">
      <w:start w:val="1"/>
      <w:numFmt w:val="bullet"/>
      <w:lvlText w:val="•"/>
      <w:lvlJc w:val="left"/>
      <w:pPr>
        <w:tabs>
          <w:tab w:val="num" w:pos="720"/>
        </w:tabs>
        <w:ind w:left="720" w:hanging="360"/>
      </w:pPr>
      <w:rPr>
        <w:rFonts w:ascii="Arial" w:hAnsi="Arial" w:hint="default"/>
      </w:rPr>
    </w:lvl>
    <w:lvl w:ilvl="1" w:tplc="06042726" w:tentative="1">
      <w:start w:val="1"/>
      <w:numFmt w:val="bullet"/>
      <w:lvlText w:val="•"/>
      <w:lvlJc w:val="left"/>
      <w:pPr>
        <w:tabs>
          <w:tab w:val="num" w:pos="1440"/>
        </w:tabs>
        <w:ind w:left="1440" w:hanging="360"/>
      </w:pPr>
      <w:rPr>
        <w:rFonts w:ascii="Arial" w:hAnsi="Arial" w:hint="default"/>
      </w:rPr>
    </w:lvl>
    <w:lvl w:ilvl="2" w:tplc="3CC0E280" w:tentative="1">
      <w:start w:val="1"/>
      <w:numFmt w:val="bullet"/>
      <w:lvlText w:val="•"/>
      <w:lvlJc w:val="left"/>
      <w:pPr>
        <w:tabs>
          <w:tab w:val="num" w:pos="2160"/>
        </w:tabs>
        <w:ind w:left="2160" w:hanging="360"/>
      </w:pPr>
      <w:rPr>
        <w:rFonts w:ascii="Arial" w:hAnsi="Arial" w:hint="default"/>
      </w:rPr>
    </w:lvl>
    <w:lvl w:ilvl="3" w:tplc="FEE2D57C" w:tentative="1">
      <w:start w:val="1"/>
      <w:numFmt w:val="bullet"/>
      <w:lvlText w:val="•"/>
      <w:lvlJc w:val="left"/>
      <w:pPr>
        <w:tabs>
          <w:tab w:val="num" w:pos="2880"/>
        </w:tabs>
        <w:ind w:left="2880" w:hanging="360"/>
      </w:pPr>
      <w:rPr>
        <w:rFonts w:ascii="Arial" w:hAnsi="Arial" w:hint="default"/>
      </w:rPr>
    </w:lvl>
    <w:lvl w:ilvl="4" w:tplc="6F00CE62" w:tentative="1">
      <w:start w:val="1"/>
      <w:numFmt w:val="bullet"/>
      <w:lvlText w:val="•"/>
      <w:lvlJc w:val="left"/>
      <w:pPr>
        <w:tabs>
          <w:tab w:val="num" w:pos="3600"/>
        </w:tabs>
        <w:ind w:left="3600" w:hanging="360"/>
      </w:pPr>
      <w:rPr>
        <w:rFonts w:ascii="Arial" w:hAnsi="Arial" w:hint="default"/>
      </w:rPr>
    </w:lvl>
    <w:lvl w:ilvl="5" w:tplc="18B65C0A" w:tentative="1">
      <w:start w:val="1"/>
      <w:numFmt w:val="bullet"/>
      <w:lvlText w:val="•"/>
      <w:lvlJc w:val="left"/>
      <w:pPr>
        <w:tabs>
          <w:tab w:val="num" w:pos="4320"/>
        </w:tabs>
        <w:ind w:left="4320" w:hanging="360"/>
      </w:pPr>
      <w:rPr>
        <w:rFonts w:ascii="Arial" w:hAnsi="Arial" w:hint="default"/>
      </w:rPr>
    </w:lvl>
    <w:lvl w:ilvl="6" w:tplc="6DE46386" w:tentative="1">
      <w:start w:val="1"/>
      <w:numFmt w:val="bullet"/>
      <w:lvlText w:val="•"/>
      <w:lvlJc w:val="left"/>
      <w:pPr>
        <w:tabs>
          <w:tab w:val="num" w:pos="5040"/>
        </w:tabs>
        <w:ind w:left="5040" w:hanging="360"/>
      </w:pPr>
      <w:rPr>
        <w:rFonts w:ascii="Arial" w:hAnsi="Arial" w:hint="default"/>
      </w:rPr>
    </w:lvl>
    <w:lvl w:ilvl="7" w:tplc="A086E1FA" w:tentative="1">
      <w:start w:val="1"/>
      <w:numFmt w:val="bullet"/>
      <w:lvlText w:val="•"/>
      <w:lvlJc w:val="left"/>
      <w:pPr>
        <w:tabs>
          <w:tab w:val="num" w:pos="5760"/>
        </w:tabs>
        <w:ind w:left="5760" w:hanging="360"/>
      </w:pPr>
      <w:rPr>
        <w:rFonts w:ascii="Arial" w:hAnsi="Arial" w:hint="default"/>
      </w:rPr>
    </w:lvl>
    <w:lvl w:ilvl="8" w:tplc="DFC424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8C5389"/>
    <w:multiLevelType w:val="hybridMultilevel"/>
    <w:tmpl w:val="D55A8100"/>
    <w:lvl w:ilvl="0" w:tplc="6464BBDE">
      <w:start w:val="1"/>
      <w:numFmt w:val="bullet"/>
      <w:lvlText w:val="•"/>
      <w:lvlJc w:val="left"/>
      <w:pPr>
        <w:tabs>
          <w:tab w:val="num" w:pos="720"/>
        </w:tabs>
        <w:ind w:left="720" w:hanging="360"/>
      </w:pPr>
      <w:rPr>
        <w:rFonts w:ascii="Arial" w:hAnsi="Arial" w:hint="default"/>
      </w:rPr>
    </w:lvl>
    <w:lvl w:ilvl="1" w:tplc="D76830C4" w:tentative="1">
      <w:start w:val="1"/>
      <w:numFmt w:val="bullet"/>
      <w:lvlText w:val="•"/>
      <w:lvlJc w:val="left"/>
      <w:pPr>
        <w:tabs>
          <w:tab w:val="num" w:pos="1440"/>
        </w:tabs>
        <w:ind w:left="1440" w:hanging="360"/>
      </w:pPr>
      <w:rPr>
        <w:rFonts w:ascii="Arial" w:hAnsi="Arial" w:hint="default"/>
      </w:rPr>
    </w:lvl>
    <w:lvl w:ilvl="2" w:tplc="35AC96BA" w:tentative="1">
      <w:start w:val="1"/>
      <w:numFmt w:val="bullet"/>
      <w:lvlText w:val="•"/>
      <w:lvlJc w:val="left"/>
      <w:pPr>
        <w:tabs>
          <w:tab w:val="num" w:pos="2160"/>
        </w:tabs>
        <w:ind w:left="2160" w:hanging="360"/>
      </w:pPr>
      <w:rPr>
        <w:rFonts w:ascii="Arial" w:hAnsi="Arial" w:hint="default"/>
      </w:rPr>
    </w:lvl>
    <w:lvl w:ilvl="3" w:tplc="047C6CAE" w:tentative="1">
      <w:start w:val="1"/>
      <w:numFmt w:val="bullet"/>
      <w:lvlText w:val="•"/>
      <w:lvlJc w:val="left"/>
      <w:pPr>
        <w:tabs>
          <w:tab w:val="num" w:pos="2880"/>
        </w:tabs>
        <w:ind w:left="2880" w:hanging="360"/>
      </w:pPr>
      <w:rPr>
        <w:rFonts w:ascii="Arial" w:hAnsi="Arial" w:hint="default"/>
      </w:rPr>
    </w:lvl>
    <w:lvl w:ilvl="4" w:tplc="A912C70E" w:tentative="1">
      <w:start w:val="1"/>
      <w:numFmt w:val="bullet"/>
      <w:lvlText w:val="•"/>
      <w:lvlJc w:val="left"/>
      <w:pPr>
        <w:tabs>
          <w:tab w:val="num" w:pos="3600"/>
        </w:tabs>
        <w:ind w:left="3600" w:hanging="360"/>
      </w:pPr>
      <w:rPr>
        <w:rFonts w:ascii="Arial" w:hAnsi="Arial" w:hint="default"/>
      </w:rPr>
    </w:lvl>
    <w:lvl w:ilvl="5" w:tplc="EDDEF67E" w:tentative="1">
      <w:start w:val="1"/>
      <w:numFmt w:val="bullet"/>
      <w:lvlText w:val="•"/>
      <w:lvlJc w:val="left"/>
      <w:pPr>
        <w:tabs>
          <w:tab w:val="num" w:pos="4320"/>
        </w:tabs>
        <w:ind w:left="4320" w:hanging="360"/>
      </w:pPr>
      <w:rPr>
        <w:rFonts w:ascii="Arial" w:hAnsi="Arial" w:hint="default"/>
      </w:rPr>
    </w:lvl>
    <w:lvl w:ilvl="6" w:tplc="CC9E3D68" w:tentative="1">
      <w:start w:val="1"/>
      <w:numFmt w:val="bullet"/>
      <w:lvlText w:val="•"/>
      <w:lvlJc w:val="left"/>
      <w:pPr>
        <w:tabs>
          <w:tab w:val="num" w:pos="5040"/>
        </w:tabs>
        <w:ind w:left="5040" w:hanging="360"/>
      </w:pPr>
      <w:rPr>
        <w:rFonts w:ascii="Arial" w:hAnsi="Arial" w:hint="default"/>
      </w:rPr>
    </w:lvl>
    <w:lvl w:ilvl="7" w:tplc="412CC038" w:tentative="1">
      <w:start w:val="1"/>
      <w:numFmt w:val="bullet"/>
      <w:lvlText w:val="•"/>
      <w:lvlJc w:val="left"/>
      <w:pPr>
        <w:tabs>
          <w:tab w:val="num" w:pos="5760"/>
        </w:tabs>
        <w:ind w:left="5760" w:hanging="360"/>
      </w:pPr>
      <w:rPr>
        <w:rFonts w:ascii="Arial" w:hAnsi="Arial" w:hint="default"/>
      </w:rPr>
    </w:lvl>
    <w:lvl w:ilvl="8" w:tplc="A580C8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3400BC"/>
    <w:multiLevelType w:val="hybridMultilevel"/>
    <w:tmpl w:val="BC442878"/>
    <w:lvl w:ilvl="0" w:tplc="FBAEFB52">
      <w:start w:val="1"/>
      <w:numFmt w:val="bullet"/>
      <w:lvlText w:val="•"/>
      <w:lvlJc w:val="left"/>
      <w:pPr>
        <w:tabs>
          <w:tab w:val="num" w:pos="720"/>
        </w:tabs>
        <w:ind w:left="720" w:hanging="360"/>
      </w:pPr>
      <w:rPr>
        <w:rFonts w:ascii="Arial" w:hAnsi="Arial" w:hint="default"/>
      </w:rPr>
    </w:lvl>
    <w:lvl w:ilvl="1" w:tplc="07D49AF4" w:tentative="1">
      <w:start w:val="1"/>
      <w:numFmt w:val="bullet"/>
      <w:lvlText w:val="•"/>
      <w:lvlJc w:val="left"/>
      <w:pPr>
        <w:tabs>
          <w:tab w:val="num" w:pos="1440"/>
        </w:tabs>
        <w:ind w:left="1440" w:hanging="360"/>
      </w:pPr>
      <w:rPr>
        <w:rFonts w:ascii="Arial" w:hAnsi="Arial" w:hint="default"/>
      </w:rPr>
    </w:lvl>
    <w:lvl w:ilvl="2" w:tplc="2532474C" w:tentative="1">
      <w:start w:val="1"/>
      <w:numFmt w:val="bullet"/>
      <w:lvlText w:val="•"/>
      <w:lvlJc w:val="left"/>
      <w:pPr>
        <w:tabs>
          <w:tab w:val="num" w:pos="2160"/>
        </w:tabs>
        <w:ind w:left="2160" w:hanging="360"/>
      </w:pPr>
      <w:rPr>
        <w:rFonts w:ascii="Arial" w:hAnsi="Arial" w:hint="default"/>
      </w:rPr>
    </w:lvl>
    <w:lvl w:ilvl="3" w:tplc="9AD0B080" w:tentative="1">
      <w:start w:val="1"/>
      <w:numFmt w:val="bullet"/>
      <w:lvlText w:val="•"/>
      <w:lvlJc w:val="left"/>
      <w:pPr>
        <w:tabs>
          <w:tab w:val="num" w:pos="2880"/>
        </w:tabs>
        <w:ind w:left="2880" w:hanging="360"/>
      </w:pPr>
      <w:rPr>
        <w:rFonts w:ascii="Arial" w:hAnsi="Arial" w:hint="default"/>
      </w:rPr>
    </w:lvl>
    <w:lvl w:ilvl="4" w:tplc="984058DE" w:tentative="1">
      <w:start w:val="1"/>
      <w:numFmt w:val="bullet"/>
      <w:lvlText w:val="•"/>
      <w:lvlJc w:val="left"/>
      <w:pPr>
        <w:tabs>
          <w:tab w:val="num" w:pos="3600"/>
        </w:tabs>
        <w:ind w:left="3600" w:hanging="360"/>
      </w:pPr>
      <w:rPr>
        <w:rFonts w:ascii="Arial" w:hAnsi="Arial" w:hint="default"/>
      </w:rPr>
    </w:lvl>
    <w:lvl w:ilvl="5" w:tplc="BCD484FC" w:tentative="1">
      <w:start w:val="1"/>
      <w:numFmt w:val="bullet"/>
      <w:lvlText w:val="•"/>
      <w:lvlJc w:val="left"/>
      <w:pPr>
        <w:tabs>
          <w:tab w:val="num" w:pos="4320"/>
        </w:tabs>
        <w:ind w:left="4320" w:hanging="360"/>
      </w:pPr>
      <w:rPr>
        <w:rFonts w:ascii="Arial" w:hAnsi="Arial" w:hint="default"/>
      </w:rPr>
    </w:lvl>
    <w:lvl w:ilvl="6" w:tplc="2400825A" w:tentative="1">
      <w:start w:val="1"/>
      <w:numFmt w:val="bullet"/>
      <w:lvlText w:val="•"/>
      <w:lvlJc w:val="left"/>
      <w:pPr>
        <w:tabs>
          <w:tab w:val="num" w:pos="5040"/>
        </w:tabs>
        <w:ind w:left="5040" w:hanging="360"/>
      </w:pPr>
      <w:rPr>
        <w:rFonts w:ascii="Arial" w:hAnsi="Arial" w:hint="default"/>
      </w:rPr>
    </w:lvl>
    <w:lvl w:ilvl="7" w:tplc="24449D3A" w:tentative="1">
      <w:start w:val="1"/>
      <w:numFmt w:val="bullet"/>
      <w:lvlText w:val="•"/>
      <w:lvlJc w:val="left"/>
      <w:pPr>
        <w:tabs>
          <w:tab w:val="num" w:pos="5760"/>
        </w:tabs>
        <w:ind w:left="5760" w:hanging="360"/>
      </w:pPr>
      <w:rPr>
        <w:rFonts w:ascii="Arial" w:hAnsi="Arial" w:hint="default"/>
      </w:rPr>
    </w:lvl>
    <w:lvl w:ilvl="8" w:tplc="482408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3ED2F2E"/>
    <w:multiLevelType w:val="hybridMultilevel"/>
    <w:tmpl w:val="7CC647CE"/>
    <w:lvl w:ilvl="0" w:tplc="3A4828C2">
      <w:start w:val="1"/>
      <w:numFmt w:val="bullet"/>
      <w:lvlText w:val="•"/>
      <w:lvlJc w:val="left"/>
      <w:pPr>
        <w:tabs>
          <w:tab w:val="num" w:pos="720"/>
        </w:tabs>
        <w:ind w:left="720" w:hanging="360"/>
      </w:pPr>
      <w:rPr>
        <w:rFonts w:ascii="Arial" w:hAnsi="Arial" w:hint="default"/>
      </w:rPr>
    </w:lvl>
    <w:lvl w:ilvl="1" w:tplc="1936AE76" w:tentative="1">
      <w:start w:val="1"/>
      <w:numFmt w:val="bullet"/>
      <w:lvlText w:val="•"/>
      <w:lvlJc w:val="left"/>
      <w:pPr>
        <w:tabs>
          <w:tab w:val="num" w:pos="1440"/>
        </w:tabs>
        <w:ind w:left="1440" w:hanging="360"/>
      </w:pPr>
      <w:rPr>
        <w:rFonts w:ascii="Arial" w:hAnsi="Arial" w:hint="default"/>
      </w:rPr>
    </w:lvl>
    <w:lvl w:ilvl="2" w:tplc="8108B2BA" w:tentative="1">
      <w:start w:val="1"/>
      <w:numFmt w:val="bullet"/>
      <w:lvlText w:val="•"/>
      <w:lvlJc w:val="left"/>
      <w:pPr>
        <w:tabs>
          <w:tab w:val="num" w:pos="2160"/>
        </w:tabs>
        <w:ind w:left="2160" w:hanging="360"/>
      </w:pPr>
      <w:rPr>
        <w:rFonts w:ascii="Arial" w:hAnsi="Arial" w:hint="default"/>
      </w:rPr>
    </w:lvl>
    <w:lvl w:ilvl="3" w:tplc="33D83C12" w:tentative="1">
      <w:start w:val="1"/>
      <w:numFmt w:val="bullet"/>
      <w:lvlText w:val="•"/>
      <w:lvlJc w:val="left"/>
      <w:pPr>
        <w:tabs>
          <w:tab w:val="num" w:pos="2880"/>
        </w:tabs>
        <w:ind w:left="2880" w:hanging="360"/>
      </w:pPr>
      <w:rPr>
        <w:rFonts w:ascii="Arial" w:hAnsi="Arial" w:hint="default"/>
      </w:rPr>
    </w:lvl>
    <w:lvl w:ilvl="4" w:tplc="F46A15CE" w:tentative="1">
      <w:start w:val="1"/>
      <w:numFmt w:val="bullet"/>
      <w:lvlText w:val="•"/>
      <w:lvlJc w:val="left"/>
      <w:pPr>
        <w:tabs>
          <w:tab w:val="num" w:pos="3600"/>
        </w:tabs>
        <w:ind w:left="3600" w:hanging="360"/>
      </w:pPr>
      <w:rPr>
        <w:rFonts w:ascii="Arial" w:hAnsi="Arial" w:hint="default"/>
      </w:rPr>
    </w:lvl>
    <w:lvl w:ilvl="5" w:tplc="E0A01D4E" w:tentative="1">
      <w:start w:val="1"/>
      <w:numFmt w:val="bullet"/>
      <w:lvlText w:val="•"/>
      <w:lvlJc w:val="left"/>
      <w:pPr>
        <w:tabs>
          <w:tab w:val="num" w:pos="4320"/>
        </w:tabs>
        <w:ind w:left="4320" w:hanging="360"/>
      </w:pPr>
      <w:rPr>
        <w:rFonts w:ascii="Arial" w:hAnsi="Arial" w:hint="default"/>
      </w:rPr>
    </w:lvl>
    <w:lvl w:ilvl="6" w:tplc="9D86AE2A" w:tentative="1">
      <w:start w:val="1"/>
      <w:numFmt w:val="bullet"/>
      <w:lvlText w:val="•"/>
      <w:lvlJc w:val="left"/>
      <w:pPr>
        <w:tabs>
          <w:tab w:val="num" w:pos="5040"/>
        </w:tabs>
        <w:ind w:left="5040" w:hanging="360"/>
      </w:pPr>
      <w:rPr>
        <w:rFonts w:ascii="Arial" w:hAnsi="Arial" w:hint="default"/>
      </w:rPr>
    </w:lvl>
    <w:lvl w:ilvl="7" w:tplc="2550B564" w:tentative="1">
      <w:start w:val="1"/>
      <w:numFmt w:val="bullet"/>
      <w:lvlText w:val="•"/>
      <w:lvlJc w:val="left"/>
      <w:pPr>
        <w:tabs>
          <w:tab w:val="num" w:pos="5760"/>
        </w:tabs>
        <w:ind w:left="5760" w:hanging="360"/>
      </w:pPr>
      <w:rPr>
        <w:rFonts w:ascii="Arial" w:hAnsi="Arial" w:hint="default"/>
      </w:rPr>
    </w:lvl>
    <w:lvl w:ilvl="8" w:tplc="32203F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50A4620"/>
    <w:multiLevelType w:val="hybridMultilevel"/>
    <w:tmpl w:val="3D00BC0E"/>
    <w:lvl w:ilvl="0" w:tplc="479EEA6E">
      <w:start w:val="1"/>
      <w:numFmt w:val="bullet"/>
      <w:lvlText w:val="•"/>
      <w:lvlJc w:val="left"/>
      <w:pPr>
        <w:tabs>
          <w:tab w:val="num" w:pos="720"/>
        </w:tabs>
        <w:ind w:left="720" w:hanging="360"/>
      </w:pPr>
      <w:rPr>
        <w:rFonts w:ascii="Arial" w:hAnsi="Arial" w:hint="default"/>
      </w:rPr>
    </w:lvl>
    <w:lvl w:ilvl="1" w:tplc="235C0CC2" w:tentative="1">
      <w:start w:val="1"/>
      <w:numFmt w:val="bullet"/>
      <w:lvlText w:val="•"/>
      <w:lvlJc w:val="left"/>
      <w:pPr>
        <w:tabs>
          <w:tab w:val="num" w:pos="1440"/>
        </w:tabs>
        <w:ind w:left="1440" w:hanging="360"/>
      </w:pPr>
      <w:rPr>
        <w:rFonts w:ascii="Arial" w:hAnsi="Arial" w:hint="default"/>
      </w:rPr>
    </w:lvl>
    <w:lvl w:ilvl="2" w:tplc="C2CC9A2E" w:tentative="1">
      <w:start w:val="1"/>
      <w:numFmt w:val="bullet"/>
      <w:lvlText w:val="•"/>
      <w:lvlJc w:val="left"/>
      <w:pPr>
        <w:tabs>
          <w:tab w:val="num" w:pos="2160"/>
        </w:tabs>
        <w:ind w:left="2160" w:hanging="360"/>
      </w:pPr>
      <w:rPr>
        <w:rFonts w:ascii="Arial" w:hAnsi="Arial" w:hint="default"/>
      </w:rPr>
    </w:lvl>
    <w:lvl w:ilvl="3" w:tplc="4EB6190A" w:tentative="1">
      <w:start w:val="1"/>
      <w:numFmt w:val="bullet"/>
      <w:lvlText w:val="•"/>
      <w:lvlJc w:val="left"/>
      <w:pPr>
        <w:tabs>
          <w:tab w:val="num" w:pos="2880"/>
        </w:tabs>
        <w:ind w:left="2880" w:hanging="360"/>
      </w:pPr>
      <w:rPr>
        <w:rFonts w:ascii="Arial" w:hAnsi="Arial" w:hint="default"/>
      </w:rPr>
    </w:lvl>
    <w:lvl w:ilvl="4" w:tplc="E7703BD8" w:tentative="1">
      <w:start w:val="1"/>
      <w:numFmt w:val="bullet"/>
      <w:lvlText w:val="•"/>
      <w:lvlJc w:val="left"/>
      <w:pPr>
        <w:tabs>
          <w:tab w:val="num" w:pos="3600"/>
        </w:tabs>
        <w:ind w:left="3600" w:hanging="360"/>
      </w:pPr>
      <w:rPr>
        <w:rFonts w:ascii="Arial" w:hAnsi="Arial" w:hint="default"/>
      </w:rPr>
    </w:lvl>
    <w:lvl w:ilvl="5" w:tplc="1D48CEC0" w:tentative="1">
      <w:start w:val="1"/>
      <w:numFmt w:val="bullet"/>
      <w:lvlText w:val="•"/>
      <w:lvlJc w:val="left"/>
      <w:pPr>
        <w:tabs>
          <w:tab w:val="num" w:pos="4320"/>
        </w:tabs>
        <w:ind w:left="4320" w:hanging="360"/>
      </w:pPr>
      <w:rPr>
        <w:rFonts w:ascii="Arial" w:hAnsi="Arial" w:hint="default"/>
      </w:rPr>
    </w:lvl>
    <w:lvl w:ilvl="6" w:tplc="3580E080" w:tentative="1">
      <w:start w:val="1"/>
      <w:numFmt w:val="bullet"/>
      <w:lvlText w:val="•"/>
      <w:lvlJc w:val="left"/>
      <w:pPr>
        <w:tabs>
          <w:tab w:val="num" w:pos="5040"/>
        </w:tabs>
        <w:ind w:left="5040" w:hanging="360"/>
      </w:pPr>
      <w:rPr>
        <w:rFonts w:ascii="Arial" w:hAnsi="Arial" w:hint="default"/>
      </w:rPr>
    </w:lvl>
    <w:lvl w:ilvl="7" w:tplc="3530DC6E" w:tentative="1">
      <w:start w:val="1"/>
      <w:numFmt w:val="bullet"/>
      <w:lvlText w:val="•"/>
      <w:lvlJc w:val="left"/>
      <w:pPr>
        <w:tabs>
          <w:tab w:val="num" w:pos="5760"/>
        </w:tabs>
        <w:ind w:left="5760" w:hanging="360"/>
      </w:pPr>
      <w:rPr>
        <w:rFonts w:ascii="Arial" w:hAnsi="Arial" w:hint="default"/>
      </w:rPr>
    </w:lvl>
    <w:lvl w:ilvl="8" w:tplc="F48ADD1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CA6B79"/>
    <w:multiLevelType w:val="hybridMultilevel"/>
    <w:tmpl w:val="9692C432"/>
    <w:lvl w:ilvl="0" w:tplc="31CEF814">
      <w:start w:val="1"/>
      <w:numFmt w:val="bullet"/>
      <w:lvlText w:val="•"/>
      <w:lvlJc w:val="left"/>
      <w:pPr>
        <w:tabs>
          <w:tab w:val="num" w:pos="720"/>
        </w:tabs>
        <w:ind w:left="720" w:hanging="360"/>
      </w:pPr>
      <w:rPr>
        <w:rFonts w:ascii="Arial" w:hAnsi="Arial" w:hint="default"/>
      </w:rPr>
    </w:lvl>
    <w:lvl w:ilvl="1" w:tplc="E2A20CA8" w:tentative="1">
      <w:start w:val="1"/>
      <w:numFmt w:val="bullet"/>
      <w:lvlText w:val="•"/>
      <w:lvlJc w:val="left"/>
      <w:pPr>
        <w:tabs>
          <w:tab w:val="num" w:pos="1440"/>
        </w:tabs>
        <w:ind w:left="1440" w:hanging="360"/>
      </w:pPr>
      <w:rPr>
        <w:rFonts w:ascii="Arial" w:hAnsi="Arial" w:hint="default"/>
      </w:rPr>
    </w:lvl>
    <w:lvl w:ilvl="2" w:tplc="E3747E86" w:tentative="1">
      <w:start w:val="1"/>
      <w:numFmt w:val="bullet"/>
      <w:lvlText w:val="•"/>
      <w:lvlJc w:val="left"/>
      <w:pPr>
        <w:tabs>
          <w:tab w:val="num" w:pos="2160"/>
        </w:tabs>
        <w:ind w:left="2160" w:hanging="360"/>
      </w:pPr>
      <w:rPr>
        <w:rFonts w:ascii="Arial" w:hAnsi="Arial" w:hint="default"/>
      </w:rPr>
    </w:lvl>
    <w:lvl w:ilvl="3" w:tplc="5A387380" w:tentative="1">
      <w:start w:val="1"/>
      <w:numFmt w:val="bullet"/>
      <w:lvlText w:val="•"/>
      <w:lvlJc w:val="left"/>
      <w:pPr>
        <w:tabs>
          <w:tab w:val="num" w:pos="2880"/>
        </w:tabs>
        <w:ind w:left="2880" w:hanging="360"/>
      </w:pPr>
      <w:rPr>
        <w:rFonts w:ascii="Arial" w:hAnsi="Arial" w:hint="default"/>
      </w:rPr>
    </w:lvl>
    <w:lvl w:ilvl="4" w:tplc="6EFAED74" w:tentative="1">
      <w:start w:val="1"/>
      <w:numFmt w:val="bullet"/>
      <w:lvlText w:val="•"/>
      <w:lvlJc w:val="left"/>
      <w:pPr>
        <w:tabs>
          <w:tab w:val="num" w:pos="3600"/>
        </w:tabs>
        <w:ind w:left="3600" w:hanging="360"/>
      </w:pPr>
      <w:rPr>
        <w:rFonts w:ascii="Arial" w:hAnsi="Arial" w:hint="default"/>
      </w:rPr>
    </w:lvl>
    <w:lvl w:ilvl="5" w:tplc="0D803D9A" w:tentative="1">
      <w:start w:val="1"/>
      <w:numFmt w:val="bullet"/>
      <w:lvlText w:val="•"/>
      <w:lvlJc w:val="left"/>
      <w:pPr>
        <w:tabs>
          <w:tab w:val="num" w:pos="4320"/>
        </w:tabs>
        <w:ind w:left="4320" w:hanging="360"/>
      </w:pPr>
      <w:rPr>
        <w:rFonts w:ascii="Arial" w:hAnsi="Arial" w:hint="default"/>
      </w:rPr>
    </w:lvl>
    <w:lvl w:ilvl="6" w:tplc="A230AB10" w:tentative="1">
      <w:start w:val="1"/>
      <w:numFmt w:val="bullet"/>
      <w:lvlText w:val="•"/>
      <w:lvlJc w:val="left"/>
      <w:pPr>
        <w:tabs>
          <w:tab w:val="num" w:pos="5040"/>
        </w:tabs>
        <w:ind w:left="5040" w:hanging="360"/>
      </w:pPr>
      <w:rPr>
        <w:rFonts w:ascii="Arial" w:hAnsi="Arial" w:hint="default"/>
      </w:rPr>
    </w:lvl>
    <w:lvl w:ilvl="7" w:tplc="F13E8A0C" w:tentative="1">
      <w:start w:val="1"/>
      <w:numFmt w:val="bullet"/>
      <w:lvlText w:val="•"/>
      <w:lvlJc w:val="left"/>
      <w:pPr>
        <w:tabs>
          <w:tab w:val="num" w:pos="5760"/>
        </w:tabs>
        <w:ind w:left="5760" w:hanging="360"/>
      </w:pPr>
      <w:rPr>
        <w:rFonts w:ascii="Arial" w:hAnsi="Arial" w:hint="default"/>
      </w:rPr>
    </w:lvl>
    <w:lvl w:ilvl="8" w:tplc="7A30DE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90767FA"/>
    <w:multiLevelType w:val="hybridMultilevel"/>
    <w:tmpl w:val="38AA4E50"/>
    <w:lvl w:ilvl="0" w:tplc="B8169FA2">
      <w:start w:val="1"/>
      <w:numFmt w:val="bullet"/>
      <w:lvlText w:val="•"/>
      <w:lvlJc w:val="left"/>
      <w:pPr>
        <w:tabs>
          <w:tab w:val="num" w:pos="720"/>
        </w:tabs>
        <w:ind w:left="720" w:hanging="360"/>
      </w:pPr>
      <w:rPr>
        <w:rFonts w:ascii="Arial" w:hAnsi="Arial" w:hint="default"/>
      </w:rPr>
    </w:lvl>
    <w:lvl w:ilvl="1" w:tplc="9D963048" w:tentative="1">
      <w:start w:val="1"/>
      <w:numFmt w:val="bullet"/>
      <w:lvlText w:val="•"/>
      <w:lvlJc w:val="left"/>
      <w:pPr>
        <w:tabs>
          <w:tab w:val="num" w:pos="1440"/>
        </w:tabs>
        <w:ind w:left="1440" w:hanging="360"/>
      </w:pPr>
      <w:rPr>
        <w:rFonts w:ascii="Arial" w:hAnsi="Arial" w:hint="default"/>
      </w:rPr>
    </w:lvl>
    <w:lvl w:ilvl="2" w:tplc="C7A2241E" w:tentative="1">
      <w:start w:val="1"/>
      <w:numFmt w:val="bullet"/>
      <w:lvlText w:val="•"/>
      <w:lvlJc w:val="left"/>
      <w:pPr>
        <w:tabs>
          <w:tab w:val="num" w:pos="2160"/>
        </w:tabs>
        <w:ind w:left="2160" w:hanging="360"/>
      </w:pPr>
      <w:rPr>
        <w:rFonts w:ascii="Arial" w:hAnsi="Arial" w:hint="default"/>
      </w:rPr>
    </w:lvl>
    <w:lvl w:ilvl="3" w:tplc="1652C55C" w:tentative="1">
      <w:start w:val="1"/>
      <w:numFmt w:val="bullet"/>
      <w:lvlText w:val="•"/>
      <w:lvlJc w:val="left"/>
      <w:pPr>
        <w:tabs>
          <w:tab w:val="num" w:pos="2880"/>
        </w:tabs>
        <w:ind w:left="2880" w:hanging="360"/>
      </w:pPr>
      <w:rPr>
        <w:rFonts w:ascii="Arial" w:hAnsi="Arial" w:hint="default"/>
      </w:rPr>
    </w:lvl>
    <w:lvl w:ilvl="4" w:tplc="09B01CCA" w:tentative="1">
      <w:start w:val="1"/>
      <w:numFmt w:val="bullet"/>
      <w:lvlText w:val="•"/>
      <w:lvlJc w:val="left"/>
      <w:pPr>
        <w:tabs>
          <w:tab w:val="num" w:pos="3600"/>
        </w:tabs>
        <w:ind w:left="3600" w:hanging="360"/>
      </w:pPr>
      <w:rPr>
        <w:rFonts w:ascii="Arial" w:hAnsi="Arial" w:hint="default"/>
      </w:rPr>
    </w:lvl>
    <w:lvl w:ilvl="5" w:tplc="B4B403CA" w:tentative="1">
      <w:start w:val="1"/>
      <w:numFmt w:val="bullet"/>
      <w:lvlText w:val="•"/>
      <w:lvlJc w:val="left"/>
      <w:pPr>
        <w:tabs>
          <w:tab w:val="num" w:pos="4320"/>
        </w:tabs>
        <w:ind w:left="4320" w:hanging="360"/>
      </w:pPr>
      <w:rPr>
        <w:rFonts w:ascii="Arial" w:hAnsi="Arial" w:hint="default"/>
      </w:rPr>
    </w:lvl>
    <w:lvl w:ilvl="6" w:tplc="DB8E771E" w:tentative="1">
      <w:start w:val="1"/>
      <w:numFmt w:val="bullet"/>
      <w:lvlText w:val="•"/>
      <w:lvlJc w:val="left"/>
      <w:pPr>
        <w:tabs>
          <w:tab w:val="num" w:pos="5040"/>
        </w:tabs>
        <w:ind w:left="5040" w:hanging="360"/>
      </w:pPr>
      <w:rPr>
        <w:rFonts w:ascii="Arial" w:hAnsi="Arial" w:hint="default"/>
      </w:rPr>
    </w:lvl>
    <w:lvl w:ilvl="7" w:tplc="3B86D812" w:tentative="1">
      <w:start w:val="1"/>
      <w:numFmt w:val="bullet"/>
      <w:lvlText w:val="•"/>
      <w:lvlJc w:val="left"/>
      <w:pPr>
        <w:tabs>
          <w:tab w:val="num" w:pos="5760"/>
        </w:tabs>
        <w:ind w:left="5760" w:hanging="360"/>
      </w:pPr>
      <w:rPr>
        <w:rFonts w:ascii="Arial" w:hAnsi="Arial" w:hint="default"/>
      </w:rPr>
    </w:lvl>
    <w:lvl w:ilvl="8" w:tplc="AC2EEB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A057104"/>
    <w:multiLevelType w:val="hybridMultilevel"/>
    <w:tmpl w:val="FA16CCCC"/>
    <w:lvl w:ilvl="0" w:tplc="297277B4">
      <w:start w:val="1"/>
      <w:numFmt w:val="bullet"/>
      <w:lvlText w:val="•"/>
      <w:lvlJc w:val="left"/>
      <w:pPr>
        <w:tabs>
          <w:tab w:val="num" w:pos="720"/>
        </w:tabs>
        <w:ind w:left="720" w:hanging="360"/>
      </w:pPr>
      <w:rPr>
        <w:rFonts w:ascii="Arial" w:hAnsi="Arial" w:hint="default"/>
      </w:rPr>
    </w:lvl>
    <w:lvl w:ilvl="1" w:tplc="C9B0DA7A" w:tentative="1">
      <w:start w:val="1"/>
      <w:numFmt w:val="bullet"/>
      <w:lvlText w:val="•"/>
      <w:lvlJc w:val="left"/>
      <w:pPr>
        <w:tabs>
          <w:tab w:val="num" w:pos="1440"/>
        </w:tabs>
        <w:ind w:left="1440" w:hanging="360"/>
      </w:pPr>
      <w:rPr>
        <w:rFonts w:ascii="Arial" w:hAnsi="Arial" w:hint="default"/>
      </w:rPr>
    </w:lvl>
    <w:lvl w:ilvl="2" w:tplc="318417E8" w:tentative="1">
      <w:start w:val="1"/>
      <w:numFmt w:val="bullet"/>
      <w:lvlText w:val="•"/>
      <w:lvlJc w:val="left"/>
      <w:pPr>
        <w:tabs>
          <w:tab w:val="num" w:pos="2160"/>
        </w:tabs>
        <w:ind w:left="2160" w:hanging="360"/>
      </w:pPr>
      <w:rPr>
        <w:rFonts w:ascii="Arial" w:hAnsi="Arial" w:hint="default"/>
      </w:rPr>
    </w:lvl>
    <w:lvl w:ilvl="3" w:tplc="A4FCEA2E" w:tentative="1">
      <w:start w:val="1"/>
      <w:numFmt w:val="bullet"/>
      <w:lvlText w:val="•"/>
      <w:lvlJc w:val="left"/>
      <w:pPr>
        <w:tabs>
          <w:tab w:val="num" w:pos="2880"/>
        </w:tabs>
        <w:ind w:left="2880" w:hanging="360"/>
      </w:pPr>
      <w:rPr>
        <w:rFonts w:ascii="Arial" w:hAnsi="Arial" w:hint="default"/>
      </w:rPr>
    </w:lvl>
    <w:lvl w:ilvl="4" w:tplc="68C25AAC" w:tentative="1">
      <w:start w:val="1"/>
      <w:numFmt w:val="bullet"/>
      <w:lvlText w:val="•"/>
      <w:lvlJc w:val="left"/>
      <w:pPr>
        <w:tabs>
          <w:tab w:val="num" w:pos="3600"/>
        </w:tabs>
        <w:ind w:left="3600" w:hanging="360"/>
      </w:pPr>
      <w:rPr>
        <w:rFonts w:ascii="Arial" w:hAnsi="Arial" w:hint="default"/>
      </w:rPr>
    </w:lvl>
    <w:lvl w:ilvl="5" w:tplc="F5345CE0" w:tentative="1">
      <w:start w:val="1"/>
      <w:numFmt w:val="bullet"/>
      <w:lvlText w:val="•"/>
      <w:lvlJc w:val="left"/>
      <w:pPr>
        <w:tabs>
          <w:tab w:val="num" w:pos="4320"/>
        </w:tabs>
        <w:ind w:left="4320" w:hanging="360"/>
      </w:pPr>
      <w:rPr>
        <w:rFonts w:ascii="Arial" w:hAnsi="Arial" w:hint="default"/>
      </w:rPr>
    </w:lvl>
    <w:lvl w:ilvl="6" w:tplc="53D45296" w:tentative="1">
      <w:start w:val="1"/>
      <w:numFmt w:val="bullet"/>
      <w:lvlText w:val="•"/>
      <w:lvlJc w:val="left"/>
      <w:pPr>
        <w:tabs>
          <w:tab w:val="num" w:pos="5040"/>
        </w:tabs>
        <w:ind w:left="5040" w:hanging="360"/>
      </w:pPr>
      <w:rPr>
        <w:rFonts w:ascii="Arial" w:hAnsi="Arial" w:hint="default"/>
      </w:rPr>
    </w:lvl>
    <w:lvl w:ilvl="7" w:tplc="C19E6564" w:tentative="1">
      <w:start w:val="1"/>
      <w:numFmt w:val="bullet"/>
      <w:lvlText w:val="•"/>
      <w:lvlJc w:val="left"/>
      <w:pPr>
        <w:tabs>
          <w:tab w:val="num" w:pos="5760"/>
        </w:tabs>
        <w:ind w:left="5760" w:hanging="360"/>
      </w:pPr>
      <w:rPr>
        <w:rFonts w:ascii="Arial" w:hAnsi="Arial" w:hint="default"/>
      </w:rPr>
    </w:lvl>
    <w:lvl w:ilvl="8" w:tplc="225218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B8046CB"/>
    <w:multiLevelType w:val="hybridMultilevel"/>
    <w:tmpl w:val="28CC9BA8"/>
    <w:lvl w:ilvl="0" w:tplc="F4608E5C">
      <w:start w:val="1"/>
      <w:numFmt w:val="bullet"/>
      <w:lvlText w:val="•"/>
      <w:lvlJc w:val="left"/>
      <w:pPr>
        <w:tabs>
          <w:tab w:val="num" w:pos="720"/>
        </w:tabs>
        <w:ind w:left="720" w:hanging="360"/>
      </w:pPr>
      <w:rPr>
        <w:rFonts w:ascii="Arial" w:hAnsi="Arial" w:hint="default"/>
      </w:rPr>
    </w:lvl>
    <w:lvl w:ilvl="1" w:tplc="E76E1FAE" w:tentative="1">
      <w:start w:val="1"/>
      <w:numFmt w:val="bullet"/>
      <w:lvlText w:val="•"/>
      <w:lvlJc w:val="left"/>
      <w:pPr>
        <w:tabs>
          <w:tab w:val="num" w:pos="1440"/>
        </w:tabs>
        <w:ind w:left="1440" w:hanging="360"/>
      </w:pPr>
      <w:rPr>
        <w:rFonts w:ascii="Arial" w:hAnsi="Arial" w:hint="default"/>
      </w:rPr>
    </w:lvl>
    <w:lvl w:ilvl="2" w:tplc="CCB84E56" w:tentative="1">
      <w:start w:val="1"/>
      <w:numFmt w:val="bullet"/>
      <w:lvlText w:val="•"/>
      <w:lvlJc w:val="left"/>
      <w:pPr>
        <w:tabs>
          <w:tab w:val="num" w:pos="2160"/>
        </w:tabs>
        <w:ind w:left="2160" w:hanging="360"/>
      </w:pPr>
      <w:rPr>
        <w:rFonts w:ascii="Arial" w:hAnsi="Arial" w:hint="default"/>
      </w:rPr>
    </w:lvl>
    <w:lvl w:ilvl="3" w:tplc="C688003A" w:tentative="1">
      <w:start w:val="1"/>
      <w:numFmt w:val="bullet"/>
      <w:lvlText w:val="•"/>
      <w:lvlJc w:val="left"/>
      <w:pPr>
        <w:tabs>
          <w:tab w:val="num" w:pos="2880"/>
        </w:tabs>
        <w:ind w:left="2880" w:hanging="360"/>
      </w:pPr>
      <w:rPr>
        <w:rFonts w:ascii="Arial" w:hAnsi="Arial" w:hint="default"/>
      </w:rPr>
    </w:lvl>
    <w:lvl w:ilvl="4" w:tplc="0D1C309E" w:tentative="1">
      <w:start w:val="1"/>
      <w:numFmt w:val="bullet"/>
      <w:lvlText w:val="•"/>
      <w:lvlJc w:val="left"/>
      <w:pPr>
        <w:tabs>
          <w:tab w:val="num" w:pos="3600"/>
        </w:tabs>
        <w:ind w:left="3600" w:hanging="360"/>
      </w:pPr>
      <w:rPr>
        <w:rFonts w:ascii="Arial" w:hAnsi="Arial" w:hint="default"/>
      </w:rPr>
    </w:lvl>
    <w:lvl w:ilvl="5" w:tplc="6D26E966" w:tentative="1">
      <w:start w:val="1"/>
      <w:numFmt w:val="bullet"/>
      <w:lvlText w:val="•"/>
      <w:lvlJc w:val="left"/>
      <w:pPr>
        <w:tabs>
          <w:tab w:val="num" w:pos="4320"/>
        </w:tabs>
        <w:ind w:left="4320" w:hanging="360"/>
      </w:pPr>
      <w:rPr>
        <w:rFonts w:ascii="Arial" w:hAnsi="Arial" w:hint="default"/>
      </w:rPr>
    </w:lvl>
    <w:lvl w:ilvl="6" w:tplc="9990C6BE" w:tentative="1">
      <w:start w:val="1"/>
      <w:numFmt w:val="bullet"/>
      <w:lvlText w:val="•"/>
      <w:lvlJc w:val="left"/>
      <w:pPr>
        <w:tabs>
          <w:tab w:val="num" w:pos="5040"/>
        </w:tabs>
        <w:ind w:left="5040" w:hanging="360"/>
      </w:pPr>
      <w:rPr>
        <w:rFonts w:ascii="Arial" w:hAnsi="Arial" w:hint="default"/>
      </w:rPr>
    </w:lvl>
    <w:lvl w:ilvl="7" w:tplc="08F87BCE" w:tentative="1">
      <w:start w:val="1"/>
      <w:numFmt w:val="bullet"/>
      <w:lvlText w:val="•"/>
      <w:lvlJc w:val="left"/>
      <w:pPr>
        <w:tabs>
          <w:tab w:val="num" w:pos="5760"/>
        </w:tabs>
        <w:ind w:left="5760" w:hanging="360"/>
      </w:pPr>
      <w:rPr>
        <w:rFonts w:ascii="Arial" w:hAnsi="Arial" w:hint="default"/>
      </w:rPr>
    </w:lvl>
    <w:lvl w:ilvl="8" w:tplc="0BDC45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BC1028A"/>
    <w:multiLevelType w:val="hybridMultilevel"/>
    <w:tmpl w:val="27BA74E2"/>
    <w:lvl w:ilvl="0" w:tplc="6D024706">
      <w:start w:val="1"/>
      <w:numFmt w:val="bullet"/>
      <w:lvlText w:val="•"/>
      <w:lvlJc w:val="left"/>
      <w:pPr>
        <w:tabs>
          <w:tab w:val="num" w:pos="720"/>
        </w:tabs>
        <w:ind w:left="720" w:hanging="360"/>
      </w:pPr>
      <w:rPr>
        <w:rFonts w:ascii="Arial" w:hAnsi="Arial" w:hint="default"/>
      </w:rPr>
    </w:lvl>
    <w:lvl w:ilvl="1" w:tplc="483A67B0" w:tentative="1">
      <w:start w:val="1"/>
      <w:numFmt w:val="bullet"/>
      <w:lvlText w:val="•"/>
      <w:lvlJc w:val="left"/>
      <w:pPr>
        <w:tabs>
          <w:tab w:val="num" w:pos="1440"/>
        </w:tabs>
        <w:ind w:left="1440" w:hanging="360"/>
      </w:pPr>
      <w:rPr>
        <w:rFonts w:ascii="Arial" w:hAnsi="Arial" w:hint="default"/>
      </w:rPr>
    </w:lvl>
    <w:lvl w:ilvl="2" w:tplc="57049C8E" w:tentative="1">
      <w:start w:val="1"/>
      <w:numFmt w:val="bullet"/>
      <w:lvlText w:val="•"/>
      <w:lvlJc w:val="left"/>
      <w:pPr>
        <w:tabs>
          <w:tab w:val="num" w:pos="2160"/>
        </w:tabs>
        <w:ind w:left="2160" w:hanging="360"/>
      </w:pPr>
      <w:rPr>
        <w:rFonts w:ascii="Arial" w:hAnsi="Arial" w:hint="default"/>
      </w:rPr>
    </w:lvl>
    <w:lvl w:ilvl="3" w:tplc="790E7A74" w:tentative="1">
      <w:start w:val="1"/>
      <w:numFmt w:val="bullet"/>
      <w:lvlText w:val="•"/>
      <w:lvlJc w:val="left"/>
      <w:pPr>
        <w:tabs>
          <w:tab w:val="num" w:pos="2880"/>
        </w:tabs>
        <w:ind w:left="2880" w:hanging="360"/>
      </w:pPr>
      <w:rPr>
        <w:rFonts w:ascii="Arial" w:hAnsi="Arial" w:hint="default"/>
      </w:rPr>
    </w:lvl>
    <w:lvl w:ilvl="4" w:tplc="2DCE8736" w:tentative="1">
      <w:start w:val="1"/>
      <w:numFmt w:val="bullet"/>
      <w:lvlText w:val="•"/>
      <w:lvlJc w:val="left"/>
      <w:pPr>
        <w:tabs>
          <w:tab w:val="num" w:pos="3600"/>
        </w:tabs>
        <w:ind w:left="3600" w:hanging="360"/>
      </w:pPr>
      <w:rPr>
        <w:rFonts w:ascii="Arial" w:hAnsi="Arial" w:hint="default"/>
      </w:rPr>
    </w:lvl>
    <w:lvl w:ilvl="5" w:tplc="B982605A" w:tentative="1">
      <w:start w:val="1"/>
      <w:numFmt w:val="bullet"/>
      <w:lvlText w:val="•"/>
      <w:lvlJc w:val="left"/>
      <w:pPr>
        <w:tabs>
          <w:tab w:val="num" w:pos="4320"/>
        </w:tabs>
        <w:ind w:left="4320" w:hanging="360"/>
      </w:pPr>
      <w:rPr>
        <w:rFonts w:ascii="Arial" w:hAnsi="Arial" w:hint="default"/>
      </w:rPr>
    </w:lvl>
    <w:lvl w:ilvl="6" w:tplc="D6D419E6" w:tentative="1">
      <w:start w:val="1"/>
      <w:numFmt w:val="bullet"/>
      <w:lvlText w:val="•"/>
      <w:lvlJc w:val="left"/>
      <w:pPr>
        <w:tabs>
          <w:tab w:val="num" w:pos="5040"/>
        </w:tabs>
        <w:ind w:left="5040" w:hanging="360"/>
      </w:pPr>
      <w:rPr>
        <w:rFonts w:ascii="Arial" w:hAnsi="Arial" w:hint="default"/>
      </w:rPr>
    </w:lvl>
    <w:lvl w:ilvl="7" w:tplc="F02EA790" w:tentative="1">
      <w:start w:val="1"/>
      <w:numFmt w:val="bullet"/>
      <w:lvlText w:val="•"/>
      <w:lvlJc w:val="left"/>
      <w:pPr>
        <w:tabs>
          <w:tab w:val="num" w:pos="5760"/>
        </w:tabs>
        <w:ind w:left="5760" w:hanging="360"/>
      </w:pPr>
      <w:rPr>
        <w:rFonts w:ascii="Arial" w:hAnsi="Arial" w:hint="default"/>
      </w:rPr>
    </w:lvl>
    <w:lvl w:ilvl="8" w:tplc="BA9462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C2E47F6"/>
    <w:multiLevelType w:val="hybridMultilevel"/>
    <w:tmpl w:val="C934688A"/>
    <w:lvl w:ilvl="0" w:tplc="112C2262">
      <w:start w:val="1"/>
      <w:numFmt w:val="bullet"/>
      <w:lvlText w:val="•"/>
      <w:lvlJc w:val="left"/>
      <w:pPr>
        <w:tabs>
          <w:tab w:val="num" w:pos="720"/>
        </w:tabs>
        <w:ind w:left="720" w:hanging="360"/>
      </w:pPr>
      <w:rPr>
        <w:rFonts w:ascii="Arial" w:hAnsi="Arial" w:hint="default"/>
      </w:rPr>
    </w:lvl>
    <w:lvl w:ilvl="1" w:tplc="8264B7B2" w:tentative="1">
      <w:start w:val="1"/>
      <w:numFmt w:val="bullet"/>
      <w:lvlText w:val="•"/>
      <w:lvlJc w:val="left"/>
      <w:pPr>
        <w:tabs>
          <w:tab w:val="num" w:pos="1440"/>
        </w:tabs>
        <w:ind w:left="1440" w:hanging="360"/>
      </w:pPr>
      <w:rPr>
        <w:rFonts w:ascii="Arial" w:hAnsi="Arial" w:hint="default"/>
      </w:rPr>
    </w:lvl>
    <w:lvl w:ilvl="2" w:tplc="D67CD86A" w:tentative="1">
      <w:start w:val="1"/>
      <w:numFmt w:val="bullet"/>
      <w:lvlText w:val="•"/>
      <w:lvlJc w:val="left"/>
      <w:pPr>
        <w:tabs>
          <w:tab w:val="num" w:pos="2160"/>
        </w:tabs>
        <w:ind w:left="2160" w:hanging="360"/>
      </w:pPr>
      <w:rPr>
        <w:rFonts w:ascii="Arial" w:hAnsi="Arial" w:hint="default"/>
      </w:rPr>
    </w:lvl>
    <w:lvl w:ilvl="3" w:tplc="F08011DC" w:tentative="1">
      <w:start w:val="1"/>
      <w:numFmt w:val="bullet"/>
      <w:lvlText w:val="•"/>
      <w:lvlJc w:val="left"/>
      <w:pPr>
        <w:tabs>
          <w:tab w:val="num" w:pos="2880"/>
        </w:tabs>
        <w:ind w:left="2880" w:hanging="360"/>
      </w:pPr>
      <w:rPr>
        <w:rFonts w:ascii="Arial" w:hAnsi="Arial" w:hint="default"/>
      </w:rPr>
    </w:lvl>
    <w:lvl w:ilvl="4" w:tplc="A2460A60" w:tentative="1">
      <w:start w:val="1"/>
      <w:numFmt w:val="bullet"/>
      <w:lvlText w:val="•"/>
      <w:lvlJc w:val="left"/>
      <w:pPr>
        <w:tabs>
          <w:tab w:val="num" w:pos="3600"/>
        </w:tabs>
        <w:ind w:left="3600" w:hanging="360"/>
      </w:pPr>
      <w:rPr>
        <w:rFonts w:ascii="Arial" w:hAnsi="Arial" w:hint="default"/>
      </w:rPr>
    </w:lvl>
    <w:lvl w:ilvl="5" w:tplc="72C2DEE6" w:tentative="1">
      <w:start w:val="1"/>
      <w:numFmt w:val="bullet"/>
      <w:lvlText w:val="•"/>
      <w:lvlJc w:val="left"/>
      <w:pPr>
        <w:tabs>
          <w:tab w:val="num" w:pos="4320"/>
        </w:tabs>
        <w:ind w:left="4320" w:hanging="360"/>
      </w:pPr>
      <w:rPr>
        <w:rFonts w:ascii="Arial" w:hAnsi="Arial" w:hint="default"/>
      </w:rPr>
    </w:lvl>
    <w:lvl w:ilvl="6" w:tplc="DA9C32AE" w:tentative="1">
      <w:start w:val="1"/>
      <w:numFmt w:val="bullet"/>
      <w:lvlText w:val="•"/>
      <w:lvlJc w:val="left"/>
      <w:pPr>
        <w:tabs>
          <w:tab w:val="num" w:pos="5040"/>
        </w:tabs>
        <w:ind w:left="5040" w:hanging="360"/>
      </w:pPr>
      <w:rPr>
        <w:rFonts w:ascii="Arial" w:hAnsi="Arial" w:hint="default"/>
      </w:rPr>
    </w:lvl>
    <w:lvl w:ilvl="7" w:tplc="B7666C62" w:tentative="1">
      <w:start w:val="1"/>
      <w:numFmt w:val="bullet"/>
      <w:lvlText w:val="•"/>
      <w:lvlJc w:val="left"/>
      <w:pPr>
        <w:tabs>
          <w:tab w:val="num" w:pos="5760"/>
        </w:tabs>
        <w:ind w:left="5760" w:hanging="360"/>
      </w:pPr>
      <w:rPr>
        <w:rFonts w:ascii="Arial" w:hAnsi="Arial" w:hint="default"/>
      </w:rPr>
    </w:lvl>
    <w:lvl w:ilvl="8" w:tplc="479A6A0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D156FE7"/>
    <w:multiLevelType w:val="hybridMultilevel"/>
    <w:tmpl w:val="7298BA80"/>
    <w:lvl w:ilvl="0" w:tplc="336298B0">
      <w:start w:val="1"/>
      <w:numFmt w:val="bullet"/>
      <w:lvlText w:val="•"/>
      <w:lvlJc w:val="left"/>
      <w:pPr>
        <w:tabs>
          <w:tab w:val="num" w:pos="720"/>
        </w:tabs>
        <w:ind w:left="720" w:hanging="360"/>
      </w:pPr>
      <w:rPr>
        <w:rFonts w:ascii="Arial" w:hAnsi="Arial" w:hint="default"/>
      </w:rPr>
    </w:lvl>
    <w:lvl w:ilvl="1" w:tplc="1B20E5D4" w:tentative="1">
      <w:start w:val="1"/>
      <w:numFmt w:val="bullet"/>
      <w:lvlText w:val="•"/>
      <w:lvlJc w:val="left"/>
      <w:pPr>
        <w:tabs>
          <w:tab w:val="num" w:pos="1440"/>
        </w:tabs>
        <w:ind w:left="1440" w:hanging="360"/>
      </w:pPr>
      <w:rPr>
        <w:rFonts w:ascii="Arial" w:hAnsi="Arial" w:hint="default"/>
      </w:rPr>
    </w:lvl>
    <w:lvl w:ilvl="2" w:tplc="81D439A6" w:tentative="1">
      <w:start w:val="1"/>
      <w:numFmt w:val="bullet"/>
      <w:lvlText w:val="•"/>
      <w:lvlJc w:val="left"/>
      <w:pPr>
        <w:tabs>
          <w:tab w:val="num" w:pos="2160"/>
        </w:tabs>
        <w:ind w:left="2160" w:hanging="360"/>
      </w:pPr>
      <w:rPr>
        <w:rFonts w:ascii="Arial" w:hAnsi="Arial" w:hint="default"/>
      </w:rPr>
    </w:lvl>
    <w:lvl w:ilvl="3" w:tplc="FD400FCE" w:tentative="1">
      <w:start w:val="1"/>
      <w:numFmt w:val="bullet"/>
      <w:lvlText w:val="•"/>
      <w:lvlJc w:val="left"/>
      <w:pPr>
        <w:tabs>
          <w:tab w:val="num" w:pos="2880"/>
        </w:tabs>
        <w:ind w:left="2880" w:hanging="360"/>
      </w:pPr>
      <w:rPr>
        <w:rFonts w:ascii="Arial" w:hAnsi="Arial" w:hint="default"/>
      </w:rPr>
    </w:lvl>
    <w:lvl w:ilvl="4" w:tplc="A4BC4866" w:tentative="1">
      <w:start w:val="1"/>
      <w:numFmt w:val="bullet"/>
      <w:lvlText w:val="•"/>
      <w:lvlJc w:val="left"/>
      <w:pPr>
        <w:tabs>
          <w:tab w:val="num" w:pos="3600"/>
        </w:tabs>
        <w:ind w:left="3600" w:hanging="360"/>
      </w:pPr>
      <w:rPr>
        <w:rFonts w:ascii="Arial" w:hAnsi="Arial" w:hint="default"/>
      </w:rPr>
    </w:lvl>
    <w:lvl w:ilvl="5" w:tplc="F3D2790E" w:tentative="1">
      <w:start w:val="1"/>
      <w:numFmt w:val="bullet"/>
      <w:lvlText w:val="•"/>
      <w:lvlJc w:val="left"/>
      <w:pPr>
        <w:tabs>
          <w:tab w:val="num" w:pos="4320"/>
        </w:tabs>
        <w:ind w:left="4320" w:hanging="360"/>
      </w:pPr>
      <w:rPr>
        <w:rFonts w:ascii="Arial" w:hAnsi="Arial" w:hint="default"/>
      </w:rPr>
    </w:lvl>
    <w:lvl w:ilvl="6" w:tplc="B41AF448" w:tentative="1">
      <w:start w:val="1"/>
      <w:numFmt w:val="bullet"/>
      <w:lvlText w:val="•"/>
      <w:lvlJc w:val="left"/>
      <w:pPr>
        <w:tabs>
          <w:tab w:val="num" w:pos="5040"/>
        </w:tabs>
        <w:ind w:left="5040" w:hanging="360"/>
      </w:pPr>
      <w:rPr>
        <w:rFonts w:ascii="Arial" w:hAnsi="Arial" w:hint="default"/>
      </w:rPr>
    </w:lvl>
    <w:lvl w:ilvl="7" w:tplc="1F4E34C6" w:tentative="1">
      <w:start w:val="1"/>
      <w:numFmt w:val="bullet"/>
      <w:lvlText w:val="•"/>
      <w:lvlJc w:val="left"/>
      <w:pPr>
        <w:tabs>
          <w:tab w:val="num" w:pos="5760"/>
        </w:tabs>
        <w:ind w:left="5760" w:hanging="360"/>
      </w:pPr>
      <w:rPr>
        <w:rFonts w:ascii="Arial" w:hAnsi="Arial" w:hint="default"/>
      </w:rPr>
    </w:lvl>
    <w:lvl w:ilvl="8" w:tplc="20B2C8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DA279BF"/>
    <w:multiLevelType w:val="hybridMultilevel"/>
    <w:tmpl w:val="E0128F8C"/>
    <w:lvl w:ilvl="0" w:tplc="65D86BBE">
      <w:start w:val="1"/>
      <w:numFmt w:val="bullet"/>
      <w:lvlText w:val="•"/>
      <w:lvlJc w:val="left"/>
      <w:pPr>
        <w:tabs>
          <w:tab w:val="num" w:pos="720"/>
        </w:tabs>
        <w:ind w:left="720" w:hanging="360"/>
      </w:pPr>
      <w:rPr>
        <w:rFonts w:ascii="Arial" w:hAnsi="Arial" w:hint="default"/>
      </w:rPr>
    </w:lvl>
    <w:lvl w:ilvl="1" w:tplc="AF8AD8E4" w:tentative="1">
      <w:start w:val="1"/>
      <w:numFmt w:val="bullet"/>
      <w:lvlText w:val="•"/>
      <w:lvlJc w:val="left"/>
      <w:pPr>
        <w:tabs>
          <w:tab w:val="num" w:pos="1440"/>
        </w:tabs>
        <w:ind w:left="1440" w:hanging="360"/>
      </w:pPr>
      <w:rPr>
        <w:rFonts w:ascii="Arial" w:hAnsi="Arial" w:hint="default"/>
      </w:rPr>
    </w:lvl>
    <w:lvl w:ilvl="2" w:tplc="2C18D848" w:tentative="1">
      <w:start w:val="1"/>
      <w:numFmt w:val="bullet"/>
      <w:lvlText w:val="•"/>
      <w:lvlJc w:val="left"/>
      <w:pPr>
        <w:tabs>
          <w:tab w:val="num" w:pos="2160"/>
        </w:tabs>
        <w:ind w:left="2160" w:hanging="360"/>
      </w:pPr>
      <w:rPr>
        <w:rFonts w:ascii="Arial" w:hAnsi="Arial" w:hint="default"/>
      </w:rPr>
    </w:lvl>
    <w:lvl w:ilvl="3" w:tplc="F23EB5B6" w:tentative="1">
      <w:start w:val="1"/>
      <w:numFmt w:val="bullet"/>
      <w:lvlText w:val="•"/>
      <w:lvlJc w:val="left"/>
      <w:pPr>
        <w:tabs>
          <w:tab w:val="num" w:pos="2880"/>
        </w:tabs>
        <w:ind w:left="2880" w:hanging="360"/>
      </w:pPr>
      <w:rPr>
        <w:rFonts w:ascii="Arial" w:hAnsi="Arial" w:hint="default"/>
      </w:rPr>
    </w:lvl>
    <w:lvl w:ilvl="4" w:tplc="7F125F50" w:tentative="1">
      <w:start w:val="1"/>
      <w:numFmt w:val="bullet"/>
      <w:lvlText w:val="•"/>
      <w:lvlJc w:val="left"/>
      <w:pPr>
        <w:tabs>
          <w:tab w:val="num" w:pos="3600"/>
        </w:tabs>
        <w:ind w:left="3600" w:hanging="360"/>
      </w:pPr>
      <w:rPr>
        <w:rFonts w:ascii="Arial" w:hAnsi="Arial" w:hint="default"/>
      </w:rPr>
    </w:lvl>
    <w:lvl w:ilvl="5" w:tplc="1B20FB70" w:tentative="1">
      <w:start w:val="1"/>
      <w:numFmt w:val="bullet"/>
      <w:lvlText w:val="•"/>
      <w:lvlJc w:val="left"/>
      <w:pPr>
        <w:tabs>
          <w:tab w:val="num" w:pos="4320"/>
        </w:tabs>
        <w:ind w:left="4320" w:hanging="360"/>
      </w:pPr>
      <w:rPr>
        <w:rFonts w:ascii="Arial" w:hAnsi="Arial" w:hint="default"/>
      </w:rPr>
    </w:lvl>
    <w:lvl w:ilvl="6" w:tplc="9678DEFE" w:tentative="1">
      <w:start w:val="1"/>
      <w:numFmt w:val="bullet"/>
      <w:lvlText w:val="•"/>
      <w:lvlJc w:val="left"/>
      <w:pPr>
        <w:tabs>
          <w:tab w:val="num" w:pos="5040"/>
        </w:tabs>
        <w:ind w:left="5040" w:hanging="360"/>
      </w:pPr>
      <w:rPr>
        <w:rFonts w:ascii="Arial" w:hAnsi="Arial" w:hint="default"/>
      </w:rPr>
    </w:lvl>
    <w:lvl w:ilvl="7" w:tplc="5AAE44A2" w:tentative="1">
      <w:start w:val="1"/>
      <w:numFmt w:val="bullet"/>
      <w:lvlText w:val="•"/>
      <w:lvlJc w:val="left"/>
      <w:pPr>
        <w:tabs>
          <w:tab w:val="num" w:pos="5760"/>
        </w:tabs>
        <w:ind w:left="5760" w:hanging="360"/>
      </w:pPr>
      <w:rPr>
        <w:rFonts w:ascii="Arial" w:hAnsi="Arial" w:hint="default"/>
      </w:rPr>
    </w:lvl>
    <w:lvl w:ilvl="8" w:tplc="91B200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DAA277F"/>
    <w:multiLevelType w:val="hybridMultilevel"/>
    <w:tmpl w:val="B9C8AF28"/>
    <w:lvl w:ilvl="0" w:tplc="32AC69A4">
      <w:start w:val="1"/>
      <w:numFmt w:val="bullet"/>
      <w:lvlText w:val="•"/>
      <w:lvlJc w:val="left"/>
      <w:pPr>
        <w:tabs>
          <w:tab w:val="num" w:pos="720"/>
        </w:tabs>
        <w:ind w:left="720" w:hanging="360"/>
      </w:pPr>
      <w:rPr>
        <w:rFonts w:ascii="Arial" w:hAnsi="Arial" w:hint="default"/>
      </w:rPr>
    </w:lvl>
    <w:lvl w:ilvl="1" w:tplc="446AF062" w:tentative="1">
      <w:start w:val="1"/>
      <w:numFmt w:val="bullet"/>
      <w:lvlText w:val="•"/>
      <w:lvlJc w:val="left"/>
      <w:pPr>
        <w:tabs>
          <w:tab w:val="num" w:pos="1440"/>
        </w:tabs>
        <w:ind w:left="1440" w:hanging="360"/>
      </w:pPr>
      <w:rPr>
        <w:rFonts w:ascii="Arial" w:hAnsi="Arial" w:hint="default"/>
      </w:rPr>
    </w:lvl>
    <w:lvl w:ilvl="2" w:tplc="7E12E2FE" w:tentative="1">
      <w:start w:val="1"/>
      <w:numFmt w:val="bullet"/>
      <w:lvlText w:val="•"/>
      <w:lvlJc w:val="left"/>
      <w:pPr>
        <w:tabs>
          <w:tab w:val="num" w:pos="2160"/>
        </w:tabs>
        <w:ind w:left="2160" w:hanging="360"/>
      </w:pPr>
      <w:rPr>
        <w:rFonts w:ascii="Arial" w:hAnsi="Arial" w:hint="default"/>
      </w:rPr>
    </w:lvl>
    <w:lvl w:ilvl="3" w:tplc="BF66350E" w:tentative="1">
      <w:start w:val="1"/>
      <w:numFmt w:val="bullet"/>
      <w:lvlText w:val="•"/>
      <w:lvlJc w:val="left"/>
      <w:pPr>
        <w:tabs>
          <w:tab w:val="num" w:pos="2880"/>
        </w:tabs>
        <w:ind w:left="2880" w:hanging="360"/>
      </w:pPr>
      <w:rPr>
        <w:rFonts w:ascii="Arial" w:hAnsi="Arial" w:hint="default"/>
      </w:rPr>
    </w:lvl>
    <w:lvl w:ilvl="4" w:tplc="BDA4C388" w:tentative="1">
      <w:start w:val="1"/>
      <w:numFmt w:val="bullet"/>
      <w:lvlText w:val="•"/>
      <w:lvlJc w:val="left"/>
      <w:pPr>
        <w:tabs>
          <w:tab w:val="num" w:pos="3600"/>
        </w:tabs>
        <w:ind w:left="3600" w:hanging="360"/>
      </w:pPr>
      <w:rPr>
        <w:rFonts w:ascii="Arial" w:hAnsi="Arial" w:hint="default"/>
      </w:rPr>
    </w:lvl>
    <w:lvl w:ilvl="5" w:tplc="E794B3A6" w:tentative="1">
      <w:start w:val="1"/>
      <w:numFmt w:val="bullet"/>
      <w:lvlText w:val="•"/>
      <w:lvlJc w:val="left"/>
      <w:pPr>
        <w:tabs>
          <w:tab w:val="num" w:pos="4320"/>
        </w:tabs>
        <w:ind w:left="4320" w:hanging="360"/>
      </w:pPr>
      <w:rPr>
        <w:rFonts w:ascii="Arial" w:hAnsi="Arial" w:hint="default"/>
      </w:rPr>
    </w:lvl>
    <w:lvl w:ilvl="6" w:tplc="67EA064C" w:tentative="1">
      <w:start w:val="1"/>
      <w:numFmt w:val="bullet"/>
      <w:lvlText w:val="•"/>
      <w:lvlJc w:val="left"/>
      <w:pPr>
        <w:tabs>
          <w:tab w:val="num" w:pos="5040"/>
        </w:tabs>
        <w:ind w:left="5040" w:hanging="360"/>
      </w:pPr>
      <w:rPr>
        <w:rFonts w:ascii="Arial" w:hAnsi="Arial" w:hint="default"/>
      </w:rPr>
    </w:lvl>
    <w:lvl w:ilvl="7" w:tplc="0CE28B88" w:tentative="1">
      <w:start w:val="1"/>
      <w:numFmt w:val="bullet"/>
      <w:lvlText w:val="•"/>
      <w:lvlJc w:val="left"/>
      <w:pPr>
        <w:tabs>
          <w:tab w:val="num" w:pos="5760"/>
        </w:tabs>
        <w:ind w:left="5760" w:hanging="360"/>
      </w:pPr>
      <w:rPr>
        <w:rFonts w:ascii="Arial" w:hAnsi="Arial" w:hint="default"/>
      </w:rPr>
    </w:lvl>
    <w:lvl w:ilvl="8" w:tplc="52C4BA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5663F5"/>
    <w:multiLevelType w:val="hybridMultilevel"/>
    <w:tmpl w:val="E0EC6846"/>
    <w:lvl w:ilvl="0" w:tplc="DD8CE732">
      <w:start w:val="1"/>
      <w:numFmt w:val="bullet"/>
      <w:lvlText w:val="•"/>
      <w:lvlJc w:val="left"/>
      <w:pPr>
        <w:tabs>
          <w:tab w:val="num" w:pos="720"/>
        </w:tabs>
        <w:ind w:left="720" w:hanging="360"/>
      </w:pPr>
      <w:rPr>
        <w:rFonts w:ascii="Arial" w:hAnsi="Arial" w:hint="default"/>
      </w:rPr>
    </w:lvl>
    <w:lvl w:ilvl="1" w:tplc="1794DEB0">
      <w:numFmt w:val="bullet"/>
      <w:lvlText w:val="•"/>
      <w:lvlJc w:val="left"/>
      <w:pPr>
        <w:tabs>
          <w:tab w:val="num" w:pos="1440"/>
        </w:tabs>
        <w:ind w:left="1440" w:hanging="360"/>
      </w:pPr>
      <w:rPr>
        <w:rFonts w:ascii="Arial" w:hAnsi="Arial" w:hint="default"/>
      </w:rPr>
    </w:lvl>
    <w:lvl w:ilvl="2" w:tplc="8E1407DA" w:tentative="1">
      <w:start w:val="1"/>
      <w:numFmt w:val="bullet"/>
      <w:lvlText w:val="•"/>
      <w:lvlJc w:val="left"/>
      <w:pPr>
        <w:tabs>
          <w:tab w:val="num" w:pos="2160"/>
        </w:tabs>
        <w:ind w:left="2160" w:hanging="360"/>
      </w:pPr>
      <w:rPr>
        <w:rFonts w:ascii="Arial" w:hAnsi="Arial" w:hint="default"/>
      </w:rPr>
    </w:lvl>
    <w:lvl w:ilvl="3" w:tplc="7BB68064" w:tentative="1">
      <w:start w:val="1"/>
      <w:numFmt w:val="bullet"/>
      <w:lvlText w:val="•"/>
      <w:lvlJc w:val="left"/>
      <w:pPr>
        <w:tabs>
          <w:tab w:val="num" w:pos="2880"/>
        </w:tabs>
        <w:ind w:left="2880" w:hanging="360"/>
      </w:pPr>
      <w:rPr>
        <w:rFonts w:ascii="Arial" w:hAnsi="Arial" w:hint="default"/>
      </w:rPr>
    </w:lvl>
    <w:lvl w:ilvl="4" w:tplc="205E196C" w:tentative="1">
      <w:start w:val="1"/>
      <w:numFmt w:val="bullet"/>
      <w:lvlText w:val="•"/>
      <w:lvlJc w:val="left"/>
      <w:pPr>
        <w:tabs>
          <w:tab w:val="num" w:pos="3600"/>
        </w:tabs>
        <w:ind w:left="3600" w:hanging="360"/>
      </w:pPr>
      <w:rPr>
        <w:rFonts w:ascii="Arial" w:hAnsi="Arial" w:hint="default"/>
      </w:rPr>
    </w:lvl>
    <w:lvl w:ilvl="5" w:tplc="8EB434B4" w:tentative="1">
      <w:start w:val="1"/>
      <w:numFmt w:val="bullet"/>
      <w:lvlText w:val="•"/>
      <w:lvlJc w:val="left"/>
      <w:pPr>
        <w:tabs>
          <w:tab w:val="num" w:pos="4320"/>
        </w:tabs>
        <w:ind w:left="4320" w:hanging="360"/>
      </w:pPr>
      <w:rPr>
        <w:rFonts w:ascii="Arial" w:hAnsi="Arial" w:hint="default"/>
      </w:rPr>
    </w:lvl>
    <w:lvl w:ilvl="6" w:tplc="654A491E" w:tentative="1">
      <w:start w:val="1"/>
      <w:numFmt w:val="bullet"/>
      <w:lvlText w:val="•"/>
      <w:lvlJc w:val="left"/>
      <w:pPr>
        <w:tabs>
          <w:tab w:val="num" w:pos="5040"/>
        </w:tabs>
        <w:ind w:left="5040" w:hanging="360"/>
      </w:pPr>
      <w:rPr>
        <w:rFonts w:ascii="Arial" w:hAnsi="Arial" w:hint="default"/>
      </w:rPr>
    </w:lvl>
    <w:lvl w:ilvl="7" w:tplc="906E639C" w:tentative="1">
      <w:start w:val="1"/>
      <w:numFmt w:val="bullet"/>
      <w:lvlText w:val="•"/>
      <w:lvlJc w:val="left"/>
      <w:pPr>
        <w:tabs>
          <w:tab w:val="num" w:pos="5760"/>
        </w:tabs>
        <w:ind w:left="5760" w:hanging="360"/>
      </w:pPr>
      <w:rPr>
        <w:rFonts w:ascii="Arial" w:hAnsi="Arial" w:hint="default"/>
      </w:rPr>
    </w:lvl>
    <w:lvl w:ilvl="8" w:tplc="CF8845B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36A630B"/>
    <w:multiLevelType w:val="hybridMultilevel"/>
    <w:tmpl w:val="CF404102"/>
    <w:lvl w:ilvl="0" w:tplc="65AABD44">
      <w:start w:val="1"/>
      <w:numFmt w:val="bullet"/>
      <w:lvlText w:val="•"/>
      <w:lvlJc w:val="left"/>
      <w:pPr>
        <w:tabs>
          <w:tab w:val="num" w:pos="720"/>
        </w:tabs>
        <w:ind w:left="720" w:hanging="360"/>
      </w:pPr>
      <w:rPr>
        <w:rFonts w:ascii="Arial" w:hAnsi="Arial" w:hint="default"/>
      </w:rPr>
    </w:lvl>
    <w:lvl w:ilvl="1" w:tplc="5B846072" w:tentative="1">
      <w:start w:val="1"/>
      <w:numFmt w:val="bullet"/>
      <w:lvlText w:val="•"/>
      <w:lvlJc w:val="left"/>
      <w:pPr>
        <w:tabs>
          <w:tab w:val="num" w:pos="1440"/>
        </w:tabs>
        <w:ind w:left="1440" w:hanging="360"/>
      </w:pPr>
      <w:rPr>
        <w:rFonts w:ascii="Arial" w:hAnsi="Arial" w:hint="default"/>
      </w:rPr>
    </w:lvl>
    <w:lvl w:ilvl="2" w:tplc="7790359A" w:tentative="1">
      <w:start w:val="1"/>
      <w:numFmt w:val="bullet"/>
      <w:lvlText w:val="•"/>
      <w:lvlJc w:val="left"/>
      <w:pPr>
        <w:tabs>
          <w:tab w:val="num" w:pos="2160"/>
        </w:tabs>
        <w:ind w:left="2160" w:hanging="360"/>
      </w:pPr>
      <w:rPr>
        <w:rFonts w:ascii="Arial" w:hAnsi="Arial" w:hint="default"/>
      </w:rPr>
    </w:lvl>
    <w:lvl w:ilvl="3" w:tplc="A33EFB16" w:tentative="1">
      <w:start w:val="1"/>
      <w:numFmt w:val="bullet"/>
      <w:lvlText w:val="•"/>
      <w:lvlJc w:val="left"/>
      <w:pPr>
        <w:tabs>
          <w:tab w:val="num" w:pos="2880"/>
        </w:tabs>
        <w:ind w:left="2880" w:hanging="360"/>
      </w:pPr>
      <w:rPr>
        <w:rFonts w:ascii="Arial" w:hAnsi="Arial" w:hint="default"/>
      </w:rPr>
    </w:lvl>
    <w:lvl w:ilvl="4" w:tplc="02A001F2" w:tentative="1">
      <w:start w:val="1"/>
      <w:numFmt w:val="bullet"/>
      <w:lvlText w:val="•"/>
      <w:lvlJc w:val="left"/>
      <w:pPr>
        <w:tabs>
          <w:tab w:val="num" w:pos="3600"/>
        </w:tabs>
        <w:ind w:left="3600" w:hanging="360"/>
      </w:pPr>
      <w:rPr>
        <w:rFonts w:ascii="Arial" w:hAnsi="Arial" w:hint="default"/>
      </w:rPr>
    </w:lvl>
    <w:lvl w:ilvl="5" w:tplc="0E145EBA" w:tentative="1">
      <w:start w:val="1"/>
      <w:numFmt w:val="bullet"/>
      <w:lvlText w:val="•"/>
      <w:lvlJc w:val="left"/>
      <w:pPr>
        <w:tabs>
          <w:tab w:val="num" w:pos="4320"/>
        </w:tabs>
        <w:ind w:left="4320" w:hanging="360"/>
      </w:pPr>
      <w:rPr>
        <w:rFonts w:ascii="Arial" w:hAnsi="Arial" w:hint="default"/>
      </w:rPr>
    </w:lvl>
    <w:lvl w:ilvl="6" w:tplc="8ADC8C74" w:tentative="1">
      <w:start w:val="1"/>
      <w:numFmt w:val="bullet"/>
      <w:lvlText w:val="•"/>
      <w:lvlJc w:val="left"/>
      <w:pPr>
        <w:tabs>
          <w:tab w:val="num" w:pos="5040"/>
        </w:tabs>
        <w:ind w:left="5040" w:hanging="360"/>
      </w:pPr>
      <w:rPr>
        <w:rFonts w:ascii="Arial" w:hAnsi="Arial" w:hint="default"/>
      </w:rPr>
    </w:lvl>
    <w:lvl w:ilvl="7" w:tplc="ACC212A6" w:tentative="1">
      <w:start w:val="1"/>
      <w:numFmt w:val="bullet"/>
      <w:lvlText w:val="•"/>
      <w:lvlJc w:val="left"/>
      <w:pPr>
        <w:tabs>
          <w:tab w:val="num" w:pos="5760"/>
        </w:tabs>
        <w:ind w:left="5760" w:hanging="360"/>
      </w:pPr>
      <w:rPr>
        <w:rFonts w:ascii="Arial" w:hAnsi="Arial" w:hint="default"/>
      </w:rPr>
    </w:lvl>
    <w:lvl w:ilvl="8" w:tplc="E4064DE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40C2098"/>
    <w:multiLevelType w:val="hybridMultilevel"/>
    <w:tmpl w:val="3E8A9EAE"/>
    <w:lvl w:ilvl="0" w:tplc="F3E07530">
      <w:start w:val="1"/>
      <w:numFmt w:val="bullet"/>
      <w:lvlText w:val="•"/>
      <w:lvlJc w:val="left"/>
      <w:pPr>
        <w:tabs>
          <w:tab w:val="num" w:pos="720"/>
        </w:tabs>
        <w:ind w:left="720" w:hanging="360"/>
      </w:pPr>
      <w:rPr>
        <w:rFonts w:ascii="Arial" w:hAnsi="Arial" w:hint="default"/>
      </w:rPr>
    </w:lvl>
    <w:lvl w:ilvl="1" w:tplc="32C06B8C" w:tentative="1">
      <w:start w:val="1"/>
      <w:numFmt w:val="bullet"/>
      <w:lvlText w:val="•"/>
      <w:lvlJc w:val="left"/>
      <w:pPr>
        <w:tabs>
          <w:tab w:val="num" w:pos="1440"/>
        </w:tabs>
        <w:ind w:left="1440" w:hanging="360"/>
      </w:pPr>
      <w:rPr>
        <w:rFonts w:ascii="Arial" w:hAnsi="Arial" w:hint="default"/>
      </w:rPr>
    </w:lvl>
    <w:lvl w:ilvl="2" w:tplc="74E02DB8" w:tentative="1">
      <w:start w:val="1"/>
      <w:numFmt w:val="bullet"/>
      <w:lvlText w:val="•"/>
      <w:lvlJc w:val="left"/>
      <w:pPr>
        <w:tabs>
          <w:tab w:val="num" w:pos="2160"/>
        </w:tabs>
        <w:ind w:left="2160" w:hanging="360"/>
      </w:pPr>
      <w:rPr>
        <w:rFonts w:ascii="Arial" w:hAnsi="Arial" w:hint="default"/>
      </w:rPr>
    </w:lvl>
    <w:lvl w:ilvl="3" w:tplc="56F8CABE" w:tentative="1">
      <w:start w:val="1"/>
      <w:numFmt w:val="bullet"/>
      <w:lvlText w:val="•"/>
      <w:lvlJc w:val="left"/>
      <w:pPr>
        <w:tabs>
          <w:tab w:val="num" w:pos="2880"/>
        </w:tabs>
        <w:ind w:left="2880" w:hanging="360"/>
      </w:pPr>
      <w:rPr>
        <w:rFonts w:ascii="Arial" w:hAnsi="Arial" w:hint="default"/>
      </w:rPr>
    </w:lvl>
    <w:lvl w:ilvl="4" w:tplc="735AE56A" w:tentative="1">
      <w:start w:val="1"/>
      <w:numFmt w:val="bullet"/>
      <w:lvlText w:val="•"/>
      <w:lvlJc w:val="left"/>
      <w:pPr>
        <w:tabs>
          <w:tab w:val="num" w:pos="3600"/>
        </w:tabs>
        <w:ind w:left="3600" w:hanging="360"/>
      </w:pPr>
      <w:rPr>
        <w:rFonts w:ascii="Arial" w:hAnsi="Arial" w:hint="default"/>
      </w:rPr>
    </w:lvl>
    <w:lvl w:ilvl="5" w:tplc="968A95C4" w:tentative="1">
      <w:start w:val="1"/>
      <w:numFmt w:val="bullet"/>
      <w:lvlText w:val="•"/>
      <w:lvlJc w:val="left"/>
      <w:pPr>
        <w:tabs>
          <w:tab w:val="num" w:pos="4320"/>
        </w:tabs>
        <w:ind w:left="4320" w:hanging="360"/>
      </w:pPr>
      <w:rPr>
        <w:rFonts w:ascii="Arial" w:hAnsi="Arial" w:hint="default"/>
      </w:rPr>
    </w:lvl>
    <w:lvl w:ilvl="6" w:tplc="0902CE84" w:tentative="1">
      <w:start w:val="1"/>
      <w:numFmt w:val="bullet"/>
      <w:lvlText w:val="•"/>
      <w:lvlJc w:val="left"/>
      <w:pPr>
        <w:tabs>
          <w:tab w:val="num" w:pos="5040"/>
        </w:tabs>
        <w:ind w:left="5040" w:hanging="360"/>
      </w:pPr>
      <w:rPr>
        <w:rFonts w:ascii="Arial" w:hAnsi="Arial" w:hint="default"/>
      </w:rPr>
    </w:lvl>
    <w:lvl w:ilvl="7" w:tplc="568A6D12" w:tentative="1">
      <w:start w:val="1"/>
      <w:numFmt w:val="bullet"/>
      <w:lvlText w:val="•"/>
      <w:lvlJc w:val="left"/>
      <w:pPr>
        <w:tabs>
          <w:tab w:val="num" w:pos="5760"/>
        </w:tabs>
        <w:ind w:left="5760" w:hanging="360"/>
      </w:pPr>
      <w:rPr>
        <w:rFonts w:ascii="Arial" w:hAnsi="Arial" w:hint="default"/>
      </w:rPr>
    </w:lvl>
    <w:lvl w:ilvl="8" w:tplc="B9AEF4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53E7E4A"/>
    <w:multiLevelType w:val="hybridMultilevel"/>
    <w:tmpl w:val="3CCCD290"/>
    <w:lvl w:ilvl="0" w:tplc="8DF8092E">
      <w:start w:val="1"/>
      <w:numFmt w:val="bullet"/>
      <w:lvlText w:val="•"/>
      <w:lvlJc w:val="left"/>
      <w:pPr>
        <w:tabs>
          <w:tab w:val="num" w:pos="720"/>
        </w:tabs>
        <w:ind w:left="720" w:hanging="360"/>
      </w:pPr>
      <w:rPr>
        <w:rFonts w:ascii="Arial" w:hAnsi="Arial" w:hint="default"/>
      </w:rPr>
    </w:lvl>
    <w:lvl w:ilvl="1" w:tplc="96167140" w:tentative="1">
      <w:start w:val="1"/>
      <w:numFmt w:val="bullet"/>
      <w:lvlText w:val="•"/>
      <w:lvlJc w:val="left"/>
      <w:pPr>
        <w:tabs>
          <w:tab w:val="num" w:pos="1440"/>
        </w:tabs>
        <w:ind w:left="1440" w:hanging="360"/>
      </w:pPr>
      <w:rPr>
        <w:rFonts w:ascii="Arial" w:hAnsi="Arial" w:hint="default"/>
      </w:rPr>
    </w:lvl>
    <w:lvl w:ilvl="2" w:tplc="10469D20" w:tentative="1">
      <w:start w:val="1"/>
      <w:numFmt w:val="bullet"/>
      <w:lvlText w:val="•"/>
      <w:lvlJc w:val="left"/>
      <w:pPr>
        <w:tabs>
          <w:tab w:val="num" w:pos="2160"/>
        </w:tabs>
        <w:ind w:left="2160" w:hanging="360"/>
      </w:pPr>
      <w:rPr>
        <w:rFonts w:ascii="Arial" w:hAnsi="Arial" w:hint="default"/>
      </w:rPr>
    </w:lvl>
    <w:lvl w:ilvl="3" w:tplc="5E86D9A8" w:tentative="1">
      <w:start w:val="1"/>
      <w:numFmt w:val="bullet"/>
      <w:lvlText w:val="•"/>
      <w:lvlJc w:val="left"/>
      <w:pPr>
        <w:tabs>
          <w:tab w:val="num" w:pos="2880"/>
        </w:tabs>
        <w:ind w:left="2880" w:hanging="360"/>
      </w:pPr>
      <w:rPr>
        <w:rFonts w:ascii="Arial" w:hAnsi="Arial" w:hint="default"/>
      </w:rPr>
    </w:lvl>
    <w:lvl w:ilvl="4" w:tplc="798EC95E" w:tentative="1">
      <w:start w:val="1"/>
      <w:numFmt w:val="bullet"/>
      <w:lvlText w:val="•"/>
      <w:lvlJc w:val="left"/>
      <w:pPr>
        <w:tabs>
          <w:tab w:val="num" w:pos="3600"/>
        </w:tabs>
        <w:ind w:left="3600" w:hanging="360"/>
      </w:pPr>
      <w:rPr>
        <w:rFonts w:ascii="Arial" w:hAnsi="Arial" w:hint="default"/>
      </w:rPr>
    </w:lvl>
    <w:lvl w:ilvl="5" w:tplc="C8644EA0" w:tentative="1">
      <w:start w:val="1"/>
      <w:numFmt w:val="bullet"/>
      <w:lvlText w:val="•"/>
      <w:lvlJc w:val="left"/>
      <w:pPr>
        <w:tabs>
          <w:tab w:val="num" w:pos="4320"/>
        </w:tabs>
        <w:ind w:left="4320" w:hanging="360"/>
      </w:pPr>
      <w:rPr>
        <w:rFonts w:ascii="Arial" w:hAnsi="Arial" w:hint="default"/>
      </w:rPr>
    </w:lvl>
    <w:lvl w:ilvl="6" w:tplc="BB924DD4" w:tentative="1">
      <w:start w:val="1"/>
      <w:numFmt w:val="bullet"/>
      <w:lvlText w:val="•"/>
      <w:lvlJc w:val="left"/>
      <w:pPr>
        <w:tabs>
          <w:tab w:val="num" w:pos="5040"/>
        </w:tabs>
        <w:ind w:left="5040" w:hanging="360"/>
      </w:pPr>
      <w:rPr>
        <w:rFonts w:ascii="Arial" w:hAnsi="Arial" w:hint="default"/>
      </w:rPr>
    </w:lvl>
    <w:lvl w:ilvl="7" w:tplc="2FE49CFC" w:tentative="1">
      <w:start w:val="1"/>
      <w:numFmt w:val="bullet"/>
      <w:lvlText w:val="•"/>
      <w:lvlJc w:val="left"/>
      <w:pPr>
        <w:tabs>
          <w:tab w:val="num" w:pos="5760"/>
        </w:tabs>
        <w:ind w:left="5760" w:hanging="360"/>
      </w:pPr>
      <w:rPr>
        <w:rFonts w:ascii="Arial" w:hAnsi="Arial" w:hint="default"/>
      </w:rPr>
    </w:lvl>
    <w:lvl w:ilvl="8" w:tplc="DD324A9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6123319"/>
    <w:multiLevelType w:val="hybridMultilevel"/>
    <w:tmpl w:val="EC041C12"/>
    <w:lvl w:ilvl="0" w:tplc="3C6078C2">
      <w:start w:val="1"/>
      <w:numFmt w:val="bullet"/>
      <w:lvlText w:val="•"/>
      <w:lvlJc w:val="left"/>
      <w:pPr>
        <w:tabs>
          <w:tab w:val="num" w:pos="720"/>
        </w:tabs>
        <w:ind w:left="720" w:hanging="360"/>
      </w:pPr>
      <w:rPr>
        <w:rFonts w:ascii="Arial" w:hAnsi="Arial" w:hint="default"/>
      </w:rPr>
    </w:lvl>
    <w:lvl w:ilvl="1" w:tplc="40E8554A" w:tentative="1">
      <w:start w:val="1"/>
      <w:numFmt w:val="bullet"/>
      <w:lvlText w:val="•"/>
      <w:lvlJc w:val="left"/>
      <w:pPr>
        <w:tabs>
          <w:tab w:val="num" w:pos="1440"/>
        </w:tabs>
        <w:ind w:left="1440" w:hanging="360"/>
      </w:pPr>
      <w:rPr>
        <w:rFonts w:ascii="Arial" w:hAnsi="Arial" w:hint="default"/>
      </w:rPr>
    </w:lvl>
    <w:lvl w:ilvl="2" w:tplc="666484C8" w:tentative="1">
      <w:start w:val="1"/>
      <w:numFmt w:val="bullet"/>
      <w:lvlText w:val="•"/>
      <w:lvlJc w:val="left"/>
      <w:pPr>
        <w:tabs>
          <w:tab w:val="num" w:pos="2160"/>
        </w:tabs>
        <w:ind w:left="2160" w:hanging="360"/>
      </w:pPr>
      <w:rPr>
        <w:rFonts w:ascii="Arial" w:hAnsi="Arial" w:hint="default"/>
      </w:rPr>
    </w:lvl>
    <w:lvl w:ilvl="3" w:tplc="8D50C124" w:tentative="1">
      <w:start w:val="1"/>
      <w:numFmt w:val="bullet"/>
      <w:lvlText w:val="•"/>
      <w:lvlJc w:val="left"/>
      <w:pPr>
        <w:tabs>
          <w:tab w:val="num" w:pos="2880"/>
        </w:tabs>
        <w:ind w:left="2880" w:hanging="360"/>
      </w:pPr>
      <w:rPr>
        <w:rFonts w:ascii="Arial" w:hAnsi="Arial" w:hint="default"/>
      </w:rPr>
    </w:lvl>
    <w:lvl w:ilvl="4" w:tplc="330235D6" w:tentative="1">
      <w:start w:val="1"/>
      <w:numFmt w:val="bullet"/>
      <w:lvlText w:val="•"/>
      <w:lvlJc w:val="left"/>
      <w:pPr>
        <w:tabs>
          <w:tab w:val="num" w:pos="3600"/>
        </w:tabs>
        <w:ind w:left="3600" w:hanging="360"/>
      </w:pPr>
      <w:rPr>
        <w:rFonts w:ascii="Arial" w:hAnsi="Arial" w:hint="default"/>
      </w:rPr>
    </w:lvl>
    <w:lvl w:ilvl="5" w:tplc="D76E3B68" w:tentative="1">
      <w:start w:val="1"/>
      <w:numFmt w:val="bullet"/>
      <w:lvlText w:val="•"/>
      <w:lvlJc w:val="left"/>
      <w:pPr>
        <w:tabs>
          <w:tab w:val="num" w:pos="4320"/>
        </w:tabs>
        <w:ind w:left="4320" w:hanging="360"/>
      </w:pPr>
      <w:rPr>
        <w:rFonts w:ascii="Arial" w:hAnsi="Arial" w:hint="default"/>
      </w:rPr>
    </w:lvl>
    <w:lvl w:ilvl="6" w:tplc="686EA0D4" w:tentative="1">
      <w:start w:val="1"/>
      <w:numFmt w:val="bullet"/>
      <w:lvlText w:val="•"/>
      <w:lvlJc w:val="left"/>
      <w:pPr>
        <w:tabs>
          <w:tab w:val="num" w:pos="5040"/>
        </w:tabs>
        <w:ind w:left="5040" w:hanging="360"/>
      </w:pPr>
      <w:rPr>
        <w:rFonts w:ascii="Arial" w:hAnsi="Arial" w:hint="default"/>
      </w:rPr>
    </w:lvl>
    <w:lvl w:ilvl="7" w:tplc="7642355C" w:tentative="1">
      <w:start w:val="1"/>
      <w:numFmt w:val="bullet"/>
      <w:lvlText w:val="•"/>
      <w:lvlJc w:val="left"/>
      <w:pPr>
        <w:tabs>
          <w:tab w:val="num" w:pos="5760"/>
        </w:tabs>
        <w:ind w:left="5760" w:hanging="360"/>
      </w:pPr>
      <w:rPr>
        <w:rFonts w:ascii="Arial" w:hAnsi="Arial" w:hint="default"/>
      </w:rPr>
    </w:lvl>
    <w:lvl w:ilvl="8" w:tplc="68A2AEA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7953527"/>
    <w:multiLevelType w:val="hybridMultilevel"/>
    <w:tmpl w:val="9E44122C"/>
    <w:lvl w:ilvl="0" w:tplc="AA24A292">
      <w:start w:val="1"/>
      <w:numFmt w:val="bullet"/>
      <w:lvlText w:val="•"/>
      <w:lvlJc w:val="left"/>
      <w:pPr>
        <w:tabs>
          <w:tab w:val="num" w:pos="720"/>
        </w:tabs>
        <w:ind w:left="720" w:hanging="360"/>
      </w:pPr>
      <w:rPr>
        <w:rFonts w:ascii="Arial" w:hAnsi="Arial" w:hint="default"/>
      </w:rPr>
    </w:lvl>
    <w:lvl w:ilvl="1" w:tplc="2E5CFE08" w:tentative="1">
      <w:start w:val="1"/>
      <w:numFmt w:val="bullet"/>
      <w:lvlText w:val="•"/>
      <w:lvlJc w:val="left"/>
      <w:pPr>
        <w:tabs>
          <w:tab w:val="num" w:pos="1440"/>
        </w:tabs>
        <w:ind w:left="1440" w:hanging="360"/>
      </w:pPr>
      <w:rPr>
        <w:rFonts w:ascii="Arial" w:hAnsi="Arial" w:hint="default"/>
      </w:rPr>
    </w:lvl>
    <w:lvl w:ilvl="2" w:tplc="31FE362E" w:tentative="1">
      <w:start w:val="1"/>
      <w:numFmt w:val="bullet"/>
      <w:lvlText w:val="•"/>
      <w:lvlJc w:val="left"/>
      <w:pPr>
        <w:tabs>
          <w:tab w:val="num" w:pos="2160"/>
        </w:tabs>
        <w:ind w:left="2160" w:hanging="360"/>
      </w:pPr>
      <w:rPr>
        <w:rFonts w:ascii="Arial" w:hAnsi="Arial" w:hint="default"/>
      </w:rPr>
    </w:lvl>
    <w:lvl w:ilvl="3" w:tplc="125E12CA" w:tentative="1">
      <w:start w:val="1"/>
      <w:numFmt w:val="bullet"/>
      <w:lvlText w:val="•"/>
      <w:lvlJc w:val="left"/>
      <w:pPr>
        <w:tabs>
          <w:tab w:val="num" w:pos="2880"/>
        </w:tabs>
        <w:ind w:left="2880" w:hanging="360"/>
      </w:pPr>
      <w:rPr>
        <w:rFonts w:ascii="Arial" w:hAnsi="Arial" w:hint="default"/>
      </w:rPr>
    </w:lvl>
    <w:lvl w:ilvl="4" w:tplc="1BDC2CB8" w:tentative="1">
      <w:start w:val="1"/>
      <w:numFmt w:val="bullet"/>
      <w:lvlText w:val="•"/>
      <w:lvlJc w:val="left"/>
      <w:pPr>
        <w:tabs>
          <w:tab w:val="num" w:pos="3600"/>
        </w:tabs>
        <w:ind w:left="3600" w:hanging="360"/>
      </w:pPr>
      <w:rPr>
        <w:rFonts w:ascii="Arial" w:hAnsi="Arial" w:hint="default"/>
      </w:rPr>
    </w:lvl>
    <w:lvl w:ilvl="5" w:tplc="1E446BA6" w:tentative="1">
      <w:start w:val="1"/>
      <w:numFmt w:val="bullet"/>
      <w:lvlText w:val="•"/>
      <w:lvlJc w:val="left"/>
      <w:pPr>
        <w:tabs>
          <w:tab w:val="num" w:pos="4320"/>
        </w:tabs>
        <w:ind w:left="4320" w:hanging="360"/>
      </w:pPr>
      <w:rPr>
        <w:rFonts w:ascii="Arial" w:hAnsi="Arial" w:hint="default"/>
      </w:rPr>
    </w:lvl>
    <w:lvl w:ilvl="6" w:tplc="547EE826" w:tentative="1">
      <w:start w:val="1"/>
      <w:numFmt w:val="bullet"/>
      <w:lvlText w:val="•"/>
      <w:lvlJc w:val="left"/>
      <w:pPr>
        <w:tabs>
          <w:tab w:val="num" w:pos="5040"/>
        </w:tabs>
        <w:ind w:left="5040" w:hanging="360"/>
      </w:pPr>
      <w:rPr>
        <w:rFonts w:ascii="Arial" w:hAnsi="Arial" w:hint="default"/>
      </w:rPr>
    </w:lvl>
    <w:lvl w:ilvl="7" w:tplc="8AA8DF94" w:tentative="1">
      <w:start w:val="1"/>
      <w:numFmt w:val="bullet"/>
      <w:lvlText w:val="•"/>
      <w:lvlJc w:val="left"/>
      <w:pPr>
        <w:tabs>
          <w:tab w:val="num" w:pos="5760"/>
        </w:tabs>
        <w:ind w:left="5760" w:hanging="360"/>
      </w:pPr>
      <w:rPr>
        <w:rFonts w:ascii="Arial" w:hAnsi="Arial" w:hint="default"/>
      </w:rPr>
    </w:lvl>
    <w:lvl w:ilvl="8" w:tplc="DD2C6BC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AF10CC3"/>
    <w:multiLevelType w:val="hybridMultilevel"/>
    <w:tmpl w:val="6AEE8F6C"/>
    <w:lvl w:ilvl="0" w:tplc="AD5C3184">
      <w:start w:val="1"/>
      <w:numFmt w:val="bullet"/>
      <w:lvlText w:val="•"/>
      <w:lvlJc w:val="left"/>
      <w:pPr>
        <w:tabs>
          <w:tab w:val="num" w:pos="720"/>
        </w:tabs>
        <w:ind w:left="720" w:hanging="360"/>
      </w:pPr>
      <w:rPr>
        <w:rFonts w:ascii="Arial" w:hAnsi="Arial" w:hint="default"/>
      </w:rPr>
    </w:lvl>
    <w:lvl w:ilvl="1" w:tplc="0C9035E0" w:tentative="1">
      <w:start w:val="1"/>
      <w:numFmt w:val="bullet"/>
      <w:lvlText w:val="•"/>
      <w:lvlJc w:val="left"/>
      <w:pPr>
        <w:tabs>
          <w:tab w:val="num" w:pos="1440"/>
        </w:tabs>
        <w:ind w:left="1440" w:hanging="360"/>
      </w:pPr>
      <w:rPr>
        <w:rFonts w:ascii="Arial" w:hAnsi="Arial" w:hint="default"/>
      </w:rPr>
    </w:lvl>
    <w:lvl w:ilvl="2" w:tplc="456832FE" w:tentative="1">
      <w:start w:val="1"/>
      <w:numFmt w:val="bullet"/>
      <w:lvlText w:val="•"/>
      <w:lvlJc w:val="left"/>
      <w:pPr>
        <w:tabs>
          <w:tab w:val="num" w:pos="2160"/>
        </w:tabs>
        <w:ind w:left="2160" w:hanging="360"/>
      </w:pPr>
      <w:rPr>
        <w:rFonts w:ascii="Arial" w:hAnsi="Arial" w:hint="default"/>
      </w:rPr>
    </w:lvl>
    <w:lvl w:ilvl="3" w:tplc="8E2835D6" w:tentative="1">
      <w:start w:val="1"/>
      <w:numFmt w:val="bullet"/>
      <w:lvlText w:val="•"/>
      <w:lvlJc w:val="left"/>
      <w:pPr>
        <w:tabs>
          <w:tab w:val="num" w:pos="2880"/>
        </w:tabs>
        <w:ind w:left="2880" w:hanging="360"/>
      </w:pPr>
      <w:rPr>
        <w:rFonts w:ascii="Arial" w:hAnsi="Arial" w:hint="default"/>
      </w:rPr>
    </w:lvl>
    <w:lvl w:ilvl="4" w:tplc="E570A67A" w:tentative="1">
      <w:start w:val="1"/>
      <w:numFmt w:val="bullet"/>
      <w:lvlText w:val="•"/>
      <w:lvlJc w:val="left"/>
      <w:pPr>
        <w:tabs>
          <w:tab w:val="num" w:pos="3600"/>
        </w:tabs>
        <w:ind w:left="3600" w:hanging="360"/>
      </w:pPr>
      <w:rPr>
        <w:rFonts w:ascii="Arial" w:hAnsi="Arial" w:hint="default"/>
      </w:rPr>
    </w:lvl>
    <w:lvl w:ilvl="5" w:tplc="01D83B9E" w:tentative="1">
      <w:start w:val="1"/>
      <w:numFmt w:val="bullet"/>
      <w:lvlText w:val="•"/>
      <w:lvlJc w:val="left"/>
      <w:pPr>
        <w:tabs>
          <w:tab w:val="num" w:pos="4320"/>
        </w:tabs>
        <w:ind w:left="4320" w:hanging="360"/>
      </w:pPr>
      <w:rPr>
        <w:rFonts w:ascii="Arial" w:hAnsi="Arial" w:hint="default"/>
      </w:rPr>
    </w:lvl>
    <w:lvl w:ilvl="6" w:tplc="7FD81640" w:tentative="1">
      <w:start w:val="1"/>
      <w:numFmt w:val="bullet"/>
      <w:lvlText w:val="•"/>
      <w:lvlJc w:val="left"/>
      <w:pPr>
        <w:tabs>
          <w:tab w:val="num" w:pos="5040"/>
        </w:tabs>
        <w:ind w:left="5040" w:hanging="360"/>
      </w:pPr>
      <w:rPr>
        <w:rFonts w:ascii="Arial" w:hAnsi="Arial" w:hint="default"/>
      </w:rPr>
    </w:lvl>
    <w:lvl w:ilvl="7" w:tplc="F974A0FA" w:tentative="1">
      <w:start w:val="1"/>
      <w:numFmt w:val="bullet"/>
      <w:lvlText w:val="•"/>
      <w:lvlJc w:val="left"/>
      <w:pPr>
        <w:tabs>
          <w:tab w:val="num" w:pos="5760"/>
        </w:tabs>
        <w:ind w:left="5760" w:hanging="360"/>
      </w:pPr>
      <w:rPr>
        <w:rFonts w:ascii="Arial" w:hAnsi="Arial" w:hint="default"/>
      </w:rPr>
    </w:lvl>
    <w:lvl w:ilvl="8" w:tplc="31E22F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AF47FC6"/>
    <w:multiLevelType w:val="hybridMultilevel"/>
    <w:tmpl w:val="4DB69AF0"/>
    <w:lvl w:ilvl="0" w:tplc="57282F94">
      <w:start w:val="1"/>
      <w:numFmt w:val="bullet"/>
      <w:lvlText w:val="•"/>
      <w:lvlJc w:val="left"/>
      <w:pPr>
        <w:tabs>
          <w:tab w:val="num" w:pos="720"/>
        </w:tabs>
        <w:ind w:left="720" w:hanging="360"/>
      </w:pPr>
      <w:rPr>
        <w:rFonts w:ascii="Arial" w:hAnsi="Arial" w:hint="default"/>
      </w:rPr>
    </w:lvl>
    <w:lvl w:ilvl="1" w:tplc="9C38BF32" w:tentative="1">
      <w:start w:val="1"/>
      <w:numFmt w:val="bullet"/>
      <w:lvlText w:val="•"/>
      <w:lvlJc w:val="left"/>
      <w:pPr>
        <w:tabs>
          <w:tab w:val="num" w:pos="1440"/>
        </w:tabs>
        <w:ind w:left="1440" w:hanging="360"/>
      </w:pPr>
      <w:rPr>
        <w:rFonts w:ascii="Arial" w:hAnsi="Arial" w:hint="default"/>
      </w:rPr>
    </w:lvl>
    <w:lvl w:ilvl="2" w:tplc="7A10337A" w:tentative="1">
      <w:start w:val="1"/>
      <w:numFmt w:val="bullet"/>
      <w:lvlText w:val="•"/>
      <w:lvlJc w:val="left"/>
      <w:pPr>
        <w:tabs>
          <w:tab w:val="num" w:pos="2160"/>
        </w:tabs>
        <w:ind w:left="2160" w:hanging="360"/>
      </w:pPr>
      <w:rPr>
        <w:rFonts w:ascii="Arial" w:hAnsi="Arial" w:hint="default"/>
      </w:rPr>
    </w:lvl>
    <w:lvl w:ilvl="3" w:tplc="178C9AC0" w:tentative="1">
      <w:start w:val="1"/>
      <w:numFmt w:val="bullet"/>
      <w:lvlText w:val="•"/>
      <w:lvlJc w:val="left"/>
      <w:pPr>
        <w:tabs>
          <w:tab w:val="num" w:pos="2880"/>
        </w:tabs>
        <w:ind w:left="2880" w:hanging="360"/>
      </w:pPr>
      <w:rPr>
        <w:rFonts w:ascii="Arial" w:hAnsi="Arial" w:hint="default"/>
      </w:rPr>
    </w:lvl>
    <w:lvl w:ilvl="4" w:tplc="2EC0F292" w:tentative="1">
      <w:start w:val="1"/>
      <w:numFmt w:val="bullet"/>
      <w:lvlText w:val="•"/>
      <w:lvlJc w:val="left"/>
      <w:pPr>
        <w:tabs>
          <w:tab w:val="num" w:pos="3600"/>
        </w:tabs>
        <w:ind w:left="3600" w:hanging="360"/>
      </w:pPr>
      <w:rPr>
        <w:rFonts w:ascii="Arial" w:hAnsi="Arial" w:hint="default"/>
      </w:rPr>
    </w:lvl>
    <w:lvl w:ilvl="5" w:tplc="95E02B5A" w:tentative="1">
      <w:start w:val="1"/>
      <w:numFmt w:val="bullet"/>
      <w:lvlText w:val="•"/>
      <w:lvlJc w:val="left"/>
      <w:pPr>
        <w:tabs>
          <w:tab w:val="num" w:pos="4320"/>
        </w:tabs>
        <w:ind w:left="4320" w:hanging="360"/>
      </w:pPr>
      <w:rPr>
        <w:rFonts w:ascii="Arial" w:hAnsi="Arial" w:hint="default"/>
      </w:rPr>
    </w:lvl>
    <w:lvl w:ilvl="6" w:tplc="9D541A30" w:tentative="1">
      <w:start w:val="1"/>
      <w:numFmt w:val="bullet"/>
      <w:lvlText w:val="•"/>
      <w:lvlJc w:val="left"/>
      <w:pPr>
        <w:tabs>
          <w:tab w:val="num" w:pos="5040"/>
        </w:tabs>
        <w:ind w:left="5040" w:hanging="360"/>
      </w:pPr>
      <w:rPr>
        <w:rFonts w:ascii="Arial" w:hAnsi="Arial" w:hint="default"/>
      </w:rPr>
    </w:lvl>
    <w:lvl w:ilvl="7" w:tplc="EE7227AC" w:tentative="1">
      <w:start w:val="1"/>
      <w:numFmt w:val="bullet"/>
      <w:lvlText w:val="•"/>
      <w:lvlJc w:val="left"/>
      <w:pPr>
        <w:tabs>
          <w:tab w:val="num" w:pos="5760"/>
        </w:tabs>
        <w:ind w:left="5760" w:hanging="360"/>
      </w:pPr>
      <w:rPr>
        <w:rFonts w:ascii="Arial" w:hAnsi="Arial" w:hint="default"/>
      </w:rPr>
    </w:lvl>
    <w:lvl w:ilvl="8" w:tplc="484AAF7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BE53485"/>
    <w:multiLevelType w:val="hybridMultilevel"/>
    <w:tmpl w:val="25082E50"/>
    <w:lvl w:ilvl="0" w:tplc="2C5C191E">
      <w:start w:val="1"/>
      <w:numFmt w:val="bullet"/>
      <w:lvlText w:val="•"/>
      <w:lvlJc w:val="left"/>
      <w:pPr>
        <w:tabs>
          <w:tab w:val="num" w:pos="720"/>
        </w:tabs>
        <w:ind w:left="720" w:hanging="360"/>
      </w:pPr>
      <w:rPr>
        <w:rFonts w:ascii="Arial" w:hAnsi="Arial" w:hint="default"/>
      </w:rPr>
    </w:lvl>
    <w:lvl w:ilvl="1" w:tplc="06541C06" w:tentative="1">
      <w:start w:val="1"/>
      <w:numFmt w:val="bullet"/>
      <w:lvlText w:val="•"/>
      <w:lvlJc w:val="left"/>
      <w:pPr>
        <w:tabs>
          <w:tab w:val="num" w:pos="1440"/>
        </w:tabs>
        <w:ind w:left="1440" w:hanging="360"/>
      </w:pPr>
      <w:rPr>
        <w:rFonts w:ascii="Arial" w:hAnsi="Arial" w:hint="default"/>
      </w:rPr>
    </w:lvl>
    <w:lvl w:ilvl="2" w:tplc="7658A1B6" w:tentative="1">
      <w:start w:val="1"/>
      <w:numFmt w:val="bullet"/>
      <w:lvlText w:val="•"/>
      <w:lvlJc w:val="left"/>
      <w:pPr>
        <w:tabs>
          <w:tab w:val="num" w:pos="2160"/>
        </w:tabs>
        <w:ind w:left="2160" w:hanging="360"/>
      </w:pPr>
      <w:rPr>
        <w:rFonts w:ascii="Arial" w:hAnsi="Arial" w:hint="default"/>
      </w:rPr>
    </w:lvl>
    <w:lvl w:ilvl="3" w:tplc="32F8CFEA" w:tentative="1">
      <w:start w:val="1"/>
      <w:numFmt w:val="bullet"/>
      <w:lvlText w:val="•"/>
      <w:lvlJc w:val="left"/>
      <w:pPr>
        <w:tabs>
          <w:tab w:val="num" w:pos="2880"/>
        </w:tabs>
        <w:ind w:left="2880" w:hanging="360"/>
      </w:pPr>
      <w:rPr>
        <w:rFonts w:ascii="Arial" w:hAnsi="Arial" w:hint="default"/>
      </w:rPr>
    </w:lvl>
    <w:lvl w:ilvl="4" w:tplc="C5D4EC2E" w:tentative="1">
      <w:start w:val="1"/>
      <w:numFmt w:val="bullet"/>
      <w:lvlText w:val="•"/>
      <w:lvlJc w:val="left"/>
      <w:pPr>
        <w:tabs>
          <w:tab w:val="num" w:pos="3600"/>
        </w:tabs>
        <w:ind w:left="3600" w:hanging="360"/>
      </w:pPr>
      <w:rPr>
        <w:rFonts w:ascii="Arial" w:hAnsi="Arial" w:hint="default"/>
      </w:rPr>
    </w:lvl>
    <w:lvl w:ilvl="5" w:tplc="3EC8CC94" w:tentative="1">
      <w:start w:val="1"/>
      <w:numFmt w:val="bullet"/>
      <w:lvlText w:val="•"/>
      <w:lvlJc w:val="left"/>
      <w:pPr>
        <w:tabs>
          <w:tab w:val="num" w:pos="4320"/>
        </w:tabs>
        <w:ind w:left="4320" w:hanging="360"/>
      </w:pPr>
      <w:rPr>
        <w:rFonts w:ascii="Arial" w:hAnsi="Arial" w:hint="default"/>
      </w:rPr>
    </w:lvl>
    <w:lvl w:ilvl="6" w:tplc="F55A4656" w:tentative="1">
      <w:start w:val="1"/>
      <w:numFmt w:val="bullet"/>
      <w:lvlText w:val="•"/>
      <w:lvlJc w:val="left"/>
      <w:pPr>
        <w:tabs>
          <w:tab w:val="num" w:pos="5040"/>
        </w:tabs>
        <w:ind w:left="5040" w:hanging="360"/>
      </w:pPr>
      <w:rPr>
        <w:rFonts w:ascii="Arial" w:hAnsi="Arial" w:hint="default"/>
      </w:rPr>
    </w:lvl>
    <w:lvl w:ilvl="7" w:tplc="CE345F28" w:tentative="1">
      <w:start w:val="1"/>
      <w:numFmt w:val="bullet"/>
      <w:lvlText w:val="•"/>
      <w:lvlJc w:val="left"/>
      <w:pPr>
        <w:tabs>
          <w:tab w:val="num" w:pos="5760"/>
        </w:tabs>
        <w:ind w:left="5760" w:hanging="360"/>
      </w:pPr>
      <w:rPr>
        <w:rFonts w:ascii="Arial" w:hAnsi="Arial" w:hint="default"/>
      </w:rPr>
    </w:lvl>
    <w:lvl w:ilvl="8" w:tplc="DFB01C8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DF423DE"/>
    <w:multiLevelType w:val="hybridMultilevel"/>
    <w:tmpl w:val="5BBA69DE"/>
    <w:lvl w:ilvl="0" w:tplc="EEB054A8">
      <w:start w:val="1"/>
      <w:numFmt w:val="bullet"/>
      <w:lvlText w:val="•"/>
      <w:lvlJc w:val="left"/>
      <w:pPr>
        <w:tabs>
          <w:tab w:val="num" w:pos="720"/>
        </w:tabs>
        <w:ind w:left="720" w:hanging="360"/>
      </w:pPr>
      <w:rPr>
        <w:rFonts w:ascii="Arial" w:hAnsi="Arial" w:hint="default"/>
      </w:rPr>
    </w:lvl>
    <w:lvl w:ilvl="1" w:tplc="05A28B5C" w:tentative="1">
      <w:start w:val="1"/>
      <w:numFmt w:val="bullet"/>
      <w:lvlText w:val="•"/>
      <w:lvlJc w:val="left"/>
      <w:pPr>
        <w:tabs>
          <w:tab w:val="num" w:pos="1440"/>
        </w:tabs>
        <w:ind w:left="1440" w:hanging="360"/>
      </w:pPr>
      <w:rPr>
        <w:rFonts w:ascii="Arial" w:hAnsi="Arial" w:hint="default"/>
      </w:rPr>
    </w:lvl>
    <w:lvl w:ilvl="2" w:tplc="ED6C11A0" w:tentative="1">
      <w:start w:val="1"/>
      <w:numFmt w:val="bullet"/>
      <w:lvlText w:val="•"/>
      <w:lvlJc w:val="left"/>
      <w:pPr>
        <w:tabs>
          <w:tab w:val="num" w:pos="2160"/>
        </w:tabs>
        <w:ind w:left="2160" w:hanging="360"/>
      </w:pPr>
      <w:rPr>
        <w:rFonts w:ascii="Arial" w:hAnsi="Arial" w:hint="default"/>
      </w:rPr>
    </w:lvl>
    <w:lvl w:ilvl="3" w:tplc="67A6B642" w:tentative="1">
      <w:start w:val="1"/>
      <w:numFmt w:val="bullet"/>
      <w:lvlText w:val="•"/>
      <w:lvlJc w:val="left"/>
      <w:pPr>
        <w:tabs>
          <w:tab w:val="num" w:pos="2880"/>
        </w:tabs>
        <w:ind w:left="2880" w:hanging="360"/>
      </w:pPr>
      <w:rPr>
        <w:rFonts w:ascii="Arial" w:hAnsi="Arial" w:hint="default"/>
      </w:rPr>
    </w:lvl>
    <w:lvl w:ilvl="4" w:tplc="80A842C8" w:tentative="1">
      <w:start w:val="1"/>
      <w:numFmt w:val="bullet"/>
      <w:lvlText w:val="•"/>
      <w:lvlJc w:val="left"/>
      <w:pPr>
        <w:tabs>
          <w:tab w:val="num" w:pos="3600"/>
        </w:tabs>
        <w:ind w:left="3600" w:hanging="360"/>
      </w:pPr>
      <w:rPr>
        <w:rFonts w:ascii="Arial" w:hAnsi="Arial" w:hint="default"/>
      </w:rPr>
    </w:lvl>
    <w:lvl w:ilvl="5" w:tplc="5F9651CE" w:tentative="1">
      <w:start w:val="1"/>
      <w:numFmt w:val="bullet"/>
      <w:lvlText w:val="•"/>
      <w:lvlJc w:val="left"/>
      <w:pPr>
        <w:tabs>
          <w:tab w:val="num" w:pos="4320"/>
        </w:tabs>
        <w:ind w:left="4320" w:hanging="360"/>
      </w:pPr>
      <w:rPr>
        <w:rFonts w:ascii="Arial" w:hAnsi="Arial" w:hint="default"/>
      </w:rPr>
    </w:lvl>
    <w:lvl w:ilvl="6" w:tplc="A07ACE84" w:tentative="1">
      <w:start w:val="1"/>
      <w:numFmt w:val="bullet"/>
      <w:lvlText w:val="•"/>
      <w:lvlJc w:val="left"/>
      <w:pPr>
        <w:tabs>
          <w:tab w:val="num" w:pos="5040"/>
        </w:tabs>
        <w:ind w:left="5040" w:hanging="360"/>
      </w:pPr>
      <w:rPr>
        <w:rFonts w:ascii="Arial" w:hAnsi="Arial" w:hint="default"/>
      </w:rPr>
    </w:lvl>
    <w:lvl w:ilvl="7" w:tplc="166EEAF0" w:tentative="1">
      <w:start w:val="1"/>
      <w:numFmt w:val="bullet"/>
      <w:lvlText w:val="•"/>
      <w:lvlJc w:val="left"/>
      <w:pPr>
        <w:tabs>
          <w:tab w:val="num" w:pos="5760"/>
        </w:tabs>
        <w:ind w:left="5760" w:hanging="360"/>
      </w:pPr>
      <w:rPr>
        <w:rFonts w:ascii="Arial" w:hAnsi="Arial" w:hint="default"/>
      </w:rPr>
    </w:lvl>
    <w:lvl w:ilvl="8" w:tplc="8DD0E83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F767E95"/>
    <w:multiLevelType w:val="hybridMultilevel"/>
    <w:tmpl w:val="EA60EFC6"/>
    <w:lvl w:ilvl="0" w:tplc="0EEA67B2">
      <w:start w:val="1"/>
      <w:numFmt w:val="bullet"/>
      <w:lvlText w:val="•"/>
      <w:lvlJc w:val="left"/>
      <w:pPr>
        <w:tabs>
          <w:tab w:val="num" w:pos="720"/>
        </w:tabs>
        <w:ind w:left="720" w:hanging="360"/>
      </w:pPr>
      <w:rPr>
        <w:rFonts w:ascii="Arial" w:hAnsi="Arial" w:hint="default"/>
      </w:rPr>
    </w:lvl>
    <w:lvl w:ilvl="1" w:tplc="8B0CCEFC" w:tentative="1">
      <w:start w:val="1"/>
      <w:numFmt w:val="bullet"/>
      <w:lvlText w:val="•"/>
      <w:lvlJc w:val="left"/>
      <w:pPr>
        <w:tabs>
          <w:tab w:val="num" w:pos="1440"/>
        </w:tabs>
        <w:ind w:left="1440" w:hanging="360"/>
      </w:pPr>
      <w:rPr>
        <w:rFonts w:ascii="Arial" w:hAnsi="Arial" w:hint="default"/>
      </w:rPr>
    </w:lvl>
    <w:lvl w:ilvl="2" w:tplc="325A0A22" w:tentative="1">
      <w:start w:val="1"/>
      <w:numFmt w:val="bullet"/>
      <w:lvlText w:val="•"/>
      <w:lvlJc w:val="left"/>
      <w:pPr>
        <w:tabs>
          <w:tab w:val="num" w:pos="2160"/>
        </w:tabs>
        <w:ind w:left="2160" w:hanging="360"/>
      </w:pPr>
      <w:rPr>
        <w:rFonts w:ascii="Arial" w:hAnsi="Arial" w:hint="default"/>
      </w:rPr>
    </w:lvl>
    <w:lvl w:ilvl="3" w:tplc="031C91DC" w:tentative="1">
      <w:start w:val="1"/>
      <w:numFmt w:val="bullet"/>
      <w:lvlText w:val="•"/>
      <w:lvlJc w:val="left"/>
      <w:pPr>
        <w:tabs>
          <w:tab w:val="num" w:pos="2880"/>
        </w:tabs>
        <w:ind w:left="2880" w:hanging="360"/>
      </w:pPr>
      <w:rPr>
        <w:rFonts w:ascii="Arial" w:hAnsi="Arial" w:hint="default"/>
      </w:rPr>
    </w:lvl>
    <w:lvl w:ilvl="4" w:tplc="32B46C7C" w:tentative="1">
      <w:start w:val="1"/>
      <w:numFmt w:val="bullet"/>
      <w:lvlText w:val="•"/>
      <w:lvlJc w:val="left"/>
      <w:pPr>
        <w:tabs>
          <w:tab w:val="num" w:pos="3600"/>
        </w:tabs>
        <w:ind w:left="3600" w:hanging="360"/>
      </w:pPr>
      <w:rPr>
        <w:rFonts w:ascii="Arial" w:hAnsi="Arial" w:hint="default"/>
      </w:rPr>
    </w:lvl>
    <w:lvl w:ilvl="5" w:tplc="4172247E" w:tentative="1">
      <w:start w:val="1"/>
      <w:numFmt w:val="bullet"/>
      <w:lvlText w:val="•"/>
      <w:lvlJc w:val="left"/>
      <w:pPr>
        <w:tabs>
          <w:tab w:val="num" w:pos="4320"/>
        </w:tabs>
        <w:ind w:left="4320" w:hanging="360"/>
      </w:pPr>
      <w:rPr>
        <w:rFonts w:ascii="Arial" w:hAnsi="Arial" w:hint="default"/>
      </w:rPr>
    </w:lvl>
    <w:lvl w:ilvl="6" w:tplc="49884AE4" w:tentative="1">
      <w:start w:val="1"/>
      <w:numFmt w:val="bullet"/>
      <w:lvlText w:val="•"/>
      <w:lvlJc w:val="left"/>
      <w:pPr>
        <w:tabs>
          <w:tab w:val="num" w:pos="5040"/>
        </w:tabs>
        <w:ind w:left="5040" w:hanging="360"/>
      </w:pPr>
      <w:rPr>
        <w:rFonts w:ascii="Arial" w:hAnsi="Arial" w:hint="default"/>
      </w:rPr>
    </w:lvl>
    <w:lvl w:ilvl="7" w:tplc="8B22FDBA" w:tentative="1">
      <w:start w:val="1"/>
      <w:numFmt w:val="bullet"/>
      <w:lvlText w:val="•"/>
      <w:lvlJc w:val="left"/>
      <w:pPr>
        <w:tabs>
          <w:tab w:val="num" w:pos="5760"/>
        </w:tabs>
        <w:ind w:left="5760" w:hanging="360"/>
      </w:pPr>
      <w:rPr>
        <w:rFonts w:ascii="Arial" w:hAnsi="Arial" w:hint="default"/>
      </w:rPr>
    </w:lvl>
    <w:lvl w:ilvl="8" w:tplc="8EC0E4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FBD2955"/>
    <w:multiLevelType w:val="hybridMultilevel"/>
    <w:tmpl w:val="35820550"/>
    <w:lvl w:ilvl="0" w:tplc="FFFFFFFF">
      <w:start w:val="1"/>
      <w:numFmt w:val="bullet"/>
      <w:pStyle w:val="spaced6"/>
      <w:lvlText w:val="•"/>
      <w:lvlJc w:val="left"/>
      <w:pPr>
        <w:tabs>
          <w:tab w:val="num" w:pos="720"/>
        </w:tabs>
        <w:ind w:left="720" w:hanging="360"/>
      </w:pPr>
      <w:rPr>
        <w:rFonts w:ascii="Arial" w:hAnsi="Arial" w:hint="default"/>
      </w:rPr>
    </w:lvl>
    <w:lvl w:ilvl="1" w:tplc="710C5800">
      <w:start w:val="1"/>
      <w:numFmt w:val="bullet"/>
      <w:lvlText w:val="•"/>
      <w:lvlJc w:val="left"/>
      <w:pPr>
        <w:tabs>
          <w:tab w:val="num" w:pos="1440"/>
        </w:tabs>
        <w:ind w:left="1440" w:hanging="360"/>
      </w:pPr>
      <w:rPr>
        <w:rFonts w:ascii="Arial" w:hAnsi="Arial" w:hint="default"/>
      </w:rPr>
    </w:lvl>
    <w:lvl w:ilvl="2" w:tplc="7A9E675E">
      <w:start w:val="1"/>
      <w:numFmt w:val="bullet"/>
      <w:lvlText w:val="•"/>
      <w:lvlJc w:val="left"/>
      <w:pPr>
        <w:tabs>
          <w:tab w:val="num" w:pos="2160"/>
        </w:tabs>
        <w:ind w:left="2160" w:hanging="360"/>
      </w:pPr>
      <w:rPr>
        <w:rFonts w:ascii="Arial" w:hAnsi="Arial" w:hint="default"/>
      </w:rPr>
    </w:lvl>
    <w:lvl w:ilvl="3" w:tplc="F7E828DC" w:tentative="1">
      <w:start w:val="1"/>
      <w:numFmt w:val="bullet"/>
      <w:lvlText w:val="•"/>
      <w:lvlJc w:val="left"/>
      <w:pPr>
        <w:tabs>
          <w:tab w:val="num" w:pos="2880"/>
        </w:tabs>
        <w:ind w:left="2880" w:hanging="360"/>
      </w:pPr>
      <w:rPr>
        <w:rFonts w:ascii="Arial" w:hAnsi="Arial" w:hint="default"/>
      </w:rPr>
    </w:lvl>
    <w:lvl w:ilvl="4" w:tplc="C3AAF986" w:tentative="1">
      <w:start w:val="1"/>
      <w:numFmt w:val="bullet"/>
      <w:lvlText w:val="•"/>
      <w:lvlJc w:val="left"/>
      <w:pPr>
        <w:tabs>
          <w:tab w:val="num" w:pos="3600"/>
        </w:tabs>
        <w:ind w:left="3600" w:hanging="360"/>
      </w:pPr>
      <w:rPr>
        <w:rFonts w:ascii="Arial" w:hAnsi="Arial" w:hint="default"/>
      </w:rPr>
    </w:lvl>
    <w:lvl w:ilvl="5" w:tplc="2EAE1716" w:tentative="1">
      <w:start w:val="1"/>
      <w:numFmt w:val="bullet"/>
      <w:lvlText w:val="•"/>
      <w:lvlJc w:val="left"/>
      <w:pPr>
        <w:tabs>
          <w:tab w:val="num" w:pos="4320"/>
        </w:tabs>
        <w:ind w:left="4320" w:hanging="360"/>
      </w:pPr>
      <w:rPr>
        <w:rFonts w:ascii="Arial" w:hAnsi="Arial" w:hint="default"/>
      </w:rPr>
    </w:lvl>
    <w:lvl w:ilvl="6" w:tplc="F602351C" w:tentative="1">
      <w:start w:val="1"/>
      <w:numFmt w:val="bullet"/>
      <w:lvlText w:val="•"/>
      <w:lvlJc w:val="left"/>
      <w:pPr>
        <w:tabs>
          <w:tab w:val="num" w:pos="5040"/>
        </w:tabs>
        <w:ind w:left="5040" w:hanging="360"/>
      </w:pPr>
      <w:rPr>
        <w:rFonts w:ascii="Arial" w:hAnsi="Arial" w:hint="default"/>
      </w:rPr>
    </w:lvl>
    <w:lvl w:ilvl="7" w:tplc="C7685BC2" w:tentative="1">
      <w:start w:val="1"/>
      <w:numFmt w:val="bullet"/>
      <w:lvlText w:val="•"/>
      <w:lvlJc w:val="left"/>
      <w:pPr>
        <w:tabs>
          <w:tab w:val="num" w:pos="5760"/>
        </w:tabs>
        <w:ind w:left="5760" w:hanging="360"/>
      </w:pPr>
      <w:rPr>
        <w:rFonts w:ascii="Arial" w:hAnsi="Arial" w:hint="default"/>
      </w:rPr>
    </w:lvl>
    <w:lvl w:ilvl="8" w:tplc="763AF8D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1571822"/>
    <w:multiLevelType w:val="hybridMultilevel"/>
    <w:tmpl w:val="111A8B7A"/>
    <w:lvl w:ilvl="0" w:tplc="6EF895FE">
      <w:start w:val="1"/>
      <w:numFmt w:val="bullet"/>
      <w:lvlText w:val="•"/>
      <w:lvlJc w:val="left"/>
      <w:pPr>
        <w:tabs>
          <w:tab w:val="num" w:pos="720"/>
        </w:tabs>
        <w:ind w:left="720" w:hanging="360"/>
      </w:pPr>
      <w:rPr>
        <w:rFonts w:ascii="Arial" w:hAnsi="Arial" w:hint="default"/>
      </w:rPr>
    </w:lvl>
    <w:lvl w:ilvl="1" w:tplc="B8D2F3EC" w:tentative="1">
      <w:start w:val="1"/>
      <w:numFmt w:val="bullet"/>
      <w:lvlText w:val="•"/>
      <w:lvlJc w:val="left"/>
      <w:pPr>
        <w:tabs>
          <w:tab w:val="num" w:pos="1440"/>
        </w:tabs>
        <w:ind w:left="1440" w:hanging="360"/>
      </w:pPr>
      <w:rPr>
        <w:rFonts w:ascii="Arial" w:hAnsi="Arial" w:hint="default"/>
      </w:rPr>
    </w:lvl>
    <w:lvl w:ilvl="2" w:tplc="6C6A8ECE" w:tentative="1">
      <w:start w:val="1"/>
      <w:numFmt w:val="bullet"/>
      <w:lvlText w:val="•"/>
      <w:lvlJc w:val="left"/>
      <w:pPr>
        <w:tabs>
          <w:tab w:val="num" w:pos="2160"/>
        </w:tabs>
        <w:ind w:left="2160" w:hanging="360"/>
      </w:pPr>
      <w:rPr>
        <w:rFonts w:ascii="Arial" w:hAnsi="Arial" w:hint="default"/>
      </w:rPr>
    </w:lvl>
    <w:lvl w:ilvl="3" w:tplc="FFE0CB5C" w:tentative="1">
      <w:start w:val="1"/>
      <w:numFmt w:val="bullet"/>
      <w:lvlText w:val="•"/>
      <w:lvlJc w:val="left"/>
      <w:pPr>
        <w:tabs>
          <w:tab w:val="num" w:pos="2880"/>
        </w:tabs>
        <w:ind w:left="2880" w:hanging="360"/>
      </w:pPr>
      <w:rPr>
        <w:rFonts w:ascii="Arial" w:hAnsi="Arial" w:hint="default"/>
      </w:rPr>
    </w:lvl>
    <w:lvl w:ilvl="4" w:tplc="3474D3DE" w:tentative="1">
      <w:start w:val="1"/>
      <w:numFmt w:val="bullet"/>
      <w:lvlText w:val="•"/>
      <w:lvlJc w:val="left"/>
      <w:pPr>
        <w:tabs>
          <w:tab w:val="num" w:pos="3600"/>
        </w:tabs>
        <w:ind w:left="3600" w:hanging="360"/>
      </w:pPr>
      <w:rPr>
        <w:rFonts w:ascii="Arial" w:hAnsi="Arial" w:hint="default"/>
      </w:rPr>
    </w:lvl>
    <w:lvl w:ilvl="5" w:tplc="943C29B0" w:tentative="1">
      <w:start w:val="1"/>
      <w:numFmt w:val="bullet"/>
      <w:lvlText w:val="•"/>
      <w:lvlJc w:val="left"/>
      <w:pPr>
        <w:tabs>
          <w:tab w:val="num" w:pos="4320"/>
        </w:tabs>
        <w:ind w:left="4320" w:hanging="360"/>
      </w:pPr>
      <w:rPr>
        <w:rFonts w:ascii="Arial" w:hAnsi="Arial" w:hint="default"/>
      </w:rPr>
    </w:lvl>
    <w:lvl w:ilvl="6" w:tplc="8EC839CA" w:tentative="1">
      <w:start w:val="1"/>
      <w:numFmt w:val="bullet"/>
      <w:lvlText w:val="•"/>
      <w:lvlJc w:val="left"/>
      <w:pPr>
        <w:tabs>
          <w:tab w:val="num" w:pos="5040"/>
        </w:tabs>
        <w:ind w:left="5040" w:hanging="360"/>
      </w:pPr>
      <w:rPr>
        <w:rFonts w:ascii="Arial" w:hAnsi="Arial" w:hint="default"/>
      </w:rPr>
    </w:lvl>
    <w:lvl w:ilvl="7" w:tplc="6194EB8C" w:tentative="1">
      <w:start w:val="1"/>
      <w:numFmt w:val="bullet"/>
      <w:lvlText w:val="•"/>
      <w:lvlJc w:val="left"/>
      <w:pPr>
        <w:tabs>
          <w:tab w:val="num" w:pos="5760"/>
        </w:tabs>
        <w:ind w:left="5760" w:hanging="360"/>
      </w:pPr>
      <w:rPr>
        <w:rFonts w:ascii="Arial" w:hAnsi="Arial" w:hint="default"/>
      </w:rPr>
    </w:lvl>
    <w:lvl w:ilvl="8" w:tplc="1862BAD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1D62C26"/>
    <w:multiLevelType w:val="hybridMultilevel"/>
    <w:tmpl w:val="C9D69CF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6" w15:restartNumberingAfterBreak="0">
    <w:nsid w:val="32AB13B2"/>
    <w:multiLevelType w:val="hybridMultilevel"/>
    <w:tmpl w:val="9A788DFA"/>
    <w:lvl w:ilvl="0" w:tplc="50FA1DEA">
      <w:start w:val="1"/>
      <w:numFmt w:val="bullet"/>
      <w:lvlText w:val="•"/>
      <w:lvlJc w:val="left"/>
      <w:pPr>
        <w:tabs>
          <w:tab w:val="num" w:pos="720"/>
        </w:tabs>
        <w:ind w:left="720" w:hanging="360"/>
      </w:pPr>
      <w:rPr>
        <w:rFonts w:ascii="Arial" w:hAnsi="Arial" w:hint="default"/>
      </w:rPr>
    </w:lvl>
    <w:lvl w:ilvl="1" w:tplc="E2AEC060" w:tentative="1">
      <w:start w:val="1"/>
      <w:numFmt w:val="bullet"/>
      <w:lvlText w:val="•"/>
      <w:lvlJc w:val="left"/>
      <w:pPr>
        <w:tabs>
          <w:tab w:val="num" w:pos="1440"/>
        </w:tabs>
        <w:ind w:left="1440" w:hanging="360"/>
      </w:pPr>
      <w:rPr>
        <w:rFonts w:ascii="Arial" w:hAnsi="Arial" w:hint="default"/>
      </w:rPr>
    </w:lvl>
    <w:lvl w:ilvl="2" w:tplc="DBA6217C" w:tentative="1">
      <w:start w:val="1"/>
      <w:numFmt w:val="bullet"/>
      <w:lvlText w:val="•"/>
      <w:lvlJc w:val="left"/>
      <w:pPr>
        <w:tabs>
          <w:tab w:val="num" w:pos="2160"/>
        </w:tabs>
        <w:ind w:left="2160" w:hanging="360"/>
      </w:pPr>
      <w:rPr>
        <w:rFonts w:ascii="Arial" w:hAnsi="Arial" w:hint="default"/>
      </w:rPr>
    </w:lvl>
    <w:lvl w:ilvl="3" w:tplc="E10039D0" w:tentative="1">
      <w:start w:val="1"/>
      <w:numFmt w:val="bullet"/>
      <w:lvlText w:val="•"/>
      <w:lvlJc w:val="left"/>
      <w:pPr>
        <w:tabs>
          <w:tab w:val="num" w:pos="2880"/>
        </w:tabs>
        <w:ind w:left="2880" w:hanging="360"/>
      </w:pPr>
      <w:rPr>
        <w:rFonts w:ascii="Arial" w:hAnsi="Arial" w:hint="default"/>
      </w:rPr>
    </w:lvl>
    <w:lvl w:ilvl="4" w:tplc="47120D14" w:tentative="1">
      <w:start w:val="1"/>
      <w:numFmt w:val="bullet"/>
      <w:lvlText w:val="•"/>
      <w:lvlJc w:val="left"/>
      <w:pPr>
        <w:tabs>
          <w:tab w:val="num" w:pos="3600"/>
        </w:tabs>
        <w:ind w:left="3600" w:hanging="360"/>
      </w:pPr>
      <w:rPr>
        <w:rFonts w:ascii="Arial" w:hAnsi="Arial" w:hint="default"/>
      </w:rPr>
    </w:lvl>
    <w:lvl w:ilvl="5" w:tplc="2E562412" w:tentative="1">
      <w:start w:val="1"/>
      <w:numFmt w:val="bullet"/>
      <w:lvlText w:val="•"/>
      <w:lvlJc w:val="left"/>
      <w:pPr>
        <w:tabs>
          <w:tab w:val="num" w:pos="4320"/>
        </w:tabs>
        <w:ind w:left="4320" w:hanging="360"/>
      </w:pPr>
      <w:rPr>
        <w:rFonts w:ascii="Arial" w:hAnsi="Arial" w:hint="default"/>
      </w:rPr>
    </w:lvl>
    <w:lvl w:ilvl="6" w:tplc="238E4382" w:tentative="1">
      <w:start w:val="1"/>
      <w:numFmt w:val="bullet"/>
      <w:lvlText w:val="•"/>
      <w:lvlJc w:val="left"/>
      <w:pPr>
        <w:tabs>
          <w:tab w:val="num" w:pos="5040"/>
        </w:tabs>
        <w:ind w:left="5040" w:hanging="360"/>
      </w:pPr>
      <w:rPr>
        <w:rFonts w:ascii="Arial" w:hAnsi="Arial" w:hint="default"/>
      </w:rPr>
    </w:lvl>
    <w:lvl w:ilvl="7" w:tplc="5C76A7D0" w:tentative="1">
      <w:start w:val="1"/>
      <w:numFmt w:val="bullet"/>
      <w:lvlText w:val="•"/>
      <w:lvlJc w:val="left"/>
      <w:pPr>
        <w:tabs>
          <w:tab w:val="num" w:pos="5760"/>
        </w:tabs>
        <w:ind w:left="5760" w:hanging="360"/>
      </w:pPr>
      <w:rPr>
        <w:rFonts w:ascii="Arial" w:hAnsi="Arial" w:hint="default"/>
      </w:rPr>
    </w:lvl>
    <w:lvl w:ilvl="8" w:tplc="6616CE6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36D168D"/>
    <w:multiLevelType w:val="hybridMultilevel"/>
    <w:tmpl w:val="C6880596"/>
    <w:lvl w:ilvl="0" w:tplc="CF36C5BA">
      <w:start w:val="1"/>
      <w:numFmt w:val="bullet"/>
      <w:lvlText w:val="•"/>
      <w:lvlJc w:val="left"/>
      <w:pPr>
        <w:tabs>
          <w:tab w:val="num" w:pos="720"/>
        </w:tabs>
        <w:ind w:left="720" w:hanging="360"/>
      </w:pPr>
      <w:rPr>
        <w:rFonts w:ascii="Arial" w:hAnsi="Arial" w:hint="default"/>
      </w:rPr>
    </w:lvl>
    <w:lvl w:ilvl="1" w:tplc="ED66EFFE" w:tentative="1">
      <w:start w:val="1"/>
      <w:numFmt w:val="bullet"/>
      <w:lvlText w:val="•"/>
      <w:lvlJc w:val="left"/>
      <w:pPr>
        <w:tabs>
          <w:tab w:val="num" w:pos="1440"/>
        </w:tabs>
        <w:ind w:left="1440" w:hanging="360"/>
      </w:pPr>
      <w:rPr>
        <w:rFonts w:ascii="Arial" w:hAnsi="Arial" w:hint="default"/>
      </w:rPr>
    </w:lvl>
    <w:lvl w:ilvl="2" w:tplc="758855E0" w:tentative="1">
      <w:start w:val="1"/>
      <w:numFmt w:val="bullet"/>
      <w:lvlText w:val="•"/>
      <w:lvlJc w:val="left"/>
      <w:pPr>
        <w:tabs>
          <w:tab w:val="num" w:pos="2160"/>
        </w:tabs>
        <w:ind w:left="2160" w:hanging="360"/>
      </w:pPr>
      <w:rPr>
        <w:rFonts w:ascii="Arial" w:hAnsi="Arial" w:hint="default"/>
      </w:rPr>
    </w:lvl>
    <w:lvl w:ilvl="3" w:tplc="ECE486D6" w:tentative="1">
      <w:start w:val="1"/>
      <w:numFmt w:val="bullet"/>
      <w:lvlText w:val="•"/>
      <w:lvlJc w:val="left"/>
      <w:pPr>
        <w:tabs>
          <w:tab w:val="num" w:pos="2880"/>
        </w:tabs>
        <w:ind w:left="2880" w:hanging="360"/>
      </w:pPr>
      <w:rPr>
        <w:rFonts w:ascii="Arial" w:hAnsi="Arial" w:hint="default"/>
      </w:rPr>
    </w:lvl>
    <w:lvl w:ilvl="4" w:tplc="5AAE21D8" w:tentative="1">
      <w:start w:val="1"/>
      <w:numFmt w:val="bullet"/>
      <w:lvlText w:val="•"/>
      <w:lvlJc w:val="left"/>
      <w:pPr>
        <w:tabs>
          <w:tab w:val="num" w:pos="3600"/>
        </w:tabs>
        <w:ind w:left="3600" w:hanging="360"/>
      </w:pPr>
      <w:rPr>
        <w:rFonts w:ascii="Arial" w:hAnsi="Arial" w:hint="default"/>
      </w:rPr>
    </w:lvl>
    <w:lvl w:ilvl="5" w:tplc="BDA4B6C4" w:tentative="1">
      <w:start w:val="1"/>
      <w:numFmt w:val="bullet"/>
      <w:lvlText w:val="•"/>
      <w:lvlJc w:val="left"/>
      <w:pPr>
        <w:tabs>
          <w:tab w:val="num" w:pos="4320"/>
        </w:tabs>
        <w:ind w:left="4320" w:hanging="360"/>
      </w:pPr>
      <w:rPr>
        <w:rFonts w:ascii="Arial" w:hAnsi="Arial" w:hint="default"/>
      </w:rPr>
    </w:lvl>
    <w:lvl w:ilvl="6" w:tplc="EC30B5FC" w:tentative="1">
      <w:start w:val="1"/>
      <w:numFmt w:val="bullet"/>
      <w:lvlText w:val="•"/>
      <w:lvlJc w:val="left"/>
      <w:pPr>
        <w:tabs>
          <w:tab w:val="num" w:pos="5040"/>
        </w:tabs>
        <w:ind w:left="5040" w:hanging="360"/>
      </w:pPr>
      <w:rPr>
        <w:rFonts w:ascii="Arial" w:hAnsi="Arial" w:hint="default"/>
      </w:rPr>
    </w:lvl>
    <w:lvl w:ilvl="7" w:tplc="0EC6100E" w:tentative="1">
      <w:start w:val="1"/>
      <w:numFmt w:val="bullet"/>
      <w:lvlText w:val="•"/>
      <w:lvlJc w:val="left"/>
      <w:pPr>
        <w:tabs>
          <w:tab w:val="num" w:pos="5760"/>
        </w:tabs>
        <w:ind w:left="5760" w:hanging="360"/>
      </w:pPr>
      <w:rPr>
        <w:rFonts w:ascii="Arial" w:hAnsi="Arial" w:hint="default"/>
      </w:rPr>
    </w:lvl>
    <w:lvl w:ilvl="8" w:tplc="701C3D3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6B90845"/>
    <w:multiLevelType w:val="hybridMultilevel"/>
    <w:tmpl w:val="D228BE62"/>
    <w:lvl w:ilvl="0" w:tplc="67B899B0">
      <w:start w:val="1"/>
      <w:numFmt w:val="bullet"/>
      <w:lvlText w:val="•"/>
      <w:lvlJc w:val="left"/>
      <w:pPr>
        <w:tabs>
          <w:tab w:val="num" w:pos="720"/>
        </w:tabs>
        <w:ind w:left="720" w:hanging="360"/>
      </w:pPr>
      <w:rPr>
        <w:rFonts w:ascii="Arial" w:hAnsi="Arial" w:hint="default"/>
      </w:rPr>
    </w:lvl>
    <w:lvl w:ilvl="1" w:tplc="5AF040F8" w:tentative="1">
      <w:start w:val="1"/>
      <w:numFmt w:val="bullet"/>
      <w:lvlText w:val="•"/>
      <w:lvlJc w:val="left"/>
      <w:pPr>
        <w:tabs>
          <w:tab w:val="num" w:pos="1440"/>
        </w:tabs>
        <w:ind w:left="1440" w:hanging="360"/>
      </w:pPr>
      <w:rPr>
        <w:rFonts w:ascii="Arial" w:hAnsi="Arial" w:hint="default"/>
      </w:rPr>
    </w:lvl>
    <w:lvl w:ilvl="2" w:tplc="E07ED1C8" w:tentative="1">
      <w:start w:val="1"/>
      <w:numFmt w:val="bullet"/>
      <w:lvlText w:val="•"/>
      <w:lvlJc w:val="left"/>
      <w:pPr>
        <w:tabs>
          <w:tab w:val="num" w:pos="2160"/>
        </w:tabs>
        <w:ind w:left="2160" w:hanging="360"/>
      </w:pPr>
      <w:rPr>
        <w:rFonts w:ascii="Arial" w:hAnsi="Arial" w:hint="default"/>
      </w:rPr>
    </w:lvl>
    <w:lvl w:ilvl="3" w:tplc="60B6B6F0" w:tentative="1">
      <w:start w:val="1"/>
      <w:numFmt w:val="bullet"/>
      <w:lvlText w:val="•"/>
      <w:lvlJc w:val="left"/>
      <w:pPr>
        <w:tabs>
          <w:tab w:val="num" w:pos="2880"/>
        </w:tabs>
        <w:ind w:left="2880" w:hanging="360"/>
      </w:pPr>
      <w:rPr>
        <w:rFonts w:ascii="Arial" w:hAnsi="Arial" w:hint="default"/>
      </w:rPr>
    </w:lvl>
    <w:lvl w:ilvl="4" w:tplc="933283CC" w:tentative="1">
      <w:start w:val="1"/>
      <w:numFmt w:val="bullet"/>
      <w:lvlText w:val="•"/>
      <w:lvlJc w:val="left"/>
      <w:pPr>
        <w:tabs>
          <w:tab w:val="num" w:pos="3600"/>
        </w:tabs>
        <w:ind w:left="3600" w:hanging="360"/>
      </w:pPr>
      <w:rPr>
        <w:rFonts w:ascii="Arial" w:hAnsi="Arial" w:hint="default"/>
      </w:rPr>
    </w:lvl>
    <w:lvl w:ilvl="5" w:tplc="A81E3268" w:tentative="1">
      <w:start w:val="1"/>
      <w:numFmt w:val="bullet"/>
      <w:lvlText w:val="•"/>
      <w:lvlJc w:val="left"/>
      <w:pPr>
        <w:tabs>
          <w:tab w:val="num" w:pos="4320"/>
        </w:tabs>
        <w:ind w:left="4320" w:hanging="360"/>
      </w:pPr>
      <w:rPr>
        <w:rFonts w:ascii="Arial" w:hAnsi="Arial" w:hint="default"/>
      </w:rPr>
    </w:lvl>
    <w:lvl w:ilvl="6" w:tplc="1AF803C0" w:tentative="1">
      <w:start w:val="1"/>
      <w:numFmt w:val="bullet"/>
      <w:lvlText w:val="•"/>
      <w:lvlJc w:val="left"/>
      <w:pPr>
        <w:tabs>
          <w:tab w:val="num" w:pos="5040"/>
        </w:tabs>
        <w:ind w:left="5040" w:hanging="360"/>
      </w:pPr>
      <w:rPr>
        <w:rFonts w:ascii="Arial" w:hAnsi="Arial" w:hint="default"/>
      </w:rPr>
    </w:lvl>
    <w:lvl w:ilvl="7" w:tplc="353EF94E" w:tentative="1">
      <w:start w:val="1"/>
      <w:numFmt w:val="bullet"/>
      <w:lvlText w:val="•"/>
      <w:lvlJc w:val="left"/>
      <w:pPr>
        <w:tabs>
          <w:tab w:val="num" w:pos="5760"/>
        </w:tabs>
        <w:ind w:left="5760" w:hanging="360"/>
      </w:pPr>
      <w:rPr>
        <w:rFonts w:ascii="Arial" w:hAnsi="Arial" w:hint="default"/>
      </w:rPr>
    </w:lvl>
    <w:lvl w:ilvl="8" w:tplc="D0B8CD9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7E9138D"/>
    <w:multiLevelType w:val="hybridMultilevel"/>
    <w:tmpl w:val="98D6E9E2"/>
    <w:lvl w:ilvl="0" w:tplc="019AE464">
      <w:start w:val="1"/>
      <w:numFmt w:val="bullet"/>
      <w:lvlText w:val="•"/>
      <w:lvlJc w:val="left"/>
      <w:pPr>
        <w:tabs>
          <w:tab w:val="num" w:pos="720"/>
        </w:tabs>
        <w:ind w:left="720" w:hanging="360"/>
      </w:pPr>
      <w:rPr>
        <w:rFonts w:ascii="Arial" w:hAnsi="Arial" w:hint="default"/>
      </w:rPr>
    </w:lvl>
    <w:lvl w:ilvl="1" w:tplc="9138B8A2" w:tentative="1">
      <w:start w:val="1"/>
      <w:numFmt w:val="bullet"/>
      <w:lvlText w:val="•"/>
      <w:lvlJc w:val="left"/>
      <w:pPr>
        <w:tabs>
          <w:tab w:val="num" w:pos="1440"/>
        </w:tabs>
        <w:ind w:left="1440" w:hanging="360"/>
      </w:pPr>
      <w:rPr>
        <w:rFonts w:ascii="Arial" w:hAnsi="Arial" w:hint="default"/>
      </w:rPr>
    </w:lvl>
    <w:lvl w:ilvl="2" w:tplc="9C4A356E" w:tentative="1">
      <w:start w:val="1"/>
      <w:numFmt w:val="bullet"/>
      <w:lvlText w:val="•"/>
      <w:lvlJc w:val="left"/>
      <w:pPr>
        <w:tabs>
          <w:tab w:val="num" w:pos="2160"/>
        </w:tabs>
        <w:ind w:left="2160" w:hanging="360"/>
      </w:pPr>
      <w:rPr>
        <w:rFonts w:ascii="Arial" w:hAnsi="Arial" w:hint="default"/>
      </w:rPr>
    </w:lvl>
    <w:lvl w:ilvl="3" w:tplc="31922B8E" w:tentative="1">
      <w:start w:val="1"/>
      <w:numFmt w:val="bullet"/>
      <w:lvlText w:val="•"/>
      <w:lvlJc w:val="left"/>
      <w:pPr>
        <w:tabs>
          <w:tab w:val="num" w:pos="2880"/>
        </w:tabs>
        <w:ind w:left="2880" w:hanging="360"/>
      </w:pPr>
      <w:rPr>
        <w:rFonts w:ascii="Arial" w:hAnsi="Arial" w:hint="default"/>
      </w:rPr>
    </w:lvl>
    <w:lvl w:ilvl="4" w:tplc="51D6E268" w:tentative="1">
      <w:start w:val="1"/>
      <w:numFmt w:val="bullet"/>
      <w:lvlText w:val="•"/>
      <w:lvlJc w:val="left"/>
      <w:pPr>
        <w:tabs>
          <w:tab w:val="num" w:pos="3600"/>
        </w:tabs>
        <w:ind w:left="3600" w:hanging="360"/>
      </w:pPr>
      <w:rPr>
        <w:rFonts w:ascii="Arial" w:hAnsi="Arial" w:hint="default"/>
      </w:rPr>
    </w:lvl>
    <w:lvl w:ilvl="5" w:tplc="6D6AEFB0" w:tentative="1">
      <w:start w:val="1"/>
      <w:numFmt w:val="bullet"/>
      <w:lvlText w:val="•"/>
      <w:lvlJc w:val="left"/>
      <w:pPr>
        <w:tabs>
          <w:tab w:val="num" w:pos="4320"/>
        </w:tabs>
        <w:ind w:left="4320" w:hanging="360"/>
      </w:pPr>
      <w:rPr>
        <w:rFonts w:ascii="Arial" w:hAnsi="Arial" w:hint="default"/>
      </w:rPr>
    </w:lvl>
    <w:lvl w:ilvl="6" w:tplc="DDFEED34" w:tentative="1">
      <w:start w:val="1"/>
      <w:numFmt w:val="bullet"/>
      <w:lvlText w:val="•"/>
      <w:lvlJc w:val="left"/>
      <w:pPr>
        <w:tabs>
          <w:tab w:val="num" w:pos="5040"/>
        </w:tabs>
        <w:ind w:left="5040" w:hanging="360"/>
      </w:pPr>
      <w:rPr>
        <w:rFonts w:ascii="Arial" w:hAnsi="Arial" w:hint="default"/>
      </w:rPr>
    </w:lvl>
    <w:lvl w:ilvl="7" w:tplc="650044D8" w:tentative="1">
      <w:start w:val="1"/>
      <w:numFmt w:val="bullet"/>
      <w:lvlText w:val="•"/>
      <w:lvlJc w:val="left"/>
      <w:pPr>
        <w:tabs>
          <w:tab w:val="num" w:pos="5760"/>
        </w:tabs>
        <w:ind w:left="5760" w:hanging="360"/>
      </w:pPr>
      <w:rPr>
        <w:rFonts w:ascii="Arial" w:hAnsi="Arial" w:hint="default"/>
      </w:rPr>
    </w:lvl>
    <w:lvl w:ilvl="8" w:tplc="A66AA2C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86A7480"/>
    <w:multiLevelType w:val="hybridMultilevel"/>
    <w:tmpl w:val="4AA61E5A"/>
    <w:lvl w:ilvl="0" w:tplc="C8A4B4FA">
      <w:start w:val="1"/>
      <w:numFmt w:val="bullet"/>
      <w:lvlText w:val="•"/>
      <w:lvlJc w:val="left"/>
      <w:pPr>
        <w:tabs>
          <w:tab w:val="num" w:pos="720"/>
        </w:tabs>
        <w:ind w:left="720" w:hanging="360"/>
      </w:pPr>
      <w:rPr>
        <w:rFonts w:ascii="Arial" w:hAnsi="Arial" w:hint="default"/>
      </w:rPr>
    </w:lvl>
    <w:lvl w:ilvl="1" w:tplc="6F2C6F40" w:tentative="1">
      <w:start w:val="1"/>
      <w:numFmt w:val="bullet"/>
      <w:lvlText w:val="•"/>
      <w:lvlJc w:val="left"/>
      <w:pPr>
        <w:tabs>
          <w:tab w:val="num" w:pos="1440"/>
        </w:tabs>
        <w:ind w:left="1440" w:hanging="360"/>
      </w:pPr>
      <w:rPr>
        <w:rFonts w:ascii="Arial" w:hAnsi="Arial" w:hint="default"/>
      </w:rPr>
    </w:lvl>
    <w:lvl w:ilvl="2" w:tplc="85C41FB6" w:tentative="1">
      <w:start w:val="1"/>
      <w:numFmt w:val="bullet"/>
      <w:lvlText w:val="•"/>
      <w:lvlJc w:val="left"/>
      <w:pPr>
        <w:tabs>
          <w:tab w:val="num" w:pos="2160"/>
        </w:tabs>
        <w:ind w:left="2160" w:hanging="360"/>
      </w:pPr>
      <w:rPr>
        <w:rFonts w:ascii="Arial" w:hAnsi="Arial" w:hint="default"/>
      </w:rPr>
    </w:lvl>
    <w:lvl w:ilvl="3" w:tplc="FCAE3E26" w:tentative="1">
      <w:start w:val="1"/>
      <w:numFmt w:val="bullet"/>
      <w:lvlText w:val="•"/>
      <w:lvlJc w:val="left"/>
      <w:pPr>
        <w:tabs>
          <w:tab w:val="num" w:pos="2880"/>
        </w:tabs>
        <w:ind w:left="2880" w:hanging="360"/>
      </w:pPr>
      <w:rPr>
        <w:rFonts w:ascii="Arial" w:hAnsi="Arial" w:hint="default"/>
      </w:rPr>
    </w:lvl>
    <w:lvl w:ilvl="4" w:tplc="CBD4FCCA" w:tentative="1">
      <w:start w:val="1"/>
      <w:numFmt w:val="bullet"/>
      <w:lvlText w:val="•"/>
      <w:lvlJc w:val="left"/>
      <w:pPr>
        <w:tabs>
          <w:tab w:val="num" w:pos="3600"/>
        </w:tabs>
        <w:ind w:left="3600" w:hanging="360"/>
      </w:pPr>
      <w:rPr>
        <w:rFonts w:ascii="Arial" w:hAnsi="Arial" w:hint="default"/>
      </w:rPr>
    </w:lvl>
    <w:lvl w:ilvl="5" w:tplc="635638D0" w:tentative="1">
      <w:start w:val="1"/>
      <w:numFmt w:val="bullet"/>
      <w:lvlText w:val="•"/>
      <w:lvlJc w:val="left"/>
      <w:pPr>
        <w:tabs>
          <w:tab w:val="num" w:pos="4320"/>
        </w:tabs>
        <w:ind w:left="4320" w:hanging="360"/>
      </w:pPr>
      <w:rPr>
        <w:rFonts w:ascii="Arial" w:hAnsi="Arial" w:hint="default"/>
      </w:rPr>
    </w:lvl>
    <w:lvl w:ilvl="6" w:tplc="00B0C4C8" w:tentative="1">
      <w:start w:val="1"/>
      <w:numFmt w:val="bullet"/>
      <w:lvlText w:val="•"/>
      <w:lvlJc w:val="left"/>
      <w:pPr>
        <w:tabs>
          <w:tab w:val="num" w:pos="5040"/>
        </w:tabs>
        <w:ind w:left="5040" w:hanging="360"/>
      </w:pPr>
      <w:rPr>
        <w:rFonts w:ascii="Arial" w:hAnsi="Arial" w:hint="default"/>
      </w:rPr>
    </w:lvl>
    <w:lvl w:ilvl="7" w:tplc="CF2444AE" w:tentative="1">
      <w:start w:val="1"/>
      <w:numFmt w:val="bullet"/>
      <w:lvlText w:val="•"/>
      <w:lvlJc w:val="left"/>
      <w:pPr>
        <w:tabs>
          <w:tab w:val="num" w:pos="5760"/>
        </w:tabs>
        <w:ind w:left="5760" w:hanging="360"/>
      </w:pPr>
      <w:rPr>
        <w:rFonts w:ascii="Arial" w:hAnsi="Arial" w:hint="default"/>
      </w:rPr>
    </w:lvl>
    <w:lvl w:ilvl="8" w:tplc="41FE2A0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8F53FB3"/>
    <w:multiLevelType w:val="hybridMultilevel"/>
    <w:tmpl w:val="DAA6C34C"/>
    <w:lvl w:ilvl="0" w:tplc="AE2C567E">
      <w:start w:val="1"/>
      <w:numFmt w:val="bullet"/>
      <w:lvlText w:val="•"/>
      <w:lvlJc w:val="left"/>
      <w:pPr>
        <w:tabs>
          <w:tab w:val="num" w:pos="720"/>
        </w:tabs>
        <w:ind w:left="720" w:hanging="360"/>
      </w:pPr>
      <w:rPr>
        <w:rFonts w:ascii="Arial" w:hAnsi="Arial" w:hint="default"/>
      </w:rPr>
    </w:lvl>
    <w:lvl w:ilvl="1" w:tplc="843426A2" w:tentative="1">
      <w:start w:val="1"/>
      <w:numFmt w:val="bullet"/>
      <w:lvlText w:val="•"/>
      <w:lvlJc w:val="left"/>
      <w:pPr>
        <w:tabs>
          <w:tab w:val="num" w:pos="1440"/>
        </w:tabs>
        <w:ind w:left="1440" w:hanging="360"/>
      </w:pPr>
      <w:rPr>
        <w:rFonts w:ascii="Arial" w:hAnsi="Arial" w:hint="default"/>
      </w:rPr>
    </w:lvl>
    <w:lvl w:ilvl="2" w:tplc="6556FDBE" w:tentative="1">
      <w:start w:val="1"/>
      <w:numFmt w:val="bullet"/>
      <w:lvlText w:val="•"/>
      <w:lvlJc w:val="left"/>
      <w:pPr>
        <w:tabs>
          <w:tab w:val="num" w:pos="2160"/>
        </w:tabs>
        <w:ind w:left="2160" w:hanging="360"/>
      </w:pPr>
      <w:rPr>
        <w:rFonts w:ascii="Arial" w:hAnsi="Arial" w:hint="default"/>
      </w:rPr>
    </w:lvl>
    <w:lvl w:ilvl="3" w:tplc="0CC2F46C" w:tentative="1">
      <w:start w:val="1"/>
      <w:numFmt w:val="bullet"/>
      <w:lvlText w:val="•"/>
      <w:lvlJc w:val="left"/>
      <w:pPr>
        <w:tabs>
          <w:tab w:val="num" w:pos="2880"/>
        </w:tabs>
        <w:ind w:left="2880" w:hanging="360"/>
      </w:pPr>
      <w:rPr>
        <w:rFonts w:ascii="Arial" w:hAnsi="Arial" w:hint="default"/>
      </w:rPr>
    </w:lvl>
    <w:lvl w:ilvl="4" w:tplc="9D9C1AEA" w:tentative="1">
      <w:start w:val="1"/>
      <w:numFmt w:val="bullet"/>
      <w:lvlText w:val="•"/>
      <w:lvlJc w:val="left"/>
      <w:pPr>
        <w:tabs>
          <w:tab w:val="num" w:pos="3600"/>
        </w:tabs>
        <w:ind w:left="3600" w:hanging="360"/>
      </w:pPr>
      <w:rPr>
        <w:rFonts w:ascii="Arial" w:hAnsi="Arial" w:hint="default"/>
      </w:rPr>
    </w:lvl>
    <w:lvl w:ilvl="5" w:tplc="F6B8A0D2" w:tentative="1">
      <w:start w:val="1"/>
      <w:numFmt w:val="bullet"/>
      <w:lvlText w:val="•"/>
      <w:lvlJc w:val="left"/>
      <w:pPr>
        <w:tabs>
          <w:tab w:val="num" w:pos="4320"/>
        </w:tabs>
        <w:ind w:left="4320" w:hanging="360"/>
      </w:pPr>
      <w:rPr>
        <w:rFonts w:ascii="Arial" w:hAnsi="Arial" w:hint="default"/>
      </w:rPr>
    </w:lvl>
    <w:lvl w:ilvl="6" w:tplc="0B8A2CEE" w:tentative="1">
      <w:start w:val="1"/>
      <w:numFmt w:val="bullet"/>
      <w:lvlText w:val="•"/>
      <w:lvlJc w:val="left"/>
      <w:pPr>
        <w:tabs>
          <w:tab w:val="num" w:pos="5040"/>
        </w:tabs>
        <w:ind w:left="5040" w:hanging="360"/>
      </w:pPr>
      <w:rPr>
        <w:rFonts w:ascii="Arial" w:hAnsi="Arial" w:hint="default"/>
      </w:rPr>
    </w:lvl>
    <w:lvl w:ilvl="7" w:tplc="F69E94F4" w:tentative="1">
      <w:start w:val="1"/>
      <w:numFmt w:val="bullet"/>
      <w:lvlText w:val="•"/>
      <w:lvlJc w:val="left"/>
      <w:pPr>
        <w:tabs>
          <w:tab w:val="num" w:pos="5760"/>
        </w:tabs>
        <w:ind w:left="5760" w:hanging="360"/>
      </w:pPr>
      <w:rPr>
        <w:rFonts w:ascii="Arial" w:hAnsi="Arial" w:hint="default"/>
      </w:rPr>
    </w:lvl>
    <w:lvl w:ilvl="8" w:tplc="DA9C0AB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9065010"/>
    <w:multiLevelType w:val="hybridMultilevel"/>
    <w:tmpl w:val="86F27130"/>
    <w:lvl w:ilvl="0" w:tplc="ABE28556">
      <w:start w:val="1"/>
      <w:numFmt w:val="bullet"/>
      <w:lvlText w:val=""/>
      <w:lvlJc w:val="left"/>
      <w:pPr>
        <w:tabs>
          <w:tab w:val="num" w:pos="720"/>
        </w:tabs>
        <w:ind w:left="720" w:hanging="360"/>
      </w:pPr>
      <w:rPr>
        <w:rFonts w:ascii="Symbol" w:hAnsi="Symbol" w:hint="default"/>
      </w:rPr>
    </w:lvl>
    <w:lvl w:ilvl="1" w:tplc="CF2C5400" w:tentative="1">
      <w:start w:val="1"/>
      <w:numFmt w:val="bullet"/>
      <w:lvlText w:val=""/>
      <w:lvlJc w:val="left"/>
      <w:pPr>
        <w:tabs>
          <w:tab w:val="num" w:pos="1440"/>
        </w:tabs>
        <w:ind w:left="1440" w:hanging="360"/>
      </w:pPr>
      <w:rPr>
        <w:rFonts w:ascii="Symbol" w:hAnsi="Symbol" w:hint="default"/>
      </w:rPr>
    </w:lvl>
    <w:lvl w:ilvl="2" w:tplc="1DFEE2BC" w:tentative="1">
      <w:start w:val="1"/>
      <w:numFmt w:val="bullet"/>
      <w:lvlText w:val=""/>
      <w:lvlJc w:val="left"/>
      <w:pPr>
        <w:tabs>
          <w:tab w:val="num" w:pos="2160"/>
        </w:tabs>
        <w:ind w:left="2160" w:hanging="360"/>
      </w:pPr>
      <w:rPr>
        <w:rFonts w:ascii="Symbol" w:hAnsi="Symbol" w:hint="default"/>
      </w:rPr>
    </w:lvl>
    <w:lvl w:ilvl="3" w:tplc="F73A120C" w:tentative="1">
      <w:start w:val="1"/>
      <w:numFmt w:val="bullet"/>
      <w:lvlText w:val=""/>
      <w:lvlJc w:val="left"/>
      <w:pPr>
        <w:tabs>
          <w:tab w:val="num" w:pos="2880"/>
        </w:tabs>
        <w:ind w:left="2880" w:hanging="360"/>
      </w:pPr>
      <w:rPr>
        <w:rFonts w:ascii="Symbol" w:hAnsi="Symbol" w:hint="default"/>
      </w:rPr>
    </w:lvl>
    <w:lvl w:ilvl="4" w:tplc="C5D88AC8" w:tentative="1">
      <w:start w:val="1"/>
      <w:numFmt w:val="bullet"/>
      <w:lvlText w:val=""/>
      <w:lvlJc w:val="left"/>
      <w:pPr>
        <w:tabs>
          <w:tab w:val="num" w:pos="3600"/>
        </w:tabs>
        <w:ind w:left="3600" w:hanging="360"/>
      </w:pPr>
      <w:rPr>
        <w:rFonts w:ascii="Symbol" w:hAnsi="Symbol" w:hint="default"/>
      </w:rPr>
    </w:lvl>
    <w:lvl w:ilvl="5" w:tplc="82A8CADA" w:tentative="1">
      <w:start w:val="1"/>
      <w:numFmt w:val="bullet"/>
      <w:lvlText w:val=""/>
      <w:lvlJc w:val="left"/>
      <w:pPr>
        <w:tabs>
          <w:tab w:val="num" w:pos="4320"/>
        </w:tabs>
        <w:ind w:left="4320" w:hanging="360"/>
      </w:pPr>
      <w:rPr>
        <w:rFonts w:ascii="Symbol" w:hAnsi="Symbol" w:hint="default"/>
      </w:rPr>
    </w:lvl>
    <w:lvl w:ilvl="6" w:tplc="9BB04300" w:tentative="1">
      <w:start w:val="1"/>
      <w:numFmt w:val="bullet"/>
      <w:lvlText w:val=""/>
      <w:lvlJc w:val="left"/>
      <w:pPr>
        <w:tabs>
          <w:tab w:val="num" w:pos="5040"/>
        </w:tabs>
        <w:ind w:left="5040" w:hanging="360"/>
      </w:pPr>
      <w:rPr>
        <w:rFonts w:ascii="Symbol" w:hAnsi="Symbol" w:hint="default"/>
      </w:rPr>
    </w:lvl>
    <w:lvl w:ilvl="7" w:tplc="CD641E30" w:tentative="1">
      <w:start w:val="1"/>
      <w:numFmt w:val="bullet"/>
      <w:lvlText w:val=""/>
      <w:lvlJc w:val="left"/>
      <w:pPr>
        <w:tabs>
          <w:tab w:val="num" w:pos="5760"/>
        </w:tabs>
        <w:ind w:left="5760" w:hanging="360"/>
      </w:pPr>
      <w:rPr>
        <w:rFonts w:ascii="Symbol" w:hAnsi="Symbol" w:hint="default"/>
      </w:rPr>
    </w:lvl>
    <w:lvl w:ilvl="8" w:tplc="8C201242"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39A4071C"/>
    <w:multiLevelType w:val="hybridMultilevel"/>
    <w:tmpl w:val="F2067CF8"/>
    <w:lvl w:ilvl="0" w:tplc="A0FC8B24">
      <w:start w:val="1"/>
      <w:numFmt w:val="bullet"/>
      <w:lvlText w:val="•"/>
      <w:lvlJc w:val="left"/>
      <w:pPr>
        <w:tabs>
          <w:tab w:val="num" w:pos="720"/>
        </w:tabs>
        <w:ind w:left="720" w:hanging="360"/>
      </w:pPr>
      <w:rPr>
        <w:rFonts w:ascii="Arial" w:hAnsi="Arial" w:hint="default"/>
      </w:rPr>
    </w:lvl>
    <w:lvl w:ilvl="1" w:tplc="679E71EE" w:tentative="1">
      <w:start w:val="1"/>
      <w:numFmt w:val="bullet"/>
      <w:lvlText w:val="•"/>
      <w:lvlJc w:val="left"/>
      <w:pPr>
        <w:tabs>
          <w:tab w:val="num" w:pos="1440"/>
        </w:tabs>
        <w:ind w:left="1440" w:hanging="360"/>
      </w:pPr>
      <w:rPr>
        <w:rFonts w:ascii="Arial" w:hAnsi="Arial" w:hint="default"/>
      </w:rPr>
    </w:lvl>
    <w:lvl w:ilvl="2" w:tplc="3A4CC850" w:tentative="1">
      <w:start w:val="1"/>
      <w:numFmt w:val="bullet"/>
      <w:lvlText w:val="•"/>
      <w:lvlJc w:val="left"/>
      <w:pPr>
        <w:tabs>
          <w:tab w:val="num" w:pos="2160"/>
        </w:tabs>
        <w:ind w:left="2160" w:hanging="360"/>
      </w:pPr>
      <w:rPr>
        <w:rFonts w:ascii="Arial" w:hAnsi="Arial" w:hint="default"/>
      </w:rPr>
    </w:lvl>
    <w:lvl w:ilvl="3" w:tplc="3A8CA0CC" w:tentative="1">
      <w:start w:val="1"/>
      <w:numFmt w:val="bullet"/>
      <w:lvlText w:val="•"/>
      <w:lvlJc w:val="left"/>
      <w:pPr>
        <w:tabs>
          <w:tab w:val="num" w:pos="2880"/>
        </w:tabs>
        <w:ind w:left="2880" w:hanging="360"/>
      </w:pPr>
      <w:rPr>
        <w:rFonts w:ascii="Arial" w:hAnsi="Arial" w:hint="default"/>
      </w:rPr>
    </w:lvl>
    <w:lvl w:ilvl="4" w:tplc="610A5988" w:tentative="1">
      <w:start w:val="1"/>
      <w:numFmt w:val="bullet"/>
      <w:lvlText w:val="•"/>
      <w:lvlJc w:val="left"/>
      <w:pPr>
        <w:tabs>
          <w:tab w:val="num" w:pos="3600"/>
        </w:tabs>
        <w:ind w:left="3600" w:hanging="360"/>
      </w:pPr>
      <w:rPr>
        <w:rFonts w:ascii="Arial" w:hAnsi="Arial" w:hint="default"/>
      </w:rPr>
    </w:lvl>
    <w:lvl w:ilvl="5" w:tplc="173A4C2E" w:tentative="1">
      <w:start w:val="1"/>
      <w:numFmt w:val="bullet"/>
      <w:lvlText w:val="•"/>
      <w:lvlJc w:val="left"/>
      <w:pPr>
        <w:tabs>
          <w:tab w:val="num" w:pos="4320"/>
        </w:tabs>
        <w:ind w:left="4320" w:hanging="360"/>
      </w:pPr>
      <w:rPr>
        <w:rFonts w:ascii="Arial" w:hAnsi="Arial" w:hint="default"/>
      </w:rPr>
    </w:lvl>
    <w:lvl w:ilvl="6" w:tplc="FB7C8F34" w:tentative="1">
      <w:start w:val="1"/>
      <w:numFmt w:val="bullet"/>
      <w:lvlText w:val="•"/>
      <w:lvlJc w:val="left"/>
      <w:pPr>
        <w:tabs>
          <w:tab w:val="num" w:pos="5040"/>
        </w:tabs>
        <w:ind w:left="5040" w:hanging="360"/>
      </w:pPr>
      <w:rPr>
        <w:rFonts w:ascii="Arial" w:hAnsi="Arial" w:hint="default"/>
      </w:rPr>
    </w:lvl>
    <w:lvl w:ilvl="7" w:tplc="2E5E34EE" w:tentative="1">
      <w:start w:val="1"/>
      <w:numFmt w:val="bullet"/>
      <w:lvlText w:val="•"/>
      <w:lvlJc w:val="left"/>
      <w:pPr>
        <w:tabs>
          <w:tab w:val="num" w:pos="5760"/>
        </w:tabs>
        <w:ind w:left="5760" w:hanging="360"/>
      </w:pPr>
      <w:rPr>
        <w:rFonts w:ascii="Arial" w:hAnsi="Arial" w:hint="default"/>
      </w:rPr>
    </w:lvl>
    <w:lvl w:ilvl="8" w:tplc="DE5055F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9E96C41"/>
    <w:multiLevelType w:val="hybridMultilevel"/>
    <w:tmpl w:val="903261F2"/>
    <w:lvl w:ilvl="0" w:tplc="098470DC">
      <w:start w:val="1"/>
      <w:numFmt w:val="bullet"/>
      <w:lvlText w:val="•"/>
      <w:lvlJc w:val="left"/>
      <w:pPr>
        <w:tabs>
          <w:tab w:val="num" w:pos="720"/>
        </w:tabs>
        <w:ind w:left="720" w:hanging="360"/>
      </w:pPr>
      <w:rPr>
        <w:rFonts w:ascii="Arial" w:hAnsi="Arial" w:hint="default"/>
      </w:rPr>
    </w:lvl>
    <w:lvl w:ilvl="1" w:tplc="26AAA1C6" w:tentative="1">
      <w:start w:val="1"/>
      <w:numFmt w:val="bullet"/>
      <w:lvlText w:val="•"/>
      <w:lvlJc w:val="left"/>
      <w:pPr>
        <w:tabs>
          <w:tab w:val="num" w:pos="1440"/>
        </w:tabs>
        <w:ind w:left="1440" w:hanging="360"/>
      </w:pPr>
      <w:rPr>
        <w:rFonts w:ascii="Arial" w:hAnsi="Arial" w:hint="default"/>
      </w:rPr>
    </w:lvl>
    <w:lvl w:ilvl="2" w:tplc="B55E5B82" w:tentative="1">
      <w:start w:val="1"/>
      <w:numFmt w:val="bullet"/>
      <w:lvlText w:val="•"/>
      <w:lvlJc w:val="left"/>
      <w:pPr>
        <w:tabs>
          <w:tab w:val="num" w:pos="2160"/>
        </w:tabs>
        <w:ind w:left="2160" w:hanging="360"/>
      </w:pPr>
      <w:rPr>
        <w:rFonts w:ascii="Arial" w:hAnsi="Arial" w:hint="default"/>
      </w:rPr>
    </w:lvl>
    <w:lvl w:ilvl="3" w:tplc="2076B73A" w:tentative="1">
      <w:start w:val="1"/>
      <w:numFmt w:val="bullet"/>
      <w:lvlText w:val="•"/>
      <w:lvlJc w:val="left"/>
      <w:pPr>
        <w:tabs>
          <w:tab w:val="num" w:pos="2880"/>
        </w:tabs>
        <w:ind w:left="2880" w:hanging="360"/>
      </w:pPr>
      <w:rPr>
        <w:rFonts w:ascii="Arial" w:hAnsi="Arial" w:hint="default"/>
      </w:rPr>
    </w:lvl>
    <w:lvl w:ilvl="4" w:tplc="C0E6D95C" w:tentative="1">
      <w:start w:val="1"/>
      <w:numFmt w:val="bullet"/>
      <w:lvlText w:val="•"/>
      <w:lvlJc w:val="left"/>
      <w:pPr>
        <w:tabs>
          <w:tab w:val="num" w:pos="3600"/>
        </w:tabs>
        <w:ind w:left="3600" w:hanging="360"/>
      </w:pPr>
      <w:rPr>
        <w:rFonts w:ascii="Arial" w:hAnsi="Arial" w:hint="default"/>
      </w:rPr>
    </w:lvl>
    <w:lvl w:ilvl="5" w:tplc="3DC2A54A" w:tentative="1">
      <w:start w:val="1"/>
      <w:numFmt w:val="bullet"/>
      <w:lvlText w:val="•"/>
      <w:lvlJc w:val="left"/>
      <w:pPr>
        <w:tabs>
          <w:tab w:val="num" w:pos="4320"/>
        </w:tabs>
        <w:ind w:left="4320" w:hanging="360"/>
      </w:pPr>
      <w:rPr>
        <w:rFonts w:ascii="Arial" w:hAnsi="Arial" w:hint="default"/>
      </w:rPr>
    </w:lvl>
    <w:lvl w:ilvl="6" w:tplc="846CB2BA" w:tentative="1">
      <w:start w:val="1"/>
      <w:numFmt w:val="bullet"/>
      <w:lvlText w:val="•"/>
      <w:lvlJc w:val="left"/>
      <w:pPr>
        <w:tabs>
          <w:tab w:val="num" w:pos="5040"/>
        </w:tabs>
        <w:ind w:left="5040" w:hanging="360"/>
      </w:pPr>
      <w:rPr>
        <w:rFonts w:ascii="Arial" w:hAnsi="Arial" w:hint="default"/>
      </w:rPr>
    </w:lvl>
    <w:lvl w:ilvl="7" w:tplc="182255CE" w:tentative="1">
      <w:start w:val="1"/>
      <w:numFmt w:val="bullet"/>
      <w:lvlText w:val="•"/>
      <w:lvlJc w:val="left"/>
      <w:pPr>
        <w:tabs>
          <w:tab w:val="num" w:pos="5760"/>
        </w:tabs>
        <w:ind w:left="5760" w:hanging="360"/>
      </w:pPr>
      <w:rPr>
        <w:rFonts w:ascii="Arial" w:hAnsi="Arial" w:hint="default"/>
      </w:rPr>
    </w:lvl>
    <w:lvl w:ilvl="8" w:tplc="566E170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C221B53"/>
    <w:multiLevelType w:val="hybridMultilevel"/>
    <w:tmpl w:val="0F34A64C"/>
    <w:lvl w:ilvl="0" w:tplc="3B3A6D34">
      <w:start w:val="1"/>
      <w:numFmt w:val="bullet"/>
      <w:lvlText w:val="•"/>
      <w:lvlJc w:val="left"/>
      <w:pPr>
        <w:tabs>
          <w:tab w:val="num" w:pos="720"/>
        </w:tabs>
        <w:ind w:left="720" w:hanging="360"/>
      </w:pPr>
      <w:rPr>
        <w:rFonts w:ascii="Arial" w:hAnsi="Arial" w:hint="default"/>
      </w:rPr>
    </w:lvl>
    <w:lvl w:ilvl="1" w:tplc="ECD2DEA2" w:tentative="1">
      <w:start w:val="1"/>
      <w:numFmt w:val="bullet"/>
      <w:lvlText w:val="•"/>
      <w:lvlJc w:val="left"/>
      <w:pPr>
        <w:tabs>
          <w:tab w:val="num" w:pos="1440"/>
        </w:tabs>
        <w:ind w:left="1440" w:hanging="360"/>
      </w:pPr>
      <w:rPr>
        <w:rFonts w:ascii="Arial" w:hAnsi="Arial" w:hint="default"/>
      </w:rPr>
    </w:lvl>
    <w:lvl w:ilvl="2" w:tplc="9F449B84" w:tentative="1">
      <w:start w:val="1"/>
      <w:numFmt w:val="bullet"/>
      <w:lvlText w:val="•"/>
      <w:lvlJc w:val="left"/>
      <w:pPr>
        <w:tabs>
          <w:tab w:val="num" w:pos="2160"/>
        </w:tabs>
        <w:ind w:left="2160" w:hanging="360"/>
      </w:pPr>
      <w:rPr>
        <w:rFonts w:ascii="Arial" w:hAnsi="Arial" w:hint="default"/>
      </w:rPr>
    </w:lvl>
    <w:lvl w:ilvl="3" w:tplc="AE4C347A" w:tentative="1">
      <w:start w:val="1"/>
      <w:numFmt w:val="bullet"/>
      <w:lvlText w:val="•"/>
      <w:lvlJc w:val="left"/>
      <w:pPr>
        <w:tabs>
          <w:tab w:val="num" w:pos="2880"/>
        </w:tabs>
        <w:ind w:left="2880" w:hanging="360"/>
      </w:pPr>
      <w:rPr>
        <w:rFonts w:ascii="Arial" w:hAnsi="Arial" w:hint="default"/>
      </w:rPr>
    </w:lvl>
    <w:lvl w:ilvl="4" w:tplc="762A9B48" w:tentative="1">
      <w:start w:val="1"/>
      <w:numFmt w:val="bullet"/>
      <w:lvlText w:val="•"/>
      <w:lvlJc w:val="left"/>
      <w:pPr>
        <w:tabs>
          <w:tab w:val="num" w:pos="3600"/>
        </w:tabs>
        <w:ind w:left="3600" w:hanging="360"/>
      </w:pPr>
      <w:rPr>
        <w:rFonts w:ascii="Arial" w:hAnsi="Arial" w:hint="default"/>
      </w:rPr>
    </w:lvl>
    <w:lvl w:ilvl="5" w:tplc="8C9A7A56" w:tentative="1">
      <w:start w:val="1"/>
      <w:numFmt w:val="bullet"/>
      <w:lvlText w:val="•"/>
      <w:lvlJc w:val="left"/>
      <w:pPr>
        <w:tabs>
          <w:tab w:val="num" w:pos="4320"/>
        </w:tabs>
        <w:ind w:left="4320" w:hanging="360"/>
      </w:pPr>
      <w:rPr>
        <w:rFonts w:ascii="Arial" w:hAnsi="Arial" w:hint="default"/>
      </w:rPr>
    </w:lvl>
    <w:lvl w:ilvl="6" w:tplc="BDEC88EA" w:tentative="1">
      <w:start w:val="1"/>
      <w:numFmt w:val="bullet"/>
      <w:lvlText w:val="•"/>
      <w:lvlJc w:val="left"/>
      <w:pPr>
        <w:tabs>
          <w:tab w:val="num" w:pos="5040"/>
        </w:tabs>
        <w:ind w:left="5040" w:hanging="360"/>
      </w:pPr>
      <w:rPr>
        <w:rFonts w:ascii="Arial" w:hAnsi="Arial" w:hint="default"/>
      </w:rPr>
    </w:lvl>
    <w:lvl w:ilvl="7" w:tplc="E918D8C6" w:tentative="1">
      <w:start w:val="1"/>
      <w:numFmt w:val="bullet"/>
      <w:lvlText w:val="•"/>
      <w:lvlJc w:val="left"/>
      <w:pPr>
        <w:tabs>
          <w:tab w:val="num" w:pos="5760"/>
        </w:tabs>
        <w:ind w:left="5760" w:hanging="360"/>
      </w:pPr>
      <w:rPr>
        <w:rFonts w:ascii="Arial" w:hAnsi="Arial" w:hint="default"/>
      </w:rPr>
    </w:lvl>
    <w:lvl w:ilvl="8" w:tplc="C3DC720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C3A3DC5"/>
    <w:multiLevelType w:val="hybridMultilevel"/>
    <w:tmpl w:val="CCA8F648"/>
    <w:lvl w:ilvl="0" w:tplc="C71E5DEE">
      <w:start w:val="1"/>
      <w:numFmt w:val="bullet"/>
      <w:lvlText w:val="•"/>
      <w:lvlJc w:val="left"/>
      <w:pPr>
        <w:tabs>
          <w:tab w:val="num" w:pos="720"/>
        </w:tabs>
        <w:ind w:left="720" w:hanging="360"/>
      </w:pPr>
      <w:rPr>
        <w:rFonts w:ascii="Arial" w:hAnsi="Arial" w:hint="default"/>
      </w:rPr>
    </w:lvl>
    <w:lvl w:ilvl="1" w:tplc="CB643B16" w:tentative="1">
      <w:start w:val="1"/>
      <w:numFmt w:val="bullet"/>
      <w:lvlText w:val="•"/>
      <w:lvlJc w:val="left"/>
      <w:pPr>
        <w:tabs>
          <w:tab w:val="num" w:pos="1440"/>
        </w:tabs>
        <w:ind w:left="1440" w:hanging="360"/>
      </w:pPr>
      <w:rPr>
        <w:rFonts w:ascii="Arial" w:hAnsi="Arial" w:hint="default"/>
      </w:rPr>
    </w:lvl>
    <w:lvl w:ilvl="2" w:tplc="2C401D9A" w:tentative="1">
      <w:start w:val="1"/>
      <w:numFmt w:val="bullet"/>
      <w:lvlText w:val="•"/>
      <w:lvlJc w:val="left"/>
      <w:pPr>
        <w:tabs>
          <w:tab w:val="num" w:pos="2160"/>
        </w:tabs>
        <w:ind w:left="2160" w:hanging="360"/>
      </w:pPr>
      <w:rPr>
        <w:rFonts w:ascii="Arial" w:hAnsi="Arial" w:hint="default"/>
      </w:rPr>
    </w:lvl>
    <w:lvl w:ilvl="3" w:tplc="018A75AA" w:tentative="1">
      <w:start w:val="1"/>
      <w:numFmt w:val="bullet"/>
      <w:lvlText w:val="•"/>
      <w:lvlJc w:val="left"/>
      <w:pPr>
        <w:tabs>
          <w:tab w:val="num" w:pos="2880"/>
        </w:tabs>
        <w:ind w:left="2880" w:hanging="360"/>
      </w:pPr>
      <w:rPr>
        <w:rFonts w:ascii="Arial" w:hAnsi="Arial" w:hint="default"/>
      </w:rPr>
    </w:lvl>
    <w:lvl w:ilvl="4" w:tplc="76B0B81E" w:tentative="1">
      <w:start w:val="1"/>
      <w:numFmt w:val="bullet"/>
      <w:lvlText w:val="•"/>
      <w:lvlJc w:val="left"/>
      <w:pPr>
        <w:tabs>
          <w:tab w:val="num" w:pos="3600"/>
        </w:tabs>
        <w:ind w:left="3600" w:hanging="360"/>
      </w:pPr>
      <w:rPr>
        <w:rFonts w:ascii="Arial" w:hAnsi="Arial" w:hint="default"/>
      </w:rPr>
    </w:lvl>
    <w:lvl w:ilvl="5" w:tplc="CAC0D2E0" w:tentative="1">
      <w:start w:val="1"/>
      <w:numFmt w:val="bullet"/>
      <w:lvlText w:val="•"/>
      <w:lvlJc w:val="left"/>
      <w:pPr>
        <w:tabs>
          <w:tab w:val="num" w:pos="4320"/>
        </w:tabs>
        <w:ind w:left="4320" w:hanging="360"/>
      </w:pPr>
      <w:rPr>
        <w:rFonts w:ascii="Arial" w:hAnsi="Arial" w:hint="default"/>
      </w:rPr>
    </w:lvl>
    <w:lvl w:ilvl="6" w:tplc="81BC7B22" w:tentative="1">
      <w:start w:val="1"/>
      <w:numFmt w:val="bullet"/>
      <w:lvlText w:val="•"/>
      <w:lvlJc w:val="left"/>
      <w:pPr>
        <w:tabs>
          <w:tab w:val="num" w:pos="5040"/>
        </w:tabs>
        <w:ind w:left="5040" w:hanging="360"/>
      </w:pPr>
      <w:rPr>
        <w:rFonts w:ascii="Arial" w:hAnsi="Arial" w:hint="default"/>
      </w:rPr>
    </w:lvl>
    <w:lvl w:ilvl="7" w:tplc="45BE1876" w:tentative="1">
      <w:start w:val="1"/>
      <w:numFmt w:val="bullet"/>
      <w:lvlText w:val="•"/>
      <w:lvlJc w:val="left"/>
      <w:pPr>
        <w:tabs>
          <w:tab w:val="num" w:pos="5760"/>
        </w:tabs>
        <w:ind w:left="5760" w:hanging="360"/>
      </w:pPr>
      <w:rPr>
        <w:rFonts w:ascii="Arial" w:hAnsi="Arial" w:hint="default"/>
      </w:rPr>
    </w:lvl>
    <w:lvl w:ilvl="8" w:tplc="AF748A9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E272A3E"/>
    <w:multiLevelType w:val="hybridMultilevel"/>
    <w:tmpl w:val="B39E52F2"/>
    <w:lvl w:ilvl="0" w:tplc="845673B8">
      <w:start w:val="1"/>
      <w:numFmt w:val="bullet"/>
      <w:lvlText w:val="•"/>
      <w:lvlJc w:val="left"/>
      <w:pPr>
        <w:tabs>
          <w:tab w:val="num" w:pos="720"/>
        </w:tabs>
        <w:ind w:left="720" w:hanging="360"/>
      </w:pPr>
      <w:rPr>
        <w:rFonts w:ascii="Arial" w:hAnsi="Arial" w:hint="default"/>
      </w:rPr>
    </w:lvl>
    <w:lvl w:ilvl="1" w:tplc="CE7E61F4" w:tentative="1">
      <w:start w:val="1"/>
      <w:numFmt w:val="bullet"/>
      <w:lvlText w:val="•"/>
      <w:lvlJc w:val="left"/>
      <w:pPr>
        <w:tabs>
          <w:tab w:val="num" w:pos="1440"/>
        </w:tabs>
        <w:ind w:left="1440" w:hanging="360"/>
      </w:pPr>
      <w:rPr>
        <w:rFonts w:ascii="Arial" w:hAnsi="Arial" w:hint="default"/>
      </w:rPr>
    </w:lvl>
    <w:lvl w:ilvl="2" w:tplc="54EAED80" w:tentative="1">
      <w:start w:val="1"/>
      <w:numFmt w:val="bullet"/>
      <w:lvlText w:val="•"/>
      <w:lvlJc w:val="left"/>
      <w:pPr>
        <w:tabs>
          <w:tab w:val="num" w:pos="2160"/>
        </w:tabs>
        <w:ind w:left="2160" w:hanging="360"/>
      </w:pPr>
      <w:rPr>
        <w:rFonts w:ascii="Arial" w:hAnsi="Arial" w:hint="default"/>
      </w:rPr>
    </w:lvl>
    <w:lvl w:ilvl="3" w:tplc="0D46A9DC" w:tentative="1">
      <w:start w:val="1"/>
      <w:numFmt w:val="bullet"/>
      <w:lvlText w:val="•"/>
      <w:lvlJc w:val="left"/>
      <w:pPr>
        <w:tabs>
          <w:tab w:val="num" w:pos="2880"/>
        </w:tabs>
        <w:ind w:left="2880" w:hanging="360"/>
      </w:pPr>
      <w:rPr>
        <w:rFonts w:ascii="Arial" w:hAnsi="Arial" w:hint="default"/>
      </w:rPr>
    </w:lvl>
    <w:lvl w:ilvl="4" w:tplc="E3E6A964" w:tentative="1">
      <w:start w:val="1"/>
      <w:numFmt w:val="bullet"/>
      <w:lvlText w:val="•"/>
      <w:lvlJc w:val="left"/>
      <w:pPr>
        <w:tabs>
          <w:tab w:val="num" w:pos="3600"/>
        </w:tabs>
        <w:ind w:left="3600" w:hanging="360"/>
      </w:pPr>
      <w:rPr>
        <w:rFonts w:ascii="Arial" w:hAnsi="Arial" w:hint="default"/>
      </w:rPr>
    </w:lvl>
    <w:lvl w:ilvl="5" w:tplc="D0D6441C" w:tentative="1">
      <w:start w:val="1"/>
      <w:numFmt w:val="bullet"/>
      <w:lvlText w:val="•"/>
      <w:lvlJc w:val="left"/>
      <w:pPr>
        <w:tabs>
          <w:tab w:val="num" w:pos="4320"/>
        </w:tabs>
        <w:ind w:left="4320" w:hanging="360"/>
      </w:pPr>
      <w:rPr>
        <w:rFonts w:ascii="Arial" w:hAnsi="Arial" w:hint="default"/>
      </w:rPr>
    </w:lvl>
    <w:lvl w:ilvl="6" w:tplc="5AB2F3EC" w:tentative="1">
      <w:start w:val="1"/>
      <w:numFmt w:val="bullet"/>
      <w:lvlText w:val="•"/>
      <w:lvlJc w:val="left"/>
      <w:pPr>
        <w:tabs>
          <w:tab w:val="num" w:pos="5040"/>
        </w:tabs>
        <w:ind w:left="5040" w:hanging="360"/>
      </w:pPr>
      <w:rPr>
        <w:rFonts w:ascii="Arial" w:hAnsi="Arial" w:hint="default"/>
      </w:rPr>
    </w:lvl>
    <w:lvl w:ilvl="7" w:tplc="6298C25A" w:tentative="1">
      <w:start w:val="1"/>
      <w:numFmt w:val="bullet"/>
      <w:lvlText w:val="•"/>
      <w:lvlJc w:val="left"/>
      <w:pPr>
        <w:tabs>
          <w:tab w:val="num" w:pos="5760"/>
        </w:tabs>
        <w:ind w:left="5760" w:hanging="360"/>
      </w:pPr>
      <w:rPr>
        <w:rFonts w:ascii="Arial" w:hAnsi="Arial" w:hint="default"/>
      </w:rPr>
    </w:lvl>
    <w:lvl w:ilvl="8" w:tplc="68364EC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F805582"/>
    <w:multiLevelType w:val="hybridMultilevel"/>
    <w:tmpl w:val="66D44A0A"/>
    <w:lvl w:ilvl="0" w:tplc="EA8A57B2">
      <w:start w:val="1"/>
      <w:numFmt w:val="bullet"/>
      <w:lvlText w:val="•"/>
      <w:lvlJc w:val="left"/>
      <w:pPr>
        <w:tabs>
          <w:tab w:val="num" w:pos="720"/>
        </w:tabs>
        <w:ind w:left="720" w:hanging="360"/>
      </w:pPr>
      <w:rPr>
        <w:rFonts w:ascii="Arial" w:hAnsi="Arial" w:hint="default"/>
      </w:rPr>
    </w:lvl>
    <w:lvl w:ilvl="1" w:tplc="ACA4B346" w:tentative="1">
      <w:start w:val="1"/>
      <w:numFmt w:val="bullet"/>
      <w:lvlText w:val="•"/>
      <w:lvlJc w:val="left"/>
      <w:pPr>
        <w:tabs>
          <w:tab w:val="num" w:pos="1440"/>
        </w:tabs>
        <w:ind w:left="1440" w:hanging="360"/>
      </w:pPr>
      <w:rPr>
        <w:rFonts w:ascii="Arial" w:hAnsi="Arial" w:hint="default"/>
      </w:rPr>
    </w:lvl>
    <w:lvl w:ilvl="2" w:tplc="14B608DC" w:tentative="1">
      <w:start w:val="1"/>
      <w:numFmt w:val="bullet"/>
      <w:lvlText w:val="•"/>
      <w:lvlJc w:val="left"/>
      <w:pPr>
        <w:tabs>
          <w:tab w:val="num" w:pos="2160"/>
        </w:tabs>
        <w:ind w:left="2160" w:hanging="360"/>
      </w:pPr>
      <w:rPr>
        <w:rFonts w:ascii="Arial" w:hAnsi="Arial" w:hint="default"/>
      </w:rPr>
    </w:lvl>
    <w:lvl w:ilvl="3" w:tplc="415A8628" w:tentative="1">
      <w:start w:val="1"/>
      <w:numFmt w:val="bullet"/>
      <w:lvlText w:val="•"/>
      <w:lvlJc w:val="left"/>
      <w:pPr>
        <w:tabs>
          <w:tab w:val="num" w:pos="2880"/>
        </w:tabs>
        <w:ind w:left="2880" w:hanging="360"/>
      </w:pPr>
      <w:rPr>
        <w:rFonts w:ascii="Arial" w:hAnsi="Arial" w:hint="default"/>
      </w:rPr>
    </w:lvl>
    <w:lvl w:ilvl="4" w:tplc="573CFFF2" w:tentative="1">
      <w:start w:val="1"/>
      <w:numFmt w:val="bullet"/>
      <w:lvlText w:val="•"/>
      <w:lvlJc w:val="left"/>
      <w:pPr>
        <w:tabs>
          <w:tab w:val="num" w:pos="3600"/>
        </w:tabs>
        <w:ind w:left="3600" w:hanging="360"/>
      </w:pPr>
      <w:rPr>
        <w:rFonts w:ascii="Arial" w:hAnsi="Arial" w:hint="default"/>
      </w:rPr>
    </w:lvl>
    <w:lvl w:ilvl="5" w:tplc="7F28C948" w:tentative="1">
      <w:start w:val="1"/>
      <w:numFmt w:val="bullet"/>
      <w:lvlText w:val="•"/>
      <w:lvlJc w:val="left"/>
      <w:pPr>
        <w:tabs>
          <w:tab w:val="num" w:pos="4320"/>
        </w:tabs>
        <w:ind w:left="4320" w:hanging="360"/>
      </w:pPr>
      <w:rPr>
        <w:rFonts w:ascii="Arial" w:hAnsi="Arial" w:hint="default"/>
      </w:rPr>
    </w:lvl>
    <w:lvl w:ilvl="6" w:tplc="59E65B40" w:tentative="1">
      <w:start w:val="1"/>
      <w:numFmt w:val="bullet"/>
      <w:lvlText w:val="•"/>
      <w:lvlJc w:val="left"/>
      <w:pPr>
        <w:tabs>
          <w:tab w:val="num" w:pos="5040"/>
        </w:tabs>
        <w:ind w:left="5040" w:hanging="360"/>
      </w:pPr>
      <w:rPr>
        <w:rFonts w:ascii="Arial" w:hAnsi="Arial" w:hint="default"/>
      </w:rPr>
    </w:lvl>
    <w:lvl w:ilvl="7" w:tplc="40F8DE86" w:tentative="1">
      <w:start w:val="1"/>
      <w:numFmt w:val="bullet"/>
      <w:lvlText w:val="•"/>
      <w:lvlJc w:val="left"/>
      <w:pPr>
        <w:tabs>
          <w:tab w:val="num" w:pos="5760"/>
        </w:tabs>
        <w:ind w:left="5760" w:hanging="360"/>
      </w:pPr>
      <w:rPr>
        <w:rFonts w:ascii="Arial" w:hAnsi="Arial" w:hint="default"/>
      </w:rPr>
    </w:lvl>
    <w:lvl w:ilvl="8" w:tplc="3CE2260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F83493C"/>
    <w:multiLevelType w:val="hybridMultilevel"/>
    <w:tmpl w:val="A24CC2D8"/>
    <w:lvl w:ilvl="0" w:tplc="88408D1C">
      <w:start w:val="1"/>
      <w:numFmt w:val="bullet"/>
      <w:lvlText w:val="•"/>
      <w:lvlJc w:val="left"/>
      <w:pPr>
        <w:tabs>
          <w:tab w:val="num" w:pos="720"/>
        </w:tabs>
        <w:ind w:left="720" w:hanging="360"/>
      </w:pPr>
      <w:rPr>
        <w:rFonts w:ascii="Arial" w:hAnsi="Arial" w:hint="default"/>
      </w:rPr>
    </w:lvl>
    <w:lvl w:ilvl="1" w:tplc="020E5278" w:tentative="1">
      <w:start w:val="1"/>
      <w:numFmt w:val="bullet"/>
      <w:lvlText w:val="•"/>
      <w:lvlJc w:val="left"/>
      <w:pPr>
        <w:tabs>
          <w:tab w:val="num" w:pos="1440"/>
        </w:tabs>
        <w:ind w:left="1440" w:hanging="360"/>
      </w:pPr>
      <w:rPr>
        <w:rFonts w:ascii="Arial" w:hAnsi="Arial" w:hint="default"/>
      </w:rPr>
    </w:lvl>
    <w:lvl w:ilvl="2" w:tplc="4EE07FB6" w:tentative="1">
      <w:start w:val="1"/>
      <w:numFmt w:val="bullet"/>
      <w:lvlText w:val="•"/>
      <w:lvlJc w:val="left"/>
      <w:pPr>
        <w:tabs>
          <w:tab w:val="num" w:pos="2160"/>
        </w:tabs>
        <w:ind w:left="2160" w:hanging="360"/>
      </w:pPr>
      <w:rPr>
        <w:rFonts w:ascii="Arial" w:hAnsi="Arial" w:hint="default"/>
      </w:rPr>
    </w:lvl>
    <w:lvl w:ilvl="3" w:tplc="011839E6" w:tentative="1">
      <w:start w:val="1"/>
      <w:numFmt w:val="bullet"/>
      <w:lvlText w:val="•"/>
      <w:lvlJc w:val="left"/>
      <w:pPr>
        <w:tabs>
          <w:tab w:val="num" w:pos="2880"/>
        </w:tabs>
        <w:ind w:left="2880" w:hanging="360"/>
      </w:pPr>
      <w:rPr>
        <w:rFonts w:ascii="Arial" w:hAnsi="Arial" w:hint="default"/>
      </w:rPr>
    </w:lvl>
    <w:lvl w:ilvl="4" w:tplc="7CB23476" w:tentative="1">
      <w:start w:val="1"/>
      <w:numFmt w:val="bullet"/>
      <w:lvlText w:val="•"/>
      <w:lvlJc w:val="left"/>
      <w:pPr>
        <w:tabs>
          <w:tab w:val="num" w:pos="3600"/>
        </w:tabs>
        <w:ind w:left="3600" w:hanging="360"/>
      </w:pPr>
      <w:rPr>
        <w:rFonts w:ascii="Arial" w:hAnsi="Arial" w:hint="default"/>
      </w:rPr>
    </w:lvl>
    <w:lvl w:ilvl="5" w:tplc="F6CECC4C" w:tentative="1">
      <w:start w:val="1"/>
      <w:numFmt w:val="bullet"/>
      <w:lvlText w:val="•"/>
      <w:lvlJc w:val="left"/>
      <w:pPr>
        <w:tabs>
          <w:tab w:val="num" w:pos="4320"/>
        </w:tabs>
        <w:ind w:left="4320" w:hanging="360"/>
      </w:pPr>
      <w:rPr>
        <w:rFonts w:ascii="Arial" w:hAnsi="Arial" w:hint="default"/>
      </w:rPr>
    </w:lvl>
    <w:lvl w:ilvl="6" w:tplc="F41674C4" w:tentative="1">
      <w:start w:val="1"/>
      <w:numFmt w:val="bullet"/>
      <w:lvlText w:val="•"/>
      <w:lvlJc w:val="left"/>
      <w:pPr>
        <w:tabs>
          <w:tab w:val="num" w:pos="5040"/>
        </w:tabs>
        <w:ind w:left="5040" w:hanging="360"/>
      </w:pPr>
      <w:rPr>
        <w:rFonts w:ascii="Arial" w:hAnsi="Arial" w:hint="default"/>
      </w:rPr>
    </w:lvl>
    <w:lvl w:ilvl="7" w:tplc="F29021E2" w:tentative="1">
      <w:start w:val="1"/>
      <w:numFmt w:val="bullet"/>
      <w:lvlText w:val="•"/>
      <w:lvlJc w:val="left"/>
      <w:pPr>
        <w:tabs>
          <w:tab w:val="num" w:pos="5760"/>
        </w:tabs>
        <w:ind w:left="5760" w:hanging="360"/>
      </w:pPr>
      <w:rPr>
        <w:rFonts w:ascii="Arial" w:hAnsi="Arial" w:hint="default"/>
      </w:rPr>
    </w:lvl>
    <w:lvl w:ilvl="8" w:tplc="2A905AC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15B0059"/>
    <w:multiLevelType w:val="hybridMultilevel"/>
    <w:tmpl w:val="187E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A75869"/>
    <w:multiLevelType w:val="hybridMultilevel"/>
    <w:tmpl w:val="0BBC809C"/>
    <w:lvl w:ilvl="0" w:tplc="6D7A726A">
      <w:start w:val="1"/>
      <w:numFmt w:val="bullet"/>
      <w:lvlText w:val="•"/>
      <w:lvlJc w:val="left"/>
      <w:pPr>
        <w:tabs>
          <w:tab w:val="num" w:pos="720"/>
        </w:tabs>
        <w:ind w:left="720" w:hanging="360"/>
      </w:pPr>
      <w:rPr>
        <w:rFonts w:ascii="Arial" w:hAnsi="Arial" w:hint="default"/>
      </w:rPr>
    </w:lvl>
    <w:lvl w:ilvl="1" w:tplc="A6A8EB64" w:tentative="1">
      <w:start w:val="1"/>
      <w:numFmt w:val="bullet"/>
      <w:lvlText w:val="•"/>
      <w:lvlJc w:val="left"/>
      <w:pPr>
        <w:tabs>
          <w:tab w:val="num" w:pos="1440"/>
        </w:tabs>
        <w:ind w:left="1440" w:hanging="360"/>
      </w:pPr>
      <w:rPr>
        <w:rFonts w:ascii="Arial" w:hAnsi="Arial" w:hint="default"/>
      </w:rPr>
    </w:lvl>
    <w:lvl w:ilvl="2" w:tplc="F5EA9350" w:tentative="1">
      <w:start w:val="1"/>
      <w:numFmt w:val="bullet"/>
      <w:lvlText w:val="•"/>
      <w:lvlJc w:val="left"/>
      <w:pPr>
        <w:tabs>
          <w:tab w:val="num" w:pos="2160"/>
        </w:tabs>
        <w:ind w:left="2160" w:hanging="360"/>
      </w:pPr>
      <w:rPr>
        <w:rFonts w:ascii="Arial" w:hAnsi="Arial" w:hint="default"/>
      </w:rPr>
    </w:lvl>
    <w:lvl w:ilvl="3" w:tplc="CD885F44" w:tentative="1">
      <w:start w:val="1"/>
      <w:numFmt w:val="bullet"/>
      <w:lvlText w:val="•"/>
      <w:lvlJc w:val="left"/>
      <w:pPr>
        <w:tabs>
          <w:tab w:val="num" w:pos="2880"/>
        </w:tabs>
        <w:ind w:left="2880" w:hanging="360"/>
      </w:pPr>
      <w:rPr>
        <w:rFonts w:ascii="Arial" w:hAnsi="Arial" w:hint="default"/>
      </w:rPr>
    </w:lvl>
    <w:lvl w:ilvl="4" w:tplc="30882546" w:tentative="1">
      <w:start w:val="1"/>
      <w:numFmt w:val="bullet"/>
      <w:lvlText w:val="•"/>
      <w:lvlJc w:val="left"/>
      <w:pPr>
        <w:tabs>
          <w:tab w:val="num" w:pos="3600"/>
        </w:tabs>
        <w:ind w:left="3600" w:hanging="360"/>
      </w:pPr>
      <w:rPr>
        <w:rFonts w:ascii="Arial" w:hAnsi="Arial" w:hint="default"/>
      </w:rPr>
    </w:lvl>
    <w:lvl w:ilvl="5" w:tplc="5EA693BA" w:tentative="1">
      <w:start w:val="1"/>
      <w:numFmt w:val="bullet"/>
      <w:lvlText w:val="•"/>
      <w:lvlJc w:val="left"/>
      <w:pPr>
        <w:tabs>
          <w:tab w:val="num" w:pos="4320"/>
        </w:tabs>
        <w:ind w:left="4320" w:hanging="360"/>
      </w:pPr>
      <w:rPr>
        <w:rFonts w:ascii="Arial" w:hAnsi="Arial" w:hint="default"/>
      </w:rPr>
    </w:lvl>
    <w:lvl w:ilvl="6" w:tplc="C7080994" w:tentative="1">
      <w:start w:val="1"/>
      <w:numFmt w:val="bullet"/>
      <w:lvlText w:val="•"/>
      <w:lvlJc w:val="left"/>
      <w:pPr>
        <w:tabs>
          <w:tab w:val="num" w:pos="5040"/>
        </w:tabs>
        <w:ind w:left="5040" w:hanging="360"/>
      </w:pPr>
      <w:rPr>
        <w:rFonts w:ascii="Arial" w:hAnsi="Arial" w:hint="default"/>
      </w:rPr>
    </w:lvl>
    <w:lvl w:ilvl="7" w:tplc="C8A87A10" w:tentative="1">
      <w:start w:val="1"/>
      <w:numFmt w:val="bullet"/>
      <w:lvlText w:val="•"/>
      <w:lvlJc w:val="left"/>
      <w:pPr>
        <w:tabs>
          <w:tab w:val="num" w:pos="5760"/>
        </w:tabs>
        <w:ind w:left="5760" w:hanging="360"/>
      </w:pPr>
      <w:rPr>
        <w:rFonts w:ascii="Arial" w:hAnsi="Arial" w:hint="default"/>
      </w:rPr>
    </w:lvl>
    <w:lvl w:ilvl="8" w:tplc="178810B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2B90260"/>
    <w:multiLevelType w:val="hybridMultilevel"/>
    <w:tmpl w:val="7A3CF146"/>
    <w:lvl w:ilvl="0" w:tplc="9E780B86">
      <w:start w:val="1"/>
      <w:numFmt w:val="bullet"/>
      <w:lvlText w:val="•"/>
      <w:lvlJc w:val="left"/>
      <w:pPr>
        <w:tabs>
          <w:tab w:val="num" w:pos="720"/>
        </w:tabs>
        <w:ind w:left="720" w:hanging="360"/>
      </w:pPr>
      <w:rPr>
        <w:rFonts w:ascii="Arial" w:hAnsi="Arial" w:hint="default"/>
      </w:rPr>
    </w:lvl>
    <w:lvl w:ilvl="1" w:tplc="8E0AA962" w:tentative="1">
      <w:start w:val="1"/>
      <w:numFmt w:val="bullet"/>
      <w:lvlText w:val="•"/>
      <w:lvlJc w:val="left"/>
      <w:pPr>
        <w:tabs>
          <w:tab w:val="num" w:pos="1440"/>
        </w:tabs>
        <w:ind w:left="1440" w:hanging="360"/>
      </w:pPr>
      <w:rPr>
        <w:rFonts w:ascii="Arial" w:hAnsi="Arial" w:hint="default"/>
      </w:rPr>
    </w:lvl>
    <w:lvl w:ilvl="2" w:tplc="8CAE7B72" w:tentative="1">
      <w:start w:val="1"/>
      <w:numFmt w:val="bullet"/>
      <w:lvlText w:val="•"/>
      <w:lvlJc w:val="left"/>
      <w:pPr>
        <w:tabs>
          <w:tab w:val="num" w:pos="2160"/>
        </w:tabs>
        <w:ind w:left="2160" w:hanging="360"/>
      </w:pPr>
      <w:rPr>
        <w:rFonts w:ascii="Arial" w:hAnsi="Arial" w:hint="default"/>
      </w:rPr>
    </w:lvl>
    <w:lvl w:ilvl="3" w:tplc="35927996" w:tentative="1">
      <w:start w:val="1"/>
      <w:numFmt w:val="bullet"/>
      <w:lvlText w:val="•"/>
      <w:lvlJc w:val="left"/>
      <w:pPr>
        <w:tabs>
          <w:tab w:val="num" w:pos="2880"/>
        </w:tabs>
        <w:ind w:left="2880" w:hanging="360"/>
      </w:pPr>
      <w:rPr>
        <w:rFonts w:ascii="Arial" w:hAnsi="Arial" w:hint="default"/>
      </w:rPr>
    </w:lvl>
    <w:lvl w:ilvl="4" w:tplc="ED764B76" w:tentative="1">
      <w:start w:val="1"/>
      <w:numFmt w:val="bullet"/>
      <w:lvlText w:val="•"/>
      <w:lvlJc w:val="left"/>
      <w:pPr>
        <w:tabs>
          <w:tab w:val="num" w:pos="3600"/>
        </w:tabs>
        <w:ind w:left="3600" w:hanging="360"/>
      </w:pPr>
      <w:rPr>
        <w:rFonts w:ascii="Arial" w:hAnsi="Arial" w:hint="default"/>
      </w:rPr>
    </w:lvl>
    <w:lvl w:ilvl="5" w:tplc="7590B548" w:tentative="1">
      <w:start w:val="1"/>
      <w:numFmt w:val="bullet"/>
      <w:lvlText w:val="•"/>
      <w:lvlJc w:val="left"/>
      <w:pPr>
        <w:tabs>
          <w:tab w:val="num" w:pos="4320"/>
        </w:tabs>
        <w:ind w:left="4320" w:hanging="360"/>
      </w:pPr>
      <w:rPr>
        <w:rFonts w:ascii="Arial" w:hAnsi="Arial" w:hint="default"/>
      </w:rPr>
    </w:lvl>
    <w:lvl w:ilvl="6" w:tplc="1C426AC2" w:tentative="1">
      <w:start w:val="1"/>
      <w:numFmt w:val="bullet"/>
      <w:lvlText w:val="•"/>
      <w:lvlJc w:val="left"/>
      <w:pPr>
        <w:tabs>
          <w:tab w:val="num" w:pos="5040"/>
        </w:tabs>
        <w:ind w:left="5040" w:hanging="360"/>
      </w:pPr>
      <w:rPr>
        <w:rFonts w:ascii="Arial" w:hAnsi="Arial" w:hint="default"/>
      </w:rPr>
    </w:lvl>
    <w:lvl w:ilvl="7" w:tplc="358A3B00" w:tentative="1">
      <w:start w:val="1"/>
      <w:numFmt w:val="bullet"/>
      <w:lvlText w:val="•"/>
      <w:lvlJc w:val="left"/>
      <w:pPr>
        <w:tabs>
          <w:tab w:val="num" w:pos="5760"/>
        </w:tabs>
        <w:ind w:left="5760" w:hanging="360"/>
      </w:pPr>
      <w:rPr>
        <w:rFonts w:ascii="Arial" w:hAnsi="Arial" w:hint="default"/>
      </w:rPr>
    </w:lvl>
    <w:lvl w:ilvl="8" w:tplc="B9EAC0E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6AE3B7B"/>
    <w:multiLevelType w:val="hybridMultilevel"/>
    <w:tmpl w:val="4DEE39B6"/>
    <w:lvl w:ilvl="0" w:tplc="47E0D7CE">
      <w:start w:val="1"/>
      <w:numFmt w:val="bullet"/>
      <w:lvlText w:val="•"/>
      <w:lvlJc w:val="left"/>
      <w:pPr>
        <w:tabs>
          <w:tab w:val="num" w:pos="720"/>
        </w:tabs>
        <w:ind w:left="720" w:hanging="360"/>
      </w:pPr>
      <w:rPr>
        <w:rFonts w:ascii="Arial" w:hAnsi="Arial" w:hint="default"/>
      </w:rPr>
    </w:lvl>
    <w:lvl w:ilvl="1" w:tplc="9CA02D94" w:tentative="1">
      <w:start w:val="1"/>
      <w:numFmt w:val="bullet"/>
      <w:lvlText w:val="•"/>
      <w:lvlJc w:val="left"/>
      <w:pPr>
        <w:tabs>
          <w:tab w:val="num" w:pos="1440"/>
        </w:tabs>
        <w:ind w:left="1440" w:hanging="360"/>
      </w:pPr>
      <w:rPr>
        <w:rFonts w:ascii="Arial" w:hAnsi="Arial" w:hint="default"/>
      </w:rPr>
    </w:lvl>
    <w:lvl w:ilvl="2" w:tplc="CEFC3C46" w:tentative="1">
      <w:start w:val="1"/>
      <w:numFmt w:val="bullet"/>
      <w:lvlText w:val="•"/>
      <w:lvlJc w:val="left"/>
      <w:pPr>
        <w:tabs>
          <w:tab w:val="num" w:pos="2160"/>
        </w:tabs>
        <w:ind w:left="2160" w:hanging="360"/>
      </w:pPr>
      <w:rPr>
        <w:rFonts w:ascii="Arial" w:hAnsi="Arial" w:hint="default"/>
      </w:rPr>
    </w:lvl>
    <w:lvl w:ilvl="3" w:tplc="DC703A1C" w:tentative="1">
      <w:start w:val="1"/>
      <w:numFmt w:val="bullet"/>
      <w:lvlText w:val="•"/>
      <w:lvlJc w:val="left"/>
      <w:pPr>
        <w:tabs>
          <w:tab w:val="num" w:pos="2880"/>
        </w:tabs>
        <w:ind w:left="2880" w:hanging="360"/>
      </w:pPr>
      <w:rPr>
        <w:rFonts w:ascii="Arial" w:hAnsi="Arial" w:hint="default"/>
      </w:rPr>
    </w:lvl>
    <w:lvl w:ilvl="4" w:tplc="AD74B8B0" w:tentative="1">
      <w:start w:val="1"/>
      <w:numFmt w:val="bullet"/>
      <w:lvlText w:val="•"/>
      <w:lvlJc w:val="left"/>
      <w:pPr>
        <w:tabs>
          <w:tab w:val="num" w:pos="3600"/>
        </w:tabs>
        <w:ind w:left="3600" w:hanging="360"/>
      </w:pPr>
      <w:rPr>
        <w:rFonts w:ascii="Arial" w:hAnsi="Arial" w:hint="default"/>
      </w:rPr>
    </w:lvl>
    <w:lvl w:ilvl="5" w:tplc="BB8A3474" w:tentative="1">
      <w:start w:val="1"/>
      <w:numFmt w:val="bullet"/>
      <w:lvlText w:val="•"/>
      <w:lvlJc w:val="left"/>
      <w:pPr>
        <w:tabs>
          <w:tab w:val="num" w:pos="4320"/>
        </w:tabs>
        <w:ind w:left="4320" w:hanging="360"/>
      </w:pPr>
      <w:rPr>
        <w:rFonts w:ascii="Arial" w:hAnsi="Arial" w:hint="default"/>
      </w:rPr>
    </w:lvl>
    <w:lvl w:ilvl="6" w:tplc="936E739E" w:tentative="1">
      <w:start w:val="1"/>
      <w:numFmt w:val="bullet"/>
      <w:lvlText w:val="•"/>
      <w:lvlJc w:val="left"/>
      <w:pPr>
        <w:tabs>
          <w:tab w:val="num" w:pos="5040"/>
        </w:tabs>
        <w:ind w:left="5040" w:hanging="360"/>
      </w:pPr>
      <w:rPr>
        <w:rFonts w:ascii="Arial" w:hAnsi="Arial" w:hint="default"/>
      </w:rPr>
    </w:lvl>
    <w:lvl w:ilvl="7" w:tplc="0FE4F616" w:tentative="1">
      <w:start w:val="1"/>
      <w:numFmt w:val="bullet"/>
      <w:lvlText w:val="•"/>
      <w:lvlJc w:val="left"/>
      <w:pPr>
        <w:tabs>
          <w:tab w:val="num" w:pos="5760"/>
        </w:tabs>
        <w:ind w:left="5760" w:hanging="360"/>
      </w:pPr>
      <w:rPr>
        <w:rFonts w:ascii="Arial" w:hAnsi="Arial" w:hint="default"/>
      </w:rPr>
    </w:lvl>
    <w:lvl w:ilvl="8" w:tplc="3692DAC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74B4ABB"/>
    <w:multiLevelType w:val="hybridMultilevel"/>
    <w:tmpl w:val="691CF3AC"/>
    <w:lvl w:ilvl="0" w:tplc="B1300CE4">
      <w:start w:val="1"/>
      <w:numFmt w:val="bullet"/>
      <w:lvlText w:val="•"/>
      <w:lvlJc w:val="left"/>
      <w:pPr>
        <w:tabs>
          <w:tab w:val="num" w:pos="720"/>
        </w:tabs>
        <w:ind w:left="720" w:hanging="360"/>
      </w:pPr>
      <w:rPr>
        <w:rFonts w:ascii="Arial" w:hAnsi="Arial" w:hint="default"/>
      </w:rPr>
    </w:lvl>
    <w:lvl w:ilvl="1" w:tplc="DAA441C0" w:tentative="1">
      <w:start w:val="1"/>
      <w:numFmt w:val="bullet"/>
      <w:lvlText w:val="•"/>
      <w:lvlJc w:val="left"/>
      <w:pPr>
        <w:tabs>
          <w:tab w:val="num" w:pos="1440"/>
        </w:tabs>
        <w:ind w:left="1440" w:hanging="360"/>
      </w:pPr>
      <w:rPr>
        <w:rFonts w:ascii="Arial" w:hAnsi="Arial" w:hint="default"/>
      </w:rPr>
    </w:lvl>
    <w:lvl w:ilvl="2" w:tplc="E1D42CAE" w:tentative="1">
      <w:start w:val="1"/>
      <w:numFmt w:val="bullet"/>
      <w:lvlText w:val="•"/>
      <w:lvlJc w:val="left"/>
      <w:pPr>
        <w:tabs>
          <w:tab w:val="num" w:pos="2160"/>
        </w:tabs>
        <w:ind w:left="2160" w:hanging="360"/>
      </w:pPr>
      <w:rPr>
        <w:rFonts w:ascii="Arial" w:hAnsi="Arial" w:hint="default"/>
      </w:rPr>
    </w:lvl>
    <w:lvl w:ilvl="3" w:tplc="8F9A9A6A" w:tentative="1">
      <w:start w:val="1"/>
      <w:numFmt w:val="bullet"/>
      <w:lvlText w:val="•"/>
      <w:lvlJc w:val="left"/>
      <w:pPr>
        <w:tabs>
          <w:tab w:val="num" w:pos="2880"/>
        </w:tabs>
        <w:ind w:left="2880" w:hanging="360"/>
      </w:pPr>
      <w:rPr>
        <w:rFonts w:ascii="Arial" w:hAnsi="Arial" w:hint="default"/>
      </w:rPr>
    </w:lvl>
    <w:lvl w:ilvl="4" w:tplc="59162BAA" w:tentative="1">
      <w:start w:val="1"/>
      <w:numFmt w:val="bullet"/>
      <w:lvlText w:val="•"/>
      <w:lvlJc w:val="left"/>
      <w:pPr>
        <w:tabs>
          <w:tab w:val="num" w:pos="3600"/>
        </w:tabs>
        <w:ind w:left="3600" w:hanging="360"/>
      </w:pPr>
      <w:rPr>
        <w:rFonts w:ascii="Arial" w:hAnsi="Arial" w:hint="default"/>
      </w:rPr>
    </w:lvl>
    <w:lvl w:ilvl="5" w:tplc="8F1A3FE6" w:tentative="1">
      <w:start w:val="1"/>
      <w:numFmt w:val="bullet"/>
      <w:lvlText w:val="•"/>
      <w:lvlJc w:val="left"/>
      <w:pPr>
        <w:tabs>
          <w:tab w:val="num" w:pos="4320"/>
        </w:tabs>
        <w:ind w:left="4320" w:hanging="360"/>
      </w:pPr>
      <w:rPr>
        <w:rFonts w:ascii="Arial" w:hAnsi="Arial" w:hint="default"/>
      </w:rPr>
    </w:lvl>
    <w:lvl w:ilvl="6" w:tplc="E8582CDE" w:tentative="1">
      <w:start w:val="1"/>
      <w:numFmt w:val="bullet"/>
      <w:lvlText w:val="•"/>
      <w:lvlJc w:val="left"/>
      <w:pPr>
        <w:tabs>
          <w:tab w:val="num" w:pos="5040"/>
        </w:tabs>
        <w:ind w:left="5040" w:hanging="360"/>
      </w:pPr>
      <w:rPr>
        <w:rFonts w:ascii="Arial" w:hAnsi="Arial" w:hint="default"/>
      </w:rPr>
    </w:lvl>
    <w:lvl w:ilvl="7" w:tplc="986E2972" w:tentative="1">
      <w:start w:val="1"/>
      <w:numFmt w:val="bullet"/>
      <w:lvlText w:val="•"/>
      <w:lvlJc w:val="left"/>
      <w:pPr>
        <w:tabs>
          <w:tab w:val="num" w:pos="5760"/>
        </w:tabs>
        <w:ind w:left="5760" w:hanging="360"/>
      </w:pPr>
      <w:rPr>
        <w:rFonts w:ascii="Arial" w:hAnsi="Arial" w:hint="default"/>
      </w:rPr>
    </w:lvl>
    <w:lvl w:ilvl="8" w:tplc="50D4325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7803300"/>
    <w:multiLevelType w:val="hybridMultilevel"/>
    <w:tmpl w:val="88CA2B26"/>
    <w:lvl w:ilvl="0" w:tplc="BAAC0CA6">
      <w:start w:val="1"/>
      <w:numFmt w:val="bullet"/>
      <w:lvlText w:val="•"/>
      <w:lvlJc w:val="left"/>
      <w:pPr>
        <w:tabs>
          <w:tab w:val="num" w:pos="720"/>
        </w:tabs>
        <w:ind w:left="720" w:hanging="360"/>
      </w:pPr>
      <w:rPr>
        <w:rFonts w:ascii="Arial" w:hAnsi="Arial" w:hint="default"/>
      </w:rPr>
    </w:lvl>
    <w:lvl w:ilvl="1" w:tplc="A8A43038" w:tentative="1">
      <w:start w:val="1"/>
      <w:numFmt w:val="bullet"/>
      <w:lvlText w:val="•"/>
      <w:lvlJc w:val="left"/>
      <w:pPr>
        <w:tabs>
          <w:tab w:val="num" w:pos="1440"/>
        </w:tabs>
        <w:ind w:left="1440" w:hanging="360"/>
      </w:pPr>
      <w:rPr>
        <w:rFonts w:ascii="Arial" w:hAnsi="Arial" w:hint="default"/>
      </w:rPr>
    </w:lvl>
    <w:lvl w:ilvl="2" w:tplc="441C3302" w:tentative="1">
      <w:start w:val="1"/>
      <w:numFmt w:val="bullet"/>
      <w:lvlText w:val="•"/>
      <w:lvlJc w:val="left"/>
      <w:pPr>
        <w:tabs>
          <w:tab w:val="num" w:pos="2160"/>
        </w:tabs>
        <w:ind w:left="2160" w:hanging="360"/>
      </w:pPr>
      <w:rPr>
        <w:rFonts w:ascii="Arial" w:hAnsi="Arial" w:hint="default"/>
      </w:rPr>
    </w:lvl>
    <w:lvl w:ilvl="3" w:tplc="28E64A2E" w:tentative="1">
      <w:start w:val="1"/>
      <w:numFmt w:val="bullet"/>
      <w:lvlText w:val="•"/>
      <w:lvlJc w:val="left"/>
      <w:pPr>
        <w:tabs>
          <w:tab w:val="num" w:pos="2880"/>
        </w:tabs>
        <w:ind w:left="2880" w:hanging="360"/>
      </w:pPr>
      <w:rPr>
        <w:rFonts w:ascii="Arial" w:hAnsi="Arial" w:hint="default"/>
      </w:rPr>
    </w:lvl>
    <w:lvl w:ilvl="4" w:tplc="229E5642" w:tentative="1">
      <w:start w:val="1"/>
      <w:numFmt w:val="bullet"/>
      <w:lvlText w:val="•"/>
      <w:lvlJc w:val="left"/>
      <w:pPr>
        <w:tabs>
          <w:tab w:val="num" w:pos="3600"/>
        </w:tabs>
        <w:ind w:left="3600" w:hanging="360"/>
      </w:pPr>
      <w:rPr>
        <w:rFonts w:ascii="Arial" w:hAnsi="Arial" w:hint="default"/>
      </w:rPr>
    </w:lvl>
    <w:lvl w:ilvl="5" w:tplc="7220ACC2" w:tentative="1">
      <w:start w:val="1"/>
      <w:numFmt w:val="bullet"/>
      <w:lvlText w:val="•"/>
      <w:lvlJc w:val="left"/>
      <w:pPr>
        <w:tabs>
          <w:tab w:val="num" w:pos="4320"/>
        </w:tabs>
        <w:ind w:left="4320" w:hanging="360"/>
      </w:pPr>
      <w:rPr>
        <w:rFonts w:ascii="Arial" w:hAnsi="Arial" w:hint="default"/>
      </w:rPr>
    </w:lvl>
    <w:lvl w:ilvl="6" w:tplc="0274682C" w:tentative="1">
      <w:start w:val="1"/>
      <w:numFmt w:val="bullet"/>
      <w:lvlText w:val="•"/>
      <w:lvlJc w:val="left"/>
      <w:pPr>
        <w:tabs>
          <w:tab w:val="num" w:pos="5040"/>
        </w:tabs>
        <w:ind w:left="5040" w:hanging="360"/>
      </w:pPr>
      <w:rPr>
        <w:rFonts w:ascii="Arial" w:hAnsi="Arial" w:hint="default"/>
      </w:rPr>
    </w:lvl>
    <w:lvl w:ilvl="7" w:tplc="EB5A9DDE" w:tentative="1">
      <w:start w:val="1"/>
      <w:numFmt w:val="bullet"/>
      <w:lvlText w:val="•"/>
      <w:lvlJc w:val="left"/>
      <w:pPr>
        <w:tabs>
          <w:tab w:val="num" w:pos="5760"/>
        </w:tabs>
        <w:ind w:left="5760" w:hanging="360"/>
      </w:pPr>
      <w:rPr>
        <w:rFonts w:ascii="Arial" w:hAnsi="Arial" w:hint="default"/>
      </w:rPr>
    </w:lvl>
    <w:lvl w:ilvl="8" w:tplc="B33A4D2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81E7243"/>
    <w:multiLevelType w:val="hybridMultilevel"/>
    <w:tmpl w:val="A0D0CABE"/>
    <w:lvl w:ilvl="0" w:tplc="5E14A20E">
      <w:start w:val="1"/>
      <w:numFmt w:val="bullet"/>
      <w:lvlText w:val="•"/>
      <w:lvlJc w:val="left"/>
      <w:pPr>
        <w:tabs>
          <w:tab w:val="num" w:pos="720"/>
        </w:tabs>
        <w:ind w:left="720" w:hanging="360"/>
      </w:pPr>
      <w:rPr>
        <w:rFonts w:ascii="Arial" w:hAnsi="Arial" w:hint="default"/>
      </w:rPr>
    </w:lvl>
    <w:lvl w:ilvl="1" w:tplc="A3740D22" w:tentative="1">
      <w:start w:val="1"/>
      <w:numFmt w:val="bullet"/>
      <w:lvlText w:val="•"/>
      <w:lvlJc w:val="left"/>
      <w:pPr>
        <w:tabs>
          <w:tab w:val="num" w:pos="1440"/>
        </w:tabs>
        <w:ind w:left="1440" w:hanging="360"/>
      </w:pPr>
      <w:rPr>
        <w:rFonts w:ascii="Arial" w:hAnsi="Arial" w:hint="default"/>
      </w:rPr>
    </w:lvl>
    <w:lvl w:ilvl="2" w:tplc="42701B64" w:tentative="1">
      <w:start w:val="1"/>
      <w:numFmt w:val="bullet"/>
      <w:lvlText w:val="•"/>
      <w:lvlJc w:val="left"/>
      <w:pPr>
        <w:tabs>
          <w:tab w:val="num" w:pos="2160"/>
        </w:tabs>
        <w:ind w:left="2160" w:hanging="360"/>
      </w:pPr>
      <w:rPr>
        <w:rFonts w:ascii="Arial" w:hAnsi="Arial" w:hint="default"/>
      </w:rPr>
    </w:lvl>
    <w:lvl w:ilvl="3" w:tplc="36BC1214" w:tentative="1">
      <w:start w:val="1"/>
      <w:numFmt w:val="bullet"/>
      <w:lvlText w:val="•"/>
      <w:lvlJc w:val="left"/>
      <w:pPr>
        <w:tabs>
          <w:tab w:val="num" w:pos="2880"/>
        </w:tabs>
        <w:ind w:left="2880" w:hanging="360"/>
      </w:pPr>
      <w:rPr>
        <w:rFonts w:ascii="Arial" w:hAnsi="Arial" w:hint="default"/>
      </w:rPr>
    </w:lvl>
    <w:lvl w:ilvl="4" w:tplc="EF3C824C" w:tentative="1">
      <w:start w:val="1"/>
      <w:numFmt w:val="bullet"/>
      <w:lvlText w:val="•"/>
      <w:lvlJc w:val="left"/>
      <w:pPr>
        <w:tabs>
          <w:tab w:val="num" w:pos="3600"/>
        </w:tabs>
        <w:ind w:left="3600" w:hanging="360"/>
      </w:pPr>
      <w:rPr>
        <w:rFonts w:ascii="Arial" w:hAnsi="Arial" w:hint="default"/>
      </w:rPr>
    </w:lvl>
    <w:lvl w:ilvl="5" w:tplc="3690B874" w:tentative="1">
      <w:start w:val="1"/>
      <w:numFmt w:val="bullet"/>
      <w:lvlText w:val="•"/>
      <w:lvlJc w:val="left"/>
      <w:pPr>
        <w:tabs>
          <w:tab w:val="num" w:pos="4320"/>
        </w:tabs>
        <w:ind w:left="4320" w:hanging="360"/>
      </w:pPr>
      <w:rPr>
        <w:rFonts w:ascii="Arial" w:hAnsi="Arial" w:hint="default"/>
      </w:rPr>
    </w:lvl>
    <w:lvl w:ilvl="6" w:tplc="C04C9C10" w:tentative="1">
      <w:start w:val="1"/>
      <w:numFmt w:val="bullet"/>
      <w:lvlText w:val="•"/>
      <w:lvlJc w:val="left"/>
      <w:pPr>
        <w:tabs>
          <w:tab w:val="num" w:pos="5040"/>
        </w:tabs>
        <w:ind w:left="5040" w:hanging="360"/>
      </w:pPr>
      <w:rPr>
        <w:rFonts w:ascii="Arial" w:hAnsi="Arial" w:hint="default"/>
      </w:rPr>
    </w:lvl>
    <w:lvl w:ilvl="7" w:tplc="88D4A81A" w:tentative="1">
      <w:start w:val="1"/>
      <w:numFmt w:val="bullet"/>
      <w:lvlText w:val="•"/>
      <w:lvlJc w:val="left"/>
      <w:pPr>
        <w:tabs>
          <w:tab w:val="num" w:pos="5760"/>
        </w:tabs>
        <w:ind w:left="5760" w:hanging="360"/>
      </w:pPr>
      <w:rPr>
        <w:rFonts w:ascii="Arial" w:hAnsi="Arial" w:hint="default"/>
      </w:rPr>
    </w:lvl>
    <w:lvl w:ilvl="8" w:tplc="97D662C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8F368E9"/>
    <w:multiLevelType w:val="hybridMultilevel"/>
    <w:tmpl w:val="18C00544"/>
    <w:lvl w:ilvl="0" w:tplc="5B229E58">
      <w:start w:val="1"/>
      <w:numFmt w:val="bullet"/>
      <w:lvlText w:val="•"/>
      <w:lvlJc w:val="left"/>
      <w:pPr>
        <w:tabs>
          <w:tab w:val="num" w:pos="720"/>
        </w:tabs>
        <w:ind w:left="720" w:hanging="360"/>
      </w:pPr>
      <w:rPr>
        <w:rFonts w:ascii="Arial" w:hAnsi="Arial" w:hint="default"/>
      </w:rPr>
    </w:lvl>
    <w:lvl w:ilvl="1" w:tplc="1520BB0E" w:tentative="1">
      <w:start w:val="1"/>
      <w:numFmt w:val="bullet"/>
      <w:lvlText w:val="•"/>
      <w:lvlJc w:val="left"/>
      <w:pPr>
        <w:tabs>
          <w:tab w:val="num" w:pos="1440"/>
        </w:tabs>
        <w:ind w:left="1440" w:hanging="360"/>
      </w:pPr>
      <w:rPr>
        <w:rFonts w:ascii="Arial" w:hAnsi="Arial" w:hint="default"/>
      </w:rPr>
    </w:lvl>
    <w:lvl w:ilvl="2" w:tplc="AA3ADD90" w:tentative="1">
      <w:start w:val="1"/>
      <w:numFmt w:val="bullet"/>
      <w:lvlText w:val="•"/>
      <w:lvlJc w:val="left"/>
      <w:pPr>
        <w:tabs>
          <w:tab w:val="num" w:pos="2160"/>
        </w:tabs>
        <w:ind w:left="2160" w:hanging="360"/>
      </w:pPr>
      <w:rPr>
        <w:rFonts w:ascii="Arial" w:hAnsi="Arial" w:hint="default"/>
      </w:rPr>
    </w:lvl>
    <w:lvl w:ilvl="3" w:tplc="8804A7F4" w:tentative="1">
      <w:start w:val="1"/>
      <w:numFmt w:val="bullet"/>
      <w:lvlText w:val="•"/>
      <w:lvlJc w:val="left"/>
      <w:pPr>
        <w:tabs>
          <w:tab w:val="num" w:pos="2880"/>
        </w:tabs>
        <w:ind w:left="2880" w:hanging="360"/>
      </w:pPr>
      <w:rPr>
        <w:rFonts w:ascii="Arial" w:hAnsi="Arial" w:hint="default"/>
      </w:rPr>
    </w:lvl>
    <w:lvl w:ilvl="4" w:tplc="D016662A" w:tentative="1">
      <w:start w:val="1"/>
      <w:numFmt w:val="bullet"/>
      <w:lvlText w:val="•"/>
      <w:lvlJc w:val="left"/>
      <w:pPr>
        <w:tabs>
          <w:tab w:val="num" w:pos="3600"/>
        </w:tabs>
        <w:ind w:left="3600" w:hanging="360"/>
      </w:pPr>
      <w:rPr>
        <w:rFonts w:ascii="Arial" w:hAnsi="Arial" w:hint="default"/>
      </w:rPr>
    </w:lvl>
    <w:lvl w:ilvl="5" w:tplc="C724401E" w:tentative="1">
      <w:start w:val="1"/>
      <w:numFmt w:val="bullet"/>
      <w:lvlText w:val="•"/>
      <w:lvlJc w:val="left"/>
      <w:pPr>
        <w:tabs>
          <w:tab w:val="num" w:pos="4320"/>
        </w:tabs>
        <w:ind w:left="4320" w:hanging="360"/>
      </w:pPr>
      <w:rPr>
        <w:rFonts w:ascii="Arial" w:hAnsi="Arial" w:hint="default"/>
      </w:rPr>
    </w:lvl>
    <w:lvl w:ilvl="6" w:tplc="36D4BD78" w:tentative="1">
      <w:start w:val="1"/>
      <w:numFmt w:val="bullet"/>
      <w:lvlText w:val="•"/>
      <w:lvlJc w:val="left"/>
      <w:pPr>
        <w:tabs>
          <w:tab w:val="num" w:pos="5040"/>
        </w:tabs>
        <w:ind w:left="5040" w:hanging="360"/>
      </w:pPr>
      <w:rPr>
        <w:rFonts w:ascii="Arial" w:hAnsi="Arial" w:hint="default"/>
      </w:rPr>
    </w:lvl>
    <w:lvl w:ilvl="7" w:tplc="357E6D22" w:tentative="1">
      <w:start w:val="1"/>
      <w:numFmt w:val="bullet"/>
      <w:lvlText w:val="•"/>
      <w:lvlJc w:val="left"/>
      <w:pPr>
        <w:tabs>
          <w:tab w:val="num" w:pos="5760"/>
        </w:tabs>
        <w:ind w:left="5760" w:hanging="360"/>
      </w:pPr>
      <w:rPr>
        <w:rFonts w:ascii="Arial" w:hAnsi="Arial" w:hint="default"/>
      </w:rPr>
    </w:lvl>
    <w:lvl w:ilvl="8" w:tplc="354882F0"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9325282"/>
    <w:multiLevelType w:val="hybridMultilevel"/>
    <w:tmpl w:val="2D043D8C"/>
    <w:lvl w:ilvl="0" w:tplc="953A6A60">
      <w:start w:val="1"/>
      <w:numFmt w:val="bullet"/>
      <w:lvlText w:val="•"/>
      <w:lvlJc w:val="left"/>
      <w:pPr>
        <w:tabs>
          <w:tab w:val="num" w:pos="720"/>
        </w:tabs>
        <w:ind w:left="720" w:hanging="360"/>
      </w:pPr>
      <w:rPr>
        <w:rFonts w:ascii="Arial" w:hAnsi="Arial" w:hint="default"/>
      </w:rPr>
    </w:lvl>
    <w:lvl w:ilvl="1" w:tplc="84B46E28" w:tentative="1">
      <w:start w:val="1"/>
      <w:numFmt w:val="bullet"/>
      <w:lvlText w:val="•"/>
      <w:lvlJc w:val="left"/>
      <w:pPr>
        <w:tabs>
          <w:tab w:val="num" w:pos="1440"/>
        </w:tabs>
        <w:ind w:left="1440" w:hanging="360"/>
      </w:pPr>
      <w:rPr>
        <w:rFonts w:ascii="Arial" w:hAnsi="Arial" w:hint="default"/>
      </w:rPr>
    </w:lvl>
    <w:lvl w:ilvl="2" w:tplc="83E66C5A" w:tentative="1">
      <w:start w:val="1"/>
      <w:numFmt w:val="bullet"/>
      <w:lvlText w:val="•"/>
      <w:lvlJc w:val="left"/>
      <w:pPr>
        <w:tabs>
          <w:tab w:val="num" w:pos="2160"/>
        </w:tabs>
        <w:ind w:left="2160" w:hanging="360"/>
      </w:pPr>
      <w:rPr>
        <w:rFonts w:ascii="Arial" w:hAnsi="Arial" w:hint="default"/>
      </w:rPr>
    </w:lvl>
    <w:lvl w:ilvl="3" w:tplc="581450D4" w:tentative="1">
      <w:start w:val="1"/>
      <w:numFmt w:val="bullet"/>
      <w:lvlText w:val="•"/>
      <w:lvlJc w:val="left"/>
      <w:pPr>
        <w:tabs>
          <w:tab w:val="num" w:pos="2880"/>
        </w:tabs>
        <w:ind w:left="2880" w:hanging="360"/>
      </w:pPr>
      <w:rPr>
        <w:rFonts w:ascii="Arial" w:hAnsi="Arial" w:hint="default"/>
      </w:rPr>
    </w:lvl>
    <w:lvl w:ilvl="4" w:tplc="5240BB66" w:tentative="1">
      <w:start w:val="1"/>
      <w:numFmt w:val="bullet"/>
      <w:lvlText w:val="•"/>
      <w:lvlJc w:val="left"/>
      <w:pPr>
        <w:tabs>
          <w:tab w:val="num" w:pos="3600"/>
        </w:tabs>
        <w:ind w:left="3600" w:hanging="360"/>
      </w:pPr>
      <w:rPr>
        <w:rFonts w:ascii="Arial" w:hAnsi="Arial" w:hint="default"/>
      </w:rPr>
    </w:lvl>
    <w:lvl w:ilvl="5" w:tplc="BA10AD7A" w:tentative="1">
      <w:start w:val="1"/>
      <w:numFmt w:val="bullet"/>
      <w:lvlText w:val="•"/>
      <w:lvlJc w:val="left"/>
      <w:pPr>
        <w:tabs>
          <w:tab w:val="num" w:pos="4320"/>
        </w:tabs>
        <w:ind w:left="4320" w:hanging="360"/>
      </w:pPr>
      <w:rPr>
        <w:rFonts w:ascii="Arial" w:hAnsi="Arial" w:hint="default"/>
      </w:rPr>
    </w:lvl>
    <w:lvl w:ilvl="6" w:tplc="ABA2E24A" w:tentative="1">
      <w:start w:val="1"/>
      <w:numFmt w:val="bullet"/>
      <w:lvlText w:val="•"/>
      <w:lvlJc w:val="left"/>
      <w:pPr>
        <w:tabs>
          <w:tab w:val="num" w:pos="5040"/>
        </w:tabs>
        <w:ind w:left="5040" w:hanging="360"/>
      </w:pPr>
      <w:rPr>
        <w:rFonts w:ascii="Arial" w:hAnsi="Arial" w:hint="default"/>
      </w:rPr>
    </w:lvl>
    <w:lvl w:ilvl="7" w:tplc="D28A7F5C" w:tentative="1">
      <w:start w:val="1"/>
      <w:numFmt w:val="bullet"/>
      <w:lvlText w:val="•"/>
      <w:lvlJc w:val="left"/>
      <w:pPr>
        <w:tabs>
          <w:tab w:val="num" w:pos="5760"/>
        </w:tabs>
        <w:ind w:left="5760" w:hanging="360"/>
      </w:pPr>
      <w:rPr>
        <w:rFonts w:ascii="Arial" w:hAnsi="Arial" w:hint="default"/>
      </w:rPr>
    </w:lvl>
    <w:lvl w:ilvl="8" w:tplc="534E6FA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9951C8B"/>
    <w:multiLevelType w:val="hybridMultilevel"/>
    <w:tmpl w:val="56268250"/>
    <w:lvl w:ilvl="0" w:tplc="D304C330">
      <w:start w:val="1"/>
      <w:numFmt w:val="bullet"/>
      <w:lvlText w:val="•"/>
      <w:lvlJc w:val="left"/>
      <w:pPr>
        <w:tabs>
          <w:tab w:val="num" w:pos="720"/>
        </w:tabs>
        <w:ind w:left="720" w:hanging="360"/>
      </w:pPr>
      <w:rPr>
        <w:rFonts w:ascii="Arial" w:hAnsi="Arial" w:hint="default"/>
      </w:rPr>
    </w:lvl>
    <w:lvl w:ilvl="1" w:tplc="AEC42F0C" w:tentative="1">
      <w:start w:val="1"/>
      <w:numFmt w:val="bullet"/>
      <w:lvlText w:val="•"/>
      <w:lvlJc w:val="left"/>
      <w:pPr>
        <w:tabs>
          <w:tab w:val="num" w:pos="1440"/>
        </w:tabs>
        <w:ind w:left="1440" w:hanging="360"/>
      </w:pPr>
      <w:rPr>
        <w:rFonts w:ascii="Arial" w:hAnsi="Arial" w:hint="default"/>
      </w:rPr>
    </w:lvl>
    <w:lvl w:ilvl="2" w:tplc="414A3DF6" w:tentative="1">
      <w:start w:val="1"/>
      <w:numFmt w:val="bullet"/>
      <w:lvlText w:val="•"/>
      <w:lvlJc w:val="left"/>
      <w:pPr>
        <w:tabs>
          <w:tab w:val="num" w:pos="2160"/>
        </w:tabs>
        <w:ind w:left="2160" w:hanging="360"/>
      </w:pPr>
      <w:rPr>
        <w:rFonts w:ascii="Arial" w:hAnsi="Arial" w:hint="default"/>
      </w:rPr>
    </w:lvl>
    <w:lvl w:ilvl="3" w:tplc="77289B46" w:tentative="1">
      <w:start w:val="1"/>
      <w:numFmt w:val="bullet"/>
      <w:lvlText w:val="•"/>
      <w:lvlJc w:val="left"/>
      <w:pPr>
        <w:tabs>
          <w:tab w:val="num" w:pos="2880"/>
        </w:tabs>
        <w:ind w:left="2880" w:hanging="360"/>
      </w:pPr>
      <w:rPr>
        <w:rFonts w:ascii="Arial" w:hAnsi="Arial" w:hint="default"/>
      </w:rPr>
    </w:lvl>
    <w:lvl w:ilvl="4" w:tplc="7BAE567E" w:tentative="1">
      <w:start w:val="1"/>
      <w:numFmt w:val="bullet"/>
      <w:lvlText w:val="•"/>
      <w:lvlJc w:val="left"/>
      <w:pPr>
        <w:tabs>
          <w:tab w:val="num" w:pos="3600"/>
        </w:tabs>
        <w:ind w:left="3600" w:hanging="360"/>
      </w:pPr>
      <w:rPr>
        <w:rFonts w:ascii="Arial" w:hAnsi="Arial" w:hint="default"/>
      </w:rPr>
    </w:lvl>
    <w:lvl w:ilvl="5" w:tplc="97D65CCC" w:tentative="1">
      <w:start w:val="1"/>
      <w:numFmt w:val="bullet"/>
      <w:lvlText w:val="•"/>
      <w:lvlJc w:val="left"/>
      <w:pPr>
        <w:tabs>
          <w:tab w:val="num" w:pos="4320"/>
        </w:tabs>
        <w:ind w:left="4320" w:hanging="360"/>
      </w:pPr>
      <w:rPr>
        <w:rFonts w:ascii="Arial" w:hAnsi="Arial" w:hint="default"/>
      </w:rPr>
    </w:lvl>
    <w:lvl w:ilvl="6" w:tplc="75DAAB66" w:tentative="1">
      <w:start w:val="1"/>
      <w:numFmt w:val="bullet"/>
      <w:lvlText w:val="•"/>
      <w:lvlJc w:val="left"/>
      <w:pPr>
        <w:tabs>
          <w:tab w:val="num" w:pos="5040"/>
        </w:tabs>
        <w:ind w:left="5040" w:hanging="360"/>
      </w:pPr>
      <w:rPr>
        <w:rFonts w:ascii="Arial" w:hAnsi="Arial" w:hint="default"/>
      </w:rPr>
    </w:lvl>
    <w:lvl w:ilvl="7" w:tplc="ED383590" w:tentative="1">
      <w:start w:val="1"/>
      <w:numFmt w:val="bullet"/>
      <w:lvlText w:val="•"/>
      <w:lvlJc w:val="left"/>
      <w:pPr>
        <w:tabs>
          <w:tab w:val="num" w:pos="5760"/>
        </w:tabs>
        <w:ind w:left="5760" w:hanging="360"/>
      </w:pPr>
      <w:rPr>
        <w:rFonts w:ascii="Arial" w:hAnsi="Arial" w:hint="default"/>
      </w:rPr>
    </w:lvl>
    <w:lvl w:ilvl="8" w:tplc="1DB0456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4BB401DD"/>
    <w:multiLevelType w:val="hybridMultilevel"/>
    <w:tmpl w:val="73F2901E"/>
    <w:lvl w:ilvl="0" w:tplc="4E1E4C9C">
      <w:start w:val="1"/>
      <w:numFmt w:val="bullet"/>
      <w:lvlText w:val="•"/>
      <w:lvlJc w:val="left"/>
      <w:pPr>
        <w:tabs>
          <w:tab w:val="num" w:pos="720"/>
        </w:tabs>
        <w:ind w:left="720" w:hanging="360"/>
      </w:pPr>
      <w:rPr>
        <w:rFonts w:ascii="Arial" w:hAnsi="Arial" w:hint="default"/>
      </w:rPr>
    </w:lvl>
    <w:lvl w:ilvl="1" w:tplc="96408BE6" w:tentative="1">
      <w:start w:val="1"/>
      <w:numFmt w:val="bullet"/>
      <w:lvlText w:val="•"/>
      <w:lvlJc w:val="left"/>
      <w:pPr>
        <w:tabs>
          <w:tab w:val="num" w:pos="1440"/>
        </w:tabs>
        <w:ind w:left="1440" w:hanging="360"/>
      </w:pPr>
      <w:rPr>
        <w:rFonts w:ascii="Arial" w:hAnsi="Arial" w:hint="default"/>
      </w:rPr>
    </w:lvl>
    <w:lvl w:ilvl="2" w:tplc="57CEDD7E" w:tentative="1">
      <w:start w:val="1"/>
      <w:numFmt w:val="bullet"/>
      <w:lvlText w:val="•"/>
      <w:lvlJc w:val="left"/>
      <w:pPr>
        <w:tabs>
          <w:tab w:val="num" w:pos="2160"/>
        </w:tabs>
        <w:ind w:left="2160" w:hanging="360"/>
      </w:pPr>
      <w:rPr>
        <w:rFonts w:ascii="Arial" w:hAnsi="Arial" w:hint="default"/>
      </w:rPr>
    </w:lvl>
    <w:lvl w:ilvl="3" w:tplc="BA502102" w:tentative="1">
      <w:start w:val="1"/>
      <w:numFmt w:val="bullet"/>
      <w:lvlText w:val="•"/>
      <w:lvlJc w:val="left"/>
      <w:pPr>
        <w:tabs>
          <w:tab w:val="num" w:pos="2880"/>
        </w:tabs>
        <w:ind w:left="2880" w:hanging="360"/>
      </w:pPr>
      <w:rPr>
        <w:rFonts w:ascii="Arial" w:hAnsi="Arial" w:hint="default"/>
      </w:rPr>
    </w:lvl>
    <w:lvl w:ilvl="4" w:tplc="9AE23C28" w:tentative="1">
      <w:start w:val="1"/>
      <w:numFmt w:val="bullet"/>
      <w:lvlText w:val="•"/>
      <w:lvlJc w:val="left"/>
      <w:pPr>
        <w:tabs>
          <w:tab w:val="num" w:pos="3600"/>
        </w:tabs>
        <w:ind w:left="3600" w:hanging="360"/>
      </w:pPr>
      <w:rPr>
        <w:rFonts w:ascii="Arial" w:hAnsi="Arial" w:hint="default"/>
      </w:rPr>
    </w:lvl>
    <w:lvl w:ilvl="5" w:tplc="1F80C9B8" w:tentative="1">
      <w:start w:val="1"/>
      <w:numFmt w:val="bullet"/>
      <w:lvlText w:val="•"/>
      <w:lvlJc w:val="left"/>
      <w:pPr>
        <w:tabs>
          <w:tab w:val="num" w:pos="4320"/>
        </w:tabs>
        <w:ind w:left="4320" w:hanging="360"/>
      </w:pPr>
      <w:rPr>
        <w:rFonts w:ascii="Arial" w:hAnsi="Arial" w:hint="default"/>
      </w:rPr>
    </w:lvl>
    <w:lvl w:ilvl="6" w:tplc="32A8D426" w:tentative="1">
      <w:start w:val="1"/>
      <w:numFmt w:val="bullet"/>
      <w:lvlText w:val="•"/>
      <w:lvlJc w:val="left"/>
      <w:pPr>
        <w:tabs>
          <w:tab w:val="num" w:pos="5040"/>
        </w:tabs>
        <w:ind w:left="5040" w:hanging="360"/>
      </w:pPr>
      <w:rPr>
        <w:rFonts w:ascii="Arial" w:hAnsi="Arial" w:hint="default"/>
      </w:rPr>
    </w:lvl>
    <w:lvl w:ilvl="7" w:tplc="2BF0FC3A" w:tentative="1">
      <w:start w:val="1"/>
      <w:numFmt w:val="bullet"/>
      <w:lvlText w:val="•"/>
      <w:lvlJc w:val="left"/>
      <w:pPr>
        <w:tabs>
          <w:tab w:val="num" w:pos="5760"/>
        </w:tabs>
        <w:ind w:left="5760" w:hanging="360"/>
      </w:pPr>
      <w:rPr>
        <w:rFonts w:ascii="Arial" w:hAnsi="Arial" w:hint="default"/>
      </w:rPr>
    </w:lvl>
    <w:lvl w:ilvl="8" w:tplc="F1E2188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BB80508"/>
    <w:multiLevelType w:val="hybridMultilevel"/>
    <w:tmpl w:val="8336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837F7A"/>
    <w:multiLevelType w:val="hybridMultilevel"/>
    <w:tmpl w:val="6A5CBDDA"/>
    <w:lvl w:ilvl="0" w:tplc="CFA6C946">
      <w:start w:val="1"/>
      <w:numFmt w:val="bullet"/>
      <w:lvlText w:val="•"/>
      <w:lvlJc w:val="left"/>
      <w:pPr>
        <w:tabs>
          <w:tab w:val="num" w:pos="720"/>
        </w:tabs>
        <w:ind w:left="720" w:hanging="360"/>
      </w:pPr>
      <w:rPr>
        <w:rFonts w:ascii="Arial" w:hAnsi="Arial" w:hint="default"/>
      </w:rPr>
    </w:lvl>
    <w:lvl w:ilvl="1" w:tplc="27D8D23E" w:tentative="1">
      <w:start w:val="1"/>
      <w:numFmt w:val="bullet"/>
      <w:lvlText w:val="•"/>
      <w:lvlJc w:val="left"/>
      <w:pPr>
        <w:tabs>
          <w:tab w:val="num" w:pos="1440"/>
        </w:tabs>
        <w:ind w:left="1440" w:hanging="360"/>
      </w:pPr>
      <w:rPr>
        <w:rFonts w:ascii="Arial" w:hAnsi="Arial" w:hint="default"/>
      </w:rPr>
    </w:lvl>
    <w:lvl w:ilvl="2" w:tplc="3128226E" w:tentative="1">
      <w:start w:val="1"/>
      <w:numFmt w:val="bullet"/>
      <w:lvlText w:val="•"/>
      <w:lvlJc w:val="left"/>
      <w:pPr>
        <w:tabs>
          <w:tab w:val="num" w:pos="2160"/>
        </w:tabs>
        <w:ind w:left="2160" w:hanging="360"/>
      </w:pPr>
      <w:rPr>
        <w:rFonts w:ascii="Arial" w:hAnsi="Arial" w:hint="default"/>
      </w:rPr>
    </w:lvl>
    <w:lvl w:ilvl="3" w:tplc="487ACEBA" w:tentative="1">
      <w:start w:val="1"/>
      <w:numFmt w:val="bullet"/>
      <w:lvlText w:val="•"/>
      <w:lvlJc w:val="left"/>
      <w:pPr>
        <w:tabs>
          <w:tab w:val="num" w:pos="2880"/>
        </w:tabs>
        <w:ind w:left="2880" w:hanging="360"/>
      </w:pPr>
      <w:rPr>
        <w:rFonts w:ascii="Arial" w:hAnsi="Arial" w:hint="default"/>
      </w:rPr>
    </w:lvl>
    <w:lvl w:ilvl="4" w:tplc="4872B5F2" w:tentative="1">
      <w:start w:val="1"/>
      <w:numFmt w:val="bullet"/>
      <w:lvlText w:val="•"/>
      <w:lvlJc w:val="left"/>
      <w:pPr>
        <w:tabs>
          <w:tab w:val="num" w:pos="3600"/>
        </w:tabs>
        <w:ind w:left="3600" w:hanging="360"/>
      </w:pPr>
      <w:rPr>
        <w:rFonts w:ascii="Arial" w:hAnsi="Arial" w:hint="default"/>
      </w:rPr>
    </w:lvl>
    <w:lvl w:ilvl="5" w:tplc="9EAC9ACE" w:tentative="1">
      <w:start w:val="1"/>
      <w:numFmt w:val="bullet"/>
      <w:lvlText w:val="•"/>
      <w:lvlJc w:val="left"/>
      <w:pPr>
        <w:tabs>
          <w:tab w:val="num" w:pos="4320"/>
        </w:tabs>
        <w:ind w:left="4320" w:hanging="360"/>
      </w:pPr>
      <w:rPr>
        <w:rFonts w:ascii="Arial" w:hAnsi="Arial" w:hint="default"/>
      </w:rPr>
    </w:lvl>
    <w:lvl w:ilvl="6" w:tplc="3ADEADEA" w:tentative="1">
      <w:start w:val="1"/>
      <w:numFmt w:val="bullet"/>
      <w:lvlText w:val="•"/>
      <w:lvlJc w:val="left"/>
      <w:pPr>
        <w:tabs>
          <w:tab w:val="num" w:pos="5040"/>
        </w:tabs>
        <w:ind w:left="5040" w:hanging="360"/>
      </w:pPr>
      <w:rPr>
        <w:rFonts w:ascii="Arial" w:hAnsi="Arial" w:hint="default"/>
      </w:rPr>
    </w:lvl>
    <w:lvl w:ilvl="7" w:tplc="70BA0E7C" w:tentative="1">
      <w:start w:val="1"/>
      <w:numFmt w:val="bullet"/>
      <w:lvlText w:val="•"/>
      <w:lvlJc w:val="left"/>
      <w:pPr>
        <w:tabs>
          <w:tab w:val="num" w:pos="5760"/>
        </w:tabs>
        <w:ind w:left="5760" w:hanging="360"/>
      </w:pPr>
      <w:rPr>
        <w:rFonts w:ascii="Arial" w:hAnsi="Arial" w:hint="default"/>
      </w:rPr>
    </w:lvl>
    <w:lvl w:ilvl="8" w:tplc="32065AC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C841A64"/>
    <w:multiLevelType w:val="hybridMultilevel"/>
    <w:tmpl w:val="364C49C0"/>
    <w:lvl w:ilvl="0" w:tplc="D966C14C">
      <w:start w:val="1"/>
      <w:numFmt w:val="bullet"/>
      <w:lvlText w:val="•"/>
      <w:lvlJc w:val="left"/>
      <w:pPr>
        <w:tabs>
          <w:tab w:val="num" w:pos="720"/>
        </w:tabs>
        <w:ind w:left="720" w:hanging="360"/>
      </w:pPr>
      <w:rPr>
        <w:rFonts w:ascii="Arial" w:hAnsi="Arial" w:hint="default"/>
      </w:rPr>
    </w:lvl>
    <w:lvl w:ilvl="1" w:tplc="01A4585E" w:tentative="1">
      <w:start w:val="1"/>
      <w:numFmt w:val="bullet"/>
      <w:lvlText w:val="•"/>
      <w:lvlJc w:val="left"/>
      <w:pPr>
        <w:tabs>
          <w:tab w:val="num" w:pos="1440"/>
        </w:tabs>
        <w:ind w:left="1440" w:hanging="360"/>
      </w:pPr>
      <w:rPr>
        <w:rFonts w:ascii="Arial" w:hAnsi="Arial" w:hint="default"/>
      </w:rPr>
    </w:lvl>
    <w:lvl w:ilvl="2" w:tplc="689CB25E" w:tentative="1">
      <w:start w:val="1"/>
      <w:numFmt w:val="bullet"/>
      <w:lvlText w:val="•"/>
      <w:lvlJc w:val="left"/>
      <w:pPr>
        <w:tabs>
          <w:tab w:val="num" w:pos="2160"/>
        </w:tabs>
        <w:ind w:left="2160" w:hanging="360"/>
      </w:pPr>
      <w:rPr>
        <w:rFonts w:ascii="Arial" w:hAnsi="Arial" w:hint="default"/>
      </w:rPr>
    </w:lvl>
    <w:lvl w:ilvl="3" w:tplc="2F682138" w:tentative="1">
      <w:start w:val="1"/>
      <w:numFmt w:val="bullet"/>
      <w:lvlText w:val="•"/>
      <w:lvlJc w:val="left"/>
      <w:pPr>
        <w:tabs>
          <w:tab w:val="num" w:pos="2880"/>
        </w:tabs>
        <w:ind w:left="2880" w:hanging="360"/>
      </w:pPr>
      <w:rPr>
        <w:rFonts w:ascii="Arial" w:hAnsi="Arial" w:hint="default"/>
      </w:rPr>
    </w:lvl>
    <w:lvl w:ilvl="4" w:tplc="AE929D06" w:tentative="1">
      <w:start w:val="1"/>
      <w:numFmt w:val="bullet"/>
      <w:lvlText w:val="•"/>
      <w:lvlJc w:val="left"/>
      <w:pPr>
        <w:tabs>
          <w:tab w:val="num" w:pos="3600"/>
        </w:tabs>
        <w:ind w:left="3600" w:hanging="360"/>
      </w:pPr>
      <w:rPr>
        <w:rFonts w:ascii="Arial" w:hAnsi="Arial" w:hint="default"/>
      </w:rPr>
    </w:lvl>
    <w:lvl w:ilvl="5" w:tplc="8E5A9B0A" w:tentative="1">
      <w:start w:val="1"/>
      <w:numFmt w:val="bullet"/>
      <w:lvlText w:val="•"/>
      <w:lvlJc w:val="left"/>
      <w:pPr>
        <w:tabs>
          <w:tab w:val="num" w:pos="4320"/>
        </w:tabs>
        <w:ind w:left="4320" w:hanging="360"/>
      </w:pPr>
      <w:rPr>
        <w:rFonts w:ascii="Arial" w:hAnsi="Arial" w:hint="default"/>
      </w:rPr>
    </w:lvl>
    <w:lvl w:ilvl="6" w:tplc="594071AA" w:tentative="1">
      <w:start w:val="1"/>
      <w:numFmt w:val="bullet"/>
      <w:lvlText w:val="•"/>
      <w:lvlJc w:val="left"/>
      <w:pPr>
        <w:tabs>
          <w:tab w:val="num" w:pos="5040"/>
        </w:tabs>
        <w:ind w:left="5040" w:hanging="360"/>
      </w:pPr>
      <w:rPr>
        <w:rFonts w:ascii="Arial" w:hAnsi="Arial" w:hint="default"/>
      </w:rPr>
    </w:lvl>
    <w:lvl w:ilvl="7" w:tplc="0A72FBF0" w:tentative="1">
      <w:start w:val="1"/>
      <w:numFmt w:val="bullet"/>
      <w:lvlText w:val="•"/>
      <w:lvlJc w:val="left"/>
      <w:pPr>
        <w:tabs>
          <w:tab w:val="num" w:pos="5760"/>
        </w:tabs>
        <w:ind w:left="5760" w:hanging="360"/>
      </w:pPr>
      <w:rPr>
        <w:rFonts w:ascii="Arial" w:hAnsi="Arial" w:hint="default"/>
      </w:rPr>
    </w:lvl>
    <w:lvl w:ilvl="8" w:tplc="B6BA6E7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E4B6331"/>
    <w:multiLevelType w:val="hybridMultilevel"/>
    <w:tmpl w:val="2C74E3EC"/>
    <w:lvl w:ilvl="0" w:tplc="922059D6">
      <w:start w:val="1"/>
      <w:numFmt w:val="bullet"/>
      <w:lvlText w:val="•"/>
      <w:lvlJc w:val="left"/>
      <w:pPr>
        <w:tabs>
          <w:tab w:val="num" w:pos="720"/>
        </w:tabs>
        <w:ind w:left="720" w:hanging="360"/>
      </w:pPr>
      <w:rPr>
        <w:rFonts w:ascii="Arial" w:hAnsi="Arial" w:hint="default"/>
      </w:rPr>
    </w:lvl>
    <w:lvl w:ilvl="1" w:tplc="D9D67BF0" w:tentative="1">
      <w:start w:val="1"/>
      <w:numFmt w:val="bullet"/>
      <w:lvlText w:val="•"/>
      <w:lvlJc w:val="left"/>
      <w:pPr>
        <w:tabs>
          <w:tab w:val="num" w:pos="1440"/>
        </w:tabs>
        <w:ind w:left="1440" w:hanging="360"/>
      </w:pPr>
      <w:rPr>
        <w:rFonts w:ascii="Arial" w:hAnsi="Arial" w:hint="default"/>
      </w:rPr>
    </w:lvl>
    <w:lvl w:ilvl="2" w:tplc="1612200C" w:tentative="1">
      <w:start w:val="1"/>
      <w:numFmt w:val="bullet"/>
      <w:lvlText w:val="•"/>
      <w:lvlJc w:val="left"/>
      <w:pPr>
        <w:tabs>
          <w:tab w:val="num" w:pos="2160"/>
        </w:tabs>
        <w:ind w:left="2160" w:hanging="360"/>
      </w:pPr>
      <w:rPr>
        <w:rFonts w:ascii="Arial" w:hAnsi="Arial" w:hint="default"/>
      </w:rPr>
    </w:lvl>
    <w:lvl w:ilvl="3" w:tplc="D1426C74" w:tentative="1">
      <w:start w:val="1"/>
      <w:numFmt w:val="bullet"/>
      <w:lvlText w:val="•"/>
      <w:lvlJc w:val="left"/>
      <w:pPr>
        <w:tabs>
          <w:tab w:val="num" w:pos="2880"/>
        </w:tabs>
        <w:ind w:left="2880" w:hanging="360"/>
      </w:pPr>
      <w:rPr>
        <w:rFonts w:ascii="Arial" w:hAnsi="Arial" w:hint="default"/>
      </w:rPr>
    </w:lvl>
    <w:lvl w:ilvl="4" w:tplc="2A320C70" w:tentative="1">
      <w:start w:val="1"/>
      <w:numFmt w:val="bullet"/>
      <w:lvlText w:val="•"/>
      <w:lvlJc w:val="left"/>
      <w:pPr>
        <w:tabs>
          <w:tab w:val="num" w:pos="3600"/>
        </w:tabs>
        <w:ind w:left="3600" w:hanging="360"/>
      </w:pPr>
      <w:rPr>
        <w:rFonts w:ascii="Arial" w:hAnsi="Arial" w:hint="default"/>
      </w:rPr>
    </w:lvl>
    <w:lvl w:ilvl="5" w:tplc="A4B432C2" w:tentative="1">
      <w:start w:val="1"/>
      <w:numFmt w:val="bullet"/>
      <w:lvlText w:val="•"/>
      <w:lvlJc w:val="left"/>
      <w:pPr>
        <w:tabs>
          <w:tab w:val="num" w:pos="4320"/>
        </w:tabs>
        <w:ind w:left="4320" w:hanging="360"/>
      </w:pPr>
      <w:rPr>
        <w:rFonts w:ascii="Arial" w:hAnsi="Arial" w:hint="default"/>
      </w:rPr>
    </w:lvl>
    <w:lvl w:ilvl="6" w:tplc="967ED398" w:tentative="1">
      <w:start w:val="1"/>
      <w:numFmt w:val="bullet"/>
      <w:lvlText w:val="•"/>
      <w:lvlJc w:val="left"/>
      <w:pPr>
        <w:tabs>
          <w:tab w:val="num" w:pos="5040"/>
        </w:tabs>
        <w:ind w:left="5040" w:hanging="360"/>
      </w:pPr>
      <w:rPr>
        <w:rFonts w:ascii="Arial" w:hAnsi="Arial" w:hint="default"/>
      </w:rPr>
    </w:lvl>
    <w:lvl w:ilvl="7" w:tplc="1D106A9E" w:tentative="1">
      <w:start w:val="1"/>
      <w:numFmt w:val="bullet"/>
      <w:lvlText w:val="•"/>
      <w:lvlJc w:val="left"/>
      <w:pPr>
        <w:tabs>
          <w:tab w:val="num" w:pos="5760"/>
        </w:tabs>
        <w:ind w:left="5760" w:hanging="360"/>
      </w:pPr>
      <w:rPr>
        <w:rFonts w:ascii="Arial" w:hAnsi="Arial" w:hint="default"/>
      </w:rPr>
    </w:lvl>
    <w:lvl w:ilvl="8" w:tplc="C83E83A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4E711A00"/>
    <w:multiLevelType w:val="hybridMultilevel"/>
    <w:tmpl w:val="390C016C"/>
    <w:lvl w:ilvl="0" w:tplc="F4B41ED6">
      <w:start w:val="1"/>
      <w:numFmt w:val="bullet"/>
      <w:lvlText w:val="•"/>
      <w:lvlJc w:val="left"/>
      <w:pPr>
        <w:tabs>
          <w:tab w:val="num" w:pos="720"/>
        </w:tabs>
        <w:ind w:left="720" w:hanging="360"/>
      </w:pPr>
      <w:rPr>
        <w:rFonts w:ascii="Arial" w:hAnsi="Arial" w:hint="default"/>
      </w:rPr>
    </w:lvl>
    <w:lvl w:ilvl="1" w:tplc="58201CE2" w:tentative="1">
      <w:start w:val="1"/>
      <w:numFmt w:val="bullet"/>
      <w:lvlText w:val="•"/>
      <w:lvlJc w:val="left"/>
      <w:pPr>
        <w:tabs>
          <w:tab w:val="num" w:pos="1440"/>
        </w:tabs>
        <w:ind w:left="1440" w:hanging="360"/>
      </w:pPr>
      <w:rPr>
        <w:rFonts w:ascii="Arial" w:hAnsi="Arial" w:hint="default"/>
      </w:rPr>
    </w:lvl>
    <w:lvl w:ilvl="2" w:tplc="5242FF22" w:tentative="1">
      <w:start w:val="1"/>
      <w:numFmt w:val="bullet"/>
      <w:lvlText w:val="•"/>
      <w:lvlJc w:val="left"/>
      <w:pPr>
        <w:tabs>
          <w:tab w:val="num" w:pos="2160"/>
        </w:tabs>
        <w:ind w:left="2160" w:hanging="360"/>
      </w:pPr>
      <w:rPr>
        <w:rFonts w:ascii="Arial" w:hAnsi="Arial" w:hint="default"/>
      </w:rPr>
    </w:lvl>
    <w:lvl w:ilvl="3" w:tplc="62EA1F88" w:tentative="1">
      <w:start w:val="1"/>
      <w:numFmt w:val="bullet"/>
      <w:lvlText w:val="•"/>
      <w:lvlJc w:val="left"/>
      <w:pPr>
        <w:tabs>
          <w:tab w:val="num" w:pos="2880"/>
        </w:tabs>
        <w:ind w:left="2880" w:hanging="360"/>
      </w:pPr>
      <w:rPr>
        <w:rFonts w:ascii="Arial" w:hAnsi="Arial" w:hint="default"/>
      </w:rPr>
    </w:lvl>
    <w:lvl w:ilvl="4" w:tplc="06ECE15E" w:tentative="1">
      <w:start w:val="1"/>
      <w:numFmt w:val="bullet"/>
      <w:lvlText w:val="•"/>
      <w:lvlJc w:val="left"/>
      <w:pPr>
        <w:tabs>
          <w:tab w:val="num" w:pos="3600"/>
        </w:tabs>
        <w:ind w:left="3600" w:hanging="360"/>
      </w:pPr>
      <w:rPr>
        <w:rFonts w:ascii="Arial" w:hAnsi="Arial" w:hint="default"/>
      </w:rPr>
    </w:lvl>
    <w:lvl w:ilvl="5" w:tplc="8F202D0C" w:tentative="1">
      <w:start w:val="1"/>
      <w:numFmt w:val="bullet"/>
      <w:lvlText w:val="•"/>
      <w:lvlJc w:val="left"/>
      <w:pPr>
        <w:tabs>
          <w:tab w:val="num" w:pos="4320"/>
        </w:tabs>
        <w:ind w:left="4320" w:hanging="360"/>
      </w:pPr>
      <w:rPr>
        <w:rFonts w:ascii="Arial" w:hAnsi="Arial" w:hint="default"/>
      </w:rPr>
    </w:lvl>
    <w:lvl w:ilvl="6" w:tplc="86D05792" w:tentative="1">
      <w:start w:val="1"/>
      <w:numFmt w:val="bullet"/>
      <w:lvlText w:val="•"/>
      <w:lvlJc w:val="left"/>
      <w:pPr>
        <w:tabs>
          <w:tab w:val="num" w:pos="5040"/>
        </w:tabs>
        <w:ind w:left="5040" w:hanging="360"/>
      </w:pPr>
      <w:rPr>
        <w:rFonts w:ascii="Arial" w:hAnsi="Arial" w:hint="default"/>
      </w:rPr>
    </w:lvl>
    <w:lvl w:ilvl="7" w:tplc="046615CC" w:tentative="1">
      <w:start w:val="1"/>
      <w:numFmt w:val="bullet"/>
      <w:lvlText w:val="•"/>
      <w:lvlJc w:val="left"/>
      <w:pPr>
        <w:tabs>
          <w:tab w:val="num" w:pos="5760"/>
        </w:tabs>
        <w:ind w:left="5760" w:hanging="360"/>
      </w:pPr>
      <w:rPr>
        <w:rFonts w:ascii="Arial" w:hAnsi="Arial" w:hint="default"/>
      </w:rPr>
    </w:lvl>
    <w:lvl w:ilvl="8" w:tplc="78DAAED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092453B"/>
    <w:multiLevelType w:val="hybridMultilevel"/>
    <w:tmpl w:val="3AE0365A"/>
    <w:lvl w:ilvl="0" w:tplc="8B26B6E8">
      <w:start w:val="1"/>
      <w:numFmt w:val="bullet"/>
      <w:lvlText w:val="•"/>
      <w:lvlJc w:val="left"/>
      <w:pPr>
        <w:tabs>
          <w:tab w:val="num" w:pos="720"/>
        </w:tabs>
        <w:ind w:left="720" w:hanging="360"/>
      </w:pPr>
      <w:rPr>
        <w:rFonts w:ascii="Arial" w:hAnsi="Arial" w:hint="default"/>
      </w:rPr>
    </w:lvl>
    <w:lvl w:ilvl="1" w:tplc="59E8A19A" w:tentative="1">
      <w:start w:val="1"/>
      <w:numFmt w:val="bullet"/>
      <w:lvlText w:val="•"/>
      <w:lvlJc w:val="left"/>
      <w:pPr>
        <w:tabs>
          <w:tab w:val="num" w:pos="1440"/>
        </w:tabs>
        <w:ind w:left="1440" w:hanging="360"/>
      </w:pPr>
      <w:rPr>
        <w:rFonts w:ascii="Arial" w:hAnsi="Arial" w:hint="default"/>
      </w:rPr>
    </w:lvl>
    <w:lvl w:ilvl="2" w:tplc="1AB6FFF0" w:tentative="1">
      <w:start w:val="1"/>
      <w:numFmt w:val="bullet"/>
      <w:lvlText w:val="•"/>
      <w:lvlJc w:val="left"/>
      <w:pPr>
        <w:tabs>
          <w:tab w:val="num" w:pos="2160"/>
        </w:tabs>
        <w:ind w:left="2160" w:hanging="360"/>
      </w:pPr>
      <w:rPr>
        <w:rFonts w:ascii="Arial" w:hAnsi="Arial" w:hint="default"/>
      </w:rPr>
    </w:lvl>
    <w:lvl w:ilvl="3" w:tplc="45B0F6C8" w:tentative="1">
      <w:start w:val="1"/>
      <w:numFmt w:val="bullet"/>
      <w:lvlText w:val="•"/>
      <w:lvlJc w:val="left"/>
      <w:pPr>
        <w:tabs>
          <w:tab w:val="num" w:pos="2880"/>
        </w:tabs>
        <w:ind w:left="2880" w:hanging="360"/>
      </w:pPr>
      <w:rPr>
        <w:rFonts w:ascii="Arial" w:hAnsi="Arial" w:hint="default"/>
      </w:rPr>
    </w:lvl>
    <w:lvl w:ilvl="4" w:tplc="DC5A2BCE" w:tentative="1">
      <w:start w:val="1"/>
      <w:numFmt w:val="bullet"/>
      <w:lvlText w:val="•"/>
      <w:lvlJc w:val="left"/>
      <w:pPr>
        <w:tabs>
          <w:tab w:val="num" w:pos="3600"/>
        </w:tabs>
        <w:ind w:left="3600" w:hanging="360"/>
      </w:pPr>
      <w:rPr>
        <w:rFonts w:ascii="Arial" w:hAnsi="Arial" w:hint="default"/>
      </w:rPr>
    </w:lvl>
    <w:lvl w:ilvl="5" w:tplc="F718058E" w:tentative="1">
      <w:start w:val="1"/>
      <w:numFmt w:val="bullet"/>
      <w:lvlText w:val="•"/>
      <w:lvlJc w:val="left"/>
      <w:pPr>
        <w:tabs>
          <w:tab w:val="num" w:pos="4320"/>
        </w:tabs>
        <w:ind w:left="4320" w:hanging="360"/>
      </w:pPr>
      <w:rPr>
        <w:rFonts w:ascii="Arial" w:hAnsi="Arial" w:hint="default"/>
      </w:rPr>
    </w:lvl>
    <w:lvl w:ilvl="6" w:tplc="825C9A5A" w:tentative="1">
      <w:start w:val="1"/>
      <w:numFmt w:val="bullet"/>
      <w:lvlText w:val="•"/>
      <w:lvlJc w:val="left"/>
      <w:pPr>
        <w:tabs>
          <w:tab w:val="num" w:pos="5040"/>
        </w:tabs>
        <w:ind w:left="5040" w:hanging="360"/>
      </w:pPr>
      <w:rPr>
        <w:rFonts w:ascii="Arial" w:hAnsi="Arial" w:hint="default"/>
      </w:rPr>
    </w:lvl>
    <w:lvl w:ilvl="7" w:tplc="DA9E6C44" w:tentative="1">
      <w:start w:val="1"/>
      <w:numFmt w:val="bullet"/>
      <w:lvlText w:val="•"/>
      <w:lvlJc w:val="left"/>
      <w:pPr>
        <w:tabs>
          <w:tab w:val="num" w:pos="5760"/>
        </w:tabs>
        <w:ind w:left="5760" w:hanging="360"/>
      </w:pPr>
      <w:rPr>
        <w:rFonts w:ascii="Arial" w:hAnsi="Arial" w:hint="default"/>
      </w:rPr>
    </w:lvl>
    <w:lvl w:ilvl="8" w:tplc="D4FE9D3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0EC32FF"/>
    <w:multiLevelType w:val="hybridMultilevel"/>
    <w:tmpl w:val="40461952"/>
    <w:lvl w:ilvl="0" w:tplc="A81A69D6">
      <w:start w:val="1"/>
      <w:numFmt w:val="bullet"/>
      <w:lvlText w:val="•"/>
      <w:lvlJc w:val="left"/>
      <w:pPr>
        <w:tabs>
          <w:tab w:val="num" w:pos="720"/>
        </w:tabs>
        <w:ind w:left="720" w:hanging="360"/>
      </w:pPr>
      <w:rPr>
        <w:rFonts w:ascii="Arial" w:hAnsi="Arial" w:hint="default"/>
      </w:rPr>
    </w:lvl>
    <w:lvl w:ilvl="1" w:tplc="D144D622" w:tentative="1">
      <w:start w:val="1"/>
      <w:numFmt w:val="bullet"/>
      <w:lvlText w:val="•"/>
      <w:lvlJc w:val="left"/>
      <w:pPr>
        <w:tabs>
          <w:tab w:val="num" w:pos="1440"/>
        </w:tabs>
        <w:ind w:left="1440" w:hanging="360"/>
      </w:pPr>
      <w:rPr>
        <w:rFonts w:ascii="Arial" w:hAnsi="Arial" w:hint="default"/>
      </w:rPr>
    </w:lvl>
    <w:lvl w:ilvl="2" w:tplc="5830978E" w:tentative="1">
      <w:start w:val="1"/>
      <w:numFmt w:val="bullet"/>
      <w:lvlText w:val="•"/>
      <w:lvlJc w:val="left"/>
      <w:pPr>
        <w:tabs>
          <w:tab w:val="num" w:pos="2160"/>
        </w:tabs>
        <w:ind w:left="2160" w:hanging="360"/>
      </w:pPr>
      <w:rPr>
        <w:rFonts w:ascii="Arial" w:hAnsi="Arial" w:hint="default"/>
      </w:rPr>
    </w:lvl>
    <w:lvl w:ilvl="3" w:tplc="CFEE63A6" w:tentative="1">
      <w:start w:val="1"/>
      <w:numFmt w:val="bullet"/>
      <w:lvlText w:val="•"/>
      <w:lvlJc w:val="left"/>
      <w:pPr>
        <w:tabs>
          <w:tab w:val="num" w:pos="2880"/>
        </w:tabs>
        <w:ind w:left="2880" w:hanging="360"/>
      </w:pPr>
      <w:rPr>
        <w:rFonts w:ascii="Arial" w:hAnsi="Arial" w:hint="default"/>
      </w:rPr>
    </w:lvl>
    <w:lvl w:ilvl="4" w:tplc="5F78F50A" w:tentative="1">
      <w:start w:val="1"/>
      <w:numFmt w:val="bullet"/>
      <w:lvlText w:val="•"/>
      <w:lvlJc w:val="left"/>
      <w:pPr>
        <w:tabs>
          <w:tab w:val="num" w:pos="3600"/>
        </w:tabs>
        <w:ind w:left="3600" w:hanging="360"/>
      </w:pPr>
      <w:rPr>
        <w:rFonts w:ascii="Arial" w:hAnsi="Arial" w:hint="default"/>
      </w:rPr>
    </w:lvl>
    <w:lvl w:ilvl="5" w:tplc="11B0D7B2" w:tentative="1">
      <w:start w:val="1"/>
      <w:numFmt w:val="bullet"/>
      <w:lvlText w:val="•"/>
      <w:lvlJc w:val="left"/>
      <w:pPr>
        <w:tabs>
          <w:tab w:val="num" w:pos="4320"/>
        </w:tabs>
        <w:ind w:left="4320" w:hanging="360"/>
      </w:pPr>
      <w:rPr>
        <w:rFonts w:ascii="Arial" w:hAnsi="Arial" w:hint="default"/>
      </w:rPr>
    </w:lvl>
    <w:lvl w:ilvl="6" w:tplc="82F67A56" w:tentative="1">
      <w:start w:val="1"/>
      <w:numFmt w:val="bullet"/>
      <w:lvlText w:val="•"/>
      <w:lvlJc w:val="left"/>
      <w:pPr>
        <w:tabs>
          <w:tab w:val="num" w:pos="5040"/>
        </w:tabs>
        <w:ind w:left="5040" w:hanging="360"/>
      </w:pPr>
      <w:rPr>
        <w:rFonts w:ascii="Arial" w:hAnsi="Arial" w:hint="default"/>
      </w:rPr>
    </w:lvl>
    <w:lvl w:ilvl="7" w:tplc="CA14EB08" w:tentative="1">
      <w:start w:val="1"/>
      <w:numFmt w:val="bullet"/>
      <w:lvlText w:val="•"/>
      <w:lvlJc w:val="left"/>
      <w:pPr>
        <w:tabs>
          <w:tab w:val="num" w:pos="5760"/>
        </w:tabs>
        <w:ind w:left="5760" w:hanging="360"/>
      </w:pPr>
      <w:rPr>
        <w:rFonts w:ascii="Arial" w:hAnsi="Arial" w:hint="default"/>
      </w:rPr>
    </w:lvl>
    <w:lvl w:ilvl="8" w:tplc="0FDCA5D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0F340DC"/>
    <w:multiLevelType w:val="hybridMultilevel"/>
    <w:tmpl w:val="0D5E1242"/>
    <w:lvl w:ilvl="0" w:tplc="AB4E4246">
      <w:start w:val="1"/>
      <w:numFmt w:val="bullet"/>
      <w:lvlText w:val="•"/>
      <w:lvlJc w:val="left"/>
      <w:pPr>
        <w:tabs>
          <w:tab w:val="num" w:pos="720"/>
        </w:tabs>
        <w:ind w:left="720" w:hanging="360"/>
      </w:pPr>
      <w:rPr>
        <w:rFonts w:ascii="Arial" w:hAnsi="Arial" w:hint="default"/>
      </w:rPr>
    </w:lvl>
    <w:lvl w:ilvl="1" w:tplc="F64C6CBA" w:tentative="1">
      <w:start w:val="1"/>
      <w:numFmt w:val="bullet"/>
      <w:lvlText w:val="•"/>
      <w:lvlJc w:val="left"/>
      <w:pPr>
        <w:tabs>
          <w:tab w:val="num" w:pos="1440"/>
        </w:tabs>
        <w:ind w:left="1440" w:hanging="360"/>
      </w:pPr>
      <w:rPr>
        <w:rFonts w:ascii="Arial" w:hAnsi="Arial" w:hint="default"/>
      </w:rPr>
    </w:lvl>
    <w:lvl w:ilvl="2" w:tplc="A2FE8FB4" w:tentative="1">
      <w:start w:val="1"/>
      <w:numFmt w:val="bullet"/>
      <w:lvlText w:val="•"/>
      <w:lvlJc w:val="left"/>
      <w:pPr>
        <w:tabs>
          <w:tab w:val="num" w:pos="2160"/>
        </w:tabs>
        <w:ind w:left="2160" w:hanging="360"/>
      </w:pPr>
      <w:rPr>
        <w:rFonts w:ascii="Arial" w:hAnsi="Arial" w:hint="default"/>
      </w:rPr>
    </w:lvl>
    <w:lvl w:ilvl="3" w:tplc="59F80640" w:tentative="1">
      <w:start w:val="1"/>
      <w:numFmt w:val="bullet"/>
      <w:lvlText w:val="•"/>
      <w:lvlJc w:val="left"/>
      <w:pPr>
        <w:tabs>
          <w:tab w:val="num" w:pos="2880"/>
        </w:tabs>
        <w:ind w:left="2880" w:hanging="360"/>
      </w:pPr>
      <w:rPr>
        <w:rFonts w:ascii="Arial" w:hAnsi="Arial" w:hint="default"/>
      </w:rPr>
    </w:lvl>
    <w:lvl w:ilvl="4" w:tplc="34A2AD80" w:tentative="1">
      <w:start w:val="1"/>
      <w:numFmt w:val="bullet"/>
      <w:lvlText w:val="•"/>
      <w:lvlJc w:val="left"/>
      <w:pPr>
        <w:tabs>
          <w:tab w:val="num" w:pos="3600"/>
        </w:tabs>
        <w:ind w:left="3600" w:hanging="360"/>
      </w:pPr>
      <w:rPr>
        <w:rFonts w:ascii="Arial" w:hAnsi="Arial" w:hint="default"/>
      </w:rPr>
    </w:lvl>
    <w:lvl w:ilvl="5" w:tplc="821E60DE" w:tentative="1">
      <w:start w:val="1"/>
      <w:numFmt w:val="bullet"/>
      <w:lvlText w:val="•"/>
      <w:lvlJc w:val="left"/>
      <w:pPr>
        <w:tabs>
          <w:tab w:val="num" w:pos="4320"/>
        </w:tabs>
        <w:ind w:left="4320" w:hanging="360"/>
      </w:pPr>
      <w:rPr>
        <w:rFonts w:ascii="Arial" w:hAnsi="Arial" w:hint="default"/>
      </w:rPr>
    </w:lvl>
    <w:lvl w:ilvl="6" w:tplc="7D129B36" w:tentative="1">
      <w:start w:val="1"/>
      <w:numFmt w:val="bullet"/>
      <w:lvlText w:val="•"/>
      <w:lvlJc w:val="left"/>
      <w:pPr>
        <w:tabs>
          <w:tab w:val="num" w:pos="5040"/>
        </w:tabs>
        <w:ind w:left="5040" w:hanging="360"/>
      </w:pPr>
      <w:rPr>
        <w:rFonts w:ascii="Arial" w:hAnsi="Arial" w:hint="default"/>
      </w:rPr>
    </w:lvl>
    <w:lvl w:ilvl="7" w:tplc="D8F6164E" w:tentative="1">
      <w:start w:val="1"/>
      <w:numFmt w:val="bullet"/>
      <w:lvlText w:val="•"/>
      <w:lvlJc w:val="left"/>
      <w:pPr>
        <w:tabs>
          <w:tab w:val="num" w:pos="5760"/>
        </w:tabs>
        <w:ind w:left="5760" w:hanging="360"/>
      </w:pPr>
      <w:rPr>
        <w:rFonts w:ascii="Arial" w:hAnsi="Arial" w:hint="default"/>
      </w:rPr>
    </w:lvl>
    <w:lvl w:ilvl="8" w:tplc="F4E8179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1062B9D"/>
    <w:multiLevelType w:val="hybridMultilevel"/>
    <w:tmpl w:val="E6504A10"/>
    <w:lvl w:ilvl="0" w:tplc="D250F7CA">
      <w:start w:val="1"/>
      <w:numFmt w:val="bullet"/>
      <w:lvlText w:val="•"/>
      <w:lvlJc w:val="left"/>
      <w:pPr>
        <w:tabs>
          <w:tab w:val="num" w:pos="720"/>
        </w:tabs>
        <w:ind w:left="720" w:hanging="360"/>
      </w:pPr>
      <w:rPr>
        <w:rFonts w:ascii="Arial" w:hAnsi="Arial" w:hint="default"/>
      </w:rPr>
    </w:lvl>
    <w:lvl w:ilvl="1" w:tplc="CA4C7D60" w:tentative="1">
      <w:start w:val="1"/>
      <w:numFmt w:val="bullet"/>
      <w:lvlText w:val="•"/>
      <w:lvlJc w:val="left"/>
      <w:pPr>
        <w:tabs>
          <w:tab w:val="num" w:pos="1440"/>
        </w:tabs>
        <w:ind w:left="1440" w:hanging="360"/>
      </w:pPr>
      <w:rPr>
        <w:rFonts w:ascii="Arial" w:hAnsi="Arial" w:hint="default"/>
      </w:rPr>
    </w:lvl>
    <w:lvl w:ilvl="2" w:tplc="3126D7FE" w:tentative="1">
      <w:start w:val="1"/>
      <w:numFmt w:val="bullet"/>
      <w:lvlText w:val="•"/>
      <w:lvlJc w:val="left"/>
      <w:pPr>
        <w:tabs>
          <w:tab w:val="num" w:pos="2160"/>
        </w:tabs>
        <w:ind w:left="2160" w:hanging="360"/>
      </w:pPr>
      <w:rPr>
        <w:rFonts w:ascii="Arial" w:hAnsi="Arial" w:hint="default"/>
      </w:rPr>
    </w:lvl>
    <w:lvl w:ilvl="3" w:tplc="B8BC96A8" w:tentative="1">
      <w:start w:val="1"/>
      <w:numFmt w:val="bullet"/>
      <w:lvlText w:val="•"/>
      <w:lvlJc w:val="left"/>
      <w:pPr>
        <w:tabs>
          <w:tab w:val="num" w:pos="2880"/>
        </w:tabs>
        <w:ind w:left="2880" w:hanging="360"/>
      </w:pPr>
      <w:rPr>
        <w:rFonts w:ascii="Arial" w:hAnsi="Arial" w:hint="default"/>
      </w:rPr>
    </w:lvl>
    <w:lvl w:ilvl="4" w:tplc="343EAE9E" w:tentative="1">
      <w:start w:val="1"/>
      <w:numFmt w:val="bullet"/>
      <w:lvlText w:val="•"/>
      <w:lvlJc w:val="left"/>
      <w:pPr>
        <w:tabs>
          <w:tab w:val="num" w:pos="3600"/>
        </w:tabs>
        <w:ind w:left="3600" w:hanging="360"/>
      </w:pPr>
      <w:rPr>
        <w:rFonts w:ascii="Arial" w:hAnsi="Arial" w:hint="default"/>
      </w:rPr>
    </w:lvl>
    <w:lvl w:ilvl="5" w:tplc="613CD844" w:tentative="1">
      <w:start w:val="1"/>
      <w:numFmt w:val="bullet"/>
      <w:lvlText w:val="•"/>
      <w:lvlJc w:val="left"/>
      <w:pPr>
        <w:tabs>
          <w:tab w:val="num" w:pos="4320"/>
        </w:tabs>
        <w:ind w:left="4320" w:hanging="360"/>
      </w:pPr>
      <w:rPr>
        <w:rFonts w:ascii="Arial" w:hAnsi="Arial" w:hint="default"/>
      </w:rPr>
    </w:lvl>
    <w:lvl w:ilvl="6" w:tplc="31285744" w:tentative="1">
      <w:start w:val="1"/>
      <w:numFmt w:val="bullet"/>
      <w:lvlText w:val="•"/>
      <w:lvlJc w:val="left"/>
      <w:pPr>
        <w:tabs>
          <w:tab w:val="num" w:pos="5040"/>
        </w:tabs>
        <w:ind w:left="5040" w:hanging="360"/>
      </w:pPr>
      <w:rPr>
        <w:rFonts w:ascii="Arial" w:hAnsi="Arial" w:hint="default"/>
      </w:rPr>
    </w:lvl>
    <w:lvl w:ilvl="7" w:tplc="2F7C00B8" w:tentative="1">
      <w:start w:val="1"/>
      <w:numFmt w:val="bullet"/>
      <w:lvlText w:val="•"/>
      <w:lvlJc w:val="left"/>
      <w:pPr>
        <w:tabs>
          <w:tab w:val="num" w:pos="5760"/>
        </w:tabs>
        <w:ind w:left="5760" w:hanging="360"/>
      </w:pPr>
      <w:rPr>
        <w:rFonts w:ascii="Arial" w:hAnsi="Arial" w:hint="default"/>
      </w:rPr>
    </w:lvl>
    <w:lvl w:ilvl="8" w:tplc="CDF836D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1724E69"/>
    <w:multiLevelType w:val="hybridMultilevel"/>
    <w:tmpl w:val="D3863818"/>
    <w:lvl w:ilvl="0" w:tplc="7A0CA95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285767F"/>
    <w:multiLevelType w:val="hybridMultilevel"/>
    <w:tmpl w:val="86E2F29C"/>
    <w:lvl w:ilvl="0" w:tplc="13E2245E">
      <w:start w:val="1"/>
      <w:numFmt w:val="bullet"/>
      <w:lvlText w:val="•"/>
      <w:lvlJc w:val="left"/>
      <w:pPr>
        <w:tabs>
          <w:tab w:val="num" w:pos="720"/>
        </w:tabs>
        <w:ind w:left="720" w:hanging="360"/>
      </w:pPr>
      <w:rPr>
        <w:rFonts w:ascii="Arial" w:hAnsi="Arial" w:hint="default"/>
      </w:rPr>
    </w:lvl>
    <w:lvl w:ilvl="1" w:tplc="78D86932" w:tentative="1">
      <w:start w:val="1"/>
      <w:numFmt w:val="bullet"/>
      <w:lvlText w:val="•"/>
      <w:lvlJc w:val="left"/>
      <w:pPr>
        <w:tabs>
          <w:tab w:val="num" w:pos="1440"/>
        </w:tabs>
        <w:ind w:left="1440" w:hanging="360"/>
      </w:pPr>
      <w:rPr>
        <w:rFonts w:ascii="Arial" w:hAnsi="Arial" w:hint="default"/>
      </w:rPr>
    </w:lvl>
    <w:lvl w:ilvl="2" w:tplc="FB12A7C2" w:tentative="1">
      <w:start w:val="1"/>
      <w:numFmt w:val="bullet"/>
      <w:lvlText w:val="•"/>
      <w:lvlJc w:val="left"/>
      <w:pPr>
        <w:tabs>
          <w:tab w:val="num" w:pos="2160"/>
        </w:tabs>
        <w:ind w:left="2160" w:hanging="360"/>
      </w:pPr>
      <w:rPr>
        <w:rFonts w:ascii="Arial" w:hAnsi="Arial" w:hint="default"/>
      </w:rPr>
    </w:lvl>
    <w:lvl w:ilvl="3" w:tplc="5C386BFA" w:tentative="1">
      <w:start w:val="1"/>
      <w:numFmt w:val="bullet"/>
      <w:lvlText w:val="•"/>
      <w:lvlJc w:val="left"/>
      <w:pPr>
        <w:tabs>
          <w:tab w:val="num" w:pos="2880"/>
        </w:tabs>
        <w:ind w:left="2880" w:hanging="360"/>
      </w:pPr>
      <w:rPr>
        <w:rFonts w:ascii="Arial" w:hAnsi="Arial" w:hint="default"/>
      </w:rPr>
    </w:lvl>
    <w:lvl w:ilvl="4" w:tplc="F34A2402" w:tentative="1">
      <w:start w:val="1"/>
      <w:numFmt w:val="bullet"/>
      <w:lvlText w:val="•"/>
      <w:lvlJc w:val="left"/>
      <w:pPr>
        <w:tabs>
          <w:tab w:val="num" w:pos="3600"/>
        </w:tabs>
        <w:ind w:left="3600" w:hanging="360"/>
      </w:pPr>
      <w:rPr>
        <w:rFonts w:ascii="Arial" w:hAnsi="Arial" w:hint="default"/>
      </w:rPr>
    </w:lvl>
    <w:lvl w:ilvl="5" w:tplc="BB9027B6" w:tentative="1">
      <w:start w:val="1"/>
      <w:numFmt w:val="bullet"/>
      <w:lvlText w:val="•"/>
      <w:lvlJc w:val="left"/>
      <w:pPr>
        <w:tabs>
          <w:tab w:val="num" w:pos="4320"/>
        </w:tabs>
        <w:ind w:left="4320" w:hanging="360"/>
      </w:pPr>
      <w:rPr>
        <w:rFonts w:ascii="Arial" w:hAnsi="Arial" w:hint="default"/>
      </w:rPr>
    </w:lvl>
    <w:lvl w:ilvl="6" w:tplc="F40E5F28" w:tentative="1">
      <w:start w:val="1"/>
      <w:numFmt w:val="bullet"/>
      <w:lvlText w:val="•"/>
      <w:lvlJc w:val="left"/>
      <w:pPr>
        <w:tabs>
          <w:tab w:val="num" w:pos="5040"/>
        </w:tabs>
        <w:ind w:left="5040" w:hanging="360"/>
      </w:pPr>
      <w:rPr>
        <w:rFonts w:ascii="Arial" w:hAnsi="Arial" w:hint="default"/>
      </w:rPr>
    </w:lvl>
    <w:lvl w:ilvl="7" w:tplc="191000C2" w:tentative="1">
      <w:start w:val="1"/>
      <w:numFmt w:val="bullet"/>
      <w:lvlText w:val="•"/>
      <w:lvlJc w:val="left"/>
      <w:pPr>
        <w:tabs>
          <w:tab w:val="num" w:pos="5760"/>
        </w:tabs>
        <w:ind w:left="5760" w:hanging="360"/>
      </w:pPr>
      <w:rPr>
        <w:rFonts w:ascii="Arial" w:hAnsi="Arial" w:hint="default"/>
      </w:rPr>
    </w:lvl>
    <w:lvl w:ilvl="8" w:tplc="8FDA1E2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63E4A13"/>
    <w:multiLevelType w:val="hybridMultilevel"/>
    <w:tmpl w:val="E3F602AE"/>
    <w:lvl w:ilvl="0" w:tplc="349493C8">
      <w:start w:val="1"/>
      <w:numFmt w:val="decimal"/>
      <w:lvlText w:val="%1."/>
      <w:lvlJc w:val="left"/>
      <w:pPr>
        <w:tabs>
          <w:tab w:val="num" w:pos="720"/>
        </w:tabs>
        <w:ind w:left="720" w:hanging="360"/>
      </w:pPr>
    </w:lvl>
    <w:lvl w:ilvl="1" w:tplc="F7D8A266" w:tentative="1">
      <w:start w:val="1"/>
      <w:numFmt w:val="decimal"/>
      <w:lvlText w:val="%2."/>
      <w:lvlJc w:val="left"/>
      <w:pPr>
        <w:tabs>
          <w:tab w:val="num" w:pos="1440"/>
        </w:tabs>
        <w:ind w:left="1440" w:hanging="360"/>
      </w:pPr>
    </w:lvl>
    <w:lvl w:ilvl="2" w:tplc="C7B2A0BE" w:tentative="1">
      <w:start w:val="1"/>
      <w:numFmt w:val="decimal"/>
      <w:lvlText w:val="%3."/>
      <w:lvlJc w:val="left"/>
      <w:pPr>
        <w:tabs>
          <w:tab w:val="num" w:pos="2160"/>
        </w:tabs>
        <w:ind w:left="2160" w:hanging="360"/>
      </w:pPr>
    </w:lvl>
    <w:lvl w:ilvl="3" w:tplc="3BF47462" w:tentative="1">
      <w:start w:val="1"/>
      <w:numFmt w:val="decimal"/>
      <w:lvlText w:val="%4."/>
      <w:lvlJc w:val="left"/>
      <w:pPr>
        <w:tabs>
          <w:tab w:val="num" w:pos="2880"/>
        </w:tabs>
        <w:ind w:left="2880" w:hanging="360"/>
      </w:pPr>
    </w:lvl>
    <w:lvl w:ilvl="4" w:tplc="706A2096" w:tentative="1">
      <w:start w:val="1"/>
      <w:numFmt w:val="decimal"/>
      <w:lvlText w:val="%5."/>
      <w:lvlJc w:val="left"/>
      <w:pPr>
        <w:tabs>
          <w:tab w:val="num" w:pos="3600"/>
        </w:tabs>
        <w:ind w:left="3600" w:hanging="360"/>
      </w:pPr>
    </w:lvl>
    <w:lvl w:ilvl="5" w:tplc="9B42BF60" w:tentative="1">
      <w:start w:val="1"/>
      <w:numFmt w:val="decimal"/>
      <w:lvlText w:val="%6."/>
      <w:lvlJc w:val="left"/>
      <w:pPr>
        <w:tabs>
          <w:tab w:val="num" w:pos="4320"/>
        </w:tabs>
        <w:ind w:left="4320" w:hanging="360"/>
      </w:pPr>
    </w:lvl>
    <w:lvl w:ilvl="6" w:tplc="4F2822E2" w:tentative="1">
      <w:start w:val="1"/>
      <w:numFmt w:val="decimal"/>
      <w:lvlText w:val="%7."/>
      <w:lvlJc w:val="left"/>
      <w:pPr>
        <w:tabs>
          <w:tab w:val="num" w:pos="5040"/>
        </w:tabs>
        <w:ind w:left="5040" w:hanging="360"/>
      </w:pPr>
    </w:lvl>
    <w:lvl w:ilvl="7" w:tplc="C33081DC" w:tentative="1">
      <w:start w:val="1"/>
      <w:numFmt w:val="decimal"/>
      <w:lvlText w:val="%8."/>
      <w:lvlJc w:val="left"/>
      <w:pPr>
        <w:tabs>
          <w:tab w:val="num" w:pos="5760"/>
        </w:tabs>
        <w:ind w:left="5760" w:hanging="360"/>
      </w:pPr>
    </w:lvl>
    <w:lvl w:ilvl="8" w:tplc="558A0B0A" w:tentative="1">
      <w:start w:val="1"/>
      <w:numFmt w:val="decimal"/>
      <w:lvlText w:val="%9."/>
      <w:lvlJc w:val="left"/>
      <w:pPr>
        <w:tabs>
          <w:tab w:val="num" w:pos="6480"/>
        </w:tabs>
        <w:ind w:left="6480" w:hanging="360"/>
      </w:pPr>
    </w:lvl>
  </w:abstractNum>
  <w:abstractNum w:abstractNumId="73" w15:restartNumberingAfterBreak="0">
    <w:nsid w:val="56D574C6"/>
    <w:multiLevelType w:val="hybridMultilevel"/>
    <w:tmpl w:val="58ECA882"/>
    <w:lvl w:ilvl="0" w:tplc="FB302E50">
      <w:start w:val="1"/>
      <w:numFmt w:val="bullet"/>
      <w:lvlText w:val="•"/>
      <w:lvlJc w:val="left"/>
      <w:pPr>
        <w:tabs>
          <w:tab w:val="num" w:pos="720"/>
        </w:tabs>
        <w:ind w:left="720" w:hanging="360"/>
      </w:pPr>
      <w:rPr>
        <w:rFonts w:ascii="Arial" w:hAnsi="Arial" w:hint="default"/>
      </w:rPr>
    </w:lvl>
    <w:lvl w:ilvl="1" w:tplc="30BE72E4" w:tentative="1">
      <w:start w:val="1"/>
      <w:numFmt w:val="bullet"/>
      <w:lvlText w:val="•"/>
      <w:lvlJc w:val="left"/>
      <w:pPr>
        <w:tabs>
          <w:tab w:val="num" w:pos="1440"/>
        </w:tabs>
        <w:ind w:left="1440" w:hanging="360"/>
      </w:pPr>
      <w:rPr>
        <w:rFonts w:ascii="Arial" w:hAnsi="Arial" w:hint="default"/>
      </w:rPr>
    </w:lvl>
    <w:lvl w:ilvl="2" w:tplc="FD820BBC" w:tentative="1">
      <w:start w:val="1"/>
      <w:numFmt w:val="bullet"/>
      <w:lvlText w:val="•"/>
      <w:lvlJc w:val="left"/>
      <w:pPr>
        <w:tabs>
          <w:tab w:val="num" w:pos="2160"/>
        </w:tabs>
        <w:ind w:left="2160" w:hanging="360"/>
      </w:pPr>
      <w:rPr>
        <w:rFonts w:ascii="Arial" w:hAnsi="Arial" w:hint="default"/>
      </w:rPr>
    </w:lvl>
    <w:lvl w:ilvl="3" w:tplc="722096F4" w:tentative="1">
      <w:start w:val="1"/>
      <w:numFmt w:val="bullet"/>
      <w:lvlText w:val="•"/>
      <w:lvlJc w:val="left"/>
      <w:pPr>
        <w:tabs>
          <w:tab w:val="num" w:pos="2880"/>
        </w:tabs>
        <w:ind w:left="2880" w:hanging="360"/>
      </w:pPr>
      <w:rPr>
        <w:rFonts w:ascii="Arial" w:hAnsi="Arial" w:hint="default"/>
      </w:rPr>
    </w:lvl>
    <w:lvl w:ilvl="4" w:tplc="A746B216" w:tentative="1">
      <w:start w:val="1"/>
      <w:numFmt w:val="bullet"/>
      <w:lvlText w:val="•"/>
      <w:lvlJc w:val="left"/>
      <w:pPr>
        <w:tabs>
          <w:tab w:val="num" w:pos="3600"/>
        </w:tabs>
        <w:ind w:left="3600" w:hanging="360"/>
      </w:pPr>
      <w:rPr>
        <w:rFonts w:ascii="Arial" w:hAnsi="Arial" w:hint="default"/>
      </w:rPr>
    </w:lvl>
    <w:lvl w:ilvl="5" w:tplc="8A78BADE" w:tentative="1">
      <w:start w:val="1"/>
      <w:numFmt w:val="bullet"/>
      <w:lvlText w:val="•"/>
      <w:lvlJc w:val="left"/>
      <w:pPr>
        <w:tabs>
          <w:tab w:val="num" w:pos="4320"/>
        </w:tabs>
        <w:ind w:left="4320" w:hanging="360"/>
      </w:pPr>
      <w:rPr>
        <w:rFonts w:ascii="Arial" w:hAnsi="Arial" w:hint="default"/>
      </w:rPr>
    </w:lvl>
    <w:lvl w:ilvl="6" w:tplc="47B440E0" w:tentative="1">
      <w:start w:val="1"/>
      <w:numFmt w:val="bullet"/>
      <w:lvlText w:val="•"/>
      <w:lvlJc w:val="left"/>
      <w:pPr>
        <w:tabs>
          <w:tab w:val="num" w:pos="5040"/>
        </w:tabs>
        <w:ind w:left="5040" w:hanging="360"/>
      </w:pPr>
      <w:rPr>
        <w:rFonts w:ascii="Arial" w:hAnsi="Arial" w:hint="default"/>
      </w:rPr>
    </w:lvl>
    <w:lvl w:ilvl="7" w:tplc="4DF878AA" w:tentative="1">
      <w:start w:val="1"/>
      <w:numFmt w:val="bullet"/>
      <w:lvlText w:val="•"/>
      <w:lvlJc w:val="left"/>
      <w:pPr>
        <w:tabs>
          <w:tab w:val="num" w:pos="5760"/>
        </w:tabs>
        <w:ind w:left="5760" w:hanging="360"/>
      </w:pPr>
      <w:rPr>
        <w:rFonts w:ascii="Arial" w:hAnsi="Arial" w:hint="default"/>
      </w:rPr>
    </w:lvl>
    <w:lvl w:ilvl="8" w:tplc="A7B07C5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7EC2E4B"/>
    <w:multiLevelType w:val="hybridMultilevel"/>
    <w:tmpl w:val="510A6BE8"/>
    <w:lvl w:ilvl="0" w:tplc="0832D6C4">
      <w:start w:val="1"/>
      <w:numFmt w:val="bullet"/>
      <w:lvlText w:val="•"/>
      <w:lvlJc w:val="left"/>
      <w:pPr>
        <w:tabs>
          <w:tab w:val="num" w:pos="720"/>
        </w:tabs>
        <w:ind w:left="720" w:hanging="360"/>
      </w:pPr>
      <w:rPr>
        <w:rFonts w:ascii="Arial" w:hAnsi="Arial" w:hint="default"/>
      </w:rPr>
    </w:lvl>
    <w:lvl w:ilvl="1" w:tplc="AA365EBA" w:tentative="1">
      <w:start w:val="1"/>
      <w:numFmt w:val="bullet"/>
      <w:lvlText w:val="•"/>
      <w:lvlJc w:val="left"/>
      <w:pPr>
        <w:tabs>
          <w:tab w:val="num" w:pos="1440"/>
        </w:tabs>
        <w:ind w:left="1440" w:hanging="360"/>
      </w:pPr>
      <w:rPr>
        <w:rFonts w:ascii="Arial" w:hAnsi="Arial" w:hint="default"/>
      </w:rPr>
    </w:lvl>
    <w:lvl w:ilvl="2" w:tplc="6AC455A8" w:tentative="1">
      <w:start w:val="1"/>
      <w:numFmt w:val="bullet"/>
      <w:lvlText w:val="•"/>
      <w:lvlJc w:val="left"/>
      <w:pPr>
        <w:tabs>
          <w:tab w:val="num" w:pos="2160"/>
        </w:tabs>
        <w:ind w:left="2160" w:hanging="360"/>
      </w:pPr>
      <w:rPr>
        <w:rFonts w:ascii="Arial" w:hAnsi="Arial" w:hint="default"/>
      </w:rPr>
    </w:lvl>
    <w:lvl w:ilvl="3" w:tplc="8062B93A" w:tentative="1">
      <w:start w:val="1"/>
      <w:numFmt w:val="bullet"/>
      <w:lvlText w:val="•"/>
      <w:lvlJc w:val="left"/>
      <w:pPr>
        <w:tabs>
          <w:tab w:val="num" w:pos="2880"/>
        </w:tabs>
        <w:ind w:left="2880" w:hanging="360"/>
      </w:pPr>
      <w:rPr>
        <w:rFonts w:ascii="Arial" w:hAnsi="Arial" w:hint="default"/>
      </w:rPr>
    </w:lvl>
    <w:lvl w:ilvl="4" w:tplc="8DF0C166" w:tentative="1">
      <w:start w:val="1"/>
      <w:numFmt w:val="bullet"/>
      <w:lvlText w:val="•"/>
      <w:lvlJc w:val="left"/>
      <w:pPr>
        <w:tabs>
          <w:tab w:val="num" w:pos="3600"/>
        </w:tabs>
        <w:ind w:left="3600" w:hanging="360"/>
      </w:pPr>
      <w:rPr>
        <w:rFonts w:ascii="Arial" w:hAnsi="Arial" w:hint="default"/>
      </w:rPr>
    </w:lvl>
    <w:lvl w:ilvl="5" w:tplc="E870D3E6" w:tentative="1">
      <w:start w:val="1"/>
      <w:numFmt w:val="bullet"/>
      <w:lvlText w:val="•"/>
      <w:lvlJc w:val="left"/>
      <w:pPr>
        <w:tabs>
          <w:tab w:val="num" w:pos="4320"/>
        </w:tabs>
        <w:ind w:left="4320" w:hanging="360"/>
      </w:pPr>
      <w:rPr>
        <w:rFonts w:ascii="Arial" w:hAnsi="Arial" w:hint="default"/>
      </w:rPr>
    </w:lvl>
    <w:lvl w:ilvl="6" w:tplc="9D2AEE70" w:tentative="1">
      <w:start w:val="1"/>
      <w:numFmt w:val="bullet"/>
      <w:lvlText w:val="•"/>
      <w:lvlJc w:val="left"/>
      <w:pPr>
        <w:tabs>
          <w:tab w:val="num" w:pos="5040"/>
        </w:tabs>
        <w:ind w:left="5040" w:hanging="360"/>
      </w:pPr>
      <w:rPr>
        <w:rFonts w:ascii="Arial" w:hAnsi="Arial" w:hint="default"/>
      </w:rPr>
    </w:lvl>
    <w:lvl w:ilvl="7" w:tplc="CCEE49AA" w:tentative="1">
      <w:start w:val="1"/>
      <w:numFmt w:val="bullet"/>
      <w:lvlText w:val="•"/>
      <w:lvlJc w:val="left"/>
      <w:pPr>
        <w:tabs>
          <w:tab w:val="num" w:pos="5760"/>
        </w:tabs>
        <w:ind w:left="5760" w:hanging="360"/>
      </w:pPr>
      <w:rPr>
        <w:rFonts w:ascii="Arial" w:hAnsi="Arial" w:hint="default"/>
      </w:rPr>
    </w:lvl>
    <w:lvl w:ilvl="8" w:tplc="6A86F79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58207D60"/>
    <w:multiLevelType w:val="hybridMultilevel"/>
    <w:tmpl w:val="45205C2E"/>
    <w:lvl w:ilvl="0" w:tplc="CEF0712C">
      <w:start w:val="1"/>
      <w:numFmt w:val="bullet"/>
      <w:lvlText w:val="•"/>
      <w:lvlJc w:val="left"/>
      <w:pPr>
        <w:tabs>
          <w:tab w:val="num" w:pos="720"/>
        </w:tabs>
        <w:ind w:left="720" w:hanging="360"/>
      </w:pPr>
      <w:rPr>
        <w:rFonts w:ascii="Arial" w:hAnsi="Arial" w:hint="default"/>
      </w:rPr>
    </w:lvl>
    <w:lvl w:ilvl="1" w:tplc="0B341F2A">
      <w:numFmt w:val="bullet"/>
      <w:lvlText w:val="•"/>
      <w:lvlJc w:val="left"/>
      <w:pPr>
        <w:tabs>
          <w:tab w:val="num" w:pos="1440"/>
        </w:tabs>
        <w:ind w:left="1440" w:hanging="360"/>
      </w:pPr>
      <w:rPr>
        <w:rFonts w:ascii="Arial" w:hAnsi="Arial" w:hint="default"/>
      </w:rPr>
    </w:lvl>
    <w:lvl w:ilvl="2" w:tplc="CE704152" w:tentative="1">
      <w:start w:val="1"/>
      <w:numFmt w:val="bullet"/>
      <w:lvlText w:val="•"/>
      <w:lvlJc w:val="left"/>
      <w:pPr>
        <w:tabs>
          <w:tab w:val="num" w:pos="2160"/>
        </w:tabs>
        <w:ind w:left="2160" w:hanging="360"/>
      </w:pPr>
      <w:rPr>
        <w:rFonts w:ascii="Arial" w:hAnsi="Arial" w:hint="default"/>
      </w:rPr>
    </w:lvl>
    <w:lvl w:ilvl="3" w:tplc="6A8E4008" w:tentative="1">
      <w:start w:val="1"/>
      <w:numFmt w:val="bullet"/>
      <w:lvlText w:val="•"/>
      <w:lvlJc w:val="left"/>
      <w:pPr>
        <w:tabs>
          <w:tab w:val="num" w:pos="2880"/>
        </w:tabs>
        <w:ind w:left="2880" w:hanging="360"/>
      </w:pPr>
      <w:rPr>
        <w:rFonts w:ascii="Arial" w:hAnsi="Arial" w:hint="default"/>
      </w:rPr>
    </w:lvl>
    <w:lvl w:ilvl="4" w:tplc="02D62BA0" w:tentative="1">
      <w:start w:val="1"/>
      <w:numFmt w:val="bullet"/>
      <w:lvlText w:val="•"/>
      <w:lvlJc w:val="left"/>
      <w:pPr>
        <w:tabs>
          <w:tab w:val="num" w:pos="3600"/>
        </w:tabs>
        <w:ind w:left="3600" w:hanging="360"/>
      </w:pPr>
      <w:rPr>
        <w:rFonts w:ascii="Arial" w:hAnsi="Arial" w:hint="default"/>
      </w:rPr>
    </w:lvl>
    <w:lvl w:ilvl="5" w:tplc="201295C6" w:tentative="1">
      <w:start w:val="1"/>
      <w:numFmt w:val="bullet"/>
      <w:lvlText w:val="•"/>
      <w:lvlJc w:val="left"/>
      <w:pPr>
        <w:tabs>
          <w:tab w:val="num" w:pos="4320"/>
        </w:tabs>
        <w:ind w:left="4320" w:hanging="360"/>
      </w:pPr>
      <w:rPr>
        <w:rFonts w:ascii="Arial" w:hAnsi="Arial" w:hint="default"/>
      </w:rPr>
    </w:lvl>
    <w:lvl w:ilvl="6" w:tplc="6D7EF48E" w:tentative="1">
      <w:start w:val="1"/>
      <w:numFmt w:val="bullet"/>
      <w:lvlText w:val="•"/>
      <w:lvlJc w:val="left"/>
      <w:pPr>
        <w:tabs>
          <w:tab w:val="num" w:pos="5040"/>
        </w:tabs>
        <w:ind w:left="5040" w:hanging="360"/>
      </w:pPr>
      <w:rPr>
        <w:rFonts w:ascii="Arial" w:hAnsi="Arial" w:hint="default"/>
      </w:rPr>
    </w:lvl>
    <w:lvl w:ilvl="7" w:tplc="8C48190E" w:tentative="1">
      <w:start w:val="1"/>
      <w:numFmt w:val="bullet"/>
      <w:lvlText w:val="•"/>
      <w:lvlJc w:val="left"/>
      <w:pPr>
        <w:tabs>
          <w:tab w:val="num" w:pos="5760"/>
        </w:tabs>
        <w:ind w:left="5760" w:hanging="360"/>
      </w:pPr>
      <w:rPr>
        <w:rFonts w:ascii="Arial" w:hAnsi="Arial" w:hint="default"/>
      </w:rPr>
    </w:lvl>
    <w:lvl w:ilvl="8" w:tplc="9EE667C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B3E1266"/>
    <w:multiLevelType w:val="hybridMultilevel"/>
    <w:tmpl w:val="0CB04270"/>
    <w:lvl w:ilvl="0" w:tplc="4F584E9C">
      <w:start w:val="1"/>
      <w:numFmt w:val="bullet"/>
      <w:lvlText w:val="•"/>
      <w:lvlJc w:val="left"/>
      <w:pPr>
        <w:tabs>
          <w:tab w:val="num" w:pos="720"/>
        </w:tabs>
        <w:ind w:left="720" w:hanging="360"/>
      </w:pPr>
      <w:rPr>
        <w:rFonts w:ascii="Arial" w:hAnsi="Arial" w:hint="default"/>
      </w:rPr>
    </w:lvl>
    <w:lvl w:ilvl="1" w:tplc="380EDAD8" w:tentative="1">
      <w:start w:val="1"/>
      <w:numFmt w:val="bullet"/>
      <w:lvlText w:val="•"/>
      <w:lvlJc w:val="left"/>
      <w:pPr>
        <w:tabs>
          <w:tab w:val="num" w:pos="1440"/>
        </w:tabs>
        <w:ind w:left="1440" w:hanging="360"/>
      </w:pPr>
      <w:rPr>
        <w:rFonts w:ascii="Arial" w:hAnsi="Arial" w:hint="default"/>
      </w:rPr>
    </w:lvl>
    <w:lvl w:ilvl="2" w:tplc="30D006BC" w:tentative="1">
      <w:start w:val="1"/>
      <w:numFmt w:val="bullet"/>
      <w:lvlText w:val="•"/>
      <w:lvlJc w:val="left"/>
      <w:pPr>
        <w:tabs>
          <w:tab w:val="num" w:pos="2160"/>
        </w:tabs>
        <w:ind w:left="2160" w:hanging="360"/>
      </w:pPr>
      <w:rPr>
        <w:rFonts w:ascii="Arial" w:hAnsi="Arial" w:hint="default"/>
      </w:rPr>
    </w:lvl>
    <w:lvl w:ilvl="3" w:tplc="DBDAF4F4" w:tentative="1">
      <w:start w:val="1"/>
      <w:numFmt w:val="bullet"/>
      <w:lvlText w:val="•"/>
      <w:lvlJc w:val="left"/>
      <w:pPr>
        <w:tabs>
          <w:tab w:val="num" w:pos="2880"/>
        </w:tabs>
        <w:ind w:left="2880" w:hanging="360"/>
      </w:pPr>
      <w:rPr>
        <w:rFonts w:ascii="Arial" w:hAnsi="Arial" w:hint="default"/>
      </w:rPr>
    </w:lvl>
    <w:lvl w:ilvl="4" w:tplc="BE6CE48E" w:tentative="1">
      <w:start w:val="1"/>
      <w:numFmt w:val="bullet"/>
      <w:lvlText w:val="•"/>
      <w:lvlJc w:val="left"/>
      <w:pPr>
        <w:tabs>
          <w:tab w:val="num" w:pos="3600"/>
        </w:tabs>
        <w:ind w:left="3600" w:hanging="360"/>
      </w:pPr>
      <w:rPr>
        <w:rFonts w:ascii="Arial" w:hAnsi="Arial" w:hint="default"/>
      </w:rPr>
    </w:lvl>
    <w:lvl w:ilvl="5" w:tplc="C4C8E780" w:tentative="1">
      <w:start w:val="1"/>
      <w:numFmt w:val="bullet"/>
      <w:lvlText w:val="•"/>
      <w:lvlJc w:val="left"/>
      <w:pPr>
        <w:tabs>
          <w:tab w:val="num" w:pos="4320"/>
        </w:tabs>
        <w:ind w:left="4320" w:hanging="360"/>
      </w:pPr>
      <w:rPr>
        <w:rFonts w:ascii="Arial" w:hAnsi="Arial" w:hint="default"/>
      </w:rPr>
    </w:lvl>
    <w:lvl w:ilvl="6" w:tplc="A6F47582" w:tentative="1">
      <w:start w:val="1"/>
      <w:numFmt w:val="bullet"/>
      <w:lvlText w:val="•"/>
      <w:lvlJc w:val="left"/>
      <w:pPr>
        <w:tabs>
          <w:tab w:val="num" w:pos="5040"/>
        </w:tabs>
        <w:ind w:left="5040" w:hanging="360"/>
      </w:pPr>
      <w:rPr>
        <w:rFonts w:ascii="Arial" w:hAnsi="Arial" w:hint="default"/>
      </w:rPr>
    </w:lvl>
    <w:lvl w:ilvl="7" w:tplc="68A4C860" w:tentative="1">
      <w:start w:val="1"/>
      <w:numFmt w:val="bullet"/>
      <w:lvlText w:val="•"/>
      <w:lvlJc w:val="left"/>
      <w:pPr>
        <w:tabs>
          <w:tab w:val="num" w:pos="5760"/>
        </w:tabs>
        <w:ind w:left="5760" w:hanging="360"/>
      </w:pPr>
      <w:rPr>
        <w:rFonts w:ascii="Arial" w:hAnsi="Arial" w:hint="default"/>
      </w:rPr>
    </w:lvl>
    <w:lvl w:ilvl="8" w:tplc="AB74F2A4"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C0C0EBC"/>
    <w:multiLevelType w:val="hybridMultilevel"/>
    <w:tmpl w:val="D780F482"/>
    <w:lvl w:ilvl="0" w:tplc="AABA1C92">
      <w:start w:val="1"/>
      <w:numFmt w:val="bullet"/>
      <w:lvlText w:val="•"/>
      <w:lvlJc w:val="left"/>
      <w:pPr>
        <w:tabs>
          <w:tab w:val="num" w:pos="720"/>
        </w:tabs>
        <w:ind w:left="720" w:hanging="360"/>
      </w:pPr>
      <w:rPr>
        <w:rFonts w:ascii="Arial" w:hAnsi="Arial" w:hint="default"/>
      </w:rPr>
    </w:lvl>
    <w:lvl w:ilvl="1" w:tplc="797C0068" w:tentative="1">
      <w:start w:val="1"/>
      <w:numFmt w:val="bullet"/>
      <w:lvlText w:val="•"/>
      <w:lvlJc w:val="left"/>
      <w:pPr>
        <w:tabs>
          <w:tab w:val="num" w:pos="1440"/>
        </w:tabs>
        <w:ind w:left="1440" w:hanging="360"/>
      </w:pPr>
      <w:rPr>
        <w:rFonts w:ascii="Arial" w:hAnsi="Arial" w:hint="default"/>
      </w:rPr>
    </w:lvl>
    <w:lvl w:ilvl="2" w:tplc="06DEE052" w:tentative="1">
      <w:start w:val="1"/>
      <w:numFmt w:val="bullet"/>
      <w:lvlText w:val="•"/>
      <w:lvlJc w:val="left"/>
      <w:pPr>
        <w:tabs>
          <w:tab w:val="num" w:pos="2160"/>
        </w:tabs>
        <w:ind w:left="2160" w:hanging="360"/>
      </w:pPr>
      <w:rPr>
        <w:rFonts w:ascii="Arial" w:hAnsi="Arial" w:hint="default"/>
      </w:rPr>
    </w:lvl>
    <w:lvl w:ilvl="3" w:tplc="50E6ED60" w:tentative="1">
      <w:start w:val="1"/>
      <w:numFmt w:val="bullet"/>
      <w:lvlText w:val="•"/>
      <w:lvlJc w:val="left"/>
      <w:pPr>
        <w:tabs>
          <w:tab w:val="num" w:pos="2880"/>
        </w:tabs>
        <w:ind w:left="2880" w:hanging="360"/>
      </w:pPr>
      <w:rPr>
        <w:rFonts w:ascii="Arial" w:hAnsi="Arial" w:hint="default"/>
      </w:rPr>
    </w:lvl>
    <w:lvl w:ilvl="4" w:tplc="2CFC2C9A" w:tentative="1">
      <w:start w:val="1"/>
      <w:numFmt w:val="bullet"/>
      <w:lvlText w:val="•"/>
      <w:lvlJc w:val="left"/>
      <w:pPr>
        <w:tabs>
          <w:tab w:val="num" w:pos="3600"/>
        </w:tabs>
        <w:ind w:left="3600" w:hanging="360"/>
      </w:pPr>
      <w:rPr>
        <w:rFonts w:ascii="Arial" w:hAnsi="Arial" w:hint="default"/>
      </w:rPr>
    </w:lvl>
    <w:lvl w:ilvl="5" w:tplc="68FACF22" w:tentative="1">
      <w:start w:val="1"/>
      <w:numFmt w:val="bullet"/>
      <w:lvlText w:val="•"/>
      <w:lvlJc w:val="left"/>
      <w:pPr>
        <w:tabs>
          <w:tab w:val="num" w:pos="4320"/>
        </w:tabs>
        <w:ind w:left="4320" w:hanging="360"/>
      </w:pPr>
      <w:rPr>
        <w:rFonts w:ascii="Arial" w:hAnsi="Arial" w:hint="default"/>
      </w:rPr>
    </w:lvl>
    <w:lvl w:ilvl="6" w:tplc="E3E8C43E" w:tentative="1">
      <w:start w:val="1"/>
      <w:numFmt w:val="bullet"/>
      <w:lvlText w:val="•"/>
      <w:lvlJc w:val="left"/>
      <w:pPr>
        <w:tabs>
          <w:tab w:val="num" w:pos="5040"/>
        </w:tabs>
        <w:ind w:left="5040" w:hanging="360"/>
      </w:pPr>
      <w:rPr>
        <w:rFonts w:ascii="Arial" w:hAnsi="Arial" w:hint="default"/>
      </w:rPr>
    </w:lvl>
    <w:lvl w:ilvl="7" w:tplc="0B62F846" w:tentative="1">
      <w:start w:val="1"/>
      <w:numFmt w:val="bullet"/>
      <w:lvlText w:val="•"/>
      <w:lvlJc w:val="left"/>
      <w:pPr>
        <w:tabs>
          <w:tab w:val="num" w:pos="5760"/>
        </w:tabs>
        <w:ind w:left="5760" w:hanging="360"/>
      </w:pPr>
      <w:rPr>
        <w:rFonts w:ascii="Arial" w:hAnsi="Arial" w:hint="default"/>
      </w:rPr>
    </w:lvl>
    <w:lvl w:ilvl="8" w:tplc="17D49B6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5CFF6D1A"/>
    <w:multiLevelType w:val="hybridMultilevel"/>
    <w:tmpl w:val="B9E62B4C"/>
    <w:lvl w:ilvl="0" w:tplc="680E7692">
      <w:start w:val="1"/>
      <w:numFmt w:val="bullet"/>
      <w:lvlText w:val="•"/>
      <w:lvlJc w:val="left"/>
      <w:pPr>
        <w:tabs>
          <w:tab w:val="num" w:pos="720"/>
        </w:tabs>
        <w:ind w:left="720" w:hanging="360"/>
      </w:pPr>
      <w:rPr>
        <w:rFonts w:ascii="Arial" w:hAnsi="Arial" w:hint="default"/>
      </w:rPr>
    </w:lvl>
    <w:lvl w:ilvl="1" w:tplc="20247250" w:tentative="1">
      <w:start w:val="1"/>
      <w:numFmt w:val="bullet"/>
      <w:lvlText w:val="•"/>
      <w:lvlJc w:val="left"/>
      <w:pPr>
        <w:tabs>
          <w:tab w:val="num" w:pos="1440"/>
        </w:tabs>
        <w:ind w:left="1440" w:hanging="360"/>
      </w:pPr>
      <w:rPr>
        <w:rFonts w:ascii="Arial" w:hAnsi="Arial" w:hint="default"/>
      </w:rPr>
    </w:lvl>
    <w:lvl w:ilvl="2" w:tplc="DFDA453E" w:tentative="1">
      <w:start w:val="1"/>
      <w:numFmt w:val="bullet"/>
      <w:lvlText w:val="•"/>
      <w:lvlJc w:val="left"/>
      <w:pPr>
        <w:tabs>
          <w:tab w:val="num" w:pos="2160"/>
        </w:tabs>
        <w:ind w:left="2160" w:hanging="360"/>
      </w:pPr>
      <w:rPr>
        <w:rFonts w:ascii="Arial" w:hAnsi="Arial" w:hint="default"/>
      </w:rPr>
    </w:lvl>
    <w:lvl w:ilvl="3" w:tplc="B4FCB912" w:tentative="1">
      <w:start w:val="1"/>
      <w:numFmt w:val="bullet"/>
      <w:lvlText w:val="•"/>
      <w:lvlJc w:val="left"/>
      <w:pPr>
        <w:tabs>
          <w:tab w:val="num" w:pos="2880"/>
        </w:tabs>
        <w:ind w:left="2880" w:hanging="360"/>
      </w:pPr>
      <w:rPr>
        <w:rFonts w:ascii="Arial" w:hAnsi="Arial" w:hint="default"/>
      </w:rPr>
    </w:lvl>
    <w:lvl w:ilvl="4" w:tplc="8CFC199C" w:tentative="1">
      <w:start w:val="1"/>
      <w:numFmt w:val="bullet"/>
      <w:lvlText w:val="•"/>
      <w:lvlJc w:val="left"/>
      <w:pPr>
        <w:tabs>
          <w:tab w:val="num" w:pos="3600"/>
        </w:tabs>
        <w:ind w:left="3600" w:hanging="360"/>
      </w:pPr>
      <w:rPr>
        <w:rFonts w:ascii="Arial" w:hAnsi="Arial" w:hint="default"/>
      </w:rPr>
    </w:lvl>
    <w:lvl w:ilvl="5" w:tplc="E160AA44" w:tentative="1">
      <w:start w:val="1"/>
      <w:numFmt w:val="bullet"/>
      <w:lvlText w:val="•"/>
      <w:lvlJc w:val="left"/>
      <w:pPr>
        <w:tabs>
          <w:tab w:val="num" w:pos="4320"/>
        </w:tabs>
        <w:ind w:left="4320" w:hanging="360"/>
      </w:pPr>
      <w:rPr>
        <w:rFonts w:ascii="Arial" w:hAnsi="Arial" w:hint="default"/>
      </w:rPr>
    </w:lvl>
    <w:lvl w:ilvl="6" w:tplc="6ED44946" w:tentative="1">
      <w:start w:val="1"/>
      <w:numFmt w:val="bullet"/>
      <w:lvlText w:val="•"/>
      <w:lvlJc w:val="left"/>
      <w:pPr>
        <w:tabs>
          <w:tab w:val="num" w:pos="5040"/>
        </w:tabs>
        <w:ind w:left="5040" w:hanging="360"/>
      </w:pPr>
      <w:rPr>
        <w:rFonts w:ascii="Arial" w:hAnsi="Arial" w:hint="default"/>
      </w:rPr>
    </w:lvl>
    <w:lvl w:ilvl="7" w:tplc="6178C9A8" w:tentative="1">
      <w:start w:val="1"/>
      <w:numFmt w:val="bullet"/>
      <w:lvlText w:val="•"/>
      <w:lvlJc w:val="left"/>
      <w:pPr>
        <w:tabs>
          <w:tab w:val="num" w:pos="5760"/>
        </w:tabs>
        <w:ind w:left="5760" w:hanging="360"/>
      </w:pPr>
      <w:rPr>
        <w:rFonts w:ascii="Arial" w:hAnsi="Arial" w:hint="default"/>
      </w:rPr>
    </w:lvl>
    <w:lvl w:ilvl="8" w:tplc="BC9AFBA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DC238EA"/>
    <w:multiLevelType w:val="hybridMultilevel"/>
    <w:tmpl w:val="49F8427C"/>
    <w:lvl w:ilvl="0" w:tplc="F326A91A">
      <w:start w:val="1"/>
      <w:numFmt w:val="bullet"/>
      <w:lvlText w:val=""/>
      <w:lvlJc w:val="left"/>
      <w:pPr>
        <w:tabs>
          <w:tab w:val="num" w:pos="720"/>
        </w:tabs>
        <w:ind w:left="720" w:hanging="360"/>
      </w:pPr>
      <w:rPr>
        <w:rFonts w:ascii="Symbol" w:hAnsi="Symbol" w:hint="default"/>
      </w:rPr>
    </w:lvl>
    <w:lvl w:ilvl="1" w:tplc="F00CB3DC" w:tentative="1">
      <w:start w:val="1"/>
      <w:numFmt w:val="bullet"/>
      <w:lvlText w:val=""/>
      <w:lvlJc w:val="left"/>
      <w:pPr>
        <w:tabs>
          <w:tab w:val="num" w:pos="1440"/>
        </w:tabs>
        <w:ind w:left="1440" w:hanging="360"/>
      </w:pPr>
      <w:rPr>
        <w:rFonts w:ascii="Symbol" w:hAnsi="Symbol" w:hint="default"/>
      </w:rPr>
    </w:lvl>
    <w:lvl w:ilvl="2" w:tplc="9880036A" w:tentative="1">
      <w:start w:val="1"/>
      <w:numFmt w:val="bullet"/>
      <w:lvlText w:val=""/>
      <w:lvlJc w:val="left"/>
      <w:pPr>
        <w:tabs>
          <w:tab w:val="num" w:pos="2160"/>
        </w:tabs>
        <w:ind w:left="2160" w:hanging="360"/>
      </w:pPr>
      <w:rPr>
        <w:rFonts w:ascii="Symbol" w:hAnsi="Symbol" w:hint="default"/>
      </w:rPr>
    </w:lvl>
    <w:lvl w:ilvl="3" w:tplc="6570D0AA" w:tentative="1">
      <w:start w:val="1"/>
      <w:numFmt w:val="bullet"/>
      <w:lvlText w:val=""/>
      <w:lvlJc w:val="left"/>
      <w:pPr>
        <w:tabs>
          <w:tab w:val="num" w:pos="2880"/>
        </w:tabs>
        <w:ind w:left="2880" w:hanging="360"/>
      </w:pPr>
      <w:rPr>
        <w:rFonts w:ascii="Symbol" w:hAnsi="Symbol" w:hint="default"/>
      </w:rPr>
    </w:lvl>
    <w:lvl w:ilvl="4" w:tplc="8DC40E82" w:tentative="1">
      <w:start w:val="1"/>
      <w:numFmt w:val="bullet"/>
      <w:lvlText w:val=""/>
      <w:lvlJc w:val="left"/>
      <w:pPr>
        <w:tabs>
          <w:tab w:val="num" w:pos="3600"/>
        </w:tabs>
        <w:ind w:left="3600" w:hanging="360"/>
      </w:pPr>
      <w:rPr>
        <w:rFonts w:ascii="Symbol" w:hAnsi="Symbol" w:hint="default"/>
      </w:rPr>
    </w:lvl>
    <w:lvl w:ilvl="5" w:tplc="D43C7890" w:tentative="1">
      <w:start w:val="1"/>
      <w:numFmt w:val="bullet"/>
      <w:lvlText w:val=""/>
      <w:lvlJc w:val="left"/>
      <w:pPr>
        <w:tabs>
          <w:tab w:val="num" w:pos="4320"/>
        </w:tabs>
        <w:ind w:left="4320" w:hanging="360"/>
      </w:pPr>
      <w:rPr>
        <w:rFonts w:ascii="Symbol" w:hAnsi="Symbol" w:hint="default"/>
      </w:rPr>
    </w:lvl>
    <w:lvl w:ilvl="6" w:tplc="BD9ED90C" w:tentative="1">
      <w:start w:val="1"/>
      <w:numFmt w:val="bullet"/>
      <w:lvlText w:val=""/>
      <w:lvlJc w:val="left"/>
      <w:pPr>
        <w:tabs>
          <w:tab w:val="num" w:pos="5040"/>
        </w:tabs>
        <w:ind w:left="5040" w:hanging="360"/>
      </w:pPr>
      <w:rPr>
        <w:rFonts w:ascii="Symbol" w:hAnsi="Symbol" w:hint="default"/>
      </w:rPr>
    </w:lvl>
    <w:lvl w:ilvl="7" w:tplc="5D723E74" w:tentative="1">
      <w:start w:val="1"/>
      <w:numFmt w:val="bullet"/>
      <w:lvlText w:val=""/>
      <w:lvlJc w:val="left"/>
      <w:pPr>
        <w:tabs>
          <w:tab w:val="num" w:pos="5760"/>
        </w:tabs>
        <w:ind w:left="5760" w:hanging="360"/>
      </w:pPr>
      <w:rPr>
        <w:rFonts w:ascii="Symbol" w:hAnsi="Symbol" w:hint="default"/>
      </w:rPr>
    </w:lvl>
    <w:lvl w:ilvl="8" w:tplc="55D68662"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5F115D14"/>
    <w:multiLevelType w:val="hybridMultilevel"/>
    <w:tmpl w:val="49DA9876"/>
    <w:lvl w:ilvl="0" w:tplc="801629C6">
      <w:start w:val="1"/>
      <w:numFmt w:val="bullet"/>
      <w:lvlText w:val="•"/>
      <w:lvlJc w:val="left"/>
      <w:pPr>
        <w:tabs>
          <w:tab w:val="num" w:pos="720"/>
        </w:tabs>
        <w:ind w:left="720" w:hanging="360"/>
      </w:pPr>
      <w:rPr>
        <w:rFonts w:ascii="Arial" w:hAnsi="Arial" w:hint="default"/>
      </w:rPr>
    </w:lvl>
    <w:lvl w:ilvl="1" w:tplc="E5266DAE" w:tentative="1">
      <w:start w:val="1"/>
      <w:numFmt w:val="bullet"/>
      <w:lvlText w:val="•"/>
      <w:lvlJc w:val="left"/>
      <w:pPr>
        <w:tabs>
          <w:tab w:val="num" w:pos="1440"/>
        </w:tabs>
        <w:ind w:left="1440" w:hanging="360"/>
      </w:pPr>
      <w:rPr>
        <w:rFonts w:ascii="Arial" w:hAnsi="Arial" w:hint="default"/>
      </w:rPr>
    </w:lvl>
    <w:lvl w:ilvl="2" w:tplc="38244BF4" w:tentative="1">
      <w:start w:val="1"/>
      <w:numFmt w:val="bullet"/>
      <w:lvlText w:val="•"/>
      <w:lvlJc w:val="left"/>
      <w:pPr>
        <w:tabs>
          <w:tab w:val="num" w:pos="2160"/>
        </w:tabs>
        <w:ind w:left="2160" w:hanging="360"/>
      </w:pPr>
      <w:rPr>
        <w:rFonts w:ascii="Arial" w:hAnsi="Arial" w:hint="default"/>
      </w:rPr>
    </w:lvl>
    <w:lvl w:ilvl="3" w:tplc="325669B0" w:tentative="1">
      <w:start w:val="1"/>
      <w:numFmt w:val="bullet"/>
      <w:lvlText w:val="•"/>
      <w:lvlJc w:val="left"/>
      <w:pPr>
        <w:tabs>
          <w:tab w:val="num" w:pos="2880"/>
        </w:tabs>
        <w:ind w:left="2880" w:hanging="360"/>
      </w:pPr>
      <w:rPr>
        <w:rFonts w:ascii="Arial" w:hAnsi="Arial" w:hint="default"/>
      </w:rPr>
    </w:lvl>
    <w:lvl w:ilvl="4" w:tplc="1C647A44" w:tentative="1">
      <w:start w:val="1"/>
      <w:numFmt w:val="bullet"/>
      <w:lvlText w:val="•"/>
      <w:lvlJc w:val="left"/>
      <w:pPr>
        <w:tabs>
          <w:tab w:val="num" w:pos="3600"/>
        </w:tabs>
        <w:ind w:left="3600" w:hanging="360"/>
      </w:pPr>
      <w:rPr>
        <w:rFonts w:ascii="Arial" w:hAnsi="Arial" w:hint="default"/>
      </w:rPr>
    </w:lvl>
    <w:lvl w:ilvl="5" w:tplc="E7846CAC" w:tentative="1">
      <w:start w:val="1"/>
      <w:numFmt w:val="bullet"/>
      <w:lvlText w:val="•"/>
      <w:lvlJc w:val="left"/>
      <w:pPr>
        <w:tabs>
          <w:tab w:val="num" w:pos="4320"/>
        </w:tabs>
        <w:ind w:left="4320" w:hanging="360"/>
      </w:pPr>
      <w:rPr>
        <w:rFonts w:ascii="Arial" w:hAnsi="Arial" w:hint="default"/>
      </w:rPr>
    </w:lvl>
    <w:lvl w:ilvl="6" w:tplc="7FA09062" w:tentative="1">
      <w:start w:val="1"/>
      <w:numFmt w:val="bullet"/>
      <w:lvlText w:val="•"/>
      <w:lvlJc w:val="left"/>
      <w:pPr>
        <w:tabs>
          <w:tab w:val="num" w:pos="5040"/>
        </w:tabs>
        <w:ind w:left="5040" w:hanging="360"/>
      </w:pPr>
      <w:rPr>
        <w:rFonts w:ascii="Arial" w:hAnsi="Arial" w:hint="default"/>
      </w:rPr>
    </w:lvl>
    <w:lvl w:ilvl="7" w:tplc="967CB9DC" w:tentative="1">
      <w:start w:val="1"/>
      <w:numFmt w:val="bullet"/>
      <w:lvlText w:val="•"/>
      <w:lvlJc w:val="left"/>
      <w:pPr>
        <w:tabs>
          <w:tab w:val="num" w:pos="5760"/>
        </w:tabs>
        <w:ind w:left="5760" w:hanging="360"/>
      </w:pPr>
      <w:rPr>
        <w:rFonts w:ascii="Arial" w:hAnsi="Arial" w:hint="default"/>
      </w:rPr>
    </w:lvl>
    <w:lvl w:ilvl="8" w:tplc="E53A94C8"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23A2178"/>
    <w:multiLevelType w:val="hybridMultilevel"/>
    <w:tmpl w:val="7E62F704"/>
    <w:lvl w:ilvl="0" w:tplc="D9040E44">
      <w:start w:val="1"/>
      <w:numFmt w:val="bullet"/>
      <w:lvlText w:val="•"/>
      <w:lvlJc w:val="left"/>
      <w:pPr>
        <w:tabs>
          <w:tab w:val="num" w:pos="720"/>
        </w:tabs>
        <w:ind w:left="720" w:hanging="360"/>
      </w:pPr>
      <w:rPr>
        <w:rFonts w:ascii="Arial" w:hAnsi="Arial" w:hint="default"/>
      </w:rPr>
    </w:lvl>
    <w:lvl w:ilvl="1" w:tplc="94E6DB66" w:tentative="1">
      <w:start w:val="1"/>
      <w:numFmt w:val="bullet"/>
      <w:lvlText w:val="•"/>
      <w:lvlJc w:val="left"/>
      <w:pPr>
        <w:tabs>
          <w:tab w:val="num" w:pos="1440"/>
        </w:tabs>
        <w:ind w:left="1440" w:hanging="360"/>
      </w:pPr>
      <w:rPr>
        <w:rFonts w:ascii="Arial" w:hAnsi="Arial" w:hint="default"/>
      </w:rPr>
    </w:lvl>
    <w:lvl w:ilvl="2" w:tplc="8258C888" w:tentative="1">
      <w:start w:val="1"/>
      <w:numFmt w:val="bullet"/>
      <w:lvlText w:val="•"/>
      <w:lvlJc w:val="left"/>
      <w:pPr>
        <w:tabs>
          <w:tab w:val="num" w:pos="2160"/>
        </w:tabs>
        <w:ind w:left="2160" w:hanging="360"/>
      </w:pPr>
      <w:rPr>
        <w:rFonts w:ascii="Arial" w:hAnsi="Arial" w:hint="default"/>
      </w:rPr>
    </w:lvl>
    <w:lvl w:ilvl="3" w:tplc="C1F6903E" w:tentative="1">
      <w:start w:val="1"/>
      <w:numFmt w:val="bullet"/>
      <w:lvlText w:val="•"/>
      <w:lvlJc w:val="left"/>
      <w:pPr>
        <w:tabs>
          <w:tab w:val="num" w:pos="2880"/>
        </w:tabs>
        <w:ind w:left="2880" w:hanging="360"/>
      </w:pPr>
      <w:rPr>
        <w:rFonts w:ascii="Arial" w:hAnsi="Arial" w:hint="default"/>
      </w:rPr>
    </w:lvl>
    <w:lvl w:ilvl="4" w:tplc="16B691F8" w:tentative="1">
      <w:start w:val="1"/>
      <w:numFmt w:val="bullet"/>
      <w:lvlText w:val="•"/>
      <w:lvlJc w:val="left"/>
      <w:pPr>
        <w:tabs>
          <w:tab w:val="num" w:pos="3600"/>
        </w:tabs>
        <w:ind w:left="3600" w:hanging="360"/>
      </w:pPr>
      <w:rPr>
        <w:rFonts w:ascii="Arial" w:hAnsi="Arial" w:hint="default"/>
      </w:rPr>
    </w:lvl>
    <w:lvl w:ilvl="5" w:tplc="5DB680BC" w:tentative="1">
      <w:start w:val="1"/>
      <w:numFmt w:val="bullet"/>
      <w:lvlText w:val="•"/>
      <w:lvlJc w:val="left"/>
      <w:pPr>
        <w:tabs>
          <w:tab w:val="num" w:pos="4320"/>
        </w:tabs>
        <w:ind w:left="4320" w:hanging="360"/>
      </w:pPr>
      <w:rPr>
        <w:rFonts w:ascii="Arial" w:hAnsi="Arial" w:hint="default"/>
      </w:rPr>
    </w:lvl>
    <w:lvl w:ilvl="6" w:tplc="1F1A7A8A" w:tentative="1">
      <w:start w:val="1"/>
      <w:numFmt w:val="bullet"/>
      <w:lvlText w:val="•"/>
      <w:lvlJc w:val="left"/>
      <w:pPr>
        <w:tabs>
          <w:tab w:val="num" w:pos="5040"/>
        </w:tabs>
        <w:ind w:left="5040" w:hanging="360"/>
      </w:pPr>
      <w:rPr>
        <w:rFonts w:ascii="Arial" w:hAnsi="Arial" w:hint="default"/>
      </w:rPr>
    </w:lvl>
    <w:lvl w:ilvl="7" w:tplc="9FAC32A2" w:tentative="1">
      <w:start w:val="1"/>
      <w:numFmt w:val="bullet"/>
      <w:lvlText w:val="•"/>
      <w:lvlJc w:val="left"/>
      <w:pPr>
        <w:tabs>
          <w:tab w:val="num" w:pos="5760"/>
        </w:tabs>
        <w:ind w:left="5760" w:hanging="360"/>
      </w:pPr>
      <w:rPr>
        <w:rFonts w:ascii="Arial" w:hAnsi="Arial" w:hint="default"/>
      </w:rPr>
    </w:lvl>
    <w:lvl w:ilvl="8" w:tplc="FCA29CE2"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2DC4F87"/>
    <w:multiLevelType w:val="hybridMultilevel"/>
    <w:tmpl w:val="44C6F1B8"/>
    <w:lvl w:ilvl="0" w:tplc="DAB4ABEE">
      <w:start w:val="1"/>
      <w:numFmt w:val="bullet"/>
      <w:lvlText w:val="•"/>
      <w:lvlJc w:val="left"/>
      <w:pPr>
        <w:tabs>
          <w:tab w:val="num" w:pos="720"/>
        </w:tabs>
        <w:ind w:left="720" w:hanging="360"/>
      </w:pPr>
      <w:rPr>
        <w:rFonts w:ascii="Arial" w:hAnsi="Arial" w:hint="default"/>
      </w:rPr>
    </w:lvl>
    <w:lvl w:ilvl="1" w:tplc="40C8C41C" w:tentative="1">
      <w:start w:val="1"/>
      <w:numFmt w:val="bullet"/>
      <w:lvlText w:val="•"/>
      <w:lvlJc w:val="left"/>
      <w:pPr>
        <w:tabs>
          <w:tab w:val="num" w:pos="1440"/>
        </w:tabs>
        <w:ind w:left="1440" w:hanging="360"/>
      </w:pPr>
      <w:rPr>
        <w:rFonts w:ascii="Arial" w:hAnsi="Arial" w:hint="default"/>
      </w:rPr>
    </w:lvl>
    <w:lvl w:ilvl="2" w:tplc="DC3EBD2C" w:tentative="1">
      <w:start w:val="1"/>
      <w:numFmt w:val="bullet"/>
      <w:lvlText w:val="•"/>
      <w:lvlJc w:val="left"/>
      <w:pPr>
        <w:tabs>
          <w:tab w:val="num" w:pos="2160"/>
        </w:tabs>
        <w:ind w:left="2160" w:hanging="360"/>
      </w:pPr>
      <w:rPr>
        <w:rFonts w:ascii="Arial" w:hAnsi="Arial" w:hint="default"/>
      </w:rPr>
    </w:lvl>
    <w:lvl w:ilvl="3" w:tplc="B8621E32" w:tentative="1">
      <w:start w:val="1"/>
      <w:numFmt w:val="bullet"/>
      <w:lvlText w:val="•"/>
      <w:lvlJc w:val="left"/>
      <w:pPr>
        <w:tabs>
          <w:tab w:val="num" w:pos="2880"/>
        </w:tabs>
        <w:ind w:left="2880" w:hanging="360"/>
      </w:pPr>
      <w:rPr>
        <w:rFonts w:ascii="Arial" w:hAnsi="Arial" w:hint="default"/>
      </w:rPr>
    </w:lvl>
    <w:lvl w:ilvl="4" w:tplc="C63EE030" w:tentative="1">
      <w:start w:val="1"/>
      <w:numFmt w:val="bullet"/>
      <w:lvlText w:val="•"/>
      <w:lvlJc w:val="left"/>
      <w:pPr>
        <w:tabs>
          <w:tab w:val="num" w:pos="3600"/>
        </w:tabs>
        <w:ind w:left="3600" w:hanging="360"/>
      </w:pPr>
      <w:rPr>
        <w:rFonts w:ascii="Arial" w:hAnsi="Arial" w:hint="default"/>
      </w:rPr>
    </w:lvl>
    <w:lvl w:ilvl="5" w:tplc="221AB942" w:tentative="1">
      <w:start w:val="1"/>
      <w:numFmt w:val="bullet"/>
      <w:lvlText w:val="•"/>
      <w:lvlJc w:val="left"/>
      <w:pPr>
        <w:tabs>
          <w:tab w:val="num" w:pos="4320"/>
        </w:tabs>
        <w:ind w:left="4320" w:hanging="360"/>
      </w:pPr>
      <w:rPr>
        <w:rFonts w:ascii="Arial" w:hAnsi="Arial" w:hint="default"/>
      </w:rPr>
    </w:lvl>
    <w:lvl w:ilvl="6" w:tplc="9074306A" w:tentative="1">
      <w:start w:val="1"/>
      <w:numFmt w:val="bullet"/>
      <w:lvlText w:val="•"/>
      <w:lvlJc w:val="left"/>
      <w:pPr>
        <w:tabs>
          <w:tab w:val="num" w:pos="5040"/>
        </w:tabs>
        <w:ind w:left="5040" w:hanging="360"/>
      </w:pPr>
      <w:rPr>
        <w:rFonts w:ascii="Arial" w:hAnsi="Arial" w:hint="default"/>
      </w:rPr>
    </w:lvl>
    <w:lvl w:ilvl="7" w:tplc="ADDAF626" w:tentative="1">
      <w:start w:val="1"/>
      <w:numFmt w:val="bullet"/>
      <w:lvlText w:val="•"/>
      <w:lvlJc w:val="left"/>
      <w:pPr>
        <w:tabs>
          <w:tab w:val="num" w:pos="5760"/>
        </w:tabs>
        <w:ind w:left="5760" w:hanging="360"/>
      </w:pPr>
      <w:rPr>
        <w:rFonts w:ascii="Arial" w:hAnsi="Arial" w:hint="default"/>
      </w:rPr>
    </w:lvl>
    <w:lvl w:ilvl="8" w:tplc="D1A8A5F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62DF5355"/>
    <w:multiLevelType w:val="hybridMultilevel"/>
    <w:tmpl w:val="774293DC"/>
    <w:lvl w:ilvl="0" w:tplc="CB6EF0D4">
      <w:start w:val="1"/>
      <w:numFmt w:val="bullet"/>
      <w:lvlText w:val="•"/>
      <w:lvlJc w:val="left"/>
      <w:pPr>
        <w:tabs>
          <w:tab w:val="num" w:pos="720"/>
        </w:tabs>
        <w:ind w:left="720" w:hanging="360"/>
      </w:pPr>
      <w:rPr>
        <w:rFonts w:ascii="Arial" w:hAnsi="Arial" w:hint="default"/>
      </w:rPr>
    </w:lvl>
    <w:lvl w:ilvl="1" w:tplc="97122DA8">
      <w:numFmt w:val="bullet"/>
      <w:lvlText w:val="•"/>
      <w:lvlJc w:val="left"/>
      <w:pPr>
        <w:tabs>
          <w:tab w:val="num" w:pos="1440"/>
        </w:tabs>
        <w:ind w:left="1440" w:hanging="360"/>
      </w:pPr>
      <w:rPr>
        <w:rFonts w:ascii="Arial" w:hAnsi="Arial" w:hint="default"/>
      </w:rPr>
    </w:lvl>
    <w:lvl w:ilvl="2" w:tplc="EFE83BFC" w:tentative="1">
      <w:start w:val="1"/>
      <w:numFmt w:val="bullet"/>
      <w:lvlText w:val="•"/>
      <w:lvlJc w:val="left"/>
      <w:pPr>
        <w:tabs>
          <w:tab w:val="num" w:pos="2160"/>
        </w:tabs>
        <w:ind w:left="2160" w:hanging="360"/>
      </w:pPr>
      <w:rPr>
        <w:rFonts w:ascii="Arial" w:hAnsi="Arial" w:hint="default"/>
      </w:rPr>
    </w:lvl>
    <w:lvl w:ilvl="3" w:tplc="81E0D4CC" w:tentative="1">
      <w:start w:val="1"/>
      <w:numFmt w:val="bullet"/>
      <w:lvlText w:val="•"/>
      <w:lvlJc w:val="left"/>
      <w:pPr>
        <w:tabs>
          <w:tab w:val="num" w:pos="2880"/>
        </w:tabs>
        <w:ind w:left="2880" w:hanging="360"/>
      </w:pPr>
      <w:rPr>
        <w:rFonts w:ascii="Arial" w:hAnsi="Arial" w:hint="default"/>
      </w:rPr>
    </w:lvl>
    <w:lvl w:ilvl="4" w:tplc="2EF01BBE" w:tentative="1">
      <w:start w:val="1"/>
      <w:numFmt w:val="bullet"/>
      <w:lvlText w:val="•"/>
      <w:lvlJc w:val="left"/>
      <w:pPr>
        <w:tabs>
          <w:tab w:val="num" w:pos="3600"/>
        </w:tabs>
        <w:ind w:left="3600" w:hanging="360"/>
      </w:pPr>
      <w:rPr>
        <w:rFonts w:ascii="Arial" w:hAnsi="Arial" w:hint="default"/>
      </w:rPr>
    </w:lvl>
    <w:lvl w:ilvl="5" w:tplc="B310DCD0" w:tentative="1">
      <w:start w:val="1"/>
      <w:numFmt w:val="bullet"/>
      <w:lvlText w:val="•"/>
      <w:lvlJc w:val="left"/>
      <w:pPr>
        <w:tabs>
          <w:tab w:val="num" w:pos="4320"/>
        </w:tabs>
        <w:ind w:left="4320" w:hanging="360"/>
      </w:pPr>
      <w:rPr>
        <w:rFonts w:ascii="Arial" w:hAnsi="Arial" w:hint="default"/>
      </w:rPr>
    </w:lvl>
    <w:lvl w:ilvl="6" w:tplc="BE229628" w:tentative="1">
      <w:start w:val="1"/>
      <w:numFmt w:val="bullet"/>
      <w:lvlText w:val="•"/>
      <w:lvlJc w:val="left"/>
      <w:pPr>
        <w:tabs>
          <w:tab w:val="num" w:pos="5040"/>
        </w:tabs>
        <w:ind w:left="5040" w:hanging="360"/>
      </w:pPr>
      <w:rPr>
        <w:rFonts w:ascii="Arial" w:hAnsi="Arial" w:hint="default"/>
      </w:rPr>
    </w:lvl>
    <w:lvl w:ilvl="7" w:tplc="FC026292" w:tentative="1">
      <w:start w:val="1"/>
      <w:numFmt w:val="bullet"/>
      <w:lvlText w:val="•"/>
      <w:lvlJc w:val="left"/>
      <w:pPr>
        <w:tabs>
          <w:tab w:val="num" w:pos="5760"/>
        </w:tabs>
        <w:ind w:left="5760" w:hanging="360"/>
      </w:pPr>
      <w:rPr>
        <w:rFonts w:ascii="Arial" w:hAnsi="Arial" w:hint="default"/>
      </w:rPr>
    </w:lvl>
    <w:lvl w:ilvl="8" w:tplc="DBCA674C"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33B1D9E"/>
    <w:multiLevelType w:val="hybridMultilevel"/>
    <w:tmpl w:val="D1BE097C"/>
    <w:lvl w:ilvl="0" w:tplc="469AEA52">
      <w:start w:val="1"/>
      <w:numFmt w:val="bullet"/>
      <w:lvlText w:val="•"/>
      <w:lvlJc w:val="left"/>
      <w:pPr>
        <w:tabs>
          <w:tab w:val="num" w:pos="720"/>
        </w:tabs>
        <w:ind w:left="720" w:hanging="360"/>
      </w:pPr>
      <w:rPr>
        <w:rFonts w:ascii="Arial" w:hAnsi="Arial" w:hint="default"/>
      </w:rPr>
    </w:lvl>
    <w:lvl w:ilvl="1" w:tplc="01F8DFDA" w:tentative="1">
      <w:start w:val="1"/>
      <w:numFmt w:val="bullet"/>
      <w:lvlText w:val="•"/>
      <w:lvlJc w:val="left"/>
      <w:pPr>
        <w:tabs>
          <w:tab w:val="num" w:pos="1440"/>
        </w:tabs>
        <w:ind w:left="1440" w:hanging="360"/>
      </w:pPr>
      <w:rPr>
        <w:rFonts w:ascii="Arial" w:hAnsi="Arial" w:hint="default"/>
      </w:rPr>
    </w:lvl>
    <w:lvl w:ilvl="2" w:tplc="305ED9E2" w:tentative="1">
      <w:start w:val="1"/>
      <w:numFmt w:val="bullet"/>
      <w:lvlText w:val="•"/>
      <w:lvlJc w:val="left"/>
      <w:pPr>
        <w:tabs>
          <w:tab w:val="num" w:pos="2160"/>
        </w:tabs>
        <w:ind w:left="2160" w:hanging="360"/>
      </w:pPr>
      <w:rPr>
        <w:rFonts w:ascii="Arial" w:hAnsi="Arial" w:hint="default"/>
      </w:rPr>
    </w:lvl>
    <w:lvl w:ilvl="3" w:tplc="63F05646" w:tentative="1">
      <w:start w:val="1"/>
      <w:numFmt w:val="bullet"/>
      <w:lvlText w:val="•"/>
      <w:lvlJc w:val="left"/>
      <w:pPr>
        <w:tabs>
          <w:tab w:val="num" w:pos="2880"/>
        </w:tabs>
        <w:ind w:left="2880" w:hanging="360"/>
      </w:pPr>
      <w:rPr>
        <w:rFonts w:ascii="Arial" w:hAnsi="Arial" w:hint="default"/>
      </w:rPr>
    </w:lvl>
    <w:lvl w:ilvl="4" w:tplc="4FB40EB6" w:tentative="1">
      <w:start w:val="1"/>
      <w:numFmt w:val="bullet"/>
      <w:lvlText w:val="•"/>
      <w:lvlJc w:val="left"/>
      <w:pPr>
        <w:tabs>
          <w:tab w:val="num" w:pos="3600"/>
        </w:tabs>
        <w:ind w:left="3600" w:hanging="360"/>
      </w:pPr>
      <w:rPr>
        <w:rFonts w:ascii="Arial" w:hAnsi="Arial" w:hint="default"/>
      </w:rPr>
    </w:lvl>
    <w:lvl w:ilvl="5" w:tplc="998C17A0" w:tentative="1">
      <w:start w:val="1"/>
      <w:numFmt w:val="bullet"/>
      <w:lvlText w:val="•"/>
      <w:lvlJc w:val="left"/>
      <w:pPr>
        <w:tabs>
          <w:tab w:val="num" w:pos="4320"/>
        </w:tabs>
        <w:ind w:left="4320" w:hanging="360"/>
      </w:pPr>
      <w:rPr>
        <w:rFonts w:ascii="Arial" w:hAnsi="Arial" w:hint="default"/>
      </w:rPr>
    </w:lvl>
    <w:lvl w:ilvl="6" w:tplc="980C86D2" w:tentative="1">
      <w:start w:val="1"/>
      <w:numFmt w:val="bullet"/>
      <w:lvlText w:val="•"/>
      <w:lvlJc w:val="left"/>
      <w:pPr>
        <w:tabs>
          <w:tab w:val="num" w:pos="5040"/>
        </w:tabs>
        <w:ind w:left="5040" w:hanging="360"/>
      </w:pPr>
      <w:rPr>
        <w:rFonts w:ascii="Arial" w:hAnsi="Arial" w:hint="default"/>
      </w:rPr>
    </w:lvl>
    <w:lvl w:ilvl="7" w:tplc="8F286846" w:tentative="1">
      <w:start w:val="1"/>
      <w:numFmt w:val="bullet"/>
      <w:lvlText w:val="•"/>
      <w:lvlJc w:val="left"/>
      <w:pPr>
        <w:tabs>
          <w:tab w:val="num" w:pos="5760"/>
        </w:tabs>
        <w:ind w:left="5760" w:hanging="360"/>
      </w:pPr>
      <w:rPr>
        <w:rFonts w:ascii="Arial" w:hAnsi="Arial" w:hint="default"/>
      </w:rPr>
    </w:lvl>
    <w:lvl w:ilvl="8" w:tplc="A32078EC"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64101584"/>
    <w:multiLevelType w:val="hybridMultilevel"/>
    <w:tmpl w:val="2ECC91E6"/>
    <w:lvl w:ilvl="0" w:tplc="92845C4A">
      <w:start w:val="1"/>
      <w:numFmt w:val="bullet"/>
      <w:lvlText w:val="•"/>
      <w:lvlJc w:val="left"/>
      <w:pPr>
        <w:tabs>
          <w:tab w:val="num" w:pos="720"/>
        </w:tabs>
        <w:ind w:left="720" w:hanging="360"/>
      </w:pPr>
      <w:rPr>
        <w:rFonts w:ascii="Arial" w:hAnsi="Arial" w:hint="default"/>
      </w:rPr>
    </w:lvl>
    <w:lvl w:ilvl="1" w:tplc="F0B4E034" w:tentative="1">
      <w:start w:val="1"/>
      <w:numFmt w:val="bullet"/>
      <w:lvlText w:val="•"/>
      <w:lvlJc w:val="left"/>
      <w:pPr>
        <w:tabs>
          <w:tab w:val="num" w:pos="1440"/>
        </w:tabs>
        <w:ind w:left="1440" w:hanging="360"/>
      </w:pPr>
      <w:rPr>
        <w:rFonts w:ascii="Arial" w:hAnsi="Arial" w:hint="default"/>
      </w:rPr>
    </w:lvl>
    <w:lvl w:ilvl="2" w:tplc="D76CC762" w:tentative="1">
      <w:start w:val="1"/>
      <w:numFmt w:val="bullet"/>
      <w:lvlText w:val="•"/>
      <w:lvlJc w:val="left"/>
      <w:pPr>
        <w:tabs>
          <w:tab w:val="num" w:pos="2160"/>
        </w:tabs>
        <w:ind w:left="2160" w:hanging="360"/>
      </w:pPr>
      <w:rPr>
        <w:rFonts w:ascii="Arial" w:hAnsi="Arial" w:hint="default"/>
      </w:rPr>
    </w:lvl>
    <w:lvl w:ilvl="3" w:tplc="75E4105E" w:tentative="1">
      <w:start w:val="1"/>
      <w:numFmt w:val="bullet"/>
      <w:lvlText w:val="•"/>
      <w:lvlJc w:val="left"/>
      <w:pPr>
        <w:tabs>
          <w:tab w:val="num" w:pos="2880"/>
        </w:tabs>
        <w:ind w:left="2880" w:hanging="360"/>
      </w:pPr>
      <w:rPr>
        <w:rFonts w:ascii="Arial" w:hAnsi="Arial" w:hint="default"/>
      </w:rPr>
    </w:lvl>
    <w:lvl w:ilvl="4" w:tplc="3B382DE2" w:tentative="1">
      <w:start w:val="1"/>
      <w:numFmt w:val="bullet"/>
      <w:lvlText w:val="•"/>
      <w:lvlJc w:val="left"/>
      <w:pPr>
        <w:tabs>
          <w:tab w:val="num" w:pos="3600"/>
        </w:tabs>
        <w:ind w:left="3600" w:hanging="360"/>
      </w:pPr>
      <w:rPr>
        <w:rFonts w:ascii="Arial" w:hAnsi="Arial" w:hint="default"/>
      </w:rPr>
    </w:lvl>
    <w:lvl w:ilvl="5" w:tplc="B5E6E65A" w:tentative="1">
      <w:start w:val="1"/>
      <w:numFmt w:val="bullet"/>
      <w:lvlText w:val="•"/>
      <w:lvlJc w:val="left"/>
      <w:pPr>
        <w:tabs>
          <w:tab w:val="num" w:pos="4320"/>
        </w:tabs>
        <w:ind w:left="4320" w:hanging="360"/>
      </w:pPr>
      <w:rPr>
        <w:rFonts w:ascii="Arial" w:hAnsi="Arial" w:hint="default"/>
      </w:rPr>
    </w:lvl>
    <w:lvl w:ilvl="6" w:tplc="A348747C" w:tentative="1">
      <w:start w:val="1"/>
      <w:numFmt w:val="bullet"/>
      <w:lvlText w:val="•"/>
      <w:lvlJc w:val="left"/>
      <w:pPr>
        <w:tabs>
          <w:tab w:val="num" w:pos="5040"/>
        </w:tabs>
        <w:ind w:left="5040" w:hanging="360"/>
      </w:pPr>
      <w:rPr>
        <w:rFonts w:ascii="Arial" w:hAnsi="Arial" w:hint="default"/>
      </w:rPr>
    </w:lvl>
    <w:lvl w:ilvl="7" w:tplc="2F80A104" w:tentative="1">
      <w:start w:val="1"/>
      <w:numFmt w:val="bullet"/>
      <w:lvlText w:val="•"/>
      <w:lvlJc w:val="left"/>
      <w:pPr>
        <w:tabs>
          <w:tab w:val="num" w:pos="5760"/>
        </w:tabs>
        <w:ind w:left="5760" w:hanging="360"/>
      </w:pPr>
      <w:rPr>
        <w:rFonts w:ascii="Arial" w:hAnsi="Arial" w:hint="default"/>
      </w:rPr>
    </w:lvl>
    <w:lvl w:ilvl="8" w:tplc="AEF47B2C"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67310A95"/>
    <w:multiLevelType w:val="hybridMultilevel"/>
    <w:tmpl w:val="520E4C66"/>
    <w:lvl w:ilvl="0" w:tplc="38A6856C">
      <w:start w:val="1"/>
      <w:numFmt w:val="bullet"/>
      <w:lvlText w:val="•"/>
      <w:lvlJc w:val="left"/>
      <w:pPr>
        <w:tabs>
          <w:tab w:val="num" w:pos="720"/>
        </w:tabs>
        <w:ind w:left="720" w:hanging="360"/>
      </w:pPr>
      <w:rPr>
        <w:rFonts w:ascii="Arial" w:hAnsi="Arial" w:hint="default"/>
      </w:rPr>
    </w:lvl>
    <w:lvl w:ilvl="1" w:tplc="1CF66784" w:tentative="1">
      <w:start w:val="1"/>
      <w:numFmt w:val="bullet"/>
      <w:lvlText w:val="•"/>
      <w:lvlJc w:val="left"/>
      <w:pPr>
        <w:tabs>
          <w:tab w:val="num" w:pos="1440"/>
        </w:tabs>
        <w:ind w:left="1440" w:hanging="360"/>
      </w:pPr>
      <w:rPr>
        <w:rFonts w:ascii="Arial" w:hAnsi="Arial" w:hint="default"/>
      </w:rPr>
    </w:lvl>
    <w:lvl w:ilvl="2" w:tplc="9BE0515C" w:tentative="1">
      <w:start w:val="1"/>
      <w:numFmt w:val="bullet"/>
      <w:lvlText w:val="•"/>
      <w:lvlJc w:val="left"/>
      <w:pPr>
        <w:tabs>
          <w:tab w:val="num" w:pos="2160"/>
        </w:tabs>
        <w:ind w:left="2160" w:hanging="360"/>
      </w:pPr>
      <w:rPr>
        <w:rFonts w:ascii="Arial" w:hAnsi="Arial" w:hint="default"/>
      </w:rPr>
    </w:lvl>
    <w:lvl w:ilvl="3" w:tplc="BE1E2A48" w:tentative="1">
      <w:start w:val="1"/>
      <w:numFmt w:val="bullet"/>
      <w:lvlText w:val="•"/>
      <w:lvlJc w:val="left"/>
      <w:pPr>
        <w:tabs>
          <w:tab w:val="num" w:pos="2880"/>
        </w:tabs>
        <w:ind w:left="2880" w:hanging="360"/>
      </w:pPr>
      <w:rPr>
        <w:rFonts w:ascii="Arial" w:hAnsi="Arial" w:hint="default"/>
      </w:rPr>
    </w:lvl>
    <w:lvl w:ilvl="4" w:tplc="8A52FB36" w:tentative="1">
      <w:start w:val="1"/>
      <w:numFmt w:val="bullet"/>
      <w:lvlText w:val="•"/>
      <w:lvlJc w:val="left"/>
      <w:pPr>
        <w:tabs>
          <w:tab w:val="num" w:pos="3600"/>
        </w:tabs>
        <w:ind w:left="3600" w:hanging="360"/>
      </w:pPr>
      <w:rPr>
        <w:rFonts w:ascii="Arial" w:hAnsi="Arial" w:hint="default"/>
      </w:rPr>
    </w:lvl>
    <w:lvl w:ilvl="5" w:tplc="0E4CFEFE" w:tentative="1">
      <w:start w:val="1"/>
      <w:numFmt w:val="bullet"/>
      <w:lvlText w:val="•"/>
      <w:lvlJc w:val="left"/>
      <w:pPr>
        <w:tabs>
          <w:tab w:val="num" w:pos="4320"/>
        </w:tabs>
        <w:ind w:left="4320" w:hanging="360"/>
      </w:pPr>
      <w:rPr>
        <w:rFonts w:ascii="Arial" w:hAnsi="Arial" w:hint="default"/>
      </w:rPr>
    </w:lvl>
    <w:lvl w:ilvl="6" w:tplc="ECE49328" w:tentative="1">
      <w:start w:val="1"/>
      <w:numFmt w:val="bullet"/>
      <w:lvlText w:val="•"/>
      <w:lvlJc w:val="left"/>
      <w:pPr>
        <w:tabs>
          <w:tab w:val="num" w:pos="5040"/>
        </w:tabs>
        <w:ind w:left="5040" w:hanging="360"/>
      </w:pPr>
      <w:rPr>
        <w:rFonts w:ascii="Arial" w:hAnsi="Arial" w:hint="default"/>
      </w:rPr>
    </w:lvl>
    <w:lvl w:ilvl="7" w:tplc="F2868EA4" w:tentative="1">
      <w:start w:val="1"/>
      <w:numFmt w:val="bullet"/>
      <w:lvlText w:val="•"/>
      <w:lvlJc w:val="left"/>
      <w:pPr>
        <w:tabs>
          <w:tab w:val="num" w:pos="5760"/>
        </w:tabs>
        <w:ind w:left="5760" w:hanging="360"/>
      </w:pPr>
      <w:rPr>
        <w:rFonts w:ascii="Arial" w:hAnsi="Arial" w:hint="default"/>
      </w:rPr>
    </w:lvl>
    <w:lvl w:ilvl="8" w:tplc="8B84E4EE"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67F16778"/>
    <w:multiLevelType w:val="hybridMultilevel"/>
    <w:tmpl w:val="8D381228"/>
    <w:lvl w:ilvl="0" w:tplc="C896BE32">
      <w:start w:val="1"/>
      <w:numFmt w:val="bullet"/>
      <w:lvlText w:val="•"/>
      <w:lvlJc w:val="left"/>
      <w:pPr>
        <w:tabs>
          <w:tab w:val="num" w:pos="720"/>
        </w:tabs>
        <w:ind w:left="720" w:hanging="360"/>
      </w:pPr>
      <w:rPr>
        <w:rFonts w:ascii="Arial" w:hAnsi="Arial" w:hint="default"/>
      </w:rPr>
    </w:lvl>
    <w:lvl w:ilvl="1" w:tplc="2FF65808" w:tentative="1">
      <w:start w:val="1"/>
      <w:numFmt w:val="bullet"/>
      <w:lvlText w:val="•"/>
      <w:lvlJc w:val="left"/>
      <w:pPr>
        <w:tabs>
          <w:tab w:val="num" w:pos="1440"/>
        </w:tabs>
        <w:ind w:left="1440" w:hanging="360"/>
      </w:pPr>
      <w:rPr>
        <w:rFonts w:ascii="Arial" w:hAnsi="Arial" w:hint="default"/>
      </w:rPr>
    </w:lvl>
    <w:lvl w:ilvl="2" w:tplc="C128D6C6" w:tentative="1">
      <w:start w:val="1"/>
      <w:numFmt w:val="bullet"/>
      <w:lvlText w:val="•"/>
      <w:lvlJc w:val="left"/>
      <w:pPr>
        <w:tabs>
          <w:tab w:val="num" w:pos="2160"/>
        </w:tabs>
        <w:ind w:left="2160" w:hanging="360"/>
      </w:pPr>
      <w:rPr>
        <w:rFonts w:ascii="Arial" w:hAnsi="Arial" w:hint="default"/>
      </w:rPr>
    </w:lvl>
    <w:lvl w:ilvl="3" w:tplc="0CD81726" w:tentative="1">
      <w:start w:val="1"/>
      <w:numFmt w:val="bullet"/>
      <w:lvlText w:val="•"/>
      <w:lvlJc w:val="left"/>
      <w:pPr>
        <w:tabs>
          <w:tab w:val="num" w:pos="2880"/>
        </w:tabs>
        <w:ind w:left="2880" w:hanging="360"/>
      </w:pPr>
      <w:rPr>
        <w:rFonts w:ascii="Arial" w:hAnsi="Arial" w:hint="default"/>
      </w:rPr>
    </w:lvl>
    <w:lvl w:ilvl="4" w:tplc="65FAC62C" w:tentative="1">
      <w:start w:val="1"/>
      <w:numFmt w:val="bullet"/>
      <w:lvlText w:val="•"/>
      <w:lvlJc w:val="left"/>
      <w:pPr>
        <w:tabs>
          <w:tab w:val="num" w:pos="3600"/>
        </w:tabs>
        <w:ind w:left="3600" w:hanging="360"/>
      </w:pPr>
      <w:rPr>
        <w:rFonts w:ascii="Arial" w:hAnsi="Arial" w:hint="default"/>
      </w:rPr>
    </w:lvl>
    <w:lvl w:ilvl="5" w:tplc="27764AB8" w:tentative="1">
      <w:start w:val="1"/>
      <w:numFmt w:val="bullet"/>
      <w:lvlText w:val="•"/>
      <w:lvlJc w:val="left"/>
      <w:pPr>
        <w:tabs>
          <w:tab w:val="num" w:pos="4320"/>
        </w:tabs>
        <w:ind w:left="4320" w:hanging="360"/>
      </w:pPr>
      <w:rPr>
        <w:rFonts w:ascii="Arial" w:hAnsi="Arial" w:hint="default"/>
      </w:rPr>
    </w:lvl>
    <w:lvl w:ilvl="6" w:tplc="FE4C3FD6" w:tentative="1">
      <w:start w:val="1"/>
      <w:numFmt w:val="bullet"/>
      <w:lvlText w:val="•"/>
      <w:lvlJc w:val="left"/>
      <w:pPr>
        <w:tabs>
          <w:tab w:val="num" w:pos="5040"/>
        </w:tabs>
        <w:ind w:left="5040" w:hanging="360"/>
      </w:pPr>
      <w:rPr>
        <w:rFonts w:ascii="Arial" w:hAnsi="Arial" w:hint="default"/>
      </w:rPr>
    </w:lvl>
    <w:lvl w:ilvl="7" w:tplc="4BF0B6E0" w:tentative="1">
      <w:start w:val="1"/>
      <w:numFmt w:val="bullet"/>
      <w:lvlText w:val="•"/>
      <w:lvlJc w:val="left"/>
      <w:pPr>
        <w:tabs>
          <w:tab w:val="num" w:pos="5760"/>
        </w:tabs>
        <w:ind w:left="5760" w:hanging="360"/>
      </w:pPr>
      <w:rPr>
        <w:rFonts w:ascii="Arial" w:hAnsi="Arial" w:hint="default"/>
      </w:rPr>
    </w:lvl>
    <w:lvl w:ilvl="8" w:tplc="2820CFA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690F2BF5"/>
    <w:multiLevelType w:val="hybridMultilevel"/>
    <w:tmpl w:val="4352237A"/>
    <w:lvl w:ilvl="0" w:tplc="61F094D0">
      <w:start w:val="1"/>
      <w:numFmt w:val="bullet"/>
      <w:lvlText w:val="•"/>
      <w:lvlJc w:val="left"/>
      <w:pPr>
        <w:tabs>
          <w:tab w:val="num" w:pos="720"/>
        </w:tabs>
        <w:ind w:left="720" w:hanging="360"/>
      </w:pPr>
      <w:rPr>
        <w:rFonts w:ascii="Arial" w:hAnsi="Arial" w:hint="default"/>
      </w:rPr>
    </w:lvl>
    <w:lvl w:ilvl="1" w:tplc="6D62CDDE" w:tentative="1">
      <w:start w:val="1"/>
      <w:numFmt w:val="bullet"/>
      <w:lvlText w:val="•"/>
      <w:lvlJc w:val="left"/>
      <w:pPr>
        <w:tabs>
          <w:tab w:val="num" w:pos="1440"/>
        </w:tabs>
        <w:ind w:left="1440" w:hanging="360"/>
      </w:pPr>
      <w:rPr>
        <w:rFonts w:ascii="Arial" w:hAnsi="Arial" w:hint="default"/>
      </w:rPr>
    </w:lvl>
    <w:lvl w:ilvl="2" w:tplc="3C3E8D90" w:tentative="1">
      <w:start w:val="1"/>
      <w:numFmt w:val="bullet"/>
      <w:lvlText w:val="•"/>
      <w:lvlJc w:val="left"/>
      <w:pPr>
        <w:tabs>
          <w:tab w:val="num" w:pos="2160"/>
        </w:tabs>
        <w:ind w:left="2160" w:hanging="360"/>
      </w:pPr>
      <w:rPr>
        <w:rFonts w:ascii="Arial" w:hAnsi="Arial" w:hint="default"/>
      </w:rPr>
    </w:lvl>
    <w:lvl w:ilvl="3" w:tplc="5AFAC242" w:tentative="1">
      <w:start w:val="1"/>
      <w:numFmt w:val="bullet"/>
      <w:lvlText w:val="•"/>
      <w:lvlJc w:val="left"/>
      <w:pPr>
        <w:tabs>
          <w:tab w:val="num" w:pos="2880"/>
        </w:tabs>
        <w:ind w:left="2880" w:hanging="360"/>
      </w:pPr>
      <w:rPr>
        <w:rFonts w:ascii="Arial" w:hAnsi="Arial" w:hint="default"/>
      </w:rPr>
    </w:lvl>
    <w:lvl w:ilvl="4" w:tplc="1466EEF0" w:tentative="1">
      <w:start w:val="1"/>
      <w:numFmt w:val="bullet"/>
      <w:lvlText w:val="•"/>
      <w:lvlJc w:val="left"/>
      <w:pPr>
        <w:tabs>
          <w:tab w:val="num" w:pos="3600"/>
        </w:tabs>
        <w:ind w:left="3600" w:hanging="360"/>
      </w:pPr>
      <w:rPr>
        <w:rFonts w:ascii="Arial" w:hAnsi="Arial" w:hint="default"/>
      </w:rPr>
    </w:lvl>
    <w:lvl w:ilvl="5" w:tplc="FBE07E0C" w:tentative="1">
      <w:start w:val="1"/>
      <w:numFmt w:val="bullet"/>
      <w:lvlText w:val="•"/>
      <w:lvlJc w:val="left"/>
      <w:pPr>
        <w:tabs>
          <w:tab w:val="num" w:pos="4320"/>
        </w:tabs>
        <w:ind w:left="4320" w:hanging="360"/>
      </w:pPr>
      <w:rPr>
        <w:rFonts w:ascii="Arial" w:hAnsi="Arial" w:hint="default"/>
      </w:rPr>
    </w:lvl>
    <w:lvl w:ilvl="6" w:tplc="288CDFB0" w:tentative="1">
      <w:start w:val="1"/>
      <w:numFmt w:val="bullet"/>
      <w:lvlText w:val="•"/>
      <w:lvlJc w:val="left"/>
      <w:pPr>
        <w:tabs>
          <w:tab w:val="num" w:pos="5040"/>
        </w:tabs>
        <w:ind w:left="5040" w:hanging="360"/>
      </w:pPr>
      <w:rPr>
        <w:rFonts w:ascii="Arial" w:hAnsi="Arial" w:hint="default"/>
      </w:rPr>
    </w:lvl>
    <w:lvl w:ilvl="7" w:tplc="0A362422" w:tentative="1">
      <w:start w:val="1"/>
      <w:numFmt w:val="bullet"/>
      <w:lvlText w:val="•"/>
      <w:lvlJc w:val="left"/>
      <w:pPr>
        <w:tabs>
          <w:tab w:val="num" w:pos="5760"/>
        </w:tabs>
        <w:ind w:left="5760" w:hanging="360"/>
      </w:pPr>
      <w:rPr>
        <w:rFonts w:ascii="Arial" w:hAnsi="Arial" w:hint="default"/>
      </w:rPr>
    </w:lvl>
    <w:lvl w:ilvl="8" w:tplc="6F2E9DAC"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69A4175B"/>
    <w:multiLevelType w:val="hybridMultilevel"/>
    <w:tmpl w:val="79B0DD5E"/>
    <w:lvl w:ilvl="0" w:tplc="239A4D86">
      <w:start w:val="1"/>
      <w:numFmt w:val="bullet"/>
      <w:lvlText w:val="•"/>
      <w:lvlJc w:val="left"/>
      <w:pPr>
        <w:tabs>
          <w:tab w:val="num" w:pos="720"/>
        </w:tabs>
        <w:ind w:left="720" w:hanging="360"/>
      </w:pPr>
      <w:rPr>
        <w:rFonts w:ascii="Arial" w:hAnsi="Arial" w:hint="default"/>
      </w:rPr>
    </w:lvl>
    <w:lvl w:ilvl="1" w:tplc="7FC6648C" w:tentative="1">
      <w:start w:val="1"/>
      <w:numFmt w:val="bullet"/>
      <w:lvlText w:val="•"/>
      <w:lvlJc w:val="left"/>
      <w:pPr>
        <w:tabs>
          <w:tab w:val="num" w:pos="1440"/>
        </w:tabs>
        <w:ind w:left="1440" w:hanging="360"/>
      </w:pPr>
      <w:rPr>
        <w:rFonts w:ascii="Arial" w:hAnsi="Arial" w:hint="default"/>
      </w:rPr>
    </w:lvl>
    <w:lvl w:ilvl="2" w:tplc="CB9E15EE" w:tentative="1">
      <w:start w:val="1"/>
      <w:numFmt w:val="bullet"/>
      <w:lvlText w:val="•"/>
      <w:lvlJc w:val="left"/>
      <w:pPr>
        <w:tabs>
          <w:tab w:val="num" w:pos="2160"/>
        </w:tabs>
        <w:ind w:left="2160" w:hanging="360"/>
      </w:pPr>
      <w:rPr>
        <w:rFonts w:ascii="Arial" w:hAnsi="Arial" w:hint="default"/>
      </w:rPr>
    </w:lvl>
    <w:lvl w:ilvl="3" w:tplc="93F0D6EC" w:tentative="1">
      <w:start w:val="1"/>
      <w:numFmt w:val="bullet"/>
      <w:lvlText w:val="•"/>
      <w:lvlJc w:val="left"/>
      <w:pPr>
        <w:tabs>
          <w:tab w:val="num" w:pos="2880"/>
        </w:tabs>
        <w:ind w:left="2880" w:hanging="360"/>
      </w:pPr>
      <w:rPr>
        <w:rFonts w:ascii="Arial" w:hAnsi="Arial" w:hint="default"/>
      </w:rPr>
    </w:lvl>
    <w:lvl w:ilvl="4" w:tplc="C0E80EC8" w:tentative="1">
      <w:start w:val="1"/>
      <w:numFmt w:val="bullet"/>
      <w:lvlText w:val="•"/>
      <w:lvlJc w:val="left"/>
      <w:pPr>
        <w:tabs>
          <w:tab w:val="num" w:pos="3600"/>
        </w:tabs>
        <w:ind w:left="3600" w:hanging="360"/>
      </w:pPr>
      <w:rPr>
        <w:rFonts w:ascii="Arial" w:hAnsi="Arial" w:hint="default"/>
      </w:rPr>
    </w:lvl>
    <w:lvl w:ilvl="5" w:tplc="871228DC" w:tentative="1">
      <w:start w:val="1"/>
      <w:numFmt w:val="bullet"/>
      <w:lvlText w:val="•"/>
      <w:lvlJc w:val="left"/>
      <w:pPr>
        <w:tabs>
          <w:tab w:val="num" w:pos="4320"/>
        </w:tabs>
        <w:ind w:left="4320" w:hanging="360"/>
      </w:pPr>
      <w:rPr>
        <w:rFonts w:ascii="Arial" w:hAnsi="Arial" w:hint="default"/>
      </w:rPr>
    </w:lvl>
    <w:lvl w:ilvl="6" w:tplc="CC74F79A" w:tentative="1">
      <w:start w:val="1"/>
      <w:numFmt w:val="bullet"/>
      <w:lvlText w:val="•"/>
      <w:lvlJc w:val="left"/>
      <w:pPr>
        <w:tabs>
          <w:tab w:val="num" w:pos="5040"/>
        </w:tabs>
        <w:ind w:left="5040" w:hanging="360"/>
      </w:pPr>
      <w:rPr>
        <w:rFonts w:ascii="Arial" w:hAnsi="Arial" w:hint="default"/>
      </w:rPr>
    </w:lvl>
    <w:lvl w:ilvl="7" w:tplc="82DA7B46" w:tentative="1">
      <w:start w:val="1"/>
      <w:numFmt w:val="bullet"/>
      <w:lvlText w:val="•"/>
      <w:lvlJc w:val="left"/>
      <w:pPr>
        <w:tabs>
          <w:tab w:val="num" w:pos="5760"/>
        </w:tabs>
        <w:ind w:left="5760" w:hanging="360"/>
      </w:pPr>
      <w:rPr>
        <w:rFonts w:ascii="Arial" w:hAnsi="Arial" w:hint="default"/>
      </w:rPr>
    </w:lvl>
    <w:lvl w:ilvl="8" w:tplc="CC2647C2"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CFA7795"/>
    <w:multiLevelType w:val="hybridMultilevel"/>
    <w:tmpl w:val="DA8E1C58"/>
    <w:lvl w:ilvl="0" w:tplc="A50AF6C8">
      <w:start w:val="1"/>
      <w:numFmt w:val="bullet"/>
      <w:lvlText w:val="•"/>
      <w:lvlJc w:val="left"/>
      <w:pPr>
        <w:tabs>
          <w:tab w:val="num" w:pos="720"/>
        </w:tabs>
        <w:ind w:left="720" w:hanging="360"/>
      </w:pPr>
      <w:rPr>
        <w:rFonts w:ascii="Arial" w:hAnsi="Arial" w:hint="default"/>
      </w:rPr>
    </w:lvl>
    <w:lvl w:ilvl="1" w:tplc="0728E11C">
      <w:start w:val="1"/>
      <w:numFmt w:val="bullet"/>
      <w:lvlText w:val="•"/>
      <w:lvlJc w:val="left"/>
      <w:pPr>
        <w:tabs>
          <w:tab w:val="num" w:pos="1440"/>
        </w:tabs>
        <w:ind w:left="1440" w:hanging="360"/>
      </w:pPr>
      <w:rPr>
        <w:rFonts w:ascii="Arial" w:hAnsi="Arial" w:hint="default"/>
      </w:rPr>
    </w:lvl>
    <w:lvl w:ilvl="2" w:tplc="6D7EF1F2" w:tentative="1">
      <w:start w:val="1"/>
      <w:numFmt w:val="bullet"/>
      <w:lvlText w:val="•"/>
      <w:lvlJc w:val="left"/>
      <w:pPr>
        <w:tabs>
          <w:tab w:val="num" w:pos="2160"/>
        </w:tabs>
        <w:ind w:left="2160" w:hanging="360"/>
      </w:pPr>
      <w:rPr>
        <w:rFonts w:ascii="Arial" w:hAnsi="Arial" w:hint="default"/>
      </w:rPr>
    </w:lvl>
    <w:lvl w:ilvl="3" w:tplc="7434658E" w:tentative="1">
      <w:start w:val="1"/>
      <w:numFmt w:val="bullet"/>
      <w:lvlText w:val="•"/>
      <w:lvlJc w:val="left"/>
      <w:pPr>
        <w:tabs>
          <w:tab w:val="num" w:pos="2880"/>
        </w:tabs>
        <w:ind w:left="2880" w:hanging="360"/>
      </w:pPr>
      <w:rPr>
        <w:rFonts w:ascii="Arial" w:hAnsi="Arial" w:hint="default"/>
      </w:rPr>
    </w:lvl>
    <w:lvl w:ilvl="4" w:tplc="6A2ECE9C" w:tentative="1">
      <w:start w:val="1"/>
      <w:numFmt w:val="bullet"/>
      <w:lvlText w:val="•"/>
      <w:lvlJc w:val="left"/>
      <w:pPr>
        <w:tabs>
          <w:tab w:val="num" w:pos="3600"/>
        </w:tabs>
        <w:ind w:left="3600" w:hanging="360"/>
      </w:pPr>
      <w:rPr>
        <w:rFonts w:ascii="Arial" w:hAnsi="Arial" w:hint="default"/>
      </w:rPr>
    </w:lvl>
    <w:lvl w:ilvl="5" w:tplc="EC5E54D6" w:tentative="1">
      <w:start w:val="1"/>
      <w:numFmt w:val="bullet"/>
      <w:lvlText w:val="•"/>
      <w:lvlJc w:val="left"/>
      <w:pPr>
        <w:tabs>
          <w:tab w:val="num" w:pos="4320"/>
        </w:tabs>
        <w:ind w:left="4320" w:hanging="360"/>
      </w:pPr>
      <w:rPr>
        <w:rFonts w:ascii="Arial" w:hAnsi="Arial" w:hint="default"/>
      </w:rPr>
    </w:lvl>
    <w:lvl w:ilvl="6" w:tplc="304C5062" w:tentative="1">
      <w:start w:val="1"/>
      <w:numFmt w:val="bullet"/>
      <w:lvlText w:val="•"/>
      <w:lvlJc w:val="left"/>
      <w:pPr>
        <w:tabs>
          <w:tab w:val="num" w:pos="5040"/>
        </w:tabs>
        <w:ind w:left="5040" w:hanging="360"/>
      </w:pPr>
      <w:rPr>
        <w:rFonts w:ascii="Arial" w:hAnsi="Arial" w:hint="default"/>
      </w:rPr>
    </w:lvl>
    <w:lvl w:ilvl="7" w:tplc="4FDC22B2" w:tentative="1">
      <w:start w:val="1"/>
      <w:numFmt w:val="bullet"/>
      <w:lvlText w:val="•"/>
      <w:lvlJc w:val="left"/>
      <w:pPr>
        <w:tabs>
          <w:tab w:val="num" w:pos="5760"/>
        </w:tabs>
        <w:ind w:left="5760" w:hanging="360"/>
      </w:pPr>
      <w:rPr>
        <w:rFonts w:ascii="Arial" w:hAnsi="Arial" w:hint="default"/>
      </w:rPr>
    </w:lvl>
    <w:lvl w:ilvl="8" w:tplc="81C6F62C"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6EC84AA3"/>
    <w:multiLevelType w:val="hybridMultilevel"/>
    <w:tmpl w:val="09CAE0C4"/>
    <w:lvl w:ilvl="0" w:tplc="7D9681E2">
      <w:start w:val="1"/>
      <w:numFmt w:val="bullet"/>
      <w:lvlText w:val="•"/>
      <w:lvlJc w:val="left"/>
      <w:pPr>
        <w:tabs>
          <w:tab w:val="num" w:pos="720"/>
        </w:tabs>
        <w:ind w:left="720" w:hanging="360"/>
      </w:pPr>
      <w:rPr>
        <w:rFonts w:ascii="Arial" w:hAnsi="Arial" w:hint="default"/>
      </w:rPr>
    </w:lvl>
    <w:lvl w:ilvl="1" w:tplc="2B1C1A5A" w:tentative="1">
      <w:start w:val="1"/>
      <w:numFmt w:val="bullet"/>
      <w:lvlText w:val="•"/>
      <w:lvlJc w:val="left"/>
      <w:pPr>
        <w:tabs>
          <w:tab w:val="num" w:pos="1440"/>
        </w:tabs>
        <w:ind w:left="1440" w:hanging="360"/>
      </w:pPr>
      <w:rPr>
        <w:rFonts w:ascii="Arial" w:hAnsi="Arial" w:hint="default"/>
      </w:rPr>
    </w:lvl>
    <w:lvl w:ilvl="2" w:tplc="7014350E" w:tentative="1">
      <w:start w:val="1"/>
      <w:numFmt w:val="bullet"/>
      <w:lvlText w:val="•"/>
      <w:lvlJc w:val="left"/>
      <w:pPr>
        <w:tabs>
          <w:tab w:val="num" w:pos="2160"/>
        </w:tabs>
        <w:ind w:left="2160" w:hanging="360"/>
      </w:pPr>
      <w:rPr>
        <w:rFonts w:ascii="Arial" w:hAnsi="Arial" w:hint="default"/>
      </w:rPr>
    </w:lvl>
    <w:lvl w:ilvl="3" w:tplc="CA0EF6E8" w:tentative="1">
      <w:start w:val="1"/>
      <w:numFmt w:val="bullet"/>
      <w:lvlText w:val="•"/>
      <w:lvlJc w:val="left"/>
      <w:pPr>
        <w:tabs>
          <w:tab w:val="num" w:pos="2880"/>
        </w:tabs>
        <w:ind w:left="2880" w:hanging="360"/>
      </w:pPr>
      <w:rPr>
        <w:rFonts w:ascii="Arial" w:hAnsi="Arial" w:hint="default"/>
      </w:rPr>
    </w:lvl>
    <w:lvl w:ilvl="4" w:tplc="A2F61F90" w:tentative="1">
      <w:start w:val="1"/>
      <w:numFmt w:val="bullet"/>
      <w:lvlText w:val="•"/>
      <w:lvlJc w:val="left"/>
      <w:pPr>
        <w:tabs>
          <w:tab w:val="num" w:pos="3600"/>
        </w:tabs>
        <w:ind w:left="3600" w:hanging="360"/>
      </w:pPr>
      <w:rPr>
        <w:rFonts w:ascii="Arial" w:hAnsi="Arial" w:hint="default"/>
      </w:rPr>
    </w:lvl>
    <w:lvl w:ilvl="5" w:tplc="2160E8F6" w:tentative="1">
      <w:start w:val="1"/>
      <w:numFmt w:val="bullet"/>
      <w:lvlText w:val="•"/>
      <w:lvlJc w:val="left"/>
      <w:pPr>
        <w:tabs>
          <w:tab w:val="num" w:pos="4320"/>
        </w:tabs>
        <w:ind w:left="4320" w:hanging="360"/>
      </w:pPr>
      <w:rPr>
        <w:rFonts w:ascii="Arial" w:hAnsi="Arial" w:hint="default"/>
      </w:rPr>
    </w:lvl>
    <w:lvl w:ilvl="6" w:tplc="CAEEA8D6" w:tentative="1">
      <w:start w:val="1"/>
      <w:numFmt w:val="bullet"/>
      <w:lvlText w:val="•"/>
      <w:lvlJc w:val="left"/>
      <w:pPr>
        <w:tabs>
          <w:tab w:val="num" w:pos="5040"/>
        </w:tabs>
        <w:ind w:left="5040" w:hanging="360"/>
      </w:pPr>
      <w:rPr>
        <w:rFonts w:ascii="Arial" w:hAnsi="Arial" w:hint="default"/>
      </w:rPr>
    </w:lvl>
    <w:lvl w:ilvl="7" w:tplc="95CC5EEE" w:tentative="1">
      <w:start w:val="1"/>
      <w:numFmt w:val="bullet"/>
      <w:lvlText w:val="•"/>
      <w:lvlJc w:val="left"/>
      <w:pPr>
        <w:tabs>
          <w:tab w:val="num" w:pos="5760"/>
        </w:tabs>
        <w:ind w:left="5760" w:hanging="360"/>
      </w:pPr>
      <w:rPr>
        <w:rFonts w:ascii="Arial" w:hAnsi="Arial" w:hint="default"/>
      </w:rPr>
    </w:lvl>
    <w:lvl w:ilvl="8" w:tplc="2F0AFAF6"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6F2771FC"/>
    <w:multiLevelType w:val="hybridMultilevel"/>
    <w:tmpl w:val="306CF640"/>
    <w:lvl w:ilvl="0" w:tplc="8D8E194C">
      <w:start w:val="1"/>
      <w:numFmt w:val="bullet"/>
      <w:lvlText w:val="•"/>
      <w:lvlJc w:val="left"/>
      <w:pPr>
        <w:tabs>
          <w:tab w:val="num" w:pos="720"/>
        </w:tabs>
        <w:ind w:left="720" w:hanging="360"/>
      </w:pPr>
      <w:rPr>
        <w:rFonts w:ascii="Arial" w:hAnsi="Arial" w:hint="default"/>
      </w:rPr>
    </w:lvl>
    <w:lvl w:ilvl="1" w:tplc="E8EEB1E6" w:tentative="1">
      <w:start w:val="1"/>
      <w:numFmt w:val="bullet"/>
      <w:lvlText w:val="•"/>
      <w:lvlJc w:val="left"/>
      <w:pPr>
        <w:tabs>
          <w:tab w:val="num" w:pos="1440"/>
        </w:tabs>
        <w:ind w:left="1440" w:hanging="360"/>
      </w:pPr>
      <w:rPr>
        <w:rFonts w:ascii="Arial" w:hAnsi="Arial" w:hint="default"/>
      </w:rPr>
    </w:lvl>
    <w:lvl w:ilvl="2" w:tplc="49C67EF0" w:tentative="1">
      <w:start w:val="1"/>
      <w:numFmt w:val="bullet"/>
      <w:lvlText w:val="•"/>
      <w:lvlJc w:val="left"/>
      <w:pPr>
        <w:tabs>
          <w:tab w:val="num" w:pos="2160"/>
        </w:tabs>
        <w:ind w:left="2160" w:hanging="360"/>
      </w:pPr>
      <w:rPr>
        <w:rFonts w:ascii="Arial" w:hAnsi="Arial" w:hint="default"/>
      </w:rPr>
    </w:lvl>
    <w:lvl w:ilvl="3" w:tplc="4D14751E" w:tentative="1">
      <w:start w:val="1"/>
      <w:numFmt w:val="bullet"/>
      <w:lvlText w:val="•"/>
      <w:lvlJc w:val="left"/>
      <w:pPr>
        <w:tabs>
          <w:tab w:val="num" w:pos="2880"/>
        </w:tabs>
        <w:ind w:left="2880" w:hanging="360"/>
      </w:pPr>
      <w:rPr>
        <w:rFonts w:ascii="Arial" w:hAnsi="Arial" w:hint="default"/>
      </w:rPr>
    </w:lvl>
    <w:lvl w:ilvl="4" w:tplc="8EC45B70" w:tentative="1">
      <w:start w:val="1"/>
      <w:numFmt w:val="bullet"/>
      <w:lvlText w:val="•"/>
      <w:lvlJc w:val="left"/>
      <w:pPr>
        <w:tabs>
          <w:tab w:val="num" w:pos="3600"/>
        </w:tabs>
        <w:ind w:left="3600" w:hanging="360"/>
      </w:pPr>
      <w:rPr>
        <w:rFonts w:ascii="Arial" w:hAnsi="Arial" w:hint="default"/>
      </w:rPr>
    </w:lvl>
    <w:lvl w:ilvl="5" w:tplc="35C8817A" w:tentative="1">
      <w:start w:val="1"/>
      <w:numFmt w:val="bullet"/>
      <w:lvlText w:val="•"/>
      <w:lvlJc w:val="left"/>
      <w:pPr>
        <w:tabs>
          <w:tab w:val="num" w:pos="4320"/>
        </w:tabs>
        <w:ind w:left="4320" w:hanging="360"/>
      </w:pPr>
      <w:rPr>
        <w:rFonts w:ascii="Arial" w:hAnsi="Arial" w:hint="default"/>
      </w:rPr>
    </w:lvl>
    <w:lvl w:ilvl="6" w:tplc="C28AA044" w:tentative="1">
      <w:start w:val="1"/>
      <w:numFmt w:val="bullet"/>
      <w:lvlText w:val="•"/>
      <w:lvlJc w:val="left"/>
      <w:pPr>
        <w:tabs>
          <w:tab w:val="num" w:pos="5040"/>
        </w:tabs>
        <w:ind w:left="5040" w:hanging="360"/>
      </w:pPr>
      <w:rPr>
        <w:rFonts w:ascii="Arial" w:hAnsi="Arial" w:hint="default"/>
      </w:rPr>
    </w:lvl>
    <w:lvl w:ilvl="7" w:tplc="D0D8A7BC" w:tentative="1">
      <w:start w:val="1"/>
      <w:numFmt w:val="bullet"/>
      <w:lvlText w:val="•"/>
      <w:lvlJc w:val="left"/>
      <w:pPr>
        <w:tabs>
          <w:tab w:val="num" w:pos="5760"/>
        </w:tabs>
        <w:ind w:left="5760" w:hanging="360"/>
      </w:pPr>
      <w:rPr>
        <w:rFonts w:ascii="Arial" w:hAnsi="Arial" w:hint="default"/>
      </w:rPr>
    </w:lvl>
    <w:lvl w:ilvl="8" w:tplc="79262FA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6F6F4410"/>
    <w:multiLevelType w:val="hybridMultilevel"/>
    <w:tmpl w:val="92A2CFB0"/>
    <w:lvl w:ilvl="0" w:tplc="226CF5DA">
      <w:start w:val="1"/>
      <w:numFmt w:val="bullet"/>
      <w:lvlText w:val="•"/>
      <w:lvlJc w:val="left"/>
      <w:pPr>
        <w:tabs>
          <w:tab w:val="num" w:pos="720"/>
        </w:tabs>
        <w:ind w:left="720" w:hanging="360"/>
      </w:pPr>
      <w:rPr>
        <w:rFonts w:ascii="Arial" w:hAnsi="Arial" w:hint="default"/>
      </w:rPr>
    </w:lvl>
    <w:lvl w:ilvl="1" w:tplc="57362AE2" w:tentative="1">
      <w:start w:val="1"/>
      <w:numFmt w:val="bullet"/>
      <w:lvlText w:val="•"/>
      <w:lvlJc w:val="left"/>
      <w:pPr>
        <w:tabs>
          <w:tab w:val="num" w:pos="1440"/>
        </w:tabs>
        <w:ind w:left="1440" w:hanging="360"/>
      </w:pPr>
      <w:rPr>
        <w:rFonts w:ascii="Arial" w:hAnsi="Arial" w:hint="default"/>
      </w:rPr>
    </w:lvl>
    <w:lvl w:ilvl="2" w:tplc="849A6D34" w:tentative="1">
      <w:start w:val="1"/>
      <w:numFmt w:val="bullet"/>
      <w:lvlText w:val="•"/>
      <w:lvlJc w:val="left"/>
      <w:pPr>
        <w:tabs>
          <w:tab w:val="num" w:pos="2160"/>
        </w:tabs>
        <w:ind w:left="2160" w:hanging="360"/>
      </w:pPr>
      <w:rPr>
        <w:rFonts w:ascii="Arial" w:hAnsi="Arial" w:hint="default"/>
      </w:rPr>
    </w:lvl>
    <w:lvl w:ilvl="3" w:tplc="E600144A" w:tentative="1">
      <w:start w:val="1"/>
      <w:numFmt w:val="bullet"/>
      <w:lvlText w:val="•"/>
      <w:lvlJc w:val="left"/>
      <w:pPr>
        <w:tabs>
          <w:tab w:val="num" w:pos="2880"/>
        </w:tabs>
        <w:ind w:left="2880" w:hanging="360"/>
      </w:pPr>
      <w:rPr>
        <w:rFonts w:ascii="Arial" w:hAnsi="Arial" w:hint="default"/>
      </w:rPr>
    </w:lvl>
    <w:lvl w:ilvl="4" w:tplc="B576003C" w:tentative="1">
      <w:start w:val="1"/>
      <w:numFmt w:val="bullet"/>
      <w:lvlText w:val="•"/>
      <w:lvlJc w:val="left"/>
      <w:pPr>
        <w:tabs>
          <w:tab w:val="num" w:pos="3600"/>
        </w:tabs>
        <w:ind w:left="3600" w:hanging="360"/>
      </w:pPr>
      <w:rPr>
        <w:rFonts w:ascii="Arial" w:hAnsi="Arial" w:hint="default"/>
      </w:rPr>
    </w:lvl>
    <w:lvl w:ilvl="5" w:tplc="535C6A0C" w:tentative="1">
      <w:start w:val="1"/>
      <w:numFmt w:val="bullet"/>
      <w:lvlText w:val="•"/>
      <w:lvlJc w:val="left"/>
      <w:pPr>
        <w:tabs>
          <w:tab w:val="num" w:pos="4320"/>
        </w:tabs>
        <w:ind w:left="4320" w:hanging="360"/>
      </w:pPr>
      <w:rPr>
        <w:rFonts w:ascii="Arial" w:hAnsi="Arial" w:hint="default"/>
      </w:rPr>
    </w:lvl>
    <w:lvl w:ilvl="6" w:tplc="BED0D730" w:tentative="1">
      <w:start w:val="1"/>
      <w:numFmt w:val="bullet"/>
      <w:lvlText w:val="•"/>
      <w:lvlJc w:val="left"/>
      <w:pPr>
        <w:tabs>
          <w:tab w:val="num" w:pos="5040"/>
        </w:tabs>
        <w:ind w:left="5040" w:hanging="360"/>
      </w:pPr>
      <w:rPr>
        <w:rFonts w:ascii="Arial" w:hAnsi="Arial" w:hint="default"/>
      </w:rPr>
    </w:lvl>
    <w:lvl w:ilvl="7" w:tplc="00BCA0FC" w:tentative="1">
      <w:start w:val="1"/>
      <w:numFmt w:val="bullet"/>
      <w:lvlText w:val="•"/>
      <w:lvlJc w:val="left"/>
      <w:pPr>
        <w:tabs>
          <w:tab w:val="num" w:pos="5760"/>
        </w:tabs>
        <w:ind w:left="5760" w:hanging="360"/>
      </w:pPr>
      <w:rPr>
        <w:rFonts w:ascii="Arial" w:hAnsi="Arial" w:hint="default"/>
      </w:rPr>
    </w:lvl>
    <w:lvl w:ilvl="8" w:tplc="62BEAA8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0617713"/>
    <w:multiLevelType w:val="hybridMultilevel"/>
    <w:tmpl w:val="C8A612AA"/>
    <w:lvl w:ilvl="0" w:tplc="5BE6E20E">
      <w:start w:val="1"/>
      <w:numFmt w:val="bullet"/>
      <w:lvlText w:val="o"/>
      <w:lvlJc w:val="left"/>
      <w:pPr>
        <w:tabs>
          <w:tab w:val="num" w:pos="720"/>
        </w:tabs>
        <w:ind w:left="720" w:hanging="360"/>
      </w:pPr>
      <w:rPr>
        <w:rFonts w:ascii="Courier New" w:hAnsi="Courier New" w:hint="default"/>
      </w:rPr>
    </w:lvl>
    <w:lvl w:ilvl="1" w:tplc="EE469EDA" w:tentative="1">
      <w:start w:val="1"/>
      <w:numFmt w:val="bullet"/>
      <w:lvlText w:val="o"/>
      <w:lvlJc w:val="left"/>
      <w:pPr>
        <w:tabs>
          <w:tab w:val="num" w:pos="1440"/>
        </w:tabs>
        <w:ind w:left="1440" w:hanging="360"/>
      </w:pPr>
      <w:rPr>
        <w:rFonts w:ascii="Courier New" w:hAnsi="Courier New" w:hint="default"/>
      </w:rPr>
    </w:lvl>
    <w:lvl w:ilvl="2" w:tplc="BBC65512" w:tentative="1">
      <w:start w:val="1"/>
      <w:numFmt w:val="bullet"/>
      <w:lvlText w:val="o"/>
      <w:lvlJc w:val="left"/>
      <w:pPr>
        <w:tabs>
          <w:tab w:val="num" w:pos="2160"/>
        </w:tabs>
        <w:ind w:left="2160" w:hanging="360"/>
      </w:pPr>
      <w:rPr>
        <w:rFonts w:ascii="Courier New" w:hAnsi="Courier New" w:hint="default"/>
      </w:rPr>
    </w:lvl>
    <w:lvl w:ilvl="3" w:tplc="2BB6406A" w:tentative="1">
      <w:start w:val="1"/>
      <w:numFmt w:val="bullet"/>
      <w:lvlText w:val="o"/>
      <w:lvlJc w:val="left"/>
      <w:pPr>
        <w:tabs>
          <w:tab w:val="num" w:pos="2880"/>
        </w:tabs>
        <w:ind w:left="2880" w:hanging="360"/>
      </w:pPr>
      <w:rPr>
        <w:rFonts w:ascii="Courier New" w:hAnsi="Courier New" w:hint="default"/>
      </w:rPr>
    </w:lvl>
    <w:lvl w:ilvl="4" w:tplc="872AD74A" w:tentative="1">
      <w:start w:val="1"/>
      <w:numFmt w:val="bullet"/>
      <w:lvlText w:val="o"/>
      <w:lvlJc w:val="left"/>
      <w:pPr>
        <w:tabs>
          <w:tab w:val="num" w:pos="3600"/>
        </w:tabs>
        <w:ind w:left="3600" w:hanging="360"/>
      </w:pPr>
      <w:rPr>
        <w:rFonts w:ascii="Courier New" w:hAnsi="Courier New" w:hint="default"/>
      </w:rPr>
    </w:lvl>
    <w:lvl w:ilvl="5" w:tplc="EC04EB2E" w:tentative="1">
      <w:start w:val="1"/>
      <w:numFmt w:val="bullet"/>
      <w:lvlText w:val="o"/>
      <w:lvlJc w:val="left"/>
      <w:pPr>
        <w:tabs>
          <w:tab w:val="num" w:pos="4320"/>
        </w:tabs>
        <w:ind w:left="4320" w:hanging="360"/>
      </w:pPr>
      <w:rPr>
        <w:rFonts w:ascii="Courier New" w:hAnsi="Courier New" w:hint="default"/>
      </w:rPr>
    </w:lvl>
    <w:lvl w:ilvl="6" w:tplc="0AE422E8" w:tentative="1">
      <w:start w:val="1"/>
      <w:numFmt w:val="bullet"/>
      <w:lvlText w:val="o"/>
      <w:lvlJc w:val="left"/>
      <w:pPr>
        <w:tabs>
          <w:tab w:val="num" w:pos="5040"/>
        </w:tabs>
        <w:ind w:left="5040" w:hanging="360"/>
      </w:pPr>
      <w:rPr>
        <w:rFonts w:ascii="Courier New" w:hAnsi="Courier New" w:hint="default"/>
      </w:rPr>
    </w:lvl>
    <w:lvl w:ilvl="7" w:tplc="9A40FC20" w:tentative="1">
      <w:start w:val="1"/>
      <w:numFmt w:val="bullet"/>
      <w:lvlText w:val="o"/>
      <w:lvlJc w:val="left"/>
      <w:pPr>
        <w:tabs>
          <w:tab w:val="num" w:pos="5760"/>
        </w:tabs>
        <w:ind w:left="5760" w:hanging="360"/>
      </w:pPr>
      <w:rPr>
        <w:rFonts w:ascii="Courier New" w:hAnsi="Courier New" w:hint="default"/>
      </w:rPr>
    </w:lvl>
    <w:lvl w:ilvl="8" w:tplc="04382F6A" w:tentative="1">
      <w:start w:val="1"/>
      <w:numFmt w:val="bullet"/>
      <w:lvlText w:val="o"/>
      <w:lvlJc w:val="left"/>
      <w:pPr>
        <w:tabs>
          <w:tab w:val="num" w:pos="6480"/>
        </w:tabs>
        <w:ind w:left="6480" w:hanging="360"/>
      </w:pPr>
      <w:rPr>
        <w:rFonts w:ascii="Courier New" w:hAnsi="Courier New" w:hint="default"/>
      </w:rPr>
    </w:lvl>
  </w:abstractNum>
  <w:abstractNum w:abstractNumId="95" w15:restartNumberingAfterBreak="0">
    <w:nsid w:val="71F812E6"/>
    <w:multiLevelType w:val="hybridMultilevel"/>
    <w:tmpl w:val="47DC55CA"/>
    <w:lvl w:ilvl="0" w:tplc="85825674">
      <w:start w:val="1"/>
      <w:numFmt w:val="bullet"/>
      <w:lvlText w:val="•"/>
      <w:lvlJc w:val="left"/>
      <w:pPr>
        <w:tabs>
          <w:tab w:val="num" w:pos="720"/>
        </w:tabs>
        <w:ind w:left="720" w:hanging="360"/>
      </w:pPr>
      <w:rPr>
        <w:rFonts w:ascii="Arial" w:hAnsi="Arial" w:hint="default"/>
      </w:rPr>
    </w:lvl>
    <w:lvl w:ilvl="1" w:tplc="FE0CD472" w:tentative="1">
      <w:start w:val="1"/>
      <w:numFmt w:val="bullet"/>
      <w:lvlText w:val="•"/>
      <w:lvlJc w:val="left"/>
      <w:pPr>
        <w:tabs>
          <w:tab w:val="num" w:pos="1440"/>
        </w:tabs>
        <w:ind w:left="1440" w:hanging="360"/>
      </w:pPr>
      <w:rPr>
        <w:rFonts w:ascii="Arial" w:hAnsi="Arial" w:hint="default"/>
      </w:rPr>
    </w:lvl>
    <w:lvl w:ilvl="2" w:tplc="B0C2A538" w:tentative="1">
      <w:start w:val="1"/>
      <w:numFmt w:val="bullet"/>
      <w:lvlText w:val="•"/>
      <w:lvlJc w:val="left"/>
      <w:pPr>
        <w:tabs>
          <w:tab w:val="num" w:pos="2160"/>
        </w:tabs>
        <w:ind w:left="2160" w:hanging="360"/>
      </w:pPr>
      <w:rPr>
        <w:rFonts w:ascii="Arial" w:hAnsi="Arial" w:hint="default"/>
      </w:rPr>
    </w:lvl>
    <w:lvl w:ilvl="3" w:tplc="E7E6E2D8" w:tentative="1">
      <w:start w:val="1"/>
      <w:numFmt w:val="bullet"/>
      <w:lvlText w:val="•"/>
      <w:lvlJc w:val="left"/>
      <w:pPr>
        <w:tabs>
          <w:tab w:val="num" w:pos="2880"/>
        </w:tabs>
        <w:ind w:left="2880" w:hanging="360"/>
      </w:pPr>
      <w:rPr>
        <w:rFonts w:ascii="Arial" w:hAnsi="Arial" w:hint="default"/>
      </w:rPr>
    </w:lvl>
    <w:lvl w:ilvl="4" w:tplc="3600F1FE" w:tentative="1">
      <w:start w:val="1"/>
      <w:numFmt w:val="bullet"/>
      <w:lvlText w:val="•"/>
      <w:lvlJc w:val="left"/>
      <w:pPr>
        <w:tabs>
          <w:tab w:val="num" w:pos="3600"/>
        </w:tabs>
        <w:ind w:left="3600" w:hanging="360"/>
      </w:pPr>
      <w:rPr>
        <w:rFonts w:ascii="Arial" w:hAnsi="Arial" w:hint="default"/>
      </w:rPr>
    </w:lvl>
    <w:lvl w:ilvl="5" w:tplc="5E5ED820" w:tentative="1">
      <w:start w:val="1"/>
      <w:numFmt w:val="bullet"/>
      <w:lvlText w:val="•"/>
      <w:lvlJc w:val="left"/>
      <w:pPr>
        <w:tabs>
          <w:tab w:val="num" w:pos="4320"/>
        </w:tabs>
        <w:ind w:left="4320" w:hanging="360"/>
      </w:pPr>
      <w:rPr>
        <w:rFonts w:ascii="Arial" w:hAnsi="Arial" w:hint="default"/>
      </w:rPr>
    </w:lvl>
    <w:lvl w:ilvl="6" w:tplc="DAB0377C" w:tentative="1">
      <w:start w:val="1"/>
      <w:numFmt w:val="bullet"/>
      <w:lvlText w:val="•"/>
      <w:lvlJc w:val="left"/>
      <w:pPr>
        <w:tabs>
          <w:tab w:val="num" w:pos="5040"/>
        </w:tabs>
        <w:ind w:left="5040" w:hanging="360"/>
      </w:pPr>
      <w:rPr>
        <w:rFonts w:ascii="Arial" w:hAnsi="Arial" w:hint="default"/>
      </w:rPr>
    </w:lvl>
    <w:lvl w:ilvl="7" w:tplc="E51AA070" w:tentative="1">
      <w:start w:val="1"/>
      <w:numFmt w:val="bullet"/>
      <w:lvlText w:val="•"/>
      <w:lvlJc w:val="left"/>
      <w:pPr>
        <w:tabs>
          <w:tab w:val="num" w:pos="5760"/>
        </w:tabs>
        <w:ind w:left="5760" w:hanging="360"/>
      </w:pPr>
      <w:rPr>
        <w:rFonts w:ascii="Arial" w:hAnsi="Arial" w:hint="default"/>
      </w:rPr>
    </w:lvl>
    <w:lvl w:ilvl="8" w:tplc="84FC49D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723826F5"/>
    <w:multiLevelType w:val="hybridMultilevel"/>
    <w:tmpl w:val="7354F566"/>
    <w:lvl w:ilvl="0" w:tplc="0950A5D0">
      <w:start w:val="1"/>
      <w:numFmt w:val="bullet"/>
      <w:lvlText w:val="•"/>
      <w:lvlJc w:val="left"/>
      <w:pPr>
        <w:tabs>
          <w:tab w:val="num" w:pos="720"/>
        </w:tabs>
        <w:ind w:left="720" w:hanging="360"/>
      </w:pPr>
      <w:rPr>
        <w:rFonts w:ascii="Arial" w:hAnsi="Arial" w:hint="default"/>
      </w:rPr>
    </w:lvl>
    <w:lvl w:ilvl="1" w:tplc="8D289850" w:tentative="1">
      <w:start w:val="1"/>
      <w:numFmt w:val="bullet"/>
      <w:lvlText w:val="•"/>
      <w:lvlJc w:val="left"/>
      <w:pPr>
        <w:tabs>
          <w:tab w:val="num" w:pos="1440"/>
        </w:tabs>
        <w:ind w:left="1440" w:hanging="360"/>
      </w:pPr>
      <w:rPr>
        <w:rFonts w:ascii="Arial" w:hAnsi="Arial" w:hint="default"/>
      </w:rPr>
    </w:lvl>
    <w:lvl w:ilvl="2" w:tplc="B7F0E39C" w:tentative="1">
      <w:start w:val="1"/>
      <w:numFmt w:val="bullet"/>
      <w:lvlText w:val="•"/>
      <w:lvlJc w:val="left"/>
      <w:pPr>
        <w:tabs>
          <w:tab w:val="num" w:pos="2160"/>
        </w:tabs>
        <w:ind w:left="2160" w:hanging="360"/>
      </w:pPr>
      <w:rPr>
        <w:rFonts w:ascii="Arial" w:hAnsi="Arial" w:hint="default"/>
      </w:rPr>
    </w:lvl>
    <w:lvl w:ilvl="3" w:tplc="847ACF40" w:tentative="1">
      <w:start w:val="1"/>
      <w:numFmt w:val="bullet"/>
      <w:lvlText w:val="•"/>
      <w:lvlJc w:val="left"/>
      <w:pPr>
        <w:tabs>
          <w:tab w:val="num" w:pos="2880"/>
        </w:tabs>
        <w:ind w:left="2880" w:hanging="360"/>
      </w:pPr>
      <w:rPr>
        <w:rFonts w:ascii="Arial" w:hAnsi="Arial" w:hint="default"/>
      </w:rPr>
    </w:lvl>
    <w:lvl w:ilvl="4" w:tplc="56CAFDE8" w:tentative="1">
      <w:start w:val="1"/>
      <w:numFmt w:val="bullet"/>
      <w:lvlText w:val="•"/>
      <w:lvlJc w:val="left"/>
      <w:pPr>
        <w:tabs>
          <w:tab w:val="num" w:pos="3600"/>
        </w:tabs>
        <w:ind w:left="3600" w:hanging="360"/>
      </w:pPr>
      <w:rPr>
        <w:rFonts w:ascii="Arial" w:hAnsi="Arial" w:hint="default"/>
      </w:rPr>
    </w:lvl>
    <w:lvl w:ilvl="5" w:tplc="6C6E156A" w:tentative="1">
      <w:start w:val="1"/>
      <w:numFmt w:val="bullet"/>
      <w:lvlText w:val="•"/>
      <w:lvlJc w:val="left"/>
      <w:pPr>
        <w:tabs>
          <w:tab w:val="num" w:pos="4320"/>
        </w:tabs>
        <w:ind w:left="4320" w:hanging="360"/>
      </w:pPr>
      <w:rPr>
        <w:rFonts w:ascii="Arial" w:hAnsi="Arial" w:hint="default"/>
      </w:rPr>
    </w:lvl>
    <w:lvl w:ilvl="6" w:tplc="C864490A" w:tentative="1">
      <w:start w:val="1"/>
      <w:numFmt w:val="bullet"/>
      <w:lvlText w:val="•"/>
      <w:lvlJc w:val="left"/>
      <w:pPr>
        <w:tabs>
          <w:tab w:val="num" w:pos="5040"/>
        </w:tabs>
        <w:ind w:left="5040" w:hanging="360"/>
      </w:pPr>
      <w:rPr>
        <w:rFonts w:ascii="Arial" w:hAnsi="Arial" w:hint="default"/>
      </w:rPr>
    </w:lvl>
    <w:lvl w:ilvl="7" w:tplc="943894C4" w:tentative="1">
      <w:start w:val="1"/>
      <w:numFmt w:val="bullet"/>
      <w:lvlText w:val="•"/>
      <w:lvlJc w:val="left"/>
      <w:pPr>
        <w:tabs>
          <w:tab w:val="num" w:pos="5760"/>
        </w:tabs>
        <w:ind w:left="5760" w:hanging="360"/>
      </w:pPr>
      <w:rPr>
        <w:rFonts w:ascii="Arial" w:hAnsi="Arial" w:hint="default"/>
      </w:rPr>
    </w:lvl>
    <w:lvl w:ilvl="8" w:tplc="B68CA8B4"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BFB3137"/>
    <w:multiLevelType w:val="hybridMultilevel"/>
    <w:tmpl w:val="91B089BC"/>
    <w:lvl w:ilvl="0" w:tplc="70724D10">
      <w:start w:val="1"/>
      <w:numFmt w:val="bullet"/>
      <w:lvlText w:val="•"/>
      <w:lvlJc w:val="left"/>
      <w:pPr>
        <w:tabs>
          <w:tab w:val="num" w:pos="720"/>
        </w:tabs>
        <w:ind w:left="720" w:hanging="360"/>
      </w:pPr>
      <w:rPr>
        <w:rFonts w:ascii="Arial" w:hAnsi="Arial" w:hint="default"/>
      </w:rPr>
    </w:lvl>
    <w:lvl w:ilvl="1" w:tplc="B922E21C" w:tentative="1">
      <w:start w:val="1"/>
      <w:numFmt w:val="bullet"/>
      <w:lvlText w:val="•"/>
      <w:lvlJc w:val="left"/>
      <w:pPr>
        <w:tabs>
          <w:tab w:val="num" w:pos="1440"/>
        </w:tabs>
        <w:ind w:left="1440" w:hanging="360"/>
      </w:pPr>
      <w:rPr>
        <w:rFonts w:ascii="Arial" w:hAnsi="Arial" w:hint="default"/>
      </w:rPr>
    </w:lvl>
    <w:lvl w:ilvl="2" w:tplc="E3A25E76" w:tentative="1">
      <w:start w:val="1"/>
      <w:numFmt w:val="bullet"/>
      <w:lvlText w:val="•"/>
      <w:lvlJc w:val="left"/>
      <w:pPr>
        <w:tabs>
          <w:tab w:val="num" w:pos="2160"/>
        </w:tabs>
        <w:ind w:left="2160" w:hanging="360"/>
      </w:pPr>
      <w:rPr>
        <w:rFonts w:ascii="Arial" w:hAnsi="Arial" w:hint="default"/>
      </w:rPr>
    </w:lvl>
    <w:lvl w:ilvl="3" w:tplc="60645B1A" w:tentative="1">
      <w:start w:val="1"/>
      <w:numFmt w:val="bullet"/>
      <w:lvlText w:val="•"/>
      <w:lvlJc w:val="left"/>
      <w:pPr>
        <w:tabs>
          <w:tab w:val="num" w:pos="2880"/>
        </w:tabs>
        <w:ind w:left="2880" w:hanging="360"/>
      </w:pPr>
      <w:rPr>
        <w:rFonts w:ascii="Arial" w:hAnsi="Arial" w:hint="default"/>
      </w:rPr>
    </w:lvl>
    <w:lvl w:ilvl="4" w:tplc="863C3F3E" w:tentative="1">
      <w:start w:val="1"/>
      <w:numFmt w:val="bullet"/>
      <w:lvlText w:val="•"/>
      <w:lvlJc w:val="left"/>
      <w:pPr>
        <w:tabs>
          <w:tab w:val="num" w:pos="3600"/>
        </w:tabs>
        <w:ind w:left="3600" w:hanging="360"/>
      </w:pPr>
      <w:rPr>
        <w:rFonts w:ascii="Arial" w:hAnsi="Arial" w:hint="default"/>
      </w:rPr>
    </w:lvl>
    <w:lvl w:ilvl="5" w:tplc="C2220F04" w:tentative="1">
      <w:start w:val="1"/>
      <w:numFmt w:val="bullet"/>
      <w:lvlText w:val="•"/>
      <w:lvlJc w:val="left"/>
      <w:pPr>
        <w:tabs>
          <w:tab w:val="num" w:pos="4320"/>
        </w:tabs>
        <w:ind w:left="4320" w:hanging="360"/>
      </w:pPr>
      <w:rPr>
        <w:rFonts w:ascii="Arial" w:hAnsi="Arial" w:hint="default"/>
      </w:rPr>
    </w:lvl>
    <w:lvl w:ilvl="6" w:tplc="6204BD32" w:tentative="1">
      <w:start w:val="1"/>
      <w:numFmt w:val="bullet"/>
      <w:lvlText w:val="•"/>
      <w:lvlJc w:val="left"/>
      <w:pPr>
        <w:tabs>
          <w:tab w:val="num" w:pos="5040"/>
        </w:tabs>
        <w:ind w:left="5040" w:hanging="360"/>
      </w:pPr>
      <w:rPr>
        <w:rFonts w:ascii="Arial" w:hAnsi="Arial" w:hint="default"/>
      </w:rPr>
    </w:lvl>
    <w:lvl w:ilvl="7" w:tplc="DBB2DC3A" w:tentative="1">
      <w:start w:val="1"/>
      <w:numFmt w:val="bullet"/>
      <w:lvlText w:val="•"/>
      <w:lvlJc w:val="left"/>
      <w:pPr>
        <w:tabs>
          <w:tab w:val="num" w:pos="5760"/>
        </w:tabs>
        <w:ind w:left="5760" w:hanging="360"/>
      </w:pPr>
      <w:rPr>
        <w:rFonts w:ascii="Arial" w:hAnsi="Arial" w:hint="default"/>
      </w:rPr>
    </w:lvl>
    <w:lvl w:ilvl="8" w:tplc="547EBDAA"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7C117B28"/>
    <w:multiLevelType w:val="hybridMultilevel"/>
    <w:tmpl w:val="E8603B00"/>
    <w:lvl w:ilvl="0" w:tplc="E2A45D40">
      <w:start w:val="1"/>
      <w:numFmt w:val="bullet"/>
      <w:lvlText w:val="•"/>
      <w:lvlJc w:val="left"/>
      <w:pPr>
        <w:tabs>
          <w:tab w:val="num" w:pos="720"/>
        </w:tabs>
        <w:ind w:left="720" w:hanging="360"/>
      </w:pPr>
      <w:rPr>
        <w:rFonts w:ascii="Arial" w:hAnsi="Arial" w:hint="default"/>
      </w:rPr>
    </w:lvl>
    <w:lvl w:ilvl="1" w:tplc="CD0A9214" w:tentative="1">
      <w:start w:val="1"/>
      <w:numFmt w:val="bullet"/>
      <w:lvlText w:val="•"/>
      <w:lvlJc w:val="left"/>
      <w:pPr>
        <w:tabs>
          <w:tab w:val="num" w:pos="1440"/>
        </w:tabs>
        <w:ind w:left="1440" w:hanging="360"/>
      </w:pPr>
      <w:rPr>
        <w:rFonts w:ascii="Arial" w:hAnsi="Arial" w:hint="default"/>
      </w:rPr>
    </w:lvl>
    <w:lvl w:ilvl="2" w:tplc="AB986C9E" w:tentative="1">
      <w:start w:val="1"/>
      <w:numFmt w:val="bullet"/>
      <w:lvlText w:val="•"/>
      <w:lvlJc w:val="left"/>
      <w:pPr>
        <w:tabs>
          <w:tab w:val="num" w:pos="2160"/>
        </w:tabs>
        <w:ind w:left="2160" w:hanging="360"/>
      </w:pPr>
      <w:rPr>
        <w:rFonts w:ascii="Arial" w:hAnsi="Arial" w:hint="default"/>
      </w:rPr>
    </w:lvl>
    <w:lvl w:ilvl="3" w:tplc="868E6FF0" w:tentative="1">
      <w:start w:val="1"/>
      <w:numFmt w:val="bullet"/>
      <w:lvlText w:val="•"/>
      <w:lvlJc w:val="left"/>
      <w:pPr>
        <w:tabs>
          <w:tab w:val="num" w:pos="2880"/>
        </w:tabs>
        <w:ind w:left="2880" w:hanging="360"/>
      </w:pPr>
      <w:rPr>
        <w:rFonts w:ascii="Arial" w:hAnsi="Arial" w:hint="default"/>
      </w:rPr>
    </w:lvl>
    <w:lvl w:ilvl="4" w:tplc="CAF26348" w:tentative="1">
      <w:start w:val="1"/>
      <w:numFmt w:val="bullet"/>
      <w:lvlText w:val="•"/>
      <w:lvlJc w:val="left"/>
      <w:pPr>
        <w:tabs>
          <w:tab w:val="num" w:pos="3600"/>
        </w:tabs>
        <w:ind w:left="3600" w:hanging="360"/>
      </w:pPr>
      <w:rPr>
        <w:rFonts w:ascii="Arial" w:hAnsi="Arial" w:hint="default"/>
      </w:rPr>
    </w:lvl>
    <w:lvl w:ilvl="5" w:tplc="53FC4876" w:tentative="1">
      <w:start w:val="1"/>
      <w:numFmt w:val="bullet"/>
      <w:lvlText w:val="•"/>
      <w:lvlJc w:val="left"/>
      <w:pPr>
        <w:tabs>
          <w:tab w:val="num" w:pos="4320"/>
        </w:tabs>
        <w:ind w:left="4320" w:hanging="360"/>
      </w:pPr>
      <w:rPr>
        <w:rFonts w:ascii="Arial" w:hAnsi="Arial" w:hint="default"/>
      </w:rPr>
    </w:lvl>
    <w:lvl w:ilvl="6" w:tplc="50624630" w:tentative="1">
      <w:start w:val="1"/>
      <w:numFmt w:val="bullet"/>
      <w:lvlText w:val="•"/>
      <w:lvlJc w:val="left"/>
      <w:pPr>
        <w:tabs>
          <w:tab w:val="num" w:pos="5040"/>
        </w:tabs>
        <w:ind w:left="5040" w:hanging="360"/>
      </w:pPr>
      <w:rPr>
        <w:rFonts w:ascii="Arial" w:hAnsi="Arial" w:hint="default"/>
      </w:rPr>
    </w:lvl>
    <w:lvl w:ilvl="7" w:tplc="1D8E1346" w:tentative="1">
      <w:start w:val="1"/>
      <w:numFmt w:val="bullet"/>
      <w:lvlText w:val="•"/>
      <w:lvlJc w:val="left"/>
      <w:pPr>
        <w:tabs>
          <w:tab w:val="num" w:pos="5760"/>
        </w:tabs>
        <w:ind w:left="5760" w:hanging="360"/>
      </w:pPr>
      <w:rPr>
        <w:rFonts w:ascii="Arial" w:hAnsi="Arial" w:hint="default"/>
      </w:rPr>
    </w:lvl>
    <w:lvl w:ilvl="8" w:tplc="C8EEDE2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7C896DA8"/>
    <w:multiLevelType w:val="hybridMultilevel"/>
    <w:tmpl w:val="161EC54C"/>
    <w:lvl w:ilvl="0" w:tplc="A9BC1226">
      <w:start w:val="1"/>
      <w:numFmt w:val="bullet"/>
      <w:lvlText w:val="•"/>
      <w:lvlJc w:val="left"/>
      <w:pPr>
        <w:tabs>
          <w:tab w:val="num" w:pos="720"/>
        </w:tabs>
        <w:ind w:left="720" w:hanging="360"/>
      </w:pPr>
      <w:rPr>
        <w:rFonts w:ascii="Arial" w:hAnsi="Arial" w:hint="default"/>
      </w:rPr>
    </w:lvl>
    <w:lvl w:ilvl="1" w:tplc="7974F652" w:tentative="1">
      <w:start w:val="1"/>
      <w:numFmt w:val="bullet"/>
      <w:lvlText w:val="•"/>
      <w:lvlJc w:val="left"/>
      <w:pPr>
        <w:tabs>
          <w:tab w:val="num" w:pos="1440"/>
        </w:tabs>
        <w:ind w:left="1440" w:hanging="360"/>
      </w:pPr>
      <w:rPr>
        <w:rFonts w:ascii="Arial" w:hAnsi="Arial" w:hint="default"/>
      </w:rPr>
    </w:lvl>
    <w:lvl w:ilvl="2" w:tplc="68F03656" w:tentative="1">
      <w:start w:val="1"/>
      <w:numFmt w:val="bullet"/>
      <w:lvlText w:val="•"/>
      <w:lvlJc w:val="left"/>
      <w:pPr>
        <w:tabs>
          <w:tab w:val="num" w:pos="2160"/>
        </w:tabs>
        <w:ind w:left="2160" w:hanging="360"/>
      </w:pPr>
      <w:rPr>
        <w:rFonts w:ascii="Arial" w:hAnsi="Arial" w:hint="default"/>
      </w:rPr>
    </w:lvl>
    <w:lvl w:ilvl="3" w:tplc="DE8084F4" w:tentative="1">
      <w:start w:val="1"/>
      <w:numFmt w:val="bullet"/>
      <w:lvlText w:val="•"/>
      <w:lvlJc w:val="left"/>
      <w:pPr>
        <w:tabs>
          <w:tab w:val="num" w:pos="2880"/>
        </w:tabs>
        <w:ind w:left="2880" w:hanging="360"/>
      </w:pPr>
      <w:rPr>
        <w:rFonts w:ascii="Arial" w:hAnsi="Arial" w:hint="default"/>
      </w:rPr>
    </w:lvl>
    <w:lvl w:ilvl="4" w:tplc="1E3C5838" w:tentative="1">
      <w:start w:val="1"/>
      <w:numFmt w:val="bullet"/>
      <w:lvlText w:val="•"/>
      <w:lvlJc w:val="left"/>
      <w:pPr>
        <w:tabs>
          <w:tab w:val="num" w:pos="3600"/>
        </w:tabs>
        <w:ind w:left="3600" w:hanging="360"/>
      </w:pPr>
      <w:rPr>
        <w:rFonts w:ascii="Arial" w:hAnsi="Arial" w:hint="default"/>
      </w:rPr>
    </w:lvl>
    <w:lvl w:ilvl="5" w:tplc="B1F0C822" w:tentative="1">
      <w:start w:val="1"/>
      <w:numFmt w:val="bullet"/>
      <w:lvlText w:val="•"/>
      <w:lvlJc w:val="left"/>
      <w:pPr>
        <w:tabs>
          <w:tab w:val="num" w:pos="4320"/>
        </w:tabs>
        <w:ind w:left="4320" w:hanging="360"/>
      </w:pPr>
      <w:rPr>
        <w:rFonts w:ascii="Arial" w:hAnsi="Arial" w:hint="default"/>
      </w:rPr>
    </w:lvl>
    <w:lvl w:ilvl="6" w:tplc="398C0582" w:tentative="1">
      <w:start w:val="1"/>
      <w:numFmt w:val="bullet"/>
      <w:lvlText w:val="•"/>
      <w:lvlJc w:val="left"/>
      <w:pPr>
        <w:tabs>
          <w:tab w:val="num" w:pos="5040"/>
        </w:tabs>
        <w:ind w:left="5040" w:hanging="360"/>
      </w:pPr>
      <w:rPr>
        <w:rFonts w:ascii="Arial" w:hAnsi="Arial" w:hint="default"/>
      </w:rPr>
    </w:lvl>
    <w:lvl w:ilvl="7" w:tplc="99C0FB9E" w:tentative="1">
      <w:start w:val="1"/>
      <w:numFmt w:val="bullet"/>
      <w:lvlText w:val="•"/>
      <w:lvlJc w:val="left"/>
      <w:pPr>
        <w:tabs>
          <w:tab w:val="num" w:pos="5760"/>
        </w:tabs>
        <w:ind w:left="5760" w:hanging="360"/>
      </w:pPr>
      <w:rPr>
        <w:rFonts w:ascii="Arial" w:hAnsi="Arial" w:hint="default"/>
      </w:rPr>
    </w:lvl>
    <w:lvl w:ilvl="8" w:tplc="9328E6EC"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D4D439E"/>
    <w:multiLevelType w:val="hybridMultilevel"/>
    <w:tmpl w:val="71D20CDA"/>
    <w:lvl w:ilvl="0" w:tplc="631A6D64">
      <w:start w:val="1"/>
      <w:numFmt w:val="bullet"/>
      <w:lvlText w:val=""/>
      <w:lvlJc w:val="left"/>
      <w:pPr>
        <w:tabs>
          <w:tab w:val="num" w:pos="720"/>
        </w:tabs>
        <w:ind w:left="720" w:hanging="360"/>
      </w:pPr>
      <w:rPr>
        <w:rFonts w:ascii="Symbol" w:hAnsi="Symbol" w:hint="default"/>
      </w:rPr>
    </w:lvl>
    <w:lvl w:ilvl="1" w:tplc="1674A3CA" w:tentative="1">
      <w:start w:val="1"/>
      <w:numFmt w:val="bullet"/>
      <w:lvlText w:val=""/>
      <w:lvlJc w:val="left"/>
      <w:pPr>
        <w:tabs>
          <w:tab w:val="num" w:pos="1440"/>
        </w:tabs>
        <w:ind w:left="1440" w:hanging="360"/>
      </w:pPr>
      <w:rPr>
        <w:rFonts w:ascii="Symbol" w:hAnsi="Symbol" w:hint="default"/>
      </w:rPr>
    </w:lvl>
    <w:lvl w:ilvl="2" w:tplc="F1C6CA2E" w:tentative="1">
      <w:start w:val="1"/>
      <w:numFmt w:val="bullet"/>
      <w:lvlText w:val=""/>
      <w:lvlJc w:val="left"/>
      <w:pPr>
        <w:tabs>
          <w:tab w:val="num" w:pos="2160"/>
        </w:tabs>
        <w:ind w:left="2160" w:hanging="360"/>
      </w:pPr>
      <w:rPr>
        <w:rFonts w:ascii="Symbol" w:hAnsi="Symbol" w:hint="default"/>
      </w:rPr>
    </w:lvl>
    <w:lvl w:ilvl="3" w:tplc="DE90FE7E" w:tentative="1">
      <w:start w:val="1"/>
      <w:numFmt w:val="bullet"/>
      <w:lvlText w:val=""/>
      <w:lvlJc w:val="left"/>
      <w:pPr>
        <w:tabs>
          <w:tab w:val="num" w:pos="2880"/>
        </w:tabs>
        <w:ind w:left="2880" w:hanging="360"/>
      </w:pPr>
      <w:rPr>
        <w:rFonts w:ascii="Symbol" w:hAnsi="Symbol" w:hint="default"/>
      </w:rPr>
    </w:lvl>
    <w:lvl w:ilvl="4" w:tplc="BEC8B014" w:tentative="1">
      <w:start w:val="1"/>
      <w:numFmt w:val="bullet"/>
      <w:lvlText w:val=""/>
      <w:lvlJc w:val="left"/>
      <w:pPr>
        <w:tabs>
          <w:tab w:val="num" w:pos="3600"/>
        </w:tabs>
        <w:ind w:left="3600" w:hanging="360"/>
      </w:pPr>
      <w:rPr>
        <w:rFonts w:ascii="Symbol" w:hAnsi="Symbol" w:hint="default"/>
      </w:rPr>
    </w:lvl>
    <w:lvl w:ilvl="5" w:tplc="9F924F56" w:tentative="1">
      <w:start w:val="1"/>
      <w:numFmt w:val="bullet"/>
      <w:lvlText w:val=""/>
      <w:lvlJc w:val="left"/>
      <w:pPr>
        <w:tabs>
          <w:tab w:val="num" w:pos="4320"/>
        </w:tabs>
        <w:ind w:left="4320" w:hanging="360"/>
      </w:pPr>
      <w:rPr>
        <w:rFonts w:ascii="Symbol" w:hAnsi="Symbol" w:hint="default"/>
      </w:rPr>
    </w:lvl>
    <w:lvl w:ilvl="6" w:tplc="1F6828DA" w:tentative="1">
      <w:start w:val="1"/>
      <w:numFmt w:val="bullet"/>
      <w:lvlText w:val=""/>
      <w:lvlJc w:val="left"/>
      <w:pPr>
        <w:tabs>
          <w:tab w:val="num" w:pos="5040"/>
        </w:tabs>
        <w:ind w:left="5040" w:hanging="360"/>
      </w:pPr>
      <w:rPr>
        <w:rFonts w:ascii="Symbol" w:hAnsi="Symbol" w:hint="default"/>
      </w:rPr>
    </w:lvl>
    <w:lvl w:ilvl="7" w:tplc="BF52539A" w:tentative="1">
      <w:start w:val="1"/>
      <w:numFmt w:val="bullet"/>
      <w:lvlText w:val=""/>
      <w:lvlJc w:val="left"/>
      <w:pPr>
        <w:tabs>
          <w:tab w:val="num" w:pos="5760"/>
        </w:tabs>
        <w:ind w:left="5760" w:hanging="360"/>
      </w:pPr>
      <w:rPr>
        <w:rFonts w:ascii="Symbol" w:hAnsi="Symbol" w:hint="default"/>
      </w:rPr>
    </w:lvl>
    <w:lvl w:ilvl="8" w:tplc="ABF43A60"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7D5502A6"/>
    <w:multiLevelType w:val="hybridMultilevel"/>
    <w:tmpl w:val="7316B4DC"/>
    <w:lvl w:ilvl="0" w:tplc="D8B8A91E">
      <w:start w:val="1"/>
      <w:numFmt w:val="bullet"/>
      <w:lvlText w:val="•"/>
      <w:lvlJc w:val="left"/>
      <w:pPr>
        <w:tabs>
          <w:tab w:val="num" w:pos="360"/>
        </w:tabs>
        <w:ind w:left="360" w:hanging="360"/>
      </w:pPr>
      <w:rPr>
        <w:rFonts w:ascii="Arial" w:hAnsi="Arial" w:hint="default"/>
      </w:rPr>
    </w:lvl>
    <w:lvl w:ilvl="1" w:tplc="6F5EDA68" w:tentative="1">
      <w:start w:val="1"/>
      <w:numFmt w:val="bullet"/>
      <w:lvlText w:val="•"/>
      <w:lvlJc w:val="left"/>
      <w:pPr>
        <w:tabs>
          <w:tab w:val="num" w:pos="1080"/>
        </w:tabs>
        <w:ind w:left="1080" w:hanging="360"/>
      </w:pPr>
      <w:rPr>
        <w:rFonts w:ascii="Arial" w:hAnsi="Arial" w:hint="default"/>
      </w:rPr>
    </w:lvl>
    <w:lvl w:ilvl="2" w:tplc="64020CD4" w:tentative="1">
      <w:start w:val="1"/>
      <w:numFmt w:val="bullet"/>
      <w:lvlText w:val="•"/>
      <w:lvlJc w:val="left"/>
      <w:pPr>
        <w:tabs>
          <w:tab w:val="num" w:pos="1800"/>
        </w:tabs>
        <w:ind w:left="1800" w:hanging="360"/>
      </w:pPr>
      <w:rPr>
        <w:rFonts w:ascii="Arial" w:hAnsi="Arial" w:hint="default"/>
      </w:rPr>
    </w:lvl>
    <w:lvl w:ilvl="3" w:tplc="9F0AD220" w:tentative="1">
      <w:start w:val="1"/>
      <w:numFmt w:val="bullet"/>
      <w:lvlText w:val="•"/>
      <w:lvlJc w:val="left"/>
      <w:pPr>
        <w:tabs>
          <w:tab w:val="num" w:pos="2520"/>
        </w:tabs>
        <w:ind w:left="2520" w:hanging="360"/>
      </w:pPr>
      <w:rPr>
        <w:rFonts w:ascii="Arial" w:hAnsi="Arial" w:hint="default"/>
      </w:rPr>
    </w:lvl>
    <w:lvl w:ilvl="4" w:tplc="95AEBF86" w:tentative="1">
      <w:start w:val="1"/>
      <w:numFmt w:val="bullet"/>
      <w:lvlText w:val="•"/>
      <w:lvlJc w:val="left"/>
      <w:pPr>
        <w:tabs>
          <w:tab w:val="num" w:pos="3240"/>
        </w:tabs>
        <w:ind w:left="3240" w:hanging="360"/>
      </w:pPr>
      <w:rPr>
        <w:rFonts w:ascii="Arial" w:hAnsi="Arial" w:hint="default"/>
      </w:rPr>
    </w:lvl>
    <w:lvl w:ilvl="5" w:tplc="FE464F8A" w:tentative="1">
      <w:start w:val="1"/>
      <w:numFmt w:val="bullet"/>
      <w:lvlText w:val="•"/>
      <w:lvlJc w:val="left"/>
      <w:pPr>
        <w:tabs>
          <w:tab w:val="num" w:pos="3960"/>
        </w:tabs>
        <w:ind w:left="3960" w:hanging="360"/>
      </w:pPr>
      <w:rPr>
        <w:rFonts w:ascii="Arial" w:hAnsi="Arial" w:hint="default"/>
      </w:rPr>
    </w:lvl>
    <w:lvl w:ilvl="6" w:tplc="ED6619FC" w:tentative="1">
      <w:start w:val="1"/>
      <w:numFmt w:val="bullet"/>
      <w:lvlText w:val="•"/>
      <w:lvlJc w:val="left"/>
      <w:pPr>
        <w:tabs>
          <w:tab w:val="num" w:pos="4680"/>
        </w:tabs>
        <w:ind w:left="4680" w:hanging="360"/>
      </w:pPr>
      <w:rPr>
        <w:rFonts w:ascii="Arial" w:hAnsi="Arial" w:hint="default"/>
      </w:rPr>
    </w:lvl>
    <w:lvl w:ilvl="7" w:tplc="4394DDF6" w:tentative="1">
      <w:start w:val="1"/>
      <w:numFmt w:val="bullet"/>
      <w:lvlText w:val="•"/>
      <w:lvlJc w:val="left"/>
      <w:pPr>
        <w:tabs>
          <w:tab w:val="num" w:pos="5400"/>
        </w:tabs>
        <w:ind w:left="5400" w:hanging="360"/>
      </w:pPr>
      <w:rPr>
        <w:rFonts w:ascii="Arial" w:hAnsi="Arial" w:hint="default"/>
      </w:rPr>
    </w:lvl>
    <w:lvl w:ilvl="8" w:tplc="DF44E66C" w:tentative="1">
      <w:start w:val="1"/>
      <w:numFmt w:val="bullet"/>
      <w:lvlText w:val="•"/>
      <w:lvlJc w:val="left"/>
      <w:pPr>
        <w:tabs>
          <w:tab w:val="num" w:pos="6120"/>
        </w:tabs>
        <w:ind w:left="6120" w:hanging="360"/>
      </w:pPr>
      <w:rPr>
        <w:rFonts w:ascii="Arial" w:hAnsi="Arial" w:hint="default"/>
      </w:rPr>
    </w:lvl>
  </w:abstractNum>
  <w:abstractNum w:abstractNumId="102" w15:restartNumberingAfterBreak="0">
    <w:nsid w:val="7E52749A"/>
    <w:multiLevelType w:val="hybridMultilevel"/>
    <w:tmpl w:val="F90E42BE"/>
    <w:lvl w:ilvl="0" w:tplc="F49C88C8">
      <w:start w:val="1"/>
      <w:numFmt w:val="bullet"/>
      <w:lvlText w:val="•"/>
      <w:lvlJc w:val="left"/>
      <w:pPr>
        <w:tabs>
          <w:tab w:val="num" w:pos="720"/>
        </w:tabs>
        <w:ind w:left="720" w:hanging="360"/>
      </w:pPr>
      <w:rPr>
        <w:rFonts w:ascii="Arial" w:hAnsi="Arial" w:hint="default"/>
      </w:rPr>
    </w:lvl>
    <w:lvl w:ilvl="1" w:tplc="F9CE1F4E" w:tentative="1">
      <w:start w:val="1"/>
      <w:numFmt w:val="bullet"/>
      <w:lvlText w:val="•"/>
      <w:lvlJc w:val="left"/>
      <w:pPr>
        <w:tabs>
          <w:tab w:val="num" w:pos="1440"/>
        </w:tabs>
        <w:ind w:left="1440" w:hanging="360"/>
      </w:pPr>
      <w:rPr>
        <w:rFonts w:ascii="Arial" w:hAnsi="Arial" w:hint="default"/>
      </w:rPr>
    </w:lvl>
    <w:lvl w:ilvl="2" w:tplc="56402C06" w:tentative="1">
      <w:start w:val="1"/>
      <w:numFmt w:val="bullet"/>
      <w:lvlText w:val="•"/>
      <w:lvlJc w:val="left"/>
      <w:pPr>
        <w:tabs>
          <w:tab w:val="num" w:pos="2160"/>
        </w:tabs>
        <w:ind w:left="2160" w:hanging="360"/>
      </w:pPr>
      <w:rPr>
        <w:rFonts w:ascii="Arial" w:hAnsi="Arial" w:hint="default"/>
      </w:rPr>
    </w:lvl>
    <w:lvl w:ilvl="3" w:tplc="43E8A924" w:tentative="1">
      <w:start w:val="1"/>
      <w:numFmt w:val="bullet"/>
      <w:lvlText w:val="•"/>
      <w:lvlJc w:val="left"/>
      <w:pPr>
        <w:tabs>
          <w:tab w:val="num" w:pos="2880"/>
        </w:tabs>
        <w:ind w:left="2880" w:hanging="360"/>
      </w:pPr>
      <w:rPr>
        <w:rFonts w:ascii="Arial" w:hAnsi="Arial" w:hint="default"/>
      </w:rPr>
    </w:lvl>
    <w:lvl w:ilvl="4" w:tplc="6DF032B6" w:tentative="1">
      <w:start w:val="1"/>
      <w:numFmt w:val="bullet"/>
      <w:lvlText w:val="•"/>
      <w:lvlJc w:val="left"/>
      <w:pPr>
        <w:tabs>
          <w:tab w:val="num" w:pos="3600"/>
        </w:tabs>
        <w:ind w:left="3600" w:hanging="360"/>
      </w:pPr>
      <w:rPr>
        <w:rFonts w:ascii="Arial" w:hAnsi="Arial" w:hint="default"/>
      </w:rPr>
    </w:lvl>
    <w:lvl w:ilvl="5" w:tplc="FFA2888A" w:tentative="1">
      <w:start w:val="1"/>
      <w:numFmt w:val="bullet"/>
      <w:lvlText w:val="•"/>
      <w:lvlJc w:val="left"/>
      <w:pPr>
        <w:tabs>
          <w:tab w:val="num" w:pos="4320"/>
        </w:tabs>
        <w:ind w:left="4320" w:hanging="360"/>
      </w:pPr>
      <w:rPr>
        <w:rFonts w:ascii="Arial" w:hAnsi="Arial" w:hint="default"/>
      </w:rPr>
    </w:lvl>
    <w:lvl w:ilvl="6" w:tplc="BED201F0" w:tentative="1">
      <w:start w:val="1"/>
      <w:numFmt w:val="bullet"/>
      <w:lvlText w:val="•"/>
      <w:lvlJc w:val="left"/>
      <w:pPr>
        <w:tabs>
          <w:tab w:val="num" w:pos="5040"/>
        </w:tabs>
        <w:ind w:left="5040" w:hanging="360"/>
      </w:pPr>
      <w:rPr>
        <w:rFonts w:ascii="Arial" w:hAnsi="Arial" w:hint="default"/>
      </w:rPr>
    </w:lvl>
    <w:lvl w:ilvl="7" w:tplc="BF9C37D2" w:tentative="1">
      <w:start w:val="1"/>
      <w:numFmt w:val="bullet"/>
      <w:lvlText w:val="•"/>
      <w:lvlJc w:val="left"/>
      <w:pPr>
        <w:tabs>
          <w:tab w:val="num" w:pos="5760"/>
        </w:tabs>
        <w:ind w:left="5760" w:hanging="360"/>
      </w:pPr>
      <w:rPr>
        <w:rFonts w:ascii="Arial" w:hAnsi="Arial" w:hint="default"/>
      </w:rPr>
    </w:lvl>
    <w:lvl w:ilvl="8" w:tplc="F9DC0BF0" w:tentative="1">
      <w:start w:val="1"/>
      <w:numFmt w:val="bullet"/>
      <w:lvlText w:val="•"/>
      <w:lvlJc w:val="left"/>
      <w:pPr>
        <w:tabs>
          <w:tab w:val="num" w:pos="6480"/>
        </w:tabs>
        <w:ind w:left="6480" w:hanging="360"/>
      </w:pPr>
      <w:rPr>
        <w:rFonts w:ascii="Arial" w:hAnsi="Arial" w:hint="default"/>
      </w:rPr>
    </w:lvl>
  </w:abstractNum>
  <w:num w:numId="1" w16cid:durableId="500896007">
    <w:abstractNumId w:val="4"/>
  </w:num>
  <w:num w:numId="2" w16cid:durableId="1848444683">
    <w:abstractNumId w:val="97"/>
  </w:num>
  <w:num w:numId="3" w16cid:durableId="1881361008">
    <w:abstractNumId w:val="12"/>
  </w:num>
  <w:num w:numId="4" w16cid:durableId="2034921062">
    <w:abstractNumId w:val="33"/>
  </w:num>
  <w:num w:numId="5" w16cid:durableId="337465916">
    <w:abstractNumId w:val="29"/>
  </w:num>
  <w:num w:numId="6" w16cid:durableId="526260559">
    <w:abstractNumId w:val="49"/>
  </w:num>
  <w:num w:numId="7" w16cid:durableId="1190025752">
    <w:abstractNumId w:val="7"/>
  </w:num>
  <w:num w:numId="8" w16cid:durableId="2094466336">
    <w:abstractNumId w:val="53"/>
  </w:num>
  <w:num w:numId="9" w16cid:durableId="1829323978">
    <w:abstractNumId w:val="87"/>
  </w:num>
  <w:num w:numId="10" w16cid:durableId="1460150652">
    <w:abstractNumId w:val="65"/>
  </w:num>
  <w:num w:numId="11" w16cid:durableId="2136488385">
    <w:abstractNumId w:val="47"/>
  </w:num>
  <w:num w:numId="12" w16cid:durableId="790829152">
    <w:abstractNumId w:val="31"/>
  </w:num>
  <w:num w:numId="13" w16cid:durableId="218983484">
    <w:abstractNumId w:val="89"/>
  </w:num>
  <w:num w:numId="14" w16cid:durableId="53551865">
    <w:abstractNumId w:val="23"/>
  </w:num>
  <w:num w:numId="15" w16cid:durableId="2036301254">
    <w:abstractNumId w:val="67"/>
  </w:num>
  <w:num w:numId="16" w16cid:durableId="639650317">
    <w:abstractNumId w:val="88"/>
  </w:num>
  <w:num w:numId="17" w16cid:durableId="2025279668">
    <w:abstractNumId w:val="70"/>
  </w:num>
  <w:num w:numId="18" w16cid:durableId="1606041414">
    <w:abstractNumId w:val="22"/>
  </w:num>
  <w:num w:numId="19" w16cid:durableId="1671902931">
    <w:abstractNumId w:val="85"/>
  </w:num>
  <w:num w:numId="20" w16cid:durableId="205683886">
    <w:abstractNumId w:val="45"/>
  </w:num>
  <w:num w:numId="21" w16cid:durableId="1791901536">
    <w:abstractNumId w:val="82"/>
  </w:num>
  <w:num w:numId="22" w16cid:durableId="85344331">
    <w:abstractNumId w:val="69"/>
  </w:num>
  <w:num w:numId="23" w16cid:durableId="1258126833">
    <w:abstractNumId w:val="44"/>
  </w:num>
  <w:num w:numId="24" w16cid:durableId="1389722442">
    <w:abstractNumId w:val="20"/>
  </w:num>
  <w:num w:numId="25" w16cid:durableId="341510391">
    <w:abstractNumId w:val="99"/>
  </w:num>
  <w:num w:numId="26" w16cid:durableId="1396471631">
    <w:abstractNumId w:val="78"/>
  </w:num>
  <w:num w:numId="27" w16cid:durableId="1368795602">
    <w:abstractNumId w:val="43"/>
  </w:num>
  <w:num w:numId="28" w16cid:durableId="569652841">
    <w:abstractNumId w:val="3"/>
  </w:num>
  <w:num w:numId="29" w16cid:durableId="521817678">
    <w:abstractNumId w:val="8"/>
  </w:num>
  <w:num w:numId="30" w16cid:durableId="225730649">
    <w:abstractNumId w:val="41"/>
  </w:num>
  <w:num w:numId="31" w16cid:durableId="1760638468">
    <w:abstractNumId w:val="66"/>
  </w:num>
  <w:num w:numId="32" w16cid:durableId="1689597558">
    <w:abstractNumId w:val="34"/>
  </w:num>
  <w:num w:numId="33" w16cid:durableId="120803422">
    <w:abstractNumId w:val="71"/>
  </w:num>
  <w:num w:numId="34" w16cid:durableId="697588629">
    <w:abstractNumId w:val="10"/>
  </w:num>
  <w:num w:numId="35" w16cid:durableId="915283945">
    <w:abstractNumId w:val="24"/>
  </w:num>
  <w:num w:numId="36" w16cid:durableId="1712802373">
    <w:abstractNumId w:val="94"/>
  </w:num>
  <w:num w:numId="37" w16cid:durableId="77603499">
    <w:abstractNumId w:val="72"/>
  </w:num>
  <w:num w:numId="38" w16cid:durableId="1190417735">
    <w:abstractNumId w:val="100"/>
  </w:num>
  <w:num w:numId="39" w16cid:durableId="1055785090">
    <w:abstractNumId w:val="79"/>
  </w:num>
  <w:num w:numId="40" w16cid:durableId="1858347873">
    <w:abstractNumId w:val="42"/>
  </w:num>
  <w:num w:numId="41" w16cid:durableId="601302663">
    <w:abstractNumId w:val="27"/>
  </w:num>
  <w:num w:numId="42" w16cid:durableId="1397225">
    <w:abstractNumId w:val="74"/>
  </w:num>
  <w:num w:numId="43" w16cid:durableId="239750389">
    <w:abstractNumId w:val="17"/>
  </w:num>
  <w:num w:numId="44" w16cid:durableId="509223323">
    <w:abstractNumId w:val="26"/>
  </w:num>
  <w:num w:numId="45" w16cid:durableId="2137216478">
    <w:abstractNumId w:val="92"/>
  </w:num>
  <w:num w:numId="46" w16cid:durableId="20673828">
    <w:abstractNumId w:val="5"/>
  </w:num>
  <w:num w:numId="47" w16cid:durableId="1889293000">
    <w:abstractNumId w:val="86"/>
  </w:num>
  <w:num w:numId="48" w16cid:durableId="1315601250">
    <w:abstractNumId w:val="35"/>
  </w:num>
  <w:num w:numId="49" w16cid:durableId="1049183919">
    <w:abstractNumId w:val="91"/>
  </w:num>
  <w:num w:numId="50" w16cid:durableId="1501118568">
    <w:abstractNumId w:val="25"/>
  </w:num>
  <w:num w:numId="51" w16cid:durableId="1900282230">
    <w:abstractNumId w:val="62"/>
  </w:num>
  <w:num w:numId="52" w16cid:durableId="115686522">
    <w:abstractNumId w:val="39"/>
  </w:num>
  <w:num w:numId="53" w16cid:durableId="753672406">
    <w:abstractNumId w:val="46"/>
  </w:num>
  <w:num w:numId="54" w16cid:durableId="1394501377">
    <w:abstractNumId w:val="32"/>
  </w:num>
  <w:num w:numId="55" w16cid:durableId="336733586">
    <w:abstractNumId w:val="63"/>
  </w:num>
  <w:num w:numId="56" w16cid:durableId="2112701159">
    <w:abstractNumId w:val="16"/>
  </w:num>
  <w:num w:numId="57" w16cid:durableId="1786386268">
    <w:abstractNumId w:val="59"/>
  </w:num>
  <w:num w:numId="58" w16cid:durableId="937715603">
    <w:abstractNumId w:val="73"/>
  </w:num>
  <w:num w:numId="59" w16cid:durableId="403799131">
    <w:abstractNumId w:val="95"/>
  </w:num>
  <w:num w:numId="60" w16cid:durableId="1109741987">
    <w:abstractNumId w:val="13"/>
  </w:num>
  <w:num w:numId="61" w16cid:durableId="902714197">
    <w:abstractNumId w:val="40"/>
  </w:num>
  <w:num w:numId="62" w16cid:durableId="2066416348">
    <w:abstractNumId w:val="18"/>
  </w:num>
  <w:num w:numId="63" w16cid:durableId="2051687210">
    <w:abstractNumId w:val="30"/>
  </w:num>
  <w:num w:numId="64" w16cid:durableId="384717684">
    <w:abstractNumId w:val="14"/>
  </w:num>
  <w:num w:numId="65" w16cid:durableId="1584802123">
    <w:abstractNumId w:val="51"/>
  </w:num>
  <w:num w:numId="66" w16cid:durableId="1442410009">
    <w:abstractNumId w:val="57"/>
  </w:num>
  <w:num w:numId="67" w16cid:durableId="785658192">
    <w:abstractNumId w:val="64"/>
  </w:num>
  <w:num w:numId="68" w16cid:durableId="1139227206">
    <w:abstractNumId w:val="93"/>
  </w:num>
  <w:num w:numId="69" w16cid:durableId="437792428">
    <w:abstractNumId w:val="1"/>
  </w:num>
  <w:num w:numId="70" w16cid:durableId="507016255">
    <w:abstractNumId w:val="58"/>
  </w:num>
  <w:num w:numId="71" w16cid:durableId="183133763">
    <w:abstractNumId w:val="55"/>
  </w:num>
  <w:num w:numId="72" w16cid:durableId="771634206">
    <w:abstractNumId w:val="80"/>
  </w:num>
  <w:num w:numId="73" w16cid:durableId="1113592208">
    <w:abstractNumId w:val="90"/>
  </w:num>
  <w:num w:numId="74" w16cid:durableId="824467692">
    <w:abstractNumId w:val="101"/>
  </w:num>
  <w:num w:numId="75" w16cid:durableId="128405691">
    <w:abstractNumId w:val="9"/>
  </w:num>
  <w:num w:numId="76" w16cid:durableId="590050026">
    <w:abstractNumId w:val="21"/>
  </w:num>
  <w:num w:numId="77" w16cid:durableId="935214464">
    <w:abstractNumId w:val="102"/>
  </w:num>
  <w:num w:numId="78" w16cid:durableId="89666975">
    <w:abstractNumId w:val="68"/>
  </w:num>
  <w:num w:numId="79" w16cid:durableId="1300457915">
    <w:abstractNumId w:val="84"/>
  </w:num>
  <w:num w:numId="80" w16cid:durableId="722753685">
    <w:abstractNumId w:val="28"/>
  </w:num>
  <w:num w:numId="81" w16cid:durableId="1981303901">
    <w:abstractNumId w:val="36"/>
  </w:num>
  <w:num w:numId="82" w16cid:durableId="1352142851">
    <w:abstractNumId w:val="98"/>
  </w:num>
  <w:num w:numId="83" w16cid:durableId="1250508010">
    <w:abstractNumId w:val="52"/>
  </w:num>
  <w:num w:numId="84" w16cid:durableId="1279947084">
    <w:abstractNumId w:val="11"/>
  </w:num>
  <w:num w:numId="85" w16cid:durableId="1533415703">
    <w:abstractNumId w:val="37"/>
  </w:num>
  <w:num w:numId="86" w16cid:durableId="217403281">
    <w:abstractNumId w:val="81"/>
  </w:num>
  <w:num w:numId="87" w16cid:durableId="1273441218">
    <w:abstractNumId w:val="54"/>
  </w:num>
  <w:num w:numId="88" w16cid:durableId="1585841992">
    <w:abstractNumId w:val="19"/>
  </w:num>
  <w:num w:numId="89" w16cid:durableId="547769061">
    <w:abstractNumId w:val="56"/>
  </w:num>
  <w:num w:numId="90" w16cid:durableId="364670742">
    <w:abstractNumId w:val="76"/>
  </w:num>
  <w:num w:numId="91" w16cid:durableId="1283732283">
    <w:abstractNumId w:val="75"/>
  </w:num>
  <w:num w:numId="92" w16cid:durableId="789277911">
    <w:abstractNumId w:val="2"/>
  </w:num>
  <w:num w:numId="93" w16cid:durableId="596789583">
    <w:abstractNumId w:val="38"/>
  </w:num>
  <w:num w:numId="94" w16cid:durableId="942301172">
    <w:abstractNumId w:val="48"/>
  </w:num>
  <w:num w:numId="95" w16cid:durableId="47849705">
    <w:abstractNumId w:val="61"/>
  </w:num>
  <w:num w:numId="96" w16cid:durableId="1380477983">
    <w:abstractNumId w:val="0"/>
  </w:num>
  <w:num w:numId="97" w16cid:durableId="1086457849">
    <w:abstractNumId w:val="96"/>
  </w:num>
  <w:num w:numId="98" w16cid:durableId="971442415">
    <w:abstractNumId w:val="60"/>
  </w:num>
  <w:num w:numId="99" w16cid:durableId="886724110">
    <w:abstractNumId w:val="83"/>
  </w:num>
  <w:num w:numId="100" w16cid:durableId="1696420919">
    <w:abstractNumId w:val="6"/>
  </w:num>
  <w:num w:numId="101" w16cid:durableId="257296859">
    <w:abstractNumId w:val="50"/>
  </w:num>
  <w:num w:numId="102" w16cid:durableId="768241014">
    <w:abstractNumId w:val="15"/>
  </w:num>
  <w:num w:numId="103" w16cid:durableId="697970819">
    <w:abstractNumId w:val="7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9C9"/>
    <w:rsid w:val="0000348A"/>
    <w:rsid w:val="000053F4"/>
    <w:rsid w:val="00014643"/>
    <w:rsid w:val="000179A6"/>
    <w:rsid w:val="00022326"/>
    <w:rsid w:val="0002693B"/>
    <w:rsid w:val="00030644"/>
    <w:rsid w:val="00032500"/>
    <w:rsid w:val="000350C2"/>
    <w:rsid w:val="00042408"/>
    <w:rsid w:val="00043318"/>
    <w:rsid w:val="00043689"/>
    <w:rsid w:val="00043A4F"/>
    <w:rsid w:val="00046DDD"/>
    <w:rsid w:val="00051C8E"/>
    <w:rsid w:val="00053294"/>
    <w:rsid w:val="00053369"/>
    <w:rsid w:val="00066245"/>
    <w:rsid w:val="00083E33"/>
    <w:rsid w:val="0008565D"/>
    <w:rsid w:val="000907C2"/>
    <w:rsid w:val="00091FE6"/>
    <w:rsid w:val="00092850"/>
    <w:rsid w:val="00094D04"/>
    <w:rsid w:val="000A11D9"/>
    <w:rsid w:val="000A384E"/>
    <w:rsid w:val="000A5E2C"/>
    <w:rsid w:val="000A5FB0"/>
    <w:rsid w:val="000B08A5"/>
    <w:rsid w:val="000B0AD1"/>
    <w:rsid w:val="000B0FBD"/>
    <w:rsid w:val="000B1CAF"/>
    <w:rsid w:val="000B2B37"/>
    <w:rsid w:val="000B2F96"/>
    <w:rsid w:val="000B438F"/>
    <w:rsid w:val="000B6D07"/>
    <w:rsid w:val="000B6E81"/>
    <w:rsid w:val="000D16D0"/>
    <w:rsid w:val="000D7327"/>
    <w:rsid w:val="000E2784"/>
    <w:rsid w:val="000E7A03"/>
    <w:rsid w:val="000F0853"/>
    <w:rsid w:val="000F3D9D"/>
    <w:rsid w:val="000F437E"/>
    <w:rsid w:val="000F5253"/>
    <w:rsid w:val="00103607"/>
    <w:rsid w:val="0010441D"/>
    <w:rsid w:val="001067E9"/>
    <w:rsid w:val="00107E37"/>
    <w:rsid w:val="001174AF"/>
    <w:rsid w:val="0012386B"/>
    <w:rsid w:val="001245E4"/>
    <w:rsid w:val="001249C1"/>
    <w:rsid w:val="00131470"/>
    <w:rsid w:val="00133F9A"/>
    <w:rsid w:val="0014076F"/>
    <w:rsid w:val="00142B31"/>
    <w:rsid w:val="00145223"/>
    <w:rsid w:val="0014609C"/>
    <w:rsid w:val="00147F76"/>
    <w:rsid w:val="00150C17"/>
    <w:rsid w:val="00151E16"/>
    <w:rsid w:val="001536A7"/>
    <w:rsid w:val="0015426D"/>
    <w:rsid w:val="00156145"/>
    <w:rsid w:val="00156E88"/>
    <w:rsid w:val="0015777B"/>
    <w:rsid w:val="0016072F"/>
    <w:rsid w:val="0016095F"/>
    <w:rsid w:val="0016286F"/>
    <w:rsid w:val="001634AB"/>
    <w:rsid w:val="00163E25"/>
    <w:rsid w:val="00165FC1"/>
    <w:rsid w:val="001675CD"/>
    <w:rsid w:val="0017096C"/>
    <w:rsid w:val="00171016"/>
    <w:rsid w:val="0017574F"/>
    <w:rsid w:val="00177875"/>
    <w:rsid w:val="00180828"/>
    <w:rsid w:val="00187757"/>
    <w:rsid w:val="00190899"/>
    <w:rsid w:val="0019102D"/>
    <w:rsid w:val="00194574"/>
    <w:rsid w:val="001971D1"/>
    <w:rsid w:val="00197F14"/>
    <w:rsid w:val="001A0F48"/>
    <w:rsid w:val="001A0F6A"/>
    <w:rsid w:val="001A1316"/>
    <w:rsid w:val="001A34BC"/>
    <w:rsid w:val="001A56F5"/>
    <w:rsid w:val="001B508C"/>
    <w:rsid w:val="001C0C2C"/>
    <w:rsid w:val="001C0CC3"/>
    <w:rsid w:val="001C267C"/>
    <w:rsid w:val="001C50D6"/>
    <w:rsid w:val="001C6531"/>
    <w:rsid w:val="001D14CF"/>
    <w:rsid w:val="001E1465"/>
    <w:rsid w:val="001E7E1F"/>
    <w:rsid w:val="001F1951"/>
    <w:rsid w:val="001F35E0"/>
    <w:rsid w:val="001F62CE"/>
    <w:rsid w:val="001F75D4"/>
    <w:rsid w:val="00200267"/>
    <w:rsid w:val="002030DC"/>
    <w:rsid w:val="0020329A"/>
    <w:rsid w:val="00206AB4"/>
    <w:rsid w:val="00214D30"/>
    <w:rsid w:val="00214FB4"/>
    <w:rsid w:val="00217F6A"/>
    <w:rsid w:val="00222644"/>
    <w:rsid w:val="00222D42"/>
    <w:rsid w:val="00222FD0"/>
    <w:rsid w:val="00232ECF"/>
    <w:rsid w:val="0023383D"/>
    <w:rsid w:val="00234003"/>
    <w:rsid w:val="002345E6"/>
    <w:rsid w:val="00236415"/>
    <w:rsid w:val="00236598"/>
    <w:rsid w:val="002377A1"/>
    <w:rsid w:val="002501A4"/>
    <w:rsid w:val="002545BF"/>
    <w:rsid w:val="00256E7D"/>
    <w:rsid w:val="00256F80"/>
    <w:rsid w:val="00257222"/>
    <w:rsid w:val="00265838"/>
    <w:rsid w:val="002702C2"/>
    <w:rsid w:val="00270F3E"/>
    <w:rsid w:val="00271362"/>
    <w:rsid w:val="002735AE"/>
    <w:rsid w:val="00275321"/>
    <w:rsid w:val="002757C7"/>
    <w:rsid w:val="00275BD1"/>
    <w:rsid w:val="002773B4"/>
    <w:rsid w:val="00277CC2"/>
    <w:rsid w:val="0028027F"/>
    <w:rsid w:val="0028065E"/>
    <w:rsid w:val="002867DD"/>
    <w:rsid w:val="00286FF2"/>
    <w:rsid w:val="00287D29"/>
    <w:rsid w:val="0029252C"/>
    <w:rsid w:val="002A4E50"/>
    <w:rsid w:val="002A4F13"/>
    <w:rsid w:val="002A540E"/>
    <w:rsid w:val="002A56A3"/>
    <w:rsid w:val="002A5AB1"/>
    <w:rsid w:val="002B2910"/>
    <w:rsid w:val="002B4BE9"/>
    <w:rsid w:val="002B7E3D"/>
    <w:rsid w:val="002C44D9"/>
    <w:rsid w:val="002C4A99"/>
    <w:rsid w:val="002D214C"/>
    <w:rsid w:val="002D434C"/>
    <w:rsid w:val="002E4792"/>
    <w:rsid w:val="002E6023"/>
    <w:rsid w:val="002F0DC6"/>
    <w:rsid w:val="002F1CA2"/>
    <w:rsid w:val="002F3E44"/>
    <w:rsid w:val="002F4D14"/>
    <w:rsid w:val="002F56FF"/>
    <w:rsid w:val="002F5A9B"/>
    <w:rsid w:val="00301485"/>
    <w:rsid w:val="003014B5"/>
    <w:rsid w:val="00304BD9"/>
    <w:rsid w:val="003069EF"/>
    <w:rsid w:val="00311A1C"/>
    <w:rsid w:val="00315154"/>
    <w:rsid w:val="003218BE"/>
    <w:rsid w:val="00325797"/>
    <w:rsid w:val="00332E54"/>
    <w:rsid w:val="00343475"/>
    <w:rsid w:val="00343DE5"/>
    <w:rsid w:val="00345095"/>
    <w:rsid w:val="00347A64"/>
    <w:rsid w:val="00351B81"/>
    <w:rsid w:val="0035302A"/>
    <w:rsid w:val="00353EEC"/>
    <w:rsid w:val="00355036"/>
    <w:rsid w:val="00361CBF"/>
    <w:rsid w:val="00361F93"/>
    <w:rsid w:val="0036655D"/>
    <w:rsid w:val="00367412"/>
    <w:rsid w:val="003709C9"/>
    <w:rsid w:val="00374060"/>
    <w:rsid w:val="00374E8F"/>
    <w:rsid w:val="0037583F"/>
    <w:rsid w:val="00380915"/>
    <w:rsid w:val="0038194A"/>
    <w:rsid w:val="00381EB0"/>
    <w:rsid w:val="003829C9"/>
    <w:rsid w:val="00383146"/>
    <w:rsid w:val="00383CB6"/>
    <w:rsid w:val="00386072"/>
    <w:rsid w:val="003871EF"/>
    <w:rsid w:val="00391D95"/>
    <w:rsid w:val="003933D5"/>
    <w:rsid w:val="003939E3"/>
    <w:rsid w:val="00394B72"/>
    <w:rsid w:val="00396B62"/>
    <w:rsid w:val="00397A43"/>
    <w:rsid w:val="003A0962"/>
    <w:rsid w:val="003A5171"/>
    <w:rsid w:val="003A60FD"/>
    <w:rsid w:val="003A6561"/>
    <w:rsid w:val="003B54D3"/>
    <w:rsid w:val="003B5E4D"/>
    <w:rsid w:val="003B7AB3"/>
    <w:rsid w:val="003B7E85"/>
    <w:rsid w:val="003B7ED3"/>
    <w:rsid w:val="003C07CE"/>
    <w:rsid w:val="003C4EB4"/>
    <w:rsid w:val="003D0661"/>
    <w:rsid w:val="003D23AD"/>
    <w:rsid w:val="003D5936"/>
    <w:rsid w:val="003E3455"/>
    <w:rsid w:val="003E59B8"/>
    <w:rsid w:val="003E6885"/>
    <w:rsid w:val="003E6DB6"/>
    <w:rsid w:val="003E7A61"/>
    <w:rsid w:val="003F16F3"/>
    <w:rsid w:val="003F2176"/>
    <w:rsid w:val="003F5AF8"/>
    <w:rsid w:val="003F78DE"/>
    <w:rsid w:val="00401015"/>
    <w:rsid w:val="00402F20"/>
    <w:rsid w:val="00413B55"/>
    <w:rsid w:val="004157FD"/>
    <w:rsid w:val="00416802"/>
    <w:rsid w:val="004360BF"/>
    <w:rsid w:val="004421C2"/>
    <w:rsid w:val="00445394"/>
    <w:rsid w:val="00446A17"/>
    <w:rsid w:val="00450F6F"/>
    <w:rsid w:val="00454D29"/>
    <w:rsid w:val="00455338"/>
    <w:rsid w:val="004605EA"/>
    <w:rsid w:val="00462096"/>
    <w:rsid w:val="004623E2"/>
    <w:rsid w:val="00463F4B"/>
    <w:rsid w:val="00464251"/>
    <w:rsid w:val="00464482"/>
    <w:rsid w:val="004701A7"/>
    <w:rsid w:val="00471ED5"/>
    <w:rsid w:val="004741F4"/>
    <w:rsid w:val="00475C31"/>
    <w:rsid w:val="00475F9C"/>
    <w:rsid w:val="004829C1"/>
    <w:rsid w:val="0048788D"/>
    <w:rsid w:val="004879B7"/>
    <w:rsid w:val="00490168"/>
    <w:rsid w:val="00492728"/>
    <w:rsid w:val="00493EE8"/>
    <w:rsid w:val="00495615"/>
    <w:rsid w:val="00496D3D"/>
    <w:rsid w:val="004A0B8E"/>
    <w:rsid w:val="004A0D89"/>
    <w:rsid w:val="004A59E1"/>
    <w:rsid w:val="004A5FD5"/>
    <w:rsid w:val="004B78C8"/>
    <w:rsid w:val="004C17F0"/>
    <w:rsid w:val="004C23C6"/>
    <w:rsid w:val="004C3766"/>
    <w:rsid w:val="004C5066"/>
    <w:rsid w:val="004C739F"/>
    <w:rsid w:val="004D18A7"/>
    <w:rsid w:val="004D28A6"/>
    <w:rsid w:val="004D2C08"/>
    <w:rsid w:val="004D5C8E"/>
    <w:rsid w:val="004E5B5B"/>
    <w:rsid w:val="004E75C6"/>
    <w:rsid w:val="004F63D2"/>
    <w:rsid w:val="00504BE5"/>
    <w:rsid w:val="00505D7C"/>
    <w:rsid w:val="005123F4"/>
    <w:rsid w:val="0052111B"/>
    <w:rsid w:val="005230C4"/>
    <w:rsid w:val="005258B1"/>
    <w:rsid w:val="00530A6E"/>
    <w:rsid w:val="005331D4"/>
    <w:rsid w:val="00533BCA"/>
    <w:rsid w:val="00534AD9"/>
    <w:rsid w:val="00535F39"/>
    <w:rsid w:val="00540C4B"/>
    <w:rsid w:val="00541011"/>
    <w:rsid w:val="005437A4"/>
    <w:rsid w:val="005438E9"/>
    <w:rsid w:val="005538A2"/>
    <w:rsid w:val="00553AE8"/>
    <w:rsid w:val="005546E3"/>
    <w:rsid w:val="00557B37"/>
    <w:rsid w:val="0056532F"/>
    <w:rsid w:val="00566AE2"/>
    <w:rsid w:val="00571428"/>
    <w:rsid w:val="00591904"/>
    <w:rsid w:val="0059506D"/>
    <w:rsid w:val="005962B4"/>
    <w:rsid w:val="0059656B"/>
    <w:rsid w:val="005A43F9"/>
    <w:rsid w:val="005A5442"/>
    <w:rsid w:val="005A59A4"/>
    <w:rsid w:val="005A7E98"/>
    <w:rsid w:val="005A7F2D"/>
    <w:rsid w:val="005B0A6B"/>
    <w:rsid w:val="005B2750"/>
    <w:rsid w:val="005B48EB"/>
    <w:rsid w:val="005B6A0B"/>
    <w:rsid w:val="005C2751"/>
    <w:rsid w:val="005C6590"/>
    <w:rsid w:val="005C76AD"/>
    <w:rsid w:val="005C7A2B"/>
    <w:rsid w:val="005D0D4B"/>
    <w:rsid w:val="005D12E1"/>
    <w:rsid w:val="005D1FD3"/>
    <w:rsid w:val="005D2F27"/>
    <w:rsid w:val="005D38C1"/>
    <w:rsid w:val="005D43AB"/>
    <w:rsid w:val="005D49B5"/>
    <w:rsid w:val="005D5941"/>
    <w:rsid w:val="005D6F5C"/>
    <w:rsid w:val="005E3164"/>
    <w:rsid w:val="005E335F"/>
    <w:rsid w:val="005F03D7"/>
    <w:rsid w:val="005F47D4"/>
    <w:rsid w:val="005F5E23"/>
    <w:rsid w:val="005F6247"/>
    <w:rsid w:val="0060036C"/>
    <w:rsid w:val="00605DBF"/>
    <w:rsid w:val="00607719"/>
    <w:rsid w:val="00611EC4"/>
    <w:rsid w:val="006179E0"/>
    <w:rsid w:val="00625EF8"/>
    <w:rsid w:val="0062690B"/>
    <w:rsid w:val="00627C6E"/>
    <w:rsid w:val="00630D73"/>
    <w:rsid w:val="00634810"/>
    <w:rsid w:val="0063712D"/>
    <w:rsid w:val="00642883"/>
    <w:rsid w:val="006433A3"/>
    <w:rsid w:val="00643F50"/>
    <w:rsid w:val="00647E95"/>
    <w:rsid w:val="00655D05"/>
    <w:rsid w:val="006572B2"/>
    <w:rsid w:val="006579E3"/>
    <w:rsid w:val="00661C6E"/>
    <w:rsid w:val="00663153"/>
    <w:rsid w:val="00666FED"/>
    <w:rsid w:val="00677BF3"/>
    <w:rsid w:val="00677D3A"/>
    <w:rsid w:val="00681D74"/>
    <w:rsid w:val="00682CD6"/>
    <w:rsid w:val="00690F7D"/>
    <w:rsid w:val="00694FDD"/>
    <w:rsid w:val="006975E3"/>
    <w:rsid w:val="006A488E"/>
    <w:rsid w:val="006A58AF"/>
    <w:rsid w:val="006AFA18"/>
    <w:rsid w:val="006B2B98"/>
    <w:rsid w:val="006B382D"/>
    <w:rsid w:val="006B3BE3"/>
    <w:rsid w:val="006B419D"/>
    <w:rsid w:val="006B6062"/>
    <w:rsid w:val="006BD574"/>
    <w:rsid w:val="006C371C"/>
    <w:rsid w:val="006D0167"/>
    <w:rsid w:val="006D7A32"/>
    <w:rsid w:val="006E2F14"/>
    <w:rsid w:val="006E3BB6"/>
    <w:rsid w:val="006E7421"/>
    <w:rsid w:val="006F2DC4"/>
    <w:rsid w:val="006F2F5C"/>
    <w:rsid w:val="006F7DC4"/>
    <w:rsid w:val="00700A7D"/>
    <w:rsid w:val="00702358"/>
    <w:rsid w:val="00705B9B"/>
    <w:rsid w:val="00706568"/>
    <w:rsid w:val="0071150A"/>
    <w:rsid w:val="00716040"/>
    <w:rsid w:val="0072033B"/>
    <w:rsid w:val="00731912"/>
    <w:rsid w:val="00734C00"/>
    <w:rsid w:val="007402A7"/>
    <w:rsid w:val="00740E0E"/>
    <w:rsid w:val="00741A96"/>
    <w:rsid w:val="00743F99"/>
    <w:rsid w:val="00744259"/>
    <w:rsid w:val="00746622"/>
    <w:rsid w:val="007476F0"/>
    <w:rsid w:val="00747C45"/>
    <w:rsid w:val="007523A8"/>
    <w:rsid w:val="00752877"/>
    <w:rsid w:val="00752D89"/>
    <w:rsid w:val="007561C9"/>
    <w:rsid w:val="00756444"/>
    <w:rsid w:val="007610F9"/>
    <w:rsid w:val="007614DA"/>
    <w:rsid w:val="00764EFB"/>
    <w:rsid w:val="00772377"/>
    <w:rsid w:val="00775ABA"/>
    <w:rsid w:val="0077A37A"/>
    <w:rsid w:val="0079089D"/>
    <w:rsid w:val="00791AD8"/>
    <w:rsid w:val="00794545"/>
    <w:rsid w:val="00794A1E"/>
    <w:rsid w:val="007A1D86"/>
    <w:rsid w:val="007A3497"/>
    <w:rsid w:val="007B4722"/>
    <w:rsid w:val="007B479B"/>
    <w:rsid w:val="007B5654"/>
    <w:rsid w:val="007C0590"/>
    <w:rsid w:val="007C06A7"/>
    <w:rsid w:val="007C073D"/>
    <w:rsid w:val="007C287F"/>
    <w:rsid w:val="007C2C42"/>
    <w:rsid w:val="007C5F47"/>
    <w:rsid w:val="007C6152"/>
    <w:rsid w:val="007C7499"/>
    <w:rsid w:val="007C7E4D"/>
    <w:rsid w:val="007D74BB"/>
    <w:rsid w:val="007D7D3E"/>
    <w:rsid w:val="007D7E86"/>
    <w:rsid w:val="007E0C4B"/>
    <w:rsid w:val="007E21AE"/>
    <w:rsid w:val="007E3833"/>
    <w:rsid w:val="007E4B32"/>
    <w:rsid w:val="007E659D"/>
    <w:rsid w:val="007F1AD8"/>
    <w:rsid w:val="007F4F6F"/>
    <w:rsid w:val="007F6EE7"/>
    <w:rsid w:val="007F785E"/>
    <w:rsid w:val="007F7CEF"/>
    <w:rsid w:val="008003F4"/>
    <w:rsid w:val="00800869"/>
    <w:rsid w:val="00803CE1"/>
    <w:rsid w:val="008073A9"/>
    <w:rsid w:val="00807B5A"/>
    <w:rsid w:val="00807EA3"/>
    <w:rsid w:val="008132AB"/>
    <w:rsid w:val="00813324"/>
    <w:rsid w:val="00815AD8"/>
    <w:rsid w:val="008204F2"/>
    <w:rsid w:val="00824CBF"/>
    <w:rsid w:val="00827F6C"/>
    <w:rsid w:val="00831970"/>
    <w:rsid w:val="008330B6"/>
    <w:rsid w:val="0083E613"/>
    <w:rsid w:val="008405B7"/>
    <w:rsid w:val="00843018"/>
    <w:rsid w:val="00843B67"/>
    <w:rsid w:val="00845B50"/>
    <w:rsid w:val="008513AD"/>
    <w:rsid w:val="00854B5E"/>
    <w:rsid w:val="00854CA9"/>
    <w:rsid w:val="00854E59"/>
    <w:rsid w:val="008572F8"/>
    <w:rsid w:val="008619CA"/>
    <w:rsid w:val="00865514"/>
    <w:rsid w:val="008661A2"/>
    <w:rsid w:val="00867D81"/>
    <w:rsid w:val="00871702"/>
    <w:rsid w:val="00871E4E"/>
    <w:rsid w:val="00872B36"/>
    <w:rsid w:val="008731D1"/>
    <w:rsid w:val="00873496"/>
    <w:rsid w:val="00873F34"/>
    <w:rsid w:val="00886449"/>
    <w:rsid w:val="00893A89"/>
    <w:rsid w:val="008954F8"/>
    <w:rsid w:val="00897142"/>
    <w:rsid w:val="008A780B"/>
    <w:rsid w:val="008B2807"/>
    <w:rsid w:val="008B2F77"/>
    <w:rsid w:val="008B3A59"/>
    <w:rsid w:val="008D0F2F"/>
    <w:rsid w:val="008E0170"/>
    <w:rsid w:val="008E5A0B"/>
    <w:rsid w:val="008E7B59"/>
    <w:rsid w:val="008F1B8E"/>
    <w:rsid w:val="008F66D0"/>
    <w:rsid w:val="00905ED7"/>
    <w:rsid w:val="00905F8B"/>
    <w:rsid w:val="00906AD9"/>
    <w:rsid w:val="0090725E"/>
    <w:rsid w:val="00910A47"/>
    <w:rsid w:val="00911AF7"/>
    <w:rsid w:val="00915631"/>
    <w:rsid w:val="00917840"/>
    <w:rsid w:val="00921589"/>
    <w:rsid w:val="009232CF"/>
    <w:rsid w:val="00923529"/>
    <w:rsid w:val="00923D7E"/>
    <w:rsid w:val="00935DD5"/>
    <w:rsid w:val="00936271"/>
    <w:rsid w:val="009370FC"/>
    <w:rsid w:val="009378D7"/>
    <w:rsid w:val="009410EE"/>
    <w:rsid w:val="009439F5"/>
    <w:rsid w:val="00944E60"/>
    <w:rsid w:val="00946EE0"/>
    <w:rsid w:val="009479A7"/>
    <w:rsid w:val="00951B87"/>
    <w:rsid w:val="0095267C"/>
    <w:rsid w:val="009568B8"/>
    <w:rsid w:val="00957C3F"/>
    <w:rsid w:val="00957EE9"/>
    <w:rsid w:val="00960602"/>
    <w:rsid w:val="009661AD"/>
    <w:rsid w:val="00967359"/>
    <w:rsid w:val="0097057E"/>
    <w:rsid w:val="00972C95"/>
    <w:rsid w:val="009753FA"/>
    <w:rsid w:val="00977793"/>
    <w:rsid w:val="009839C2"/>
    <w:rsid w:val="00986826"/>
    <w:rsid w:val="00986958"/>
    <w:rsid w:val="0098752F"/>
    <w:rsid w:val="00991A6F"/>
    <w:rsid w:val="0099245F"/>
    <w:rsid w:val="00992F88"/>
    <w:rsid w:val="00993B19"/>
    <w:rsid w:val="009947A6"/>
    <w:rsid w:val="0099554D"/>
    <w:rsid w:val="00997D8C"/>
    <w:rsid w:val="009A123A"/>
    <w:rsid w:val="009A4138"/>
    <w:rsid w:val="009A5867"/>
    <w:rsid w:val="009A6CA6"/>
    <w:rsid w:val="009B1FD9"/>
    <w:rsid w:val="009B3356"/>
    <w:rsid w:val="009B4050"/>
    <w:rsid w:val="009B65EA"/>
    <w:rsid w:val="009C32E7"/>
    <w:rsid w:val="009C34B0"/>
    <w:rsid w:val="009C41BE"/>
    <w:rsid w:val="009C4C59"/>
    <w:rsid w:val="009D06B7"/>
    <w:rsid w:val="009D0F7C"/>
    <w:rsid w:val="009D128C"/>
    <w:rsid w:val="009D17ED"/>
    <w:rsid w:val="009E3E87"/>
    <w:rsid w:val="009F1852"/>
    <w:rsid w:val="009F4A60"/>
    <w:rsid w:val="009F52F6"/>
    <w:rsid w:val="009F6F19"/>
    <w:rsid w:val="009F6F5A"/>
    <w:rsid w:val="009F709C"/>
    <w:rsid w:val="009F76C4"/>
    <w:rsid w:val="00A0025B"/>
    <w:rsid w:val="00A010D9"/>
    <w:rsid w:val="00A0174C"/>
    <w:rsid w:val="00A0213C"/>
    <w:rsid w:val="00A02F60"/>
    <w:rsid w:val="00A038CF"/>
    <w:rsid w:val="00A0517B"/>
    <w:rsid w:val="00A067BD"/>
    <w:rsid w:val="00A106B1"/>
    <w:rsid w:val="00A140ED"/>
    <w:rsid w:val="00A17A90"/>
    <w:rsid w:val="00A21445"/>
    <w:rsid w:val="00A22BBE"/>
    <w:rsid w:val="00A2586D"/>
    <w:rsid w:val="00A25951"/>
    <w:rsid w:val="00A318DC"/>
    <w:rsid w:val="00A32304"/>
    <w:rsid w:val="00A35BB8"/>
    <w:rsid w:val="00A360E9"/>
    <w:rsid w:val="00A367C0"/>
    <w:rsid w:val="00A453A5"/>
    <w:rsid w:val="00A5099A"/>
    <w:rsid w:val="00A73735"/>
    <w:rsid w:val="00A75326"/>
    <w:rsid w:val="00A85A6E"/>
    <w:rsid w:val="00A85C6D"/>
    <w:rsid w:val="00A85E73"/>
    <w:rsid w:val="00A8743D"/>
    <w:rsid w:val="00A95DB2"/>
    <w:rsid w:val="00A97C2C"/>
    <w:rsid w:val="00AA0382"/>
    <w:rsid w:val="00AA08AF"/>
    <w:rsid w:val="00AA2304"/>
    <w:rsid w:val="00AA6657"/>
    <w:rsid w:val="00AA6A7E"/>
    <w:rsid w:val="00AA6B63"/>
    <w:rsid w:val="00AB3582"/>
    <w:rsid w:val="00AB4F8C"/>
    <w:rsid w:val="00AC0D52"/>
    <w:rsid w:val="00AC303E"/>
    <w:rsid w:val="00ACEBFF"/>
    <w:rsid w:val="00AD0F13"/>
    <w:rsid w:val="00AD6558"/>
    <w:rsid w:val="00AD68B8"/>
    <w:rsid w:val="00AE29C3"/>
    <w:rsid w:val="00AE3188"/>
    <w:rsid w:val="00AE370E"/>
    <w:rsid w:val="00AE384F"/>
    <w:rsid w:val="00AE5CB1"/>
    <w:rsid w:val="00AE72D1"/>
    <w:rsid w:val="00AF21B5"/>
    <w:rsid w:val="00AFBFB2"/>
    <w:rsid w:val="00B01A7D"/>
    <w:rsid w:val="00B031F1"/>
    <w:rsid w:val="00B04B9A"/>
    <w:rsid w:val="00B10C1D"/>
    <w:rsid w:val="00B12D67"/>
    <w:rsid w:val="00B1580A"/>
    <w:rsid w:val="00B20329"/>
    <w:rsid w:val="00B21D0E"/>
    <w:rsid w:val="00B25E9C"/>
    <w:rsid w:val="00B26C18"/>
    <w:rsid w:val="00B300E5"/>
    <w:rsid w:val="00B302F2"/>
    <w:rsid w:val="00B30384"/>
    <w:rsid w:val="00B31197"/>
    <w:rsid w:val="00B31EE7"/>
    <w:rsid w:val="00B333F2"/>
    <w:rsid w:val="00B3346D"/>
    <w:rsid w:val="00B4171B"/>
    <w:rsid w:val="00B4275E"/>
    <w:rsid w:val="00B431D4"/>
    <w:rsid w:val="00B4452B"/>
    <w:rsid w:val="00B45473"/>
    <w:rsid w:val="00B45B47"/>
    <w:rsid w:val="00B50836"/>
    <w:rsid w:val="00B52124"/>
    <w:rsid w:val="00B53A1C"/>
    <w:rsid w:val="00B53EFB"/>
    <w:rsid w:val="00B5514E"/>
    <w:rsid w:val="00B55FE7"/>
    <w:rsid w:val="00B61CDB"/>
    <w:rsid w:val="00B62530"/>
    <w:rsid w:val="00B66802"/>
    <w:rsid w:val="00B7359F"/>
    <w:rsid w:val="00B73C75"/>
    <w:rsid w:val="00B746F1"/>
    <w:rsid w:val="00B85BD4"/>
    <w:rsid w:val="00B87321"/>
    <w:rsid w:val="00B87580"/>
    <w:rsid w:val="00B87881"/>
    <w:rsid w:val="00B92518"/>
    <w:rsid w:val="00B944FB"/>
    <w:rsid w:val="00B96DD6"/>
    <w:rsid w:val="00BA0B92"/>
    <w:rsid w:val="00BA7F33"/>
    <w:rsid w:val="00BB1D78"/>
    <w:rsid w:val="00BB1DAA"/>
    <w:rsid w:val="00BB4036"/>
    <w:rsid w:val="00BB7166"/>
    <w:rsid w:val="00BB7979"/>
    <w:rsid w:val="00BB7FD6"/>
    <w:rsid w:val="00BC079B"/>
    <w:rsid w:val="00BC44A6"/>
    <w:rsid w:val="00BC6329"/>
    <w:rsid w:val="00BC6358"/>
    <w:rsid w:val="00BC6BA5"/>
    <w:rsid w:val="00BC7657"/>
    <w:rsid w:val="00BD0039"/>
    <w:rsid w:val="00BD203A"/>
    <w:rsid w:val="00BD35AA"/>
    <w:rsid w:val="00BD61BF"/>
    <w:rsid w:val="00BE6F43"/>
    <w:rsid w:val="00BF3DAC"/>
    <w:rsid w:val="00BF46A4"/>
    <w:rsid w:val="00BF5623"/>
    <w:rsid w:val="00BF564D"/>
    <w:rsid w:val="00BF5754"/>
    <w:rsid w:val="00C048F7"/>
    <w:rsid w:val="00C104F4"/>
    <w:rsid w:val="00C12AC1"/>
    <w:rsid w:val="00C16EE4"/>
    <w:rsid w:val="00C2115E"/>
    <w:rsid w:val="00C21824"/>
    <w:rsid w:val="00C2550E"/>
    <w:rsid w:val="00C271C0"/>
    <w:rsid w:val="00C272D5"/>
    <w:rsid w:val="00C31647"/>
    <w:rsid w:val="00C31F44"/>
    <w:rsid w:val="00C32603"/>
    <w:rsid w:val="00C34417"/>
    <w:rsid w:val="00C36198"/>
    <w:rsid w:val="00C43196"/>
    <w:rsid w:val="00C44371"/>
    <w:rsid w:val="00C44482"/>
    <w:rsid w:val="00C45916"/>
    <w:rsid w:val="00C50B2F"/>
    <w:rsid w:val="00C54BDA"/>
    <w:rsid w:val="00C54EC7"/>
    <w:rsid w:val="00C57DD9"/>
    <w:rsid w:val="00C61598"/>
    <w:rsid w:val="00C629DF"/>
    <w:rsid w:val="00C65548"/>
    <w:rsid w:val="00C72CD9"/>
    <w:rsid w:val="00C77D8A"/>
    <w:rsid w:val="00C96E6A"/>
    <w:rsid w:val="00CA0176"/>
    <w:rsid w:val="00CB0E44"/>
    <w:rsid w:val="00CB4612"/>
    <w:rsid w:val="00CC2B76"/>
    <w:rsid w:val="00CD15F3"/>
    <w:rsid w:val="00CD289B"/>
    <w:rsid w:val="00CD2B7E"/>
    <w:rsid w:val="00CE121E"/>
    <w:rsid w:val="00CE5FA7"/>
    <w:rsid w:val="00CF1D0D"/>
    <w:rsid w:val="00CF1E08"/>
    <w:rsid w:val="00CF3288"/>
    <w:rsid w:val="00CF4D8F"/>
    <w:rsid w:val="00CF68F6"/>
    <w:rsid w:val="00D02063"/>
    <w:rsid w:val="00D021BB"/>
    <w:rsid w:val="00D06472"/>
    <w:rsid w:val="00D164C5"/>
    <w:rsid w:val="00D17BB3"/>
    <w:rsid w:val="00D24B88"/>
    <w:rsid w:val="00D26A15"/>
    <w:rsid w:val="00D32C30"/>
    <w:rsid w:val="00D33B8C"/>
    <w:rsid w:val="00D34EAF"/>
    <w:rsid w:val="00D35C56"/>
    <w:rsid w:val="00D371F1"/>
    <w:rsid w:val="00D40D7E"/>
    <w:rsid w:val="00D40EE5"/>
    <w:rsid w:val="00D4155B"/>
    <w:rsid w:val="00D41D33"/>
    <w:rsid w:val="00D438FE"/>
    <w:rsid w:val="00D54ABC"/>
    <w:rsid w:val="00D5781E"/>
    <w:rsid w:val="00D61082"/>
    <w:rsid w:val="00D61C2B"/>
    <w:rsid w:val="00D62257"/>
    <w:rsid w:val="00D63020"/>
    <w:rsid w:val="00D631B8"/>
    <w:rsid w:val="00D63B06"/>
    <w:rsid w:val="00D667E7"/>
    <w:rsid w:val="00D6746A"/>
    <w:rsid w:val="00D67B89"/>
    <w:rsid w:val="00D72E10"/>
    <w:rsid w:val="00D731EE"/>
    <w:rsid w:val="00D75BD1"/>
    <w:rsid w:val="00D77145"/>
    <w:rsid w:val="00D839FD"/>
    <w:rsid w:val="00D83CAC"/>
    <w:rsid w:val="00D86EA9"/>
    <w:rsid w:val="00D93056"/>
    <w:rsid w:val="00D937DD"/>
    <w:rsid w:val="00D93E10"/>
    <w:rsid w:val="00D93EB3"/>
    <w:rsid w:val="00DA05FE"/>
    <w:rsid w:val="00DA0F41"/>
    <w:rsid w:val="00DA1584"/>
    <w:rsid w:val="00DA3473"/>
    <w:rsid w:val="00DA42E9"/>
    <w:rsid w:val="00DA78C5"/>
    <w:rsid w:val="00DB0813"/>
    <w:rsid w:val="00DB2AA6"/>
    <w:rsid w:val="00DC286C"/>
    <w:rsid w:val="00DC57F2"/>
    <w:rsid w:val="00DD42C0"/>
    <w:rsid w:val="00DD6686"/>
    <w:rsid w:val="00DE5536"/>
    <w:rsid w:val="00DE5ADD"/>
    <w:rsid w:val="00DF0095"/>
    <w:rsid w:val="00DF462E"/>
    <w:rsid w:val="00E00655"/>
    <w:rsid w:val="00E064DA"/>
    <w:rsid w:val="00E11171"/>
    <w:rsid w:val="00E13C20"/>
    <w:rsid w:val="00E1705D"/>
    <w:rsid w:val="00E171E2"/>
    <w:rsid w:val="00E20FF2"/>
    <w:rsid w:val="00E219D8"/>
    <w:rsid w:val="00E21ABB"/>
    <w:rsid w:val="00E279BE"/>
    <w:rsid w:val="00E27A73"/>
    <w:rsid w:val="00E3469C"/>
    <w:rsid w:val="00E35762"/>
    <w:rsid w:val="00E36E42"/>
    <w:rsid w:val="00E37594"/>
    <w:rsid w:val="00E376FE"/>
    <w:rsid w:val="00E420FF"/>
    <w:rsid w:val="00E42FFA"/>
    <w:rsid w:val="00E5133C"/>
    <w:rsid w:val="00E52F6D"/>
    <w:rsid w:val="00E617B9"/>
    <w:rsid w:val="00E63192"/>
    <w:rsid w:val="00E66348"/>
    <w:rsid w:val="00E77D96"/>
    <w:rsid w:val="00E77F76"/>
    <w:rsid w:val="00E80EA6"/>
    <w:rsid w:val="00E82744"/>
    <w:rsid w:val="00E8508F"/>
    <w:rsid w:val="00E87AA7"/>
    <w:rsid w:val="00E9327B"/>
    <w:rsid w:val="00E966E3"/>
    <w:rsid w:val="00E96B1A"/>
    <w:rsid w:val="00EA09A0"/>
    <w:rsid w:val="00EA2604"/>
    <w:rsid w:val="00EA2C5A"/>
    <w:rsid w:val="00EA41D8"/>
    <w:rsid w:val="00EB02A0"/>
    <w:rsid w:val="00EB4785"/>
    <w:rsid w:val="00EB6386"/>
    <w:rsid w:val="00EC1AAE"/>
    <w:rsid w:val="00EC40F0"/>
    <w:rsid w:val="00EC65B6"/>
    <w:rsid w:val="00ED17A2"/>
    <w:rsid w:val="00ED25CD"/>
    <w:rsid w:val="00ED2D42"/>
    <w:rsid w:val="00EE5CC7"/>
    <w:rsid w:val="00EE77D8"/>
    <w:rsid w:val="00EF0049"/>
    <w:rsid w:val="00EF05A6"/>
    <w:rsid w:val="00EF0983"/>
    <w:rsid w:val="00EF7A23"/>
    <w:rsid w:val="00F0008F"/>
    <w:rsid w:val="00F00B0A"/>
    <w:rsid w:val="00F022B3"/>
    <w:rsid w:val="00F06AA8"/>
    <w:rsid w:val="00F14E61"/>
    <w:rsid w:val="00F22E17"/>
    <w:rsid w:val="00F23D94"/>
    <w:rsid w:val="00F2468D"/>
    <w:rsid w:val="00F2712E"/>
    <w:rsid w:val="00F32554"/>
    <w:rsid w:val="00F345D5"/>
    <w:rsid w:val="00F35018"/>
    <w:rsid w:val="00F37E7B"/>
    <w:rsid w:val="00F37EC8"/>
    <w:rsid w:val="00F40598"/>
    <w:rsid w:val="00F4773F"/>
    <w:rsid w:val="00F54A63"/>
    <w:rsid w:val="00F55A75"/>
    <w:rsid w:val="00F57838"/>
    <w:rsid w:val="00F57ACA"/>
    <w:rsid w:val="00F6143F"/>
    <w:rsid w:val="00F65E62"/>
    <w:rsid w:val="00F671EE"/>
    <w:rsid w:val="00F712A4"/>
    <w:rsid w:val="00F715F6"/>
    <w:rsid w:val="00F716E7"/>
    <w:rsid w:val="00F7197F"/>
    <w:rsid w:val="00F72AE2"/>
    <w:rsid w:val="00F73920"/>
    <w:rsid w:val="00F7494C"/>
    <w:rsid w:val="00F75AB4"/>
    <w:rsid w:val="00F76279"/>
    <w:rsid w:val="00F77C3D"/>
    <w:rsid w:val="00F80263"/>
    <w:rsid w:val="00F94CA4"/>
    <w:rsid w:val="00F95EEE"/>
    <w:rsid w:val="00F96F88"/>
    <w:rsid w:val="00FA0BA4"/>
    <w:rsid w:val="00FA5A23"/>
    <w:rsid w:val="00FA60CA"/>
    <w:rsid w:val="00FA71FF"/>
    <w:rsid w:val="00FA73E7"/>
    <w:rsid w:val="00FB12BF"/>
    <w:rsid w:val="00FC0547"/>
    <w:rsid w:val="00FC0D87"/>
    <w:rsid w:val="00FC2841"/>
    <w:rsid w:val="00FD404B"/>
    <w:rsid w:val="00FD7265"/>
    <w:rsid w:val="00FE0CB0"/>
    <w:rsid w:val="00FE4D0D"/>
    <w:rsid w:val="00FF39A4"/>
    <w:rsid w:val="00FF50D0"/>
    <w:rsid w:val="00FF53C8"/>
    <w:rsid w:val="00FF5953"/>
    <w:rsid w:val="00FF5A97"/>
    <w:rsid w:val="00FF6102"/>
    <w:rsid w:val="00FF6766"/>
    <w:rsid w:val="00FF71B6"/>
    <w:rsid w:val="010012C2"/>
    <w:rsid w:val="012EF5D2"/>
    <w:rsid w:val="013323FF"/>
    <w:rsid w:val="014C3172"/>
    <w:rsid w:val="015789E1"/>
    <w:rsid w:val="01612DC7"/>
    <w:rsid w:val="019912A4"/>
    <w:rsid w:val="019A971B"/>
    <w:rsid w:val="019BE18B"/>
    <w:rsid w:val="01AD5C39"/>
    <w:rsid w:val="01BE3A5B"/>
    <w:rsid w:val="01C427D9"/>
    <w:rsid w:val="01C516CE"/>
    <w:rsid w:val="01CFF62B"/>
    <w:rsid w:val="01D75ADD"/>
    <w:rsid w:val="01E34E48"/>
    <w:rsid w:val="01EDC2F8"/>
    <w:rsid w:val="01F18BE3"/>
    <w:rsid w:val="01F3FD48"/>
    <w:rsid w:val="01F44FCF"/>
    <w:rsid w:val="021140B4"/>
    <w:rsid w:val="02302D19"/>
    <w:rsid w:val="0236651F"/>
    <w:rsid w:val="0258AF6E"/>
    <w:rsid w:val="02591996"/>
    <w:rsid w:val="025AB0DD"/>
    <w:rsid w:val="027A0323"/>
    <w:rsid w:val="02888166"/>
    <w:rsid w:val="02A5212A"/>
    <w:rsid w:val="02B398CE"/>
    <w:rsid w:val="02B5D624"/>
    <w:rsid w:val="02B8DB31"/>
    <w:rsid w:val="02C05AED"/>
    <w:rsid w:val="02C0C5D9"/>
    <w:rsid w:val="02C5521B"/>
    <w:rsid w:val="02DC5122"/>
    <w:rsid w:val="02EDB05C"/>
    <w:rsid w:val="02FF76C1"/>
    <w:rsid w:val="030093C2"/>
    <w:rsid w:val="0309693E"/>
    <w:rsid w:val="030E3B6A"/>
    <w:rsid w:val="03188C39"/>
    <w:rsid w:val="0335A195"/>
    <w:rsid w:val="033B2D42"/>
    <w:rsid w:val="034544F5"/>
    <w:rsid w:val="0345C484"/>
    <w:rsid w:val="0347D25B"/>
    <w:rsid w:val="034BCDF2"/>
    <w:rsid w:val="034F3249"/>
    <w:rsid w:val="03738BC7"/>
    <w:rsid w:val="037C099A"/>
    <w:rsid w:val="0387E187"/>
    <w:rsid w:val="03A3AD3B"/>
    <w:rsid w:val="03A3E503"/>
    <w:rsid w:val="03AB1108"/>
    <w:rsid w:val="03B211C5"/>
    <w:rsid w:val="03BF6F39"/>
    <w:rsid w:val="03C0E60B"/>
    <w:rsid w:val="03C72162"/>
    <w:rsid w:val="03E03252"/>
    <w:rsid w:val="03E17F97"/>
    <w:rsid w:val="03E3F3A8"/>
    <w:rsid w:val="03FE8A4E"/>
    <w:rsid w:val="0416B7B2"/>
    <w:rsid w:val="043BB783"/>
    <w:rsid w:val="0476E83D"/>
    <w:rsid w:val="04930184"/>
    <w:rsid w:val="04B89005"/>
    <w:rsid w:val="04C4D982"/>
    <w:rsid w:val="04D1F035"/>
    <w:rsid w:val="04D8B533"/>
    <w:rsid w:val="04E19640"/>
    <w:rsid w:val="04EF8041"/>
    <w:rsid w:val="04FFA379"/>
    <w:rsid w:val="0514329E"/>
    <w:rsid w:val="051DF582"/>
    <w:rsid w:val="052B87D8"/>
    <w:rsid w:val="05414AE6"/>
    <w:rsid w:val="05466C08"/>
    <w:rsid w:val="054FD621"/>
    <w:rsid w:val="05555277"/>
    <w:rsid w:val="0563290E"/>
    <w:rsid w:val="05714CEA"/>
    <w:rsid w:val="0585AE94"/>
    <w:rsid w:val="058B30B9"/>
    <w:rsid w:val="05927CB8"/>
    <w:rsid w:val="05AD93D1"/>
    <w:rsid w:val="05AF8235"/>
    <w:rsid w:val="05B26093"/>
    <w:rsid w:val="05B71A9F"/>
    <w:rsid w:val="05B8DB78"/>
    <w:rsid w:val="060D2197"/>
    <w:rsid w:val="06383A42"/>
    <w:rsid w:val="064E788A"/>
    <w:rsid w:val="065473AC"/>
    <w:rsid w:val="065E9BE7"/>
    <w:rsid w:val="0686A0C1"/>
    <w:rsid w:val="0699BFAF"/>
    <w:rsid w:val="069F680A"/>
    <w:rsid w:val="06A358D9"/>
    <w:rsid w:val="06D79E87"/>
    <w:rsid w:val="0701099E"/>
    <w:rsid w:val="0703147B"/>
    <w:rsid w:val="071D188F"/>
    <w:rsid w:val="075637F7"/>
    <w:rsid w:val="07587931"/>
    <w:rsid w:val="075A26FE"/>
    <w:rsid w:val="075FAC71"/>
    <w:rsid w:val="076056DB"/>
    <w:rsid w:val="076D43FA"/>
    <w:rsid w:val="076DD1D0"/>
    <w:rsid w:val="07996353"/>
    <w:rsid w:val="07B4F43D"/>
    <w:rsid w:val="07CBB9B1"/>
    <w:rsid w:val="07D73799"/>
    <w:rsid w:val="07E49689"/>
    <w:rsid w:val="08062559"/>
    <w:rsid w:val="081AAF66"/>
    <w:rsid w:val="083645CC"/>
    <w:rsid w:val="083ABC2A"/>
    <w:rsid w:val="0864E958"/>
    <w:rsid w:val="08AD375B"/>
    <w:rsid w:val="08BD9BD7"/>
    <w:rsid w:val="08C2AA18"/>
    <w:rsid w:val="08CC0004"/>
    <w:rsid w:val="08D3C50B"/>
    <w:rsid w:val="08E0F303"/>
    <w:rsid w:val="0901193B"/>
    <w:rsid w:val="091054FB"/>
    <w:rsid w:val="09194971"/>
    <w:rsid w:val="091BD414"/>
    <w:rsid w:val="091F6D26"/>
    <w:rsid w:val="092E1443"/>
    <w:rsid w:val="0936D874"/>
    <w:rsid w:val="094AA75E"/>
    <w:rsid w:val="09898913"/>
    <w:rsid w:val="0993AB4A"/>
    <w:rsid w:val="09B8C992"/>
    <w:rsid w:val="09C1D18C"/>
    <w:rsid w:val="09E4B702"/>
    <w:rsid w:val="0A1553E3"/>
    <w:rsid w:val="0A26059D"/>
    <w:rsid w:val="0A26B049"/>
    <w:rsid w:val="0A27E139"/>
    <w:rsid w:val="0A348A29"/>
    <w:rsid w:val="0A47F220"/>
    <w:rsid w:val="0A56753B"/>
    <w:rsid w:val="0A6535C7"/>
    <w:rsid w:val="0A668BA0"/>
    <w:rsid w:val="0A66CEE3"/>
    <w:rsid w:val="0A78DD74"/>
    <w:rsid w:val="0A7FB3FD"/>
    <w:rsid w:val="0A8276F4"/>
    <w:rsid w:val="0A97BB3D"/>
    <w:rsid w:val="0AA7831B"/>
    <w:rsid w:val="0AA9010B"/>
    <w:rsid w:val="0AB20959"/>
    <w:rsid w:val="0ACD9F99"/>
    <w:rsid w:val="0AD2AE3D"/>
    <w:rsid w:val="0AECF5AC"/>
    <w:rsid w:val="0B41ADC9"/>
    <w:rsid w:val="0B43D7AA"/>
    <w:rsid w:val="0B52610D"/>
    <w:rsid w:val="0B539433"/>
    <w:rsid w:val="0B734C46"/>
    <w:rsid w:val="0B7BC287"/>
    <w:rsid w:val="0B8D6CA8"/>
    <w:rsid w:val="0BBBD550"/>
    <w:rsid w:val="0BC464B6"/>
    <w:rsid w:val="0BDA7600"/>
    <w:rsid w:val="0BF04875"/>
    <w:rsid w:val="0BFEC643"/>
    <w:rsid w:val="0C3808FA"/>
    <w:rsid w:val="0C4B4A30"/>
    <w:rsid w:val="0C661689"/>
    <w:rsid w:val="0C81F1FA"/>
    <w:rsid w:val="0C846B86"/>
    <w:rsid w:val="0C9BDCC4"/>
    <w:rsid w:val="0CA6D967"/>
    <w:rsid w:val="0CACBB20"/>
    <w:rsid w:val="0CB2DB5A"/>
    <w:rsid w:val="0CD576FF"/>
    <w:rsid w:val="0CD7C69F"/>
    <w:rsid w:val="0CEBC102"/>
    <w:rsid w:val="0CF5205B"/>
    <w:rsid w:val="0D1CAA86"/>
    <w:rsid w:val="0D4770F5"/>
    <w:rsid w:val="0D687D12"/>
    <w:rsid w:val="0D68FAAE"/>
    <w:rsid w:val="0D71DAE2"/>
    <w:rsid w:val="0D8420FA"/>
    <w:rsid w:val="0D8EB85E"/>
    <w:rsid w:val="0D9A16AA"/>
    <w:rsid w:val="0DA3D0A4"/>
    <w:rsid w:val="0DBFC8A0"/>
    <w:rsid w:val="0DD17533"/>
    <w:rsid w:val="0DD81A36"/>
    <w:rsid w:val="0DED2AAD"/>
    <w:rsid w:val="0DEF2688"/>
    <w:rsid w:val="0E057A5A"/>
    <w:rsid w:val="0E0BF2EE"/>
    <w:rsid w:val="0E12F46D"/>
    <w:rsid w:val="0E1D058C"/>
    <w:rsid w:val="0E5F4B5B"/>
    <w:rsid w:val="0ED187F5"/>
    <w:rsid w:val="0ED6048C"/>
    <w:rsid w:val="0EEF9188"/>
    <w:rsid w:val="0EF0007F"/>
    <w:rsid w:val="0F10C87F"/>
    <w:rsid w:val="0F30D63E"/>
    <w:rsid w:val="0F33EB2A"/>
    <w:rsid w:val="0F481FE5"/>
    <w:rsid w:val="0F6AE13B"/>
    <w:rsid w:val="0F819576"/>
    <w:rsid w:val="0FA0055A"/>
    <w:rsid w:val="0FBD81A7"/>
    <w:rsid w:val="0FCC23BB"/>
    <w:rsid w:val="0FE5D213"/>
    <w:rsid w:val="10104B3F"/>
    <w:rsid w:val="10186272"/>
    <w:rsid w:val="1029F5E2"/>
    <w:rsid w:val="10533BC2"/>
    <w:rsid w:val="105C6B5D"/>
    <w:rsid w:val="106E1D3C"/>
    <w:rsid w:val="1081E694"/>
    <w:rsid w:val="1082EFDF"/>
    <w:rsid w:val="10873C65"/>
    <w:rsid w:val="108B362E"/>
    <w:rsid w:val="1091D35F"/>
    <w:rsid w:val="10B1910E"/>
    <w:rsid w:val="10B484A9"/>
    <w:rsid w:val="10DB7166"/>
    <w:rsid w:val="10EB5F9C"/>
    <w:rsid w:val="10F13AEF"/>
    <w:rsid w:val="111CE9EB"/>
    <w:rsid w:val="112D1EAC"/>
    <w:rsid w:val="113A2317"/>
    <w:rsid w:val="1149B4EF"/>
    <w:rsid w:val="11529EA9"/>
    <w:rsid w:val="1163AF49"/>
    <w:rsid w:val="116B7094"/>
    <w:rsid w:val="1176F4BE"/>
    <w:rsid w:val="11996EA2"/>
    <w:rsid w:val="11A6D5A3"/>
    <w:rsid w:val="11B53B4B"/>
    <w:rsid w:val="11C11CCB"/>
    <w:rsid w:val="11F012E7"/>
    <w:rsid w:val="11F83BBE"/>
    <w:rsid w:val="12025196"/>
    <w:rsid w:val="12127782"/>
    <w:rsid w:val="1248D7EC"/>
    <w:rsid w:val="125A3926"/>
    <w:rsid w:val="12805114"/>
    <w:rsid w:val="128FFF13"/>
    <w:rsid w:val="129C7ABC"/>
    <w:rsid w:val="12A659F2"/>
    <w:rsid w:val="12F33AA1"/>
    <w:rsid w:val="12F83139"/>
    <w:rsid w:val="1307D689"/>
    <w:rsid w:val="130D811C"/>
    <w:rsid w:val="1314BA25"/>
    <w:rsid w:val="13572214"/>
    <w:rsid w:val="13609444"/>
    <w:rsid w:val="137E00E0"/>
    <w:rsid w:val="137F1866"/>
    <w:rsid w:val="13A2DCF2"/>
    <w:rsid w:val="13A30DCC"/>
    <w:rsid w:val="13B2A27D"/>
    <w:rsid w:val="13B5A7EA"/>
    <w:rsid w:val="13BCBF38"/>
    <w:rsid w:val="13D5E6BE"/>
    <w:rsid w:val="13F2DECB"/>
    <w:rsid w:val="140AA120"/>
    <w:rsid w:val="140C10BA"/>
    <w:rsid w:val="141ABBDB"/>
    <w:rsid w:val="141DB424"/>
    <w:rsid w:val="146BF1D9"/>
    <w:rsid w:val="14819735"/>
    <w:rsid w:val="14854F8D"/>
    <w:rsid w:val="14856048"/>
    <w:rsid w:val="1492DCD9"/>
    <w:rsid w:val="14B262EC"/>
    <w:rsid w:val="14B97548"/>
    <w:rsid w:val="14E1643F"/>
    <w:rsid w:val="14E9AFA0"/>
    <w:rsid w:val="14FED9CE"/>
    <w:rsid w:val="1520F60E"/>
    <w:rsid w:val="152460A4"/>
    <w:rsid w:val="1525A47A"/>
    <w:rsid w:val="1525A704"/>
    <w:rsid w:val="15282C0C"/>
    <w:rsid w:val="15523975"/>
    <w:rsid w:val="1553830F"/>
    <w:rsid w:val="15673908"/>
    <w:rsid w:val="156994FE"/>
    <w:rsid w:val="157C37D6"/>
    <w:rsid w:val="158335D5"/>
    <w:rsid w:val="1596DE50"/>
    <w:rsid w:val="15BB80D0"/>
    <w:rsid w:val="15C8159D"/>
    <w:rsid w:val="15D2EE4F"/>
    <w:rsid w:val="15DC9E4E"/>
    <w:rsid w:val="15E34569"/>
    <w:rsid w:val="15FBB633"/>
    <w:rsid w:val="1606AC16"/>
    <w:rsid w:val="16387495"/>
    <w:rsid w:val="1651ADB1"/>
    <w:rsid w:val="1653D7AD"/>
    <w:rsid w:val="1656DDE9"/>
    <w:rsid w:val="16656493"/>
    <w:rsid w:val="1690F067"/>
    <w:rsid w:val="16B4488B"/>
    <w:rsid w:val="16BBE08D"/>
    <w:rsid w:val="16BCCCA1"/>
    <w:rsid w:val="16DAAE8E"/>
    <w:rsid w:val="16DE79FD"/>
    <w:rsid w:val="16FF1598"/>
    <w:rsid w:val="1700B9C9"/>
    <w:rsid w:val="1715D795"/>
    <w:rsid w:val="1719D1B4"/>
    <w:rsid w:val="17297E76"/>
    <w:rsid w:val="17318A8D"/>
    <w:rsid w:val="17373003"/>
    <w:rsid w:val="178D38A1"/>
    <w:rsid w:val="17B644D3"/>
    <w:rsid w:val="17C5D9BA"/>
    <w:rsid w:val="17D8F2FE"/>
    <w:rsid w:val="17DF99B5"/>
    <w:rsid w:val="17E844EF"/>
    <w:rsid w:val="17EBE317"/>
    <w:rsid w:val="17F21064"/>
    <w:rsid w:val="17FAEC91"/>
    <w:rsid w:val="182E8BB6"/>
    <w:rsid w:val="18752987"/>
    <w:rsid w:val="1879A7CB"/>
    <w:rsid w:val="188F8DC4"/>
    <w:rsid w:val="189E935D"/>
    <w:rsid w:val="18A5FC49"/>
    <w:rsid w:val="18CF13D8"/>
    <w:rsid w:val="18D7D52A"/>
    <w:rsid w:val="18FA49FE"/>
    <w:rsid w:val="19107B9A"/>
    <w:rsid w:val="192893B0"/>
    <w:rsid w:val="192FFF37"/>
    <w:rsid w:val="193A94DA"/>
    <w:rsid w:val="193E7EAE"/>
    <w:rsid w:val="1958C0B0"/>
    <w:rsid w:val="195DD363"/>
    <w:rsid w:val="19624E13"/>
    <w:rsid w:val="1968F127"/>
    <w:rsid w:val="1978C25B"/>
    <w:rsid w:val="197D4E88"/>
    <w:rsid w:val="198744D3"/>
    <w:rsid w:val="198BBDFC"/>
    <w:rsid w:val="198ED504"/>
    <w:rsid w:val="1990FD9F"/>
    <w:rsid w:val="1998899E"/>
    <w:rsid w:val="19989172"/>
    <w:rsid w:val="19BD1B6B"/>
    <w:rsid w:val="19D89D47"/>
    <w:rsid w:val="19DB68D6"/>
    <w:rsid w:val="19EAE5F5"/>
    <w:rsid w:val="19FF8A54"/>
    <w:rsid w:val="1A233467"/>
    <w:rsid w:val="1A6320F2"/>
    <w:rsid w:val="1A69EFE6"/>
    <w:rsid w:val="1A6D0F3A"/>
    <w:rsid w:val="1A6F3DD1"/>
    <w:rsid w:val="1A76CA08"/>
    <w:rsid w:val="1A8B39C8"/>
    <w:rsid w:val="1A963945"/>
    <w:rsid w:val="1A96F41F"/>
    <w:rsid w:val="1AC07769"/>
    <w:rsid w:val="1AE13E10"/>
    <w:rsid w:val="1AF0AAC0"/>
    <w:rsid w:val="1AF7A32A"/>
    <w:rsid w:val="1AFB34FE"/>
    <w:rsid w:val="1B041C0D"/>
    <w:rsid w:val="1B07B9CE"/>
    <w:rsid w:val="1B194095"/>
    <w:rsid w:val="1B40D317"/>
    <w:rsid w:val="1B4B95A9"/>
    <w:rsid w:val="1B53715B"/>
    <w:rsid w:val="1B6B5361"/>
    <w:rsid w:val="1B915898"/>
    <w:rsid w:val="1B91B182"/>
    <w:rsid w:val="1B948A70"/>
    <w:rsid w:val="1B9B2354"/>
    <w:rsid w:val="1BAAB6FE"/>
    <w:rsid w:val="1BC7BCE8"/>
    <w:rsid w:val="1BD07787"/>
    <w:rsid w:val="1BE034FD"/>
    <w:rsid w:val="1C026523"/>
    <w:rsid w:val="1C0CDFE3"/>
    <w:rsid w:val="1C0CFBA3"/>
    <w:rsid w:val="1C1F4431"/>
    <w:rsid w:val="1C249DC4"/>
    <w:rsid w:val="1C475668"/>
    <w:rsid w:val="1C4D1FE7"/>
    <w:rsid w:val="1C5E8E92"/>
    <w:rsid w:val="1C726B5F"/>
    <w:rsid w:val="1C81BD53"/>
    <w:rsid w:val="1C8AB068"/>
    <w:rsid w:val="1CA47658"/>
    <w:rsid w:val="1CA734E1"/>
    <w:rsid w:val="1CB14C5B"/>
    <w:rsid w:val="1CBCE085"/>
    <w:rsid w:val="1CC3543C"/>
    <w:rsid w:val="1CFB87E9"/>
    <w:rsid w:val="1D0246B6"/>
    <w:rsid w:val="1D07E79C"/>
    <w:rsid w:val="1D353DB6"/>
    <w:rsid w:val="1D39689A"/>
    <w:rsid w:val="1D431F2D"/>
    <w:rsid w:val="1D4AE25B"/>
    <w:rsid w:val="1D687D21"/>
    <w:rsid w:val="1D879327"/>
    <w:rsid w:val="1D8E82FA"/>
    <w:rsid w:val="1D908033"/>
    <w:rsid w:val="1D9D8DF2"/>
    <w:rsid w:val="1DA7C29F"/>
    <w:rsid w:val="1DC2DA8A"/>
    <w:rsid w:val="1DCB6C01"/>
    <w:rsid w:val="1DD5551C"/>
    <w:rsid w:val="1DF2689D"/>
    <w:rsid w:val="1E08EE5B"/>
    <w:rsid w:val="1E18A5FD"/>
    <w:rsid w:val="1E20FD10"/>
    <w:rsid w:val="1E22D37F"/>
    <w:rsid w:val="1E24FECA"/>
    <w:rsid w:val="1E3BE02A"/>
    <w:rsid w:val="1E519FD6"/>
    <w:rsid w:val="1E62EDD4"/>
    <w:rsid w:val="1E7EE138"/>
    <w:rsid w:val="1E830FA6"/>
    <w:rsid w:val="1E8EC97B"/>
    <w:rsid w:val="1EA2B175"/>
    <w:rsid w:val="1ECADC61"/>
    <w:rsid w:val="1F461146"/>
    <w:rsid w:val="1F56450F"/>
    <w:rsid w:val="1F711BE6"/>
    <w:rsid w:val="1F7D932A"/>
    <w:rsid w:val="1F97101C"/>
    <w:rsid w:val="1FA0BD02"/>
    <w:rsid w:val="1FA5799E"/>
    <w:rsid w:val="1FB26B93"/>
    <w:rsid w:val="1FCD4A75"/>
    <w:rsid w:val="1FD6E73D"/>
    <w:rsid w:val="1FF6B307"/>
    <w:rsid w:val="1FF8398E"/>
    <w:rsid w:val="1FFD6C1F"/>
    <w:rsid w:val="200EE46E"/>
    <w:rsid w:val="20227D92"/>
    <w:rsid w:val="2049E89D"/>
    <w:rsid w:val="205077AA"/>
    <w:rsid w:val="2054D9A8"/>
    <w:rsid w:val="2058ADC7"/>
    <w:rsid w:val="20660E6D"/>
    <w:rsid w:val="208F9D0D"/>
    <w:rsid w:val="209A8FF2"/>
    <w:rsid w:val="20A4C94D"/>
    <w:rsid w:val="20A97E76"/>
    <w:rsid w:val="20AC96BD"/>
    <w:rsid w:val="20B63966"/>
    <w:rsid w:val="20B9EF32"/>
    <w:rsid w:val="20CB66CB"/>
    <w:rsid w:val="20DCCA83"/>
    <w:rsid w:val="20FA7B4C"/>
    <w:rsid w:val="20FCCFA9"/>
    <w:rsid w:val="2102D5CC"/>
    <w:rsid w:val="210388BD"/>
    <w:rsid w:val="21177FFF"/>
    <w:rsid w:val="21253C4A"/>
    <w:rsid w:val="212B722A"/>
    <w:rsid w:val="212ED16A"/>
    <w:rsid w:val="2165A92F"/>
    <w:rsid w:val="217D72E4"/>
    <w:rsid w:val="2184571C"/>
    <w:rsid w:val="218DDA63"/>
    <w:rsid w:val="21C68B84"/>
    <w:rsid w:val="21CEE6BB"/>
    <w:rsid w:val="21CF421F"/>
    <w:rsid w:val="21DE5846"/>
    <w:rsid w:val="21E6F1B9"/>
    <w:rsid w:val="221B61A1"/>
    <w:rsid w:val="2227C35D"/>
    <w:rsid w:val="223AC331"/>
    <w:rsid w:val="223B7480"/>
    <w:rsid w:val="22448D27"/>
    <w:rsid w:val="224E3643"/>
    <w:rsid w:val="224F3BC0"/>
    <w:rsid w:val="22A633E4"/>
    <w:rsid w:val="22C0AEE1"/>
    <w:rsid w:val="22C41BF8"/>
    <w:rsid w:val="22C68B44"/>
    <w:rsid w:val="22E3716F"/>
    <w:rsid w:val="230AFF3E"/>
    <w:rsid w:val="233E83F4"/>
    <w:rsid w:val="2345B003"/>
    <w:rsid w:val="235793FC"/>
    <w:rsid w:val="237A3CC8"/>
    <w:rsid w:val="237BDB54"/>
    <w:rsid w:val="2382C6F1"/>
    <w:rsid w:val="238FACFB"/>
    <w:rsid w:val="239C8778"/>
    <w:rsid w:val="239D3B3A"/>
    <w:rsid w:val="23C0B236"/>
    <w:rsid w:val="23C139E7"/>
    <w:rsid w:val="23C3A32E"/>
    <w:rsid w:val="24058604"/>
    <w:rsid w:val="24073112"/>
    <w:rsid w:val="240B5D21"/>
    <w:rsid w:val="240FEE49"/>
    <w:rsid w:val="24121765"/>
    <w:rsid w:val="2421ED5F"/>
    <w:rsid w:val="24377A7B"/>
    <w:rsid w:val="24740319"/>
    <w:rsid w:val="248EE923"/>
    <w:rsid w:val="24947B2F"/>
    <w:rsid w:val="24CB759B"/>
    <w:rsid w:val="24CD9D86"/>
    <w:rsid w:val="24CDED91"/>
    <w:rsid w:val="24DB0B1E"/>
    <w:rsid w:val="24DF5AD7"/>
    <w:rsid w:val="24DF7DCD"/>
    <w:rsid w:val="24F07681"/>
    <w:rsid w:val="25372031"/>
    <w:rsid w:val="2547A401"/>
    <w:rsid w:val="255A8A59"/>
    <w:rsid w:val="257D5113"/>
    <w:rsid w:val="2584F107"/>
    <w:rsid w:val="2597F667"/>
    <w:rsid w:val="25CDEC6F"/>
    <w:rsid w:val="25D61382"/>
    <w:rsid w:val="25E21E3A"/>
    <w:rsid w:val="25F3267C"/>
    <w:rsid w:val="25FEF389"/>
    <w:rsid w:val="2606B640"/>
    <w:rsid w:val="262FB8DC"/>
    <w:rsid w:val="263C17A2"/>
    <w:rsid w:val="26446A02"/>
    <w:rsid w:val="265BA267"/>
    <w:rsid w:val="265FC966"/>
    <w:rsid w:val="267B51A2"/>
    <w:rsid w:val="2687EAAA"/>
    <w:rsid w:val="26B1FE41"/>
    <w:rsid w:val="26C5C85C"/>
    <w:rsid w:val="26D67988"/>
    <w:rsid w:val="26DA3082"/>
    <w:rsid w:val="26EB5004"/>
    <w:rsid w:val="26EC73FD"/>
    <w:rsid w:val="26EEA847"/>
    <w:rsid w:val="27023A33"/>
    <w:rsid w:val="270B1BC2"/>
    <w:rsid w:val="2719B8E6"/>
    <w:rsid w:val="272F4BBA"/>
    <w:rsid w:val="27354004"/>
    <w:rsid w:val="273735C5"/>
    <w:rsid w:val="2743737D"/>
    <w:rsid w:val="27509473"/>
    <w:rsid w:val="2789E44E"/>
    <w:rsid w:val="279DFD0B"/>
    <w:rsid w:val="27C0A1FA"/>
    <w:rsid w:val="27D45623"/>
    <w:rsid w:val="27D66BF8"/>
    <w:rsid w:val="27D6A705"/>
    <w:rsid w:val="27D7E803"/>
    <w:rsid w:val="27E1F41C"/>
    <w:rsid w:val="27F96EB8"/>
    <w:rsid w:val="283B714A"/>
    <w:rsid w:val="2860F462"/>
    <w:rsid w:val="28884193"/>
    <w:rsid w:val="289520AA"/>
    <w:rsid w:val="289E6BC3"/>
    <w:rsid w:val="28AC950A"/>
    <w:rsid w:val="28B130F3"/>
    <w:rsid w:val="28BAADE6"/>
    <w:rsid w:val="28BD0921"/>
    <w:rsid w:val="28C247D3"/>
    <w:rsid w:val="28F3D3E0"/>
    <w:rsid w:val="292CBCFD"/>
    <w:rsid w:val="293C40FD"/>
    <w:rsid w:val="2981FE51"/>
    <w:rsid w:val="2984BA5F"/>
    <w:rsid w:val="29B4DF67"/>
    <w:rsid w:val="29EC63F5"/>
    <w:rsid w:val="29F8B0F7"/>
    <w:rsid w:val="29FFF0D1"/>
    <w:rsid w:val="2A07C439"/>
    <w:rsid w:val="2A170371"/>
    <w:rsid w:val="2A25DF44"/>
    <w:rsid w:val="2A382218"/>
    <w:rsid w:val="2A3D5AAC"/>
    <w:rsid w:val="2A3E8899"/>
    <w:rsid w:val="2A50A794"/>
    <w:rsid w:val="2A50F805"/>
    <w:rsid w:val="2A5382D5"/>
    <w:rsid w:val="2A60AF2F"/>
    <w:rsid w:val="2A65CC0D"/>
    <w:rsid w:val="2AAF0689"/>
    <w:rsid w:val="2AC6E5AB"/>
    <w:rsid w:val="2AE245AF"/>
    <w:rsid w:val="2AF17E79"/>
    <w:rsid w:val="2AF4F12E"/>
    <w:rsid w:val="2AFC38E7"/>
    <w:rsid w:val="2B1B6F2D"/>
    <w:rsid w:val="2B2B9E09"/>
    <w:rsid w:val="2B3B66A6"/>
    <w:rsid w:val="2B4AA7C1"/>
    <w:rsid w:val="2B5CE311"/>
    <w:rsid w:val="2B769998"/>
    <w:rsid w:val="2B880D8E"/>
    <w:rsid w:val="2B92E818"/>
    <w:rsid w:val="2BA3636C"/>
    <w:rsid w:val="2BAE469B"/>
    <w:rsid w:val="2BB85AE1"/>
    <w:rsid w:val="2BDDC62C"/>
    <w:rsid w:val="2BDEF276"/>
    <w:rsid w:val="2BE87A53"/>
    <w:rsid w:val="2C1ED1D4"/>
    <w:rsid w:val="2C20647B"/>
    <w:rsid w:val="2C318425"/>
    <w:rsid w:val="2C34194D"/>
    <w:rsid w:val="2C53A8D1"/>
    <w:rsid w:val="2C7BBA73"/>
    <w:rsid w:val="2C7C2A1A"/>
    <w:rsid w:val="2C810C03"/>
    <w:rsid w:val="2C86C05A"/>
    <w:rsid w:val="2C91E9BB"/>
    <w:rsid w:val="2CA54D04"/>
    <w:rsid w:val="2CB205AE"/>
    <w:rsid w:val="2CBB66E5"/>
    <w:rsid w:val="2CC1CD2B"/>
    <w:rsid w:val="2CCF8202"/>
    <w:rsid w:val="2CE7BA04"/>
    <w:rsid w:val="2CFE8391"/>
    <w:rsid w:val="2D3DBA64"/>
    <w:rsid w:val="2D712249"/>
    <w:rsid w:val="2D923D15"/>
    <w:rsid w:val="2DAD3DB2"/>
    <w:rsid w:val="2DB5F87F"/>
    <w:rsid w:val="2DC12FAE"/>
    <w:rsid w:val="2DD7E94F"/>
    <w:rsid w:val="2DE618F6"/>
    <w:rsid w:val="2DEE516F"/>
    <w:rsid w:val="2DFC0392"/>
    <w:rsid w:val="2E0444F1"/>
    <w:rsid w:val="2E1CACE4"/>
    <w:rsid w:val="2E214EBD"/>
    <w:rsid w:val="2E40FE7C"/>
    <w:rsid w:val="2E4BF2EA"/>
    <w:rsid w:val="2E4D8005"/>
    <w:rsid w:val="2E5E110E"/>
    <w:rsid w:val="2EA4DE8D"/>
    <w:rsid w:val="2EBB8370"/>
    <w:rsid w:val="2EDD3389"/>
    <w:rsid w:val="2EF1E3D7"/>
    <w:rsid w:val="2F1AD63F"/>
    <w:rsid w:val="2F21C0DB"/>
    <w:rsid w:val="2F3B4386"/>
    <w:rsid w:val="2F50B65F"/>
    <w:rsid w:val="2F702A1B"/>
    <w:rsid w:val="2F796F69"/>
    <w:rsid w:val="2FEA2671"/>
    <w:rsid w:val="2FF33225"/>
    <w:rsid w:val="30035898"/>
    <w:rsid w:val="3009B35F"/>
    <w:rsid w:val="30267E03"/>
    <w:rsid w:val="304B0649"/>
    <w:rsid w:val="3062FC28"/>
    <w:rsid w:val="306891A8"/>
    <w:rsid w:val="306F4F43"/>
    <w:rsid w:val="3075D03A"/>
    <w:rsid w:val="308B02D2"/>
    <w:rsid w:val="30ACE9AA"/>
    <w:rsid w:val="30C76BE8"/>
    <w:rsid w:val="30CEB338"/>
    <w:rsid w:val="30E4BE02"/>
    <w:rsid w:val="30EA0A12"/>
    <w:rsid w:val="30FC9333"/>
    <w:rsid w:val="3100CA6D"/>
    <w:rsid w:val="310F3B6F"/>
    <w:rsid w:val="312AB31F"/>
    <w:rsid w:val="313621DA"/>
    <w:rsid w:val="3138C36C"/>
    <w:rsid w:val="313FDFB2"/>
    <w:rsid w:val="31445B20"/>
    <w:rsid w:val="314ECA8B"/>
    <w:rsid w:val="316F94D6"/>
    <w:rsid w:val="31722ECD"/>
    <w:rsid w:val="317B74F2"/>
    <w:rsid w:val="3184459C"/>
    <w:rsid w:val="31A49358"/>
    <w:rsid w:val="31BC646A"/>
    <w:rsid w:val="31BCF5B7"/>
    <w:rsid w:val="31BF33D0"/>
    <w:rsid w:val="31D7DF59"/>
    <w:rsid w:val="31EC5CF3"/>
    <w:rsid w:val="31F8FCBE"/>
    <w:rsid w:val="32071B6C"/>
    <w:rsid w:val="32222BA5"/>
    <w:rsid w:val="3225AE27"/>
    <w:rsid w:val="323F1499"/>
    <w:rsid w:val="3249C5CE"/>
    <w:rsid w:val="3251F24F"/>
    <w:rsid w:val="325C9B5C"/>
    <w:rsid w:val="327C9788"/>
    <w:rsid w:val="32A8A0A9"/>
    <w:rsid w:val="32AF7384"/>
    <w:rsid w:val="32AFA6CC"/>
    <w:rsid w:val="32B4CEF3"/>
    <w:rsid w:val="32B965E7"/>
    <w:rsid w:val="32D07241"/>
    <w:rsid w:val="32D96798"/>
    <w:rsid w:val="33029029"/>
    <w:rsid w:val="33075069"/>
    <w:rsid w:val="330B4CDE"/>
    <w:rsid w:val="3343F522"/>
    <w:rsid w:val="3359EC9B"/>
    <w:rsid w:val="337621E0"/>
    <w:rsid w:val="3387F04A"/>
    <w:rsid w:val="338C6DFC"/>
    <w:rsid w:val="33A29EAF"/>
    <w:rsid w:val="33ABD815"/>
    <w:rsid w:val="33AEF777"/>
    <w:rsid w:val="33B60EC9"/>
    <w:rsid w:val="33D1A9BF"/>
    <w:rsid w:val="33D90B04"/>
    <w:rsid w:val="33DEDEB2"/>
    <w:rsid w:val="33EFB703"/>
    <w:rsid w:val="33F2E0DB"/>
    <w:rsid w:val="3405EFDC"/>
    <w:rsid w:val="341F7552"/>
    <w:rsid w:val="342CF4B4"/>
    <w:rsid w:val="342FCE96"/>
    <w:rsid w:val="343A3D27"/>
    <w:rsid w:val="34617D34"/>
    <w:rsid w:val="3473167D"/>
    <w:rsid w:val="34888070"/>
    <w:rsid w:val="349D271A"/>
    <w:rsid w:val="349F42A5"/>
    <w:rsid w:val="34A85430"/>
    <w:rsid w:val="34F960A4"/>
    <w:rsid w:val="34FA6846"/>
    <w:rsid w:val="35181B15"/>
    <w:rsid w:val="3519F452"/>
    <w:rsid w:val="35267A6C"/>
    <w:rsid w:val="352E8E51"/>
    <w:rsid w:val="3544A37E"/>
    <w:rsid w:val="354D6D33"/>
    <w:rsid w:val="3558C1B6"/>
    <w:rsid w:val="355DBC51"/>
    <w:rsid w:val="35783607"/>
    <w:rsid w:val="357C1779"/>
    <w:rsid w:val="357CFE5E"/>
    <w:rsid w:val="35A3D69D"/>
    <w:rsid w:val="35E71446"/>
    <w:rsid w:val="35F71830"/>
    <w:rsid w:val="35FF874A"/>
    <w:rsid w:val="36056FC6"/>
    <w:rsid w:val="36081303"/>
    <w:rsid w:val="36098A2E"/>
    <w:rsid w:val="360C9D98"/>
    <w:rsid w:val="361192BA"/>
    <w:rsid w:val="36393DC4"/>
    <w:rsid w:val="364086D6"/>
    <w:rsid w:val="3647FFB6"/>
    <w:rsid w:val="3648C870"/>
    <w:rsid w:val="364ADD10"/>
    <w:rsid w:val="3654D98C"/>
    <w:rsid w:val="365E82A2"/>
    <w:rsid w:val="3695AA07"/>
    <w:rsid w:val="369C9C56"/>
    <w:rsid w:val="36D77EDA"/>
    <w:rsid w:val="36F09D7D"/>
    <w:rsid w:val="370F3CA2"/>
    <w:rsid w:val="37234207"/>
    <w:rsid w:val="3731A4DA"/>
    <w:rsid w:val="373EE46E"/>
    <w:rsid w:val="37533D11"/>
    <w:rsid w:val="375DCD4E"/>
    <w:rsid w:val="37660F62"/>
    <w:rsid w:val="37661314"/>
    <w:rsid w:val="37677DE6"/>
    <w:rsid w:val="376A1B83"/>
    <w:rsid w:val="37A07B15"/>
    <w:rsid w:val="37BE0108"/>
    <w:rsid w:val="37C3E43C"/>
    <w:rsid w:val="3804D180"/>
    <w:rsid w:val="380F9D4D"/>
    <w:rsid w:val="383A21D2"/>
    <w:rsid w:val="383AA930"/>
    <w:rsid w:val="384657D4"/>
    <w:rsid w:val="384CB16D"/>
    <w:rsid w:val="38508CF2"/>
    <w:rsid w:val="38510E8E"/>
    <w:rsid w:val="38512A03"/>
    <w:rsid w:val="38567148"/>
    <w:rsid w:val="385CE824"/>
    <w:rsid w:val="386F5E5B"/>
    <w:rsid w:val="388A99D5"/>
    <w:rsid w:val="388E5C6E"/>
    <w:rsid w:val="38A441A7"/>
    <w:rsid w:val="38A4F72D"/>
    <w:rsid w:val="38D3F407"/>
    <w:rsid w:val="38D65134"/>
    <w:rsid w:val="38F77399"/>
    <w:rsid w:val="391EE389"/>
    <w:rsid w:val="392001DA"/>
    <w:rsid w:val="392167C0"/>
    <w:rsid w:val="393F217C"/>
    <w:rsid w:val="39401C06"/>
    <w:rsid w:val="3968CB94"/>
    <w:rsid w:val="3977AE06"/>
    <w:rsid w:val="398AFC5D"/>
    <w:rsid w:val="398E425F"/>
    <w:rsid w:val="39A4D4D3"/>
    <w:rsid w:val="39AF1169"/>
    <w:rsid w:val="39CEC58B"/>
    <w:rsid w:val="39D0009A"/>
    <w:rsid w:val="39D22AD5"/>
    <w:rsid w:val="39D52684"/>
    <w:rsid w:val="39DB278F"/>
    <w:rsid w:val="39DDD30E"/>
    <w:rsid w:val="39FE78E5"/>
    <w:rsid w:val="3A010B2A"/>
    <w:rsid w:val="3A6A08FA"/>
    <w:rsid w:val="3A82A48B"/>
    <w:rsid w:val="3AA6233D"/>
    <w:rsid w:val="3AA7D608"/>
    <w:rsid w:val="3ABC2168"/>
    <w:rsid w:val="3AF584A7"/>
    <w:rsid w:val="3AFEEF68"/>
    <w:rsid w:val="3B0236E6"/>
    <w:rsid w:val="3B2E25A1"/>
    <w:rsid w:val="3B3BEC0D"/>
    <w:rsid w:val="3B41C40A"/>
    <w:rsid w:val="3B6D3B40"/>
    <w:rsid w:val="3B71C0B0"/>
    <w:rsid w:val="3B7C84E3"/>
    <w:rsid w:val="3B825895"/>
    <w:rsid w:val="3B9B124D"/>
    <w:rsid w:val="3BA760E9"/>
    <w:rsid w:val="3BB800F2"/>
    <w:rsid w:val="3BCB6BCD"/>
    <w:rsid w:val="3BD46ED8"/>
    <w:rsid w:val="3BE12400"/>
    <w:rsid w:val="3BE22363"/>
    <w:rsid w:val="3C02676E"/>
    <w:rsid w:val="3C0653C6"/>
    <w:rsid w:val="3C191860"/>
    <w:rsid w:val="3C297D41"/>
    <w:rsid w:val="3C4D1E2F"/>
    <w:rsid w:val="3C5975DB"/>
    <w:rsid w:val="3C7E958B"/>
    <w:rsid w:val="3C918875"/>
    <w:rsid w:val="3CB1020B"/>
    <w:rsid w:val="3CB9EABD"/>
    <w:rsid w:val="3CCD1E6A"/>
    <w:rsid w:val="3CDD50F7"/>
    <w:rsid w:val="3CDDD9D9"/>
    <w:rsid w:val="3CFBDBCC"/>
    <w:rsid w:val="3D04FAC1"/>
    <w:rsid w:val="3D088001"/>
    <w:rsid w:val="3D0954D6"/>
    <w:rsid w:val="3D0F3242"/>
    <w:rsid w:val="3D2DEC53"/>
    <w:rsid w:val="3D58EA56"/>
    <w:rsid w:val="3D77565F"/>
    <w:rsid w:val="3DB0B4AD"/>
    <w:rsid w:val="3DCDC865"/>
    <w:rsid w:val="3DDA55DC"/>
    <w:rsid w:val="3DE6E2A2"/>
    <w:rsid w:val="3DFB2FB1"/>
    <w:rsid w:val="3E087A0C"/>
    <w:rsid w:val="3E1BEEB4"/>
    <w:rsid w:val="3E2A2DC4"/>
    <w:rsid w:val="3E552796"/>
    <w:rsid w:val="3E5C1135"/>
    <w:rsid w:val="3E6804DB"/>
    <w:rsid w:val="3E7014C0"/>
    <w:rsid w:val="3E941666"/>
    <w:rsid w:val="3E943E6A"/>
    <w:rsid w:val="3EAF6BB1"/>
    <w:rsid w:val="3EB6AFEE"/>
    <w:rsid w:val="3ED0B8E3"/>
    <w:rsid w:val="3F648765"/>
    <w:rsid w:val="3F692C20"/>
    <w:rsid w:val="3F885D2E"/>
    <w:rsid w:val="3F9627A8"/>
    <w:rsid w:val="3FA9E49B"/>
    <w:rsid w:val="3FBB3DAC"/>
    <w:rsid w:val="3FE8AA11"/>
    <w:rsid w:val="400517C9"/>
    <w:rsid w:val="4015D995"/>
    <w:rsid w:val="402B8923"/>
    <w:rsid w:val="40759AA0"/>
    <w:rsid w:val="40CD67C5"/>
    <w:rsid w:val="40D38BC4"/>
    <w:rsid w:val="40D5C5B5"/>
    <w:rsid w:val="40FCEE64"/>
    <w:rsid w:val="4132D073"/>
    <w:rsid w:val="414ED7E4"/>
    <w:rsid w:val="41508B20"/>
    <w:rsid w:val="41714869"/>
    <w:rsid w:val="41723F19"/>
    <w:rsid w:val="417B2C13"/>
    <w:rsid w:val="417CB073"/>
    <w:rsid w:val="41A28218"/>
    <w:rsid w:val="41AA7AF9"/>
    <w:rsid w:val="41B83E93"/>
    <w:rsid w:val="41BD9531"/>
    <w:rsid w:val="41DA89A0"/>
    <w:rsid w:val="41E2A8FC"/>
    <w:rsid w:val="41ED50E0"/>
    <w:rsid w:val="421460FD"/>
    <w:rsid w:val="42291CB2"/>
    <w:rsid w:val="4229BB76"/>
    <w:rsid w:val="423AC4D0"/>
    <w:rsid w:val="4245DCE2"/>
    <w:rsid w:val="426BF6C9"/>
    <w:rsid w:val="4275E8E7"/>
    <w:rsid w:val="4286487D"/>
    <w:rsid w:val="4294F83C"/>
    <w:rsid w:val="42AAF697"/>
    <w:rsid w:val="42B03968"/>
    <w:rsid w:val="42C1E776"/>
    <w:rsid w:val="42CD3B3C"/>
    <w:rsid w:val="42D4C747"/>
    <w:rsid w:val="42DE43DE"/>
    <w:rsid w:val="430F9103"/>
    <w:rsid w:val="43168AD9"/>
    <w:rsid w:val="432109D2"/>
    <w:rsid w:val="432F2FF7"/>
    <w:rsid w:val="4330BF64"/>
    <w:rsid w:val="4346AFE6"/>
    <w:rsid w:val="4348631B"/>
    <w:rsid w:val="434B8E4C"/>
    <w:rsid w:val="434D29ED"/>
    <w:rsid w:val="435DAC5D"/>
    <w:rsid w:val="437724AD"/>
    <w:rsid w:val="437C7907"/>
    <w:rsid w:val="43B8CB21"/>
    <w:rsid w:val="43C08499"/>
    <w:rsid w:val="43C57094"/>
    <w:rsid w:val="43DC47E0"/>
    <w:rsid w:val="441B5107"/>
    <w:rsid w:val="441E8BF8"/>
    <w:rsid w:val="4420FBD3"/>
    <w:rsid w:val="44394F2E"/>
    <w:rsid w:val="443FF8D1"/>
    <w:rsid w:val="4443E43F"/>
    <w:rsid w:val="4445434F"/>
    <w:rsid w:val="44A1A568"/>
    <w:rsid w:val="44AFD7F4"/>
    <w:rsid w:val="44DFCB01"/>
    <w:rsid w:val="450F1952"/>
    <w:rsid w:val="451072E0"/>
    <w:rsid w:val="4512A398"/>
    <w:rsid w:val="4515234B"/>
    <w:rsid w:val="453D7F24"/>
    <w:rsid w:val="45468A19"/>
    <w:rsid w:val="4557F9C2"/>
    <w:rsid w:val="456181CE"/>
    <w:rsid w:val="45951B6A"/>
    <w:rsid w:val="459B71CB"/>
    <w:rsid w:val="45AE2DBD"/>
    <w:rsid w:val="45DDAC97"/>
    <w:rsid w:val="460094B2"/>
    <w:rsid w:val="4611EDDF"/>
    <w:rsid w:val="461303EC"/>
    <w:rsid w:val="463458BF"/>
    <w:rsid w:val="463A820F"/>
    <w:rsid w:val="464583CE"/>
    <w:rsid w:val="4660AB96"/>
    <w:rsid w:val="4675042D"/>
    <w:rsid w:val="467A621C"/>
    <w:rsid w:val="4689FA23"/>
    <w:rsid w:val="469FF294"/>
    <w:rsid w:val="46B699C9"/>
    <w:rsid w:val="46C62107"/>
    <w:rsid w:val="46CAA1B9"/>
    <w:rsid w:val="46D4E24C"/>
    <w:rsid w:val="46D8B995"/>
    <w:rsid w:val="46DC11F9"/>
    <w:rsid w:val="46F54928"/>
    <w:rsid w:val="46F77ECF"/>
    <w:rsid w:val="473F357F"/>
    <w:rsid w:val="474EB76F"/>
    <w:rsid w:val="475F9575"/>
    <w:rsid w:val="476616C3"/>
    <w:rsid w:val="47849041"/>
    <w:rsid w:val="478F0E1B"/>
    <w:rsid w:val="47988E0F"/>
    <w:rsid w:val="47A607C9"/>
    <w:rsid w:val="47AFE50F"/>
    <w:rsid w:val="47C1CDC7"/>
    <w:rsid w:val="480408C9"/>
    <w:rsid w:val="480E8622"/>
    <w:rsid w:val="482A05E4"/>
    <w:rsid w:val="48342218"/>
    <w:rsid w:val="484441F6"/>
    <w:rsid w:val="4852F647"/>
    <w:rsid w:val="485C2D50"/>
    <w:rsid w:val="48757B0B"/>
    <w:rsid w:val="488B6DF0"/>
    <w:rsid w:val="489A39EA"/>
    <w:rsid w:val="48BDC4F5"/>
    <w:rsid w:val="48CB3582"/>
    <w:rsid w:val="48DC76DE"/>
    <w:rsid w:val="491067EC"/>
    <w:rsid w:val="4916EDC5"/>
    <w:rsid w:val="492D6539"/>
    <w:rsid w:val="49382C14"/>
    <w:rsid w:val="496A2130"/>
    <w:rsid w:val="497FADE3"/>
    <w:rsid w:val="499C7B2A"/>
    <w:rsid w:val="49ABEA21"/>
    <w:rsid w:val="49C4D242"/>
    <w:rsid w:val="49F01B46"/>
    <w:rsid w:val="4A0D570C"/>
    <w:rsid w:val="4A4EF505"/>
    <w:rsid w:val="4A532D83"/>
    <w:rsid w:val="4A5F2338"/>
    <w:rsid w:val="4A67CB14"/>
    <w:rsid w:val="4A7353A2"/>
    <w:rsid w:val="4A7B9A69"/>
    <w:rsid w:val="4A803E47"/>
    <w:rsid w:val="4AA0C570"/>
    <w:rsid w:val="4AA1251A"/>
    <w:rsid w:val="4AB3E2E3"/>
    <w:rsid w:val="4AE59349"/>
    <w:rsid w:val="4AE59E6F"/>
    <w:rsid w:val="4AF14A59"/>
    <w:rsid w:val="4B2278B4"/>
    <w:rsid w:val="4B2703A2"/>
    <w:rsid w:val="4B3E24A8"/>
    <w:rsid w:val="4B3F74A1"/>
    <w:rsid w:val="4B4BA823"/>
    <w:rsid w:val="4B50100E"/>
    <w:rsid w:val="4B61FEBB"/>
    <w:rsid w:val="4B85B8C9"/>
    <w:rsid w:val="4B8BB9E2"/>
    <w:rsid w:val="4B922355"/>
    <w:rsid w:val="4BA0DF08"/>
    <w:rsid w:val="4BD27781"/>
    <w:rsid w:val="4BEB4DF0"/>
    <w:rsid w:val="4BF79BD1"/>
    <w:rsid w:val="4BFCE464"/>
    <w:rsid w:val="4C349331"/>
    <w:rsid w:val="4C6B69C9"/>
    <w:rsid w:val="4C729CAA"/>
    <w:rsid w:val="4C8BD0AD"/>
    <w:rsid w:val="4C96EC36"/>
    <w:rsid w:val="4CA2D34B"/>
    <w:rsid w:val="4CBBBCF9"/>
    <w:rsid w:val="4D0D284D"/>
    <w:rsid w:val="4D23203C"/>
    <w:rsid w:val="4D2F76BD"/>
    <w:rsid w:val="4D5593FB"/>
    <w:rsid w:val="4D855677"/>
    <w:rsid w:val="4DCB23E0"/>
    <w:rsid w:val="4DD82DBB"/>
    <w:rsid w:val="4DFD4F6E"/>
    <w:rsid w:val="4E04107D"/>
    <w:rsid w:val="4E1FC41E"/>
    <w:rsid w:val="4E235D76"/>
    <w:rsid w:val="4E29EB15"/>
    <w:rsid w:val="4E3B35D6"/>
    <w:rsid w:val="4E3FF007"/>
    <w:rsid w:val="4E495F09"/>
    <w:rsid w:val="4E5A4297"/>
    <w:rsid w:val="4E85A15F"/>
    <w:rsid w:val="4E8D940C"/>
    <w:rsid w:val="4EA1C144"/>
    <w:rsid w:val="4EA2DD34"/>
    <w:rsid w:val="4EAD4F10"/>
    <w:rsid w:val="4ECE765F"/>
    <w:rsid w:val="4F1A70A9"/>
    <w:rsid w:val="4F2FAD69"/>
    <w:rsid w:val="4F60F0C6"/>
    <w:rsid w:val="4F79AAFB"/>
    <w:rsid w:val="4F7CD6E5"/>
    <w:rsid w:val="4FBEA07C"/>
    <w:rsid w:val="4FCCCE36"/>
    <w:rsid w:val="4FD2B408"/>
    <w:rsid w:val="4FD8E5FD"/>
    <w:rsid w:val="4FD96748"/>
    <w:rsid w:val="4FF0EFF8"/>
    <w:rsid w:val="5009B6E4"/>
    <w:rsid w:val="500E1464"/>
    <w:rsid w:val="5028C0DB"/>
    <w:rsid w:val="503F7D0B"/>
    <w:rsid w:val="5045B9E1"/>
    <w:rsid w:val="50462E9B"/>
    <w:rsid w:val="50543FA6"/>
    <w:rsid w:val="505F03AE"/>
    <w:rsid w:val="5067CFA9"/>
    <w:rsid w:val="507127BF"/>
    <w:rsid w:val="508645B6"/>
    <w:rsid w:val="508B37E2"/>
    <w:rsid w:val="50A5D063"/>
    <w:rsid w:val="51097176"/>
    <w:rsid w:val="5110852D"/>
    <w:rsid w:val="51134479"/>
    <w:rsid w:val="5159E3EE"/>
    <w:rsid w:val="515FB075"/>
    <w:rsid w:val="516393C2"/>
    <w:rsid w:val="518E07B9"/>
    <w:rsid w:val="51AA17DF"/>
    <w:rsid w:val="51B6F75E"/>
    <w:rsid w:val="51CDAC84"/>
    <w:rsid w:val="51D36A4A"/>
    <w:rsid w:val="51DA71E0"/>
    <w:rsid w:val="51DB373C"/>
    <w:rsid w:val="52082E76"/>
    <w:rsid w:val="5218A058"/>
    <w:rsid w:val="52216F9E"/>
    <w:rsid w:val="5234E315"/>
    <w:rsid w:val="524C3A05"/>
    <w:rsid w:val="525A09E0"/>
    <w:rsid w:val="525EAA17"/>
    <w:rsid w:val="525FE2D4"/>
    <w:rsid w:val="52902973"/>
    <w:rsid w:val="52A50362"/>
    <w:rsid w:val="52A7D823"/>
    <w:rsid w:val="52AABEB6"/>
    <w:rsid w:val="52C2AE5C"/>
    <w:rsid w:val="52CB40AF"/>
    <w:rsid w:val="52CC44F7"/>
    <w:rsid w:val="52DEE5F4"/>
    <w:rsid w:val="52EDC52C"/>
    <w:rsid w:val="52F2E685"/>
    <w:rsid w:val="531D85C9"/>
    <w:rsid w:val="533211CF"/>
    <w:rsid w:val="535292F7"/>
    <w:rsid w:val="53600D4D"/>
    <w:rsid w:val="5366CF67"/>
    <w:rsid w:val="537817EC"/>
    <w:rsid w:val="537D6A20"/>
    <w:rsid w:val="53882414"/>
    <w:rsid w:val="53889375"/>
    <w:rsid w:val="538D8564"/>
    <w:rsid w:val="53B02E90"/>
    <w:rsid w:val="53B07BF3"/>
    <w:rsid w:val="53C13982"/>
    <w:rsid w:val="53C48768"/>
    <w:rsid w:val="53C6F56A"/>
    <w:rsid w:val="53E459B3"/>
    <w:rsid w:val="53EEF912"/>
    <w:rsid w:val="53F41526"/>
    <w:rsid w:val="53F77263"/>
    <w:rsid w:val="53FCDE39"/>
    <w:rsid w:val="53FFA467"/>
    <w:rsid w:val="543E543E"/>
    <w:rsid w:val="545D44B4"/>
    <w:rsid w:val="546A395E"/>
    <w:rsid w:val="549C4AF9"/>
    <w:rsid w:val="54C379ED"/>
    <w:rsid w:val="54DB913A"/>
    <w:rsid w:val="54DD8F75"/>
    <w:rsid w:val="54EDDCAC"/>
    <w:rsid w:val="54F1C9EF"/>
    <w:rsid w:val="5508E101"/>
    <w:rsid w:val="5511E14F"/>
    <w:rsid w:val="55181ED0"/>
    <w:rsid w:val="552DD994"/>
    <w:rsid w:val="5535742B"/>
    <w:rsid w:val="555D2B74"/>
    <w:rsid w:val="55B7D4CD"/>
    <w:rsid w:val="55C16330"/>
    <w:rsid w:val="55D3C585"/>
    <w:rsid w:val="55D5C297"/>
    <w:rsid w:val="55FCC742"/>
    <w:rsid w:val="5654151E"/>
    <w:rsid w:val="5659F49C"/>
    <w:rsid w:val="565E5DC8"/>
    <w:rsid w:val="565E6BB5"/>
    <w:rsid w:val="5663D280"/>
    <w:rsid w:val="5676EFD2"/>
    <w:rsid w:val="568AC65E"/>
    <w:rsid w:val="568D8361"/>
    <w:rsid w:val="56903A97"/>
    <w:rsid w:val="56B70994"/>
    <w:rsid w:val="56B9383A"/>
    <w:rsid w:val="56C7212E"/>
    <w:rsid w:val="56DEE46B"/>
    <w:rsid w:val="56E0710B"/>
    <w:rsid w:val="56F61E42"/>
    <w:rsid w:val="57096478"/>
    <w:rsid w:val="570E54E0"/>
    <w:rsid w:val="57130767"/>
    <w:rsid w:val="571D7F8B"/>
    <w:rsid w:val="573639FE"/>
    <w:rsid w:val="573E2942"/>
    <w:rsid w:val="573F9664"/>
    <w:rsid w:val="57544393"/>
    <w:rsid w:val="5762877D"/>
    <w:rsid w:val="576FBE55"/>
    <w:rsid w:val="577192F8"/>
    <w:rsid w:val="57783ED3"/>
    <w:rsid w:val="578291D1"/>
    <w:rsid w:val="579702EC"/>
    <w:rsid w:val="57A462CD"/>
    <w:rsid w:val="57A8E842"/>
    <w:rsid w:val="57E9EC89"/>
    <w:rsid w:val="581AFBB0"/>
    <w:rsid w:val="5829B634"/>
    <w:rsid w:val="586849F9"/>
    <w:rsid w:val="5874EC82"/>
    <w:rsid w:val="58A88F4E"/>
    <w:rsid w:val="58AEDA6F"/>
    <w:rsid w:val="58B7BF5F"/>
    <w:rsid w:val="58C0A12B"/>
    <w:rsid w:val="58C60E47"/>
    <w:rsid w:val="58DBB76D"/>
    <w:rsid w:val="58DBCCC9"/>
    <w:rsid w:val="590AC5A1"/>
    <w:rsid w:val="5910D2EF"/>
    <w:rsid w:val="592338E8"/>
    <w:rsid w:val="5933F2B4"/>
    <w:rsid w:val="593CBF41"/>
    <w:rsid w:val="5942ED0C"/>
    <w:rsid w:val="594FD206"/>
    <w:rsid w:val="595720CD"/>
    <w:rsid w:val="598DE218"/>
    <w:rsid w:val="599FEB6E"/>
    <w:rsid w:val="59ADCE86"/>
    <w:rsid w:val="59D18884"/>
    <w:rsid w:val="59D2A229"/>
    <w:rsid w:val="59FD0F93"/>
    <w:rsid w:val="59FE3B4B"/>
    <w:rsid w:val="5A00C039"/>
    <w:rsid w:val="5A0194F1"/>
    <w:rsid w:val="5A0BB69C"/>
    <w:rsid w:val="5A1D9828"/>
    <w:rsid w:val="5A27EABF"/>
    <w:rsid w:val="5A2BC901"/>
    <w:rsid w:val="5A3DDC07"/>
    <w:rsid w:val="5A491492"/>
    <w:rsid w:val="5A4C9969"/>
    <w:rsid w:val="5A4D30E1"/>
    <w:rsid w:val="5A5014FA"/>
    <w:rsid w:val="5A6C9D9C"/>
    <w:rsid w:val="5A825774"/>
    <w:rsid w:val="5A85376B"/>
    <w:rsid w:val="5A87689F"/>
    <w:rsid w:val="5AA42A82"/>
    <w:rsid w:val="5AAE855A"/>
    <w:rsid w:val="5AF052E0"/>
    <w:rsid w:val="5B055867"/>
    <w:rsid w:val="5B06F6D9"/>
    <w:rsid w:val="5B0FDB01"/>
    <w:rsid w:val="5B104AE9"/>
    <w:rsid w:val="5B15FBBD"/>
    <w:rsid w:val="5B195A25"/>
    <w:rsid w:val="5B31D4F5"/>
    <w:rsid w:val="5B398F94"/>
    <w:rsid w:val="5B456886"/>
    <w:rsid w:val="5B4FBE4D"/>
    <w:rsid w:val="5B6367EA"/>
    <w:rsid w:val="5B650CF5"/>
    <w:rsid w:val="5B71DA2F"/>
    <w:rsid w:val="5B8B1A36"/>
    <w:rsid w:val="5BA89018"/>
    <w:rsid w:val="5BABC70B"/>
    <w:rsid w:val="5BB4A301"/>
    <w:rsid w:val="5BB72A67"/>
    <w:rsid w:val="5BC33BBA"/>
    <w:rsid w:val="5BC79962"/>
    <w:rsid w:val="5BDEA985"/>
    <w:rsid w:val="5BE18BF0"/>
    <w:rsid w:val="5BE42CE4"/>
    <w:rsid w:val="5BE5F329"/>
    <w:rsid w:val="5BF5C9E5"/>
    <w:rsid w:val="5C0F0BB4"/>
    <w:rsid w:val="5C20A49B"/>
    <w:rsid w:val="5C2E12BB"/>
    <w:rsid w:val="5C3E1A90"/>
    <w:rsid w:val="5C6BB944"/>
    <w:rsid w:val="5C72DD67"/>
    <w:rsid w:val="5C99A2FA"/>
    <w:rsid w:val="5CA0EBA2"/>
    <w:rsid w:val="5CA2C73A"/>
    <w:rsid w:val="5CA7D40A"/>
    <w:rsid w:val="5CE46E4E"/>
    <w:rsid w:val="5CE5D88A"/>
    <w:rsid w:val="5D23BACD"/>
    <w:rsid w:val="5D26EA97"/>
    <w:rsid w:val="5D2C30E5"/>
    <w:rsid w:val="5D468F23"/>
    <w:rsid w:val="5D7FD916"/>
    <w:rsid w:val="5D80B554"/>
    <w:rsid w:val="5D9334AA"/>
    <w:rsid w:val="5DB72443"/>
    <w:rsid w:val="5DC0E8E8"/>
    <w:rsid w:val="5DC764CC"/>
    <w:rsid w:val="5DC88747"/>
    <w:rsid w:val="5DE9EDB2"/>
    <w:rsid w:val="5DF005E6"/>
    <w:rsid w:val="5E3E979B"/>
    <w:rsid w:val="5E40FB51"/>
    <w:rsid w:val="5E53795B"/>
    <w:rsid w:val="5E732CCA"/>
    <w:rsid w:val="5E780E07"/>
    <w:rsid w:val="5E8BD14A"/>
    <w:rsid w:val="5E9393EA"/>
    <w:rsid w:val="5E969AEA"/>
    <w:rsid w:val="5ED2EC6B"/>
    <w:rsid w:val="5F087D45"/>
    <w:rsid w:val="5F0ED537"/>
    <w:rsid w:val="5F0FF723"/>
    <w:rsid w:val="5F136F4B"/>
    <w:rsid w:val="5F2206F6"/>
    <w:rsid w:val="5F27A18F"/>
    <w:rsid w:val="5F53285C"/>
    <w:rsid w:val="5F6A6C04"/>
    <w:rsid w:val="5F9421FC"/>
    <w:rsid w:val="5F9AA3EB"/>
    <w:rsid w:val="5FAF9228"/>
    <w:rsid w:val="5FC817E3"/>
    <w:rsid w:val="5FCD0CD4"/>
    <w:rsid w:val="5FD88C64"/>
    <w:rsid w:val="5FDDDD1F"/>
    <w:rsid w:val="600D797B"/>
    <w:rsid w:val="601BC1EA"/>
    <w:rsid w:val="60207545"/>
    <w:rsid w:val="60468D19"/>
    <w:rsid w:val="605C8A12"/>
    <w:rsid w:val="605CCC15"/>
    <w:rsid w:val="605D5D57"/>
    <w:rsid w:val="606D1EA6"/>
    <w:rsid w:val="607148FC"/>
    <w:rsid w:val="607DAB94"/>
    <w:rsid w:val="6082767C"/>
    <w:rsid w:val="608E25B3"/>
    <w:rsid w:val="60C62213"/>
    <w:rsid w:val="60D34843"/>
    <w:rsid w:val="60D46F8F"/>
    <w:rsid w:val="60D88D95"/>
    <w:rsid w:val="60E7C466"/>
    <w:rsid w:val="60E827BF"/>
    <w:rsid w:val="60EE4A5E"/>
    <w:rsid w:val="60F65EEE"/>
    <w:rsid w:val="60FC7873"/>
    <w:rsid w:val="6128D6A5"/>
    <w:rsid w:val="613A967E"/>
    <w:rsid w:val="61425710"/>
    <w:rsid w:val="61520B15"/>
    <w:rsid w:val="615334B5"/>
    <w:rsid w:val="61590E71"/>
    <w:rsid w:val="616499B5"/>
    <w:rsid w:val="616FB154"/>
    <w:rsid w:val="617FAA0D"/>
    <w:rsid w:val="61915888"/>
    <w:rsid w:val="61E209E6"/>
    <w:rsid w:val="62043E9B"/>
    <w:rsid w:val="62059B61"/>
    <w:rsid w:val="620FDF30"/>
    <w:rsid w:val="6213A209"/>
    <w:rsid w:val="62471345"/>
    <w:rsid w:val="624A1089"/>
    <w:rsid w:val="625CE7B0"/>
    <w:rsid w:val="62699732"/>
    <w:rsid w:val="629174FA"/>
    <w:rsid w:val="62B17111"/>
    <w:rsid w:val="62D07087"/>
    <w:rsid w:val="62E2D17B"/>
    <w:rsid w:val="62EB817D"/>
    <w:rsid w:val="62F71CA8"/>
    <w:rsid w:val="630041BF"/>
    <w:rsid w:val="63067556"/>
    <w:rsid w:val="63073D23"/>
    <w:rsid w:val="6309F75B"/>
    <w:rsid w:val="630FCB0D"/>
    <w:rsid w:val="631A2EDE"/>
    <w:rsid w:val="632A576B"/>
    <w:rsid w:val="6334C25F"/>
    <w:rsid w:val="63429BAC"/>
    <w:rsid w:val="63434DAD"/>
    <w:rsid w:val="6356AF67"/>
    <w:rsid w:val="635F426D"/>
    <w:rsid w:val="639A647D"/>
    <w:rsid w:val="639F7883"/>
    <w:rsid w:val="63DD4F2F"/>
    <w:rsid w:val="63EAA742"/>
    <w:rsid w:val="63EB24CA"/>
    <w:rsid w:val="64063BEB"/>
    <w:rsid w:val="641A72B0"/>
    <w:rsid w:val="644A40EA"/>
    <w:rsid w:val="6453AEB8"/>
    <w:rsid w:val="64575FC7"/>
    <w:rsid w:val="645E6D89"/>
    <w:rsid w:val="64716CA2"/>
    <w:rsid w:val="647786D6"/>
    <w:rsid w:val="64A32B0C"/>
    <w:rsid w:val="64CB7EDC"/>
    <w:rsid w:val="64E071DA"/>
    <w:rsid w:val="64E13B28"/>
    <w:rsid w:val="64FA30E2"/>
    <w:rsid w:val="64FC11E0"/>
    <w:rsid w:val="65227371"/>
    <w:rsid w:val="65360FC4"/>
    <w:rsid w:val="6575C47B"/>
    <w:rsid w:val="657A7AF2"/>
    <w:rsid w:val="657E8A5D"/>
    <w:rsid w:val="6596529F"/>
    <w:rsid w:val="65B31EEA"/>
    <w:rsid w:val="65BB807F"/>
    <w:rsid w:val="65C84F6A"/>
    <w:rsid w:val="65CBFB22"/>
    <w:rsid w:val="65E86406"/>
    <w:rsid w:val="65EA4053"/>
    <w:rsid w:val="65FE9790"/>
    <w:rsid w:val="6601EF7D"/>
    <w:rsid w:val="6602DE13"/>
    <w:rsid w:val="660764C1"/>
    <w:rsid w:val="66154B58"/>
    <w:rsid w:val="6652B6DC"/>
    <w:rsid w:val="665AB6BC"/>
    <w:rsid w:val="6674B95C"/>
    <w:rsid w:val="66781BAE"/>
    <w:rsid w:val="667C423B"/>
    <w:rsid w:val="667E42CC"/>
    <w:rsid w:val="6683083E"/>
    <w:rsid w:val="6689B7EF"/>
    <w:rsid w:val="66A0003F"/>
    <w:rsid w:val="66BAFCFB"/>
    <w:rsid w:val="66D9AADF"/>
    <w:rsid w:val="66E1C6A1"/>
    <w:rsid w:val="670F413D"/>
    <w:rsid w:val="6711837A"/>
    <w:rsid w:val="6711C650"/>
    <w:rsid w:val="6713DE20"/>
    <w:rsid w:val="671547CC"/>
    <w:rsid w:val="67346242"/>
    <w:rsid w:val="6745036B"/>
    <w:rsid w:val="678BD846"/>
    <w:rsid w:val="679012ED"/>
    <w:rsid w:val="679633B1"/>
    <w:rsid w:val="67BAD5C6"/>
    <w:rsid w:val="67CC6DE2"/>
    <w:rsid w:val="67DCE85B"/>
    <w:rsid w:val="67EA15CD"/>
    <w:rsid w:val="67F966A1"/>
    <w:rsid w:val="67FFA659"/>
    <w:rsid w:val="680EDB04"/>
    <w:rsid w:val="6867D0CA"/>
    <w:rsid w:val="688F0DBB"/>
    <w:rsid w:val="6897BD67"/>
    <w:rsid w:val="68ACF44D"/>
    <w:rsid w:val="68BAB55A"/>
    <w:rsid w:val="68BFB059"/>
    <w:rsid w:val="68D9E2FD"/>
    <w:rsid w:val="68F972B4"/>
    <w:rsid w:val="68FD4A36"/>
    <w:rsid w:val="69211517"/>
    <w:rsid w:val="69259536"/>
    <w:rsid w:val="692BC821"/>
    <w:rsid w:val="692F33AE"/>
    <w:rsid w:val="69314023"/>
    <w:rsid w:val="6935C19D"/>
    <w:rsid w:val="693D94EC"/>
    <w:rsid w:val="695175DE"/>
    <w:rsid w:val="6964629D"/>
    <w:rsid w:val="6969FE78"/>
    <w:rsid w:val="696ED302"/>
    <w:rsid w:val="697BA5A6"/>
    <w:rsid w:val="69805DFD"/>
    <w:rsid w:val="6992453E"/>
    <w:rsid w:val="69946CB4"/>
    <w:rsid w:val="699BB509"/>
    <w:rsid w:val="699CA06C"/>
    <w:rsid w:val="69AFB326"/>
    <w:rsid w:val="69BA258E"/>
    <w:rsid w:val="69BEAC6E"/>
    <w:rsid w:val="69D494A7"/>
    <w:rsid w:val="69EE1941"/>
    <w:rsid w:val="69F1B494"/>
    <w:rsid w:val="69F244DF"/>
    <w:rsid w:val="6A06DFBD"/>
    <w:rsid w:val="6A358E9A"/>
    <w:rsid w:val="6A416113"/>
    <w:rsid w:val="6A573781"/>
    <w:rsid w:val="6A596BBD"/>
    <w:rsid w:val="6A5DF8A2"/>
    <w:rsid w:val="6AB71A7A"/>
    <w:rsid w:val="6ACB517B"/>
    <w:rsid w:val="6B165833"/>
    <w:rsid w:val="6B1B05BF"/>
    <w:rsid w:val="6B2540C3"/>
    <w:rsid w:val="6B25CC11"/>
    <w:rsid w:val="6B2D85E8"/>
    <w:rsid w:val="6B3072EB"/>
    <w:rsid w:val="6B6C4CEC"/>
    <w:rsid w:val="6B7A1F21"/>
    <w:rsid w:val="6B7D2210"/>
    <w:rsid w:val="6B7FB74B"/>
    <w:rsid w:val="6BA3DF9B"/>
    <w:rsid w:val="6BA75017"/>
    <w:rsid w:val="6BD1862D"/>
    <w:rsid w:val="6BD66CCF"/>
    <w:rsid w:val="6BE3BA5B"/>
    <w:rsid w:val="6BF7511B"/>
    <w:rsid w:val="6BFF5323"/>
    <w:rsid w:val="6C127919"/>
    <w:rsid w:val="6C1E2BB2"/>
    <w:rsid w:val="6C966A1D"/>
    <w:rsid w:val="6C974A37"/>
    <w:rsid w:val="6C99E485"/>
    <w:rsid w:val="6CB0E5C9"/>
    <w:rsid w:val="6CC3284F"/>
    <w:rsid w:val="6CC879D4"/>
    <w:rsid w:val="6CD66E92"/>
    <w:rsid w:val="6D0B81E4"/>
    <w:rsid w:val="6D0E13B7"/>
    <w:rsid w:val="6D171E0E"/>
    <w:rsid w:val="6D2153B9"/>
    <w:rsid w:val="6D429700"/>
    <w:rsid w:val="6D710C18"/>
    <w:rsid w:val="6D8452CA"/>
    <w:rsid w:val="6DABE1AC"/>
    <w:rsid w:val="6DC88A67"/>
    <w:rsid w:val="6DD9C1A4"/>
    <w:rsid w:val="6E132918"/>
    <w:rsid w:val="6E18145E"/>
    <w:rsid w:val="6E1E549A"/>
    <w:rsid w:val="6E23E594"/>
    <w:rsid w:val="6E3B741D"/>
    <w:rsid w:val="6E5AA135"/>
    <w:rsid w:val="6E634F80"/>
    <w:rsid w:val="6E6DF750"/>
    <w:rsid w:val="6E9BFC27"/>
    <w:rsid w:val="6EC66494"/>
    <w:rsid w:val="6EFA4DFD"/>
    <w:rsid w:val="6F13203A"/>
    <w:rsid w:val="6F1E26B7"/>
    <w:rsid w:val="6F20C105"/>
    <w:rsid w:val="6F66CDC5"/>
    <w:rsid w:val="6F6EFEF9"/>
    <w:rsid w:val="6F9AB62D"/>
    <w:rsid w:val="6F9F7178"/>
    <w:rsid w:val="6FA22176"/>
    <w:rsid w:val="6FA65E28"/>
    <w:rsid w:val="6FB1C0E5"/>
    <w:rsid w:val="6FD3B436"/>
    <w:rsid w:val="6FEB3E05"/>
    <w:rsid w:val="6FFE07F7"/>
    <w:rsid w:val="7006E840"/>
    <w:rsid w:val="700BF8E0"/>
    <w:rsid w:val="700DFDA2"/>
    <w:rsid w:val="7017D928"/>
    <w:rsid w:val="7037073B"/>
    <w:rsid w:val="70405042"/>
    <w:rsid w:val="70568400"/>
    <w:rsid w:val="708B005D"/>
    <w:rsid w:val="70A2B88D"/>
    <w:rsid w:val="70A59215"/>
    <w:rsid w:val="70C49601"/>
    <w:rsid w:val="70D058BB"/>
    <w:rsid w:val="70E2F5E9"/>
    <w:rsid w:val="70FDBF17"/>
    <w:rsid w:val="7108AB92"/>
    <w:rsid w:val="71173177"/>
    <w:rsid w:val="7117FD81"/>
    <w:rsid w:val="7127CE06"/>
    <w:rsid w:val="71308819"/>
    <w:rsid w:val="713ABB00"/>
    <w:rsid w:val="7151F89F"/>
    <w:rsid w:val="718FD8F1"/>
    <w:rsid w:val="719C9E4F"/>
    <w:rsid w:val="719E449E"/>
    <w:rsid w:val="71E6E963"/>
    <w:rsid w:val="71FBC55E"/>
    <w:rsid w:val="71FE44B4"/>
    <w:rsid w:val="720E86D3"/>
    <w:rsid w:val="721B1557"/>
    <w:rsid w:val="7226F181"/>
    <w:rsid w:val="722BD352"/>
    <w:rsid w:val="72333A8E"/>
    <w:rsid w:val="72528646"/>
    <w:rsid w:val="72668750"/>
    <w:rsid w:val="72668B9B"/>
    <w:rsid w:val="728AF3D5"/>
    <w:rsid w:val="7290347E"/>
    <w:rsid w:val="729383ED"/>
    <w:rsid w:val="729B13A8"/>
    <w:rsid w:val="72BEFA0C"/>
    <w:rsid w:val="72F6623F"/>
    <w:rsid w:val="72FB6291"/>
    <w:rsid w:val="72FEC199"/>
    <w:rsid w:val="7317A4C3"/>
    <w:rsid w:val="731C3675"/>
    <w:rsid w:val="7337BB58"/>
    <w:rsid w:val="7338047F"/>
    <w:rsid w:val="73537686"/>
    <w:rsid w:val="7357FB5D"/>
    <w:rsid w:val="73710E44"/>
    <w:rsid w:val="737B0CA4"/>
    <w:rsid w:val="73AE753A"/>
    <w:rsid w:val="73B5B877"/>
    <w:rsid w:val="73D52313"/>
    <w:rsid w:val="73F8056A"/>
    <w:rsid w:val="74453A79"/>
    <w:rsid w:val="744627D3"/>
    <w:rsid w:val="74608EE9"/>
    <w:rsid w:val="746CC4B4"/>
    <w:rsid w:val="7470603C"/>
    <w:rsid w:val="74C34A9C"/>
    <w:rsid w:val="74D3517A"/>
    <w:rsid w:val="74E2CDEB"/>
    <w:rsid w:val="74E5973B"/>
    <w:rsid w:val="7507D238"/>
    <w:rsid w:val="75246BA1"/>
    <w:rsid w:val="7524C3D7"/>
    <w:rsid w:val="7527D82B"/>
    <w:rsid w:val="7532D37B"/>
    <w:rsid w:val="7574B283"/>
    <w:rsid w:val="7579ABE0"/>
    <w:rsid w:val="758B7B17"/>
    <w:rsid w:val="758E2EC8"/>
    <w:rsid w:val="75A41B52"/>
    <w:rsid w:val="75E3A58F"/>
    <w:rsid w:val="75F512B1"/>
    <w:rsid w:val="7602EC2A"/>
    <w:rsid w:val="760DF682"/>
    <w:rsid w:val="76115FA0"/>
    <w:rsid w:val="761409AF"/>
    <w:rsid w:val="765A3D81"/>
    <w:rsid w:val="76758CC7"/>
    <w:rsid w:val="7677912B"/>
    <w:rsid w:val="767B8E9C"/>
    <w:rsid w:val="76A4FCBB"/>
    <w:rsid w:val="76A535F1"/>
    <w:rsid w:val="76A761B7"/>
    <w:rsid w:val="76B2D544"/>
    <w:rsid w:val="76BF262B"/>
    <w:rsid w:val="76D12195"/>
    <w:rsid w:val="76D12E16"/>
    <w:rsid w:val="76DEC6CD"/>
    <w:rsid w:val="76F421E0"/>
    <w:rsid w:val="76F86D33"/>
    <w:rsid w:val="77059EB0"/>
    <w:rsid w:val="771956F7"/>
    <w:rsid w:val="773C5238"/>
    <w:rsid w:val="7741FB01"/>
    <w:rsid w:val="7759D2A4"/>
    <w:rsid w:val="777D24F4"/>
    <w:rsid w:val="77A0538E"/>
    <w:rsid w:val="77B3C814"/>
    <w:rsid w:val="77D40EB3"/>
    <w:rsid w:val="77EC67E1"/>
    <w:rsid w:val="77F9EE73"/>
    <w:rsid w:val="77FEBBE6"/>
    <w:rsid w:val="77FFF4CE"/>
    <w:rsid w:val="782E5729"/>
    <w:rsid w:val="7843CF4D"/>
    <w:rsid w:val="78486160"/>
    <w:rsid w:val="785609EC"/>
    <w:rsid w:val="785DB190"/>
    <w:rsid w:val="786C73EE"/>
    <w:rsid w:val="787AA994"/>
    <w:rsid w:val="7889782B"/>
    <w:rsid w:val="788DF947"/>
    <w:rsid w:val="788F3672"/>
    <w:rsid w:val="78ADAA89"/>
    <w:rsid w:val="78D704C6"/>
    <w:rsid w:val="78E44DE2"/>
    <w:rsid w:val="78FE5540"/>
    <w:rsid w:val="79168D2D"/>
    <w:rsid w:val="7937434D"/>
    <w:rsid w:val="796FDF14"/>
    <w:rsid w:val="7970929B"/>
    <w:rsid w:val="797259AE"/>
    <w:rsid w:val="79913B0A"/>
    <w:rsid w:val="79A594BD"/>
    <w:rsid w:val="79A6AC0B"/>
    <w:rsid w:val="79C4C124"/>
    <w:rsid w:val="79EDFBDC"/>
    <w:rsid w:val="79EE2839"/>
    <w:rsid w:val="79F4D5F5"/>
    <w:rsid w:val="79F8B6D1"/>
    <w:rsid w:val="79FDC410"/>
    <w:rsid w:val="7A032BC3"/>
    <w:rsid w:val="7A206BFB"/>
    <w:rsid w:val="7A29BF95"/>
    <w:rsid w:val="7A3756BF"/>
    <w:rsid w:val="7A4EA387"/>
    <w:rsid w:val="7A59C0B9"/>
    <w:rsid w:val="7A5C383D"/>
    <w:rsid w:val="7A9F39FB"/>
    <w:rsid w:val="7AA37E3B"/>
    <w:rsid w:val="7AA97CE5"/>
    <w:rsid w:val="7AAA3EAF"/>
    <w:rsid w:val="7AB05917"/>
    <w:rsid w:val="7AC8368E"/>
    <w:rsid w:val="7AC8F510"/>
    <w:rsid w:val="7AD0CF2D"/>
    <w:rsid w:val="7AD751E9"/>
    <w:rsid w:val="7AD78C15"/>
    <w:rsid w:val="7B03A46D"/>
    <w:rsid w:val="7B148670"/>
    <w:rsid w:val="7B15FBF2"/>
    <w:rsid w:val="7B2B386C"/>
    <w:rsid w:val="7B45B748"/>
    <w:rsid w:val="7B55659F"/>
    <w:rsid w:val="7B5C8AB7"/>
    <w:rsid w:val="7B5D4F14"/>
    <w:rsid w:val="7B6156D2"/>
    <w:rsid w:val="7BA5E64A"/>
    <w:rsid w:val="7BB0A302"/>
    <w:rsid w:val="7BBB8517"/>
    <w:rsid w:val="7BD928AD"/>
    <w:rsid w:val="7BF08AC9"/>
    <w:rsid w:val="7BF2C831"/>
    <w:rsid w:val="7C02F0D6"/>
    <w:rsid w:val="7C087B76"/>
    <w:rsid w:val="7C093998"/>
    <w:rsid w:val="7C0FEB54"/>
    <w:rsid w:val="7C28DCF8"/>
    <w:rsid w:val="7C2F1B01"/>
    <w:rsid w:val="7C52113C"/>
    <w:rsid w:val="7C65779E"/>
    <w:rsid w:val="7C6E5A58"/>
    <w:rsid w:val="7C755291"/>
    <w:rsid w:val="7C827355"/>
    <w:rsid w:val="7C8655AA"/>
    <w:rsid w:val="7C8727EA"/>
    <w:rsid w:val="7C8E10CF"/>
    <w:rsid w:val="7CC1201E"/>
    <w:rsid w:val="7CCBAA52"/>
    <w:rsid w:val="7CD0D1F6"/>
    <w:rsid w:val="7CD7DA45"/>
    <w:rsid w:val="7D09C216"/>
    <w:rsid w:val="7D13B2CB"/>
    <w:rsid w:val="7D25CEC3"/>
    <w:rsid w:val="7D429401"/>
    <w:rsid w:val="7D5329A0"/>
    <w:rsid w:val="7D553B88"/>
    <w:rsid w:val="7D99A225"/>
    <w:rsid w:val="7DC562EA"/>
    <w:rsid w:val="7DDBDDE8"/>
    <w:rsid w:val="7DF2B084"/>
    <w:rsid w:val="7E1DE080"/>
    <w:rsid w:val="7E1FBC06"/>
    <w:rsid w:val="7E2FC788"/>
    <w:rsid w:val="7E4513E6"/>
    <w:rsid w:val="7E5F8196"/>
    <w:rsid w:val="7E69BF84"/>
    <w:rsid w:val="7E75EAA4"/>
    <w:rsid w:val="7E7EC0AD"/>
    <w:rsid w:val="7E80C080"/>
    <w:rsid w:val="7E8C35FC"/>
    <w:rsid w:val="7E98C2AE"/>
    <w:rsid w:val="7ECA6674"/>
    <w:rsid w:val="7ECB3D9B"/>
    <w:rsid w:val="7EDE1E34"/>
    <w:rsid w:val="7F0857D1"/>
    <w:rsid w:val="7F0D620F"/>
    <w:rsid w:val="7F26FEBE"/>
    <w:rsid w:val="7F2887F1"/>
    <w:rsid w:val="7F3326D2"/>
    <w:rsid w:val="7F353237"/>
    <w:rsid w:val="7F392609"/>
    <w:rsid w:val="7F3FE6A1"/>
    <w:rsid w:val="7F439E2D"/>
    <w:rsid w:val="7F5265E2"/>
    <w:rsid w:val="7F64137D"/>
    <w:rsid w:val="7F68EED5"/>
    <w:rsid w:val="7F7AD733"/>
    <w:rsid w:val="7F7B6522"/>
    <w:rsid w:val="7FA42140"/>
    <w:rsid w:val="7FB91AF5"/>
    <w:rsid w:val="7FBBB5BC"/>
    <w:rsid w:val="7FD0C931"/>
    <w:rsid w:val="7FE4AD9D"/>
    <w:rsid w:val="7FF83B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59425"/>
  <w15:chartTrackingRefBased/>
  <w15:docId w15:val="{BCC3D202-5D0F-4FDA-A229-35A55456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43F"/>
    <w:pPr>
      <w:spacing w:after="0" w:line="240" w:lineRule="auto"/>
    </w:pPr>
    <w:rPr>
      <w:sz w:val="24"/>
    </w:rPr>
  </w:style>
  <w:style w:type="paragraph" w:styleId="Heading1">
    <w:name w:val="heading 1"/>
    <w:basedOn w:val="Normal"/>
    <w:next w:val="Normal"/>
    <w:link w:val="Heading1Char"/>
    <w:uiPriority w:val="9"/>
    <w:qFormat/>
    <w:rsid w:val="00F6143F"/>
    <w:pPr>
      <w:keepNext/>
      <w:keepLines/>
      <w:spacing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617B9"/>
    <w:pPr>
      <w:keepNext/>
      <w:keepLines/>
      <w:spacing w:after="120"/>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5123F4"/>
    <w:pPr>
      <w:spacing w:after="0" w:line="240" w:lineRule="auto"/>
    </w:pPr>
    <w:tblPr>
      <w:tblBorders>
        <w:top w:val="single" w:sz="8" w:space="0" w:color="auto"/>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shd w:val="clear" w:color="auto" w:fill="EDEDED" w:themeFill="accent3" w:themeFillTint="33"/>
      </w:tcPr>
    </w:tblStylePr>
  </w:style>
  <w:style w:type="table" w:customStyle="1" w:styleId="Reg-Title">
    <w:name w:val="Reg-Title"/>
    <w:basedOn w:val="TableGrid"/>
    <w:uiPriority w:val="99"/>
    <w:rsid w:val="005123F4"/>
    <w:rPr>
      <w:color w:val="FFFFFF" w:themeColor="background1"/>
      <w:sz w:val="24"/>
    </w:rPr>
    <w:tblPr/>
    <w:tcPr>
      <w:shd w:val="clear" w:color="auto" w:fill="525252" w:themeFill="accent3" w:themeFillShade="80"/>
    </w:tcPr>
  </w:style>
  <w:style w:type="table" w:styleId="TableGrid">
    <w:name w:val="Table Grid"/>
    <w:basedOn w:val="TableNormal"/>
    <w:uiPriority w:val="39"/>
    <w:rsid w:val="0051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styleId="TableGridLight">
    <w:name w:val="Grid Table Light"/>
    <w:aliases w:val="statewide-title"/>
    <w:basedOn w:val="TableNormal"/>
    <w:uiPriority w:val="40"/>
    <w:rsid w:val="001407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525252" w:themeFill="accent3" w:themeFillShade="80"/>
    </w:tcPr>
  </w:style>
  <w:style w:type="character" w:styleId="Hyperlink">
    <w:name w:val="Hyperlink"/>
    <w:basedOn w:val="DefaultParagraphFont"/>
    <w:uiPriority w:val="99"/>
    <w:unhideWhenUsed/>
    <w:rsid w:val="00871E4E"/>
    <w:rPr>
      <w:color w:val="0563C1" w:themeColor="hyperlink"/>
      <w:u w:val="single"/>
    </w:rPr>
  </w:style>
  <w:style w:type="character" w:styleId="UnresolvedMention">
    <w:name w:val="Unresolved Mention"/>
    <w:basedOn w:val="DefaultParagraphFont"/>
    <w:uiPriority w:val="99"/>
    <w:semiHidden/>
    <w:unhideWhenUsed/>
    <w:rsid w:val="00871E4E"/>
    <w:rPr>
      <w:color w:val="605E5C"/>
      <w:shd w:val="clear" w:color="auto" w:fill="E1DFDD"/>
    </w:rPr>
  </w:style>
  <w:style w:type="character" w:customStyle="1" w:styleId="Heading1Char">
    <w:name w:val="Heading 1 Char"/>
    <w:basedOn w:val="DefaultParagraphFont"/>
    <w:link w:val="Heading1"/>
    <w:uiPriority w:val="9"/>
    <w:rsid w:val="00F6143F"/>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871E4E"/>
    <w:pPr>
      <w:outlineLvl w:val="9"/>
    </w:pPr>
  </w:style>
  <w:style w:type="paragraph" w:styleId="TOC1">
    <w:name w:val="toc 1"/>
    <w:basedOn w:val="Normal"/>
    <w:next w:val="Normal"/>
    <w:autoRedefine/>
    <w:uiPriority w:val="39"/>
    <w:unhideWhenUsed/>
    <w:rsid w:val="005F5E23"/>
    <w:pPr>
      <w:spacing w:after="100"/>
    </w:pPr>
  </w:style>
  <w:style w:type="paragraph" w:styleId="Header">
    <w:name w:val="header"/>
    <w:basedOn w:val="Normal"/>
    <w:link w:val="HeaderChar"/>
    <w:uiPriority w:val="99"/>
    <w:unhideWhenUsed/>
    <w:rsid w:val="00E966E3"/>
    <w:pPr>
      <w:tabs>
        <w:tab w:val="center" w:pos="4680"/>
        <w:tab w:val="right" w:pos="9360"/>
      </w:tabs>
    </w:pPr>
  </w:style>
  <w:style w:type="character" w:customStyle="1" w:styleId="HeaderChar">
    <w:name w:val="Header Char"/>
    <w:basedOn w:val="DefaultParagraphFont"/>
    <w:link w:val="Header"/>
    <w:uiPriority w:val="99"/>
    <w:rsid w:val="00E966E3"/>
  </w:style>
  <w:style w:type="paragraph" w:styleId="Footer">
    <w:name w:val="footer"/>
    <w:basedOn w:val="Normal"/>
    <w:link w:val="FooterChar"/>
    <w:uiPriority w:val="99"/>
    <w:unhideWhenUsed/>
    <w:rsid w:val="00E966E3"/>
    <w:pPr>
      <w:tabs>
        <w:tab w:val="center" w:pos="4680"/>
        <w:tab w:val="right" w:pos="9360"/>
      </w:tabs>
    </w:pPr>
  </w:style>
  <w:style w:type="character" w:customStyle="1" w:styleId="FooterChar">
    <w:name w:val="Footer Char"/>
    <w:basedOn w:val="DefaultParagraphFont"/>
    <w:link w:val="Footer"/>
    <w:uiPriority w:val="99"/>
    <w:rsid w:val="00E966E3"/>
  </w:style>
  <w:style w:type="paragraph" w:styleId="FootnoteText">
    <w:name w:val="footnote text"/>
    <w:basedOn w:val="Normal"/>
    <w:link w:val="FootnoteTextChar"/>
    <w:uiPriority w:val="99"/>
    <w:unhideWhenUsed/>
    <w:rsid w:val="005A43F9"/>
    <w:rPr>
      <w:sz w:val="20"/>
      <w:szCs w:val="20"/>
    </w:rPr>
  </w:style>
  <w:style w:type="character" w:customStyle="1" w:styleId="FootnoteTextChar">
    <w:name w:val="Footnote Text Char"/>
    <w:basedOn w:val="DefaultParagraphFont"/>
    <w:link w:val="FootnoteText"/>
    <w:uiPriority w:val="99"/>
    <w:rsid w:val="005A43F9"/>
    <w:rPr>
      <w:sz w:val="20"/>
      <w:szCs w:val="20"/>
    </w:rPr>
  </w:style>
  <w:style w:type="character" w:styleId="FootnoteReference">
    <w:name w:val="footnote reference"/>
    <w:basedOn w:val="DefaultParagraphFont"/>
    <w:uiPriority w:val="99"/>
    <w:semiHidden/>
    <w:unhideWhenUsed/>
    <w:rsid w:val="005A43F9"/>
    <w:rPr>
      <w:vertAlign w:val="superscript"/>
    </w:rPr>
  </w:style>
  <w:style w:type="paragraph" w:styleId="NormalWeb">
    <w:name w:val="Normal (Web)"/>
    <w:basedOn w:val="Normal"/>
    <w:uiPriority w:val="99"/>
    <w:semiHidden/>
    <w:unhideWhenUsed/>
    <w:rsid w:val="005A43F9"/>
    <w:pPr>
      <w:spacing w:before="100" w:beforeAutospacing="1" w:after="100" w:afterAutospacing="1"/>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rsid w:val="00E617B9"/>
    <w:rPr>
      <w:rFonts w:asciiTheme="majorHAnsi" w:eastAsiaTheme="majorEastAsia" w:hAnsiTheme="majorHAnsi" w:cstheme="majorBidi"/>
      <w:b/>
      <w:color w:val="2F5496" w:themeColor="accent1" w:themeShade="BF"/>
      <w:sz w:val="32"/>
      <w:szCs w:val="26"/>
    </w:rPr>
  </w:style>
  <w:style w:type="paragraph" w:styleId="ListParagraph">
    <w:name w:val="List Paragraph"/>
    <w:basedOn w:val="Normal"/>
    <w:uiPriority w:val="34"/>
    <w:qFormat/>
    <w:rsid w:val="0000348A"/>
    <w:pPr>
      <w:ind w:left="720"/>
      <w:contextualSpacing/>
    </w:pPr>
  </w:style>
  <w:style w:type="paragraph" w:styleId="TOC2">
    <w:name w:val="toc 2"/>
    <w:basedOn w:val="Normal"/>
    <w:next w:val="Normal"/>
    <w:autoRedefine/>
    <w:uiPriority w:val="39"/>
    <w:unhideWhenUsed/>
    <w:rsid w:val="00BC44A6"/>
    <w:pPr>
      <w:spacing w:after="100"/>
      <w:ind w:left="220"/>
    </w:pPr>
  </w:style>
  <w:style w:type="paragraph" w:customStyle="1" w:styleId="Style2">
    <w:name w:val="Style2"/>
    <w:basedOn w:val="Heading2"/>
    <w:link w:val="Style2Char"/>
    <w:qFormat/>
    <w:rsid w:val="003B5E4D"/>
    <w:rPr>
      <w:bCs/>
    </w:rPr>
  </w:style>
  <w:style w:type="paragraph" w:customStyle="1" w:styleId="spaced6">
    <w:name w:val="spaced6"/>
    <w:basedOn w:val="Normal"/>
    <w:qFormat/>
    <w:rsid w:val="0048788D"/>
    <w:pPr>
      <w:numPr>
        <w:numId w:val="4"/>
      </w:numPr>
      <w:spacing w:after="120"/>
    </w:pPr>
    <w:rPr>
      <w:szCs w:val="24"/>
    </w:rPr>
  </w:style>
  <w:style w:type="character" w:customStyle="1" w:styleId="Style2Char">
    <w:name w:val="Style2 Char"/>
    <w:basedOn w:val="Heading2Char"/>
    <w:link w:val="Style2"/>
    <w:rsid w:val="003B5E4D"/>
    <w:rPr>
      <w:rFonts w:asciiTheme="majorHAnsi" w:eastAsiaTheme="majorEastAsia" w:hAnsiTheme="majorHAnsi" w:cstheme="majorBidi"/>
      <w:b/>
      <w:bCs/>
      <w:color w:val="2F5496" w:themeColor="accent1" w:themeShade="BF"/>
      <w:sz w:val="32"/>
      <w:szCs w:val="26"/>
    </w:rPr>
  </w:style>
  <w:style w:type="paragraph" w:customStyle="1" w:styleId="fignote">
    <w:name w:val="fignote"/>
    <w:basedOn w:val="Normal"/>
    <w:qFormat/>
    <w:rsid w:val="00287D29"/>
    <w:pPr>
      <w:spacing w:after="120"/>
    </w:pPr>
    <w:rPr>
      <w:sz w:val="20"/>
      <w:szCs w:val="20"/>
    </w:rPr>
  </w:style>
  <w:style w:type="character" w:styleId="CommentReference">
    <w:name w:val="annotation reference"/>
    <w:basedOn w:val="DefaultParagraphFont"/>
    <w:uiPriority w:val="99"/>
    <w:semiHidden/>
    <w:unhideWhenUsed/>
    <w:rsid w:val="00D17BB3"/>
    <w:rPr>
      <w:sz w:val="16"/>
      <w:szCs w:val="16"/>
    </w:rPr>
  </w:style>
  <w:style w:type="paragraph" w:styleId="CommentText">
    <w:name w:val="annotation text"/>
    <w:basedOn w:val="Normal"/>
    <w:link w:val="CommentTextChar"/>
    <w:uiPriority w:val="99"/>
    <w:unhideWhenUsed/>
    <w:rsid w:val="00D17BB3"/>
    <w:rPr>
      <w:sz w:val="20"/>
      <w:szCs w:val="20"/>
    </w:rPr>
  </w:style>
  <w:style w:type="character" w:customStyle="1" w:styleId="CommentTextChar">
    <w:name w:val="Comment Text Char"/>
    <w:basedOn w:val="DefaultParagraphFont"/>
    <w:link w:val="CommentText"/>
    <w:uiPriority w:val="99"/>
    <w:rsid w:val="00D17BB3"/>
    <w:rPr>
      <w:sz w:val="20"/>
      <w:szCs w:val="20"/>
    </w:rPr>
  </w:style>
  <w:style w:type="paragraph" w:styleId="CommentSubject">
    <w:name w:val="annotation subject"/>
    <w:basedOn w:val="CommentText"/>
    <w:next w:val="CommentText"/>
    <w:link w:val="CommentSubjectChar"/>
    <w:uiPriority w:val="99"/>
    <w:semiHidden/>
    <w:unhideWhenUsed/>
    <w:rsid w:val="00D17BB3"/>
    <w:rPr>
      <w:b/>
      <w:bCs/>
    </w:rPr>
  </w:style>
  <w:style w:type="character" w:customStyle="1" w:styleId="CommentSubjectChar">
    <w:name w:val="Comment Subject Char"/>
    <w:basedOn w:val="CommentTextChar"/>
    <w:link w:val="CommentSubject"/>
    <w:uiPriority w:val="99"/>
    <w:semiHidden/>
    <w:rsid w:val="00D17BB3"/>
    <w:rPr>
      <w:b/>
      <w:bCs/>
      <w:sz w:val="20"/>
      <w:szCs w:val="20"/>
    </w:rPr>
  </w:style>
  <w:style w:type="paragraph" w:styleId="Revision">
    <w:name w:val="Revision"/>
    <w:hidden/>
    <w:uiPriority w:val="99"/>
    <w:semiHidden/>
    <w:rsid w:val="00921589"/>
    <w:pPr>
      <w:spacing w:after="0" w:line="240" w:lineRule="auto"/>
    </w:pPr>
    <w:rPr>
      <w:sz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cf01">
    <w:name w:val="cf01"/>
    <w:basedOn w:val="DefaultParagraphFont"/>
    <w:rsid w:val="00EF05A6"/>
    <w:rPr>
      <w:rFonts w:ascii="Segoe UI" w:hAnsi="Segoe UI" w:cs="Segoe UI" w:hint="default"/>
      <w:sz w:val="18"/>
      <w:szCs w:val="18"/>
    </w:rPr>
  </w:style>
  <w:style w:type="character" w:styleId="FollowedHyperlink">
    <w:name w:val="FollowedHyperlink"/>
    <w:basedOn w:val="DefaultParagraphFont"/>
    <w:uiPriority w:val="99"/>
    <w:semiHidden/>
    <w:unhideWhenUsed/>
    <w:rsid w:val="008E0170"/>
    <w:rPr>
      <w:color w:val="954F72" w:themeColor="followedHyperlink"/>
      <w:u w:val="single"/>
    </w:rPr>
  </w:style>
  <w:style w:type="paragraph" w:styleId="TOC3">
    <w:name w:val="toc 3"/>
    <w:basedOn w:val="Normal"/>
    <w:next w:val="Normal"/>
    <w:autoRedefine/>
    <w:uiPriority w:val="39"/>
    <w:unhideWhenUsed/>
    <w:rsid w:val="00C72CD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3212">
      <w:bodyDiv w:val="1"/>
      <w:marLeft w:val="0"/>
      <w:marRight w:val="0"/>
      <w:marTop w:val="0"/>
      <w:marBottom w:val="0"/>
      <w:divBdr>
        <w:top w:val="none" w:sz="0" w:space="0" w:color="auto"/>
        <w:left w:val="none" w:sz="0" w:space="0" w:color="auto"/>
        <w:bottom w:val="none" w:sz="0" w:space="0" w:color="auto"/>
        <w:right w:val="none" w:sz="0" w:space="0" w:color="auto"/>
      </w:divBdr>
      <w:divsChild>
        <w:div w:id="85079330">
          <w:marLeft w:val="878"/>
          <w:marRight w:val="0"/>
          <w:marTop w:val="0"/>
          <w:marBottom w:val="120"/>
          <w:divBdr>
            <w:top w:val="none" w:sz="0" w:space="0" w:color="auto"/>
            <w:left w:val="none" w:sz="0" w:space="0" w:color="auto"/>
            <w:bottom w:val="none" w:sz="0" w:space="0" w:color="auto"/>
            <w:right w:val="none" w:sz="0" w:space="0" w:color="auto"/>
          </w:divBdr>
        </w:div>
        <w:div w:id="730465152">
          <w:marLeft w:val="403"/>
          <w:marRight w:val="0"/>
          <w:marTop w:val="0"/>
          <w:marBottom w:val="120"/>
          <w:divBdr>
            <w:top w:val="none" w:sz="0" w:space="0" w:color="auto"/>
            <w:left w:val="none" w:sz="0" w:space="0" w:color="auto"/>
            <w:bottom w:val="none" w:sz="0" w:space="0" w:color="auto"/>
            <w:right w:val="none" w:sz="0" w:space="0" w:color="auto"/>
          </w:divBdr>
        </w:div>
        <w:div w:id="768043801">
          <w:marLeft w:val="403"/>
          <w:marRight w:val="0"/>
          <w:marTop w:val="0"/>
          <w:marBottom w:val="120"/>
          <w:divBdr>
            <w:top w:val="none" w:sz="0" w:space="0" w:color="auto"/>
            <w:left w:val="none" w:sz="0" w:space="0" w:color="auto"/>
            <w:bottom w:val="none" w:sz="0" w:space="0" w:color="auto"/>
            <w:right w:val="none" w:sz="0" w:space="0" w:color="auto"/>
          </w:divBdr>
        </w:div>
      </w:divsChild>
    </w:div>
    <w:div w:id="17121224">
      <w:bodyDiv w:val="1"/>
      <w:marLeft w:val="0"/>
      <w:marRight w:val="0"/>
      <w:marTop w:val="0"/>
      <w:marBottom w:val="0"/>
      <w:divBdr>
        <w:top w:val="none" w:sz="0" w:space="0" w:color="auto"/>
        <w:left w:val="none" w:sz="0" w:space="0" w:color="auto"/>
        <w:bottom w:val="none" w:sz="0" w:space="0" w:color="auto"/>
        <w:right w:val="none" w:sz="0" w:space="0" w:color="auto"/>
      </w:divBdr>
    </w:div>
    <w:div w:id="20207196">
      <w:bodyDiv w:val="1"/>
      <w:marLeft w:val="0"/>
      <w:marRight w:val="0"/>
      <w:marTop w:val="0"/>
      <w:marBottom w:val="0"/>
      <w:divBdr>
        <w:top w:val="none" w:sz="0" w:space="0" w:color="auto"/>
        <w:left w:val="none" w:sz="0" w:space="0" w:color="auto"/>
        <w:bottom w:val="none" w:sz="0" w:space="0" w:color="auto"/>
        <w:right w:val="none" w:sz="0" w:space="0" w:color="auto"/>
      </w:divBdr>
    </w:div>
    <w:div w:id="26948779">
      <w:bodyDiv w:val="1"/>
      <w:marLeft w:val="0"/>
      <w:marRight w:val="0"/>
      <w:marTop w:val="0"/>
      <w:marBottom w:val="0"/>
      <w:divBdr>
        <w:top w:val="none" w:sz="0" w:space="0" w:color="auto"/>
        <w:left w:val="none" w:sz="0" w:space="0" w:color="auto"/>
        <w:bottom w:val="none" w:sz="0" w:space="0" w:color="auto"/>
        <w:right w:val="none" w:sz="0" w:space="0" w:color="auto"/>
      </w:divBdr>
    </w:div>
    <w:div w:id="36049025">
      <w:bodyDiv w:val="1"/>
      <w:marLeft w:val="0"/>
      <w:marRight w:val="0"/>
      <w:marTop w:val="0"/>
      <w:marBottom w:val="0"/>
      <w:divBdr>
        <w:top w:val="none" w:sz="0" w:space="0" w:color="auto"/>
        <w:left w:val="none" w:sz="0" w:space="0" w:color="auto"/>
        <w:bottom w:val="none" w:sz="0" w:space="0" w:color="auto"/>
        <w:right w:val="none" w:sz="0" w:space="0" w:color="auto"/>
      </w:divBdr>
    </w:div>
    <w:div w:id="39063556">
      <w:bodyDiv w:val="1"/>
      <w:marLeft w:val="0"/>
      <w:marRight w:val="0"/>
      <w:marTop w:val="0"/>
      <w:marBottom w:val="0"/>
      <w:divBdr>
        <w:top w:val="none" w:sz="0" w:space="0" w:color="auto"/>
        <w:left w:val="none" w:sz="0" w:space="0" w:color="auto"/>
        <w:bottom w:val="none" w:sz="0" w:space="0" w:color="auto"/>
        <w:right w:val="none" w:sz="0" w:space="0" w:color="auto"/>
      </w:divBdr>
    </w:div>
    <w:div w:id="40256316">
      <w:bodyDiv w:val="1"/>
      <w:marLeft w:val="0"/>
      <w:marRight w:val="0"/>
      <w:marTop w:val="0"/>
      <w:marBottom w:val="0"/>
      <w:divBdr>
        <w:top w:val="none" w:sz="0" w:space="0" w:color="auto"/>
        <w:left w:val="none" w:sz="0" w:space="0" w:color="auto"/>
        <w:bottom w:val="none" w:sz="0" w:space="0" w:color="auto"/>
        <w:right w:val="none" w:sz="0" w:space="0" w:color="auto"/>
      </w:divBdr>
      <w:divsChild>
        <w:div w:id="196355545">
          <w:marLeft w:val="403"/>
          <w:marRight w:val="0"/>
          <w:marTop w:val="0"/>
          <w:marBottom w:val="120"/>
          <w:divBdr>
            <w:top w:val="none" w:sz="0" w:space="0" w:color="auto"/>
            <w:left w:val="none" w:sz="0" w:space="0" w:color="auto"/>
            <w:bottom w:val="none" w:sz="0" w:space="0" w:color="auto"/>
            <w:right w:val="none" w:sz="0" w:space="0" w:color="auto"/>
          </w:divBdr>
        </w:div>
        <w:div w:id="991057449">
          <w:marLeft w:val="403"/>
          <w:marRight w:val="0"/>
          <w:marTop w:val="0"/>
          <w:marBottom w:val="120"/>
          <w:divBdr>
            <w:top w:val="none" w:sz="0" w:space="0" w:color="auto"/>
            <w:left w:val="none" w:sz="0" w:space="0" w:color="auto"/>
            <w:bottom w:val="none" w:sz="0" w:space="0" w:color="auto"/>
            <w:right w:val="none" w:sz="0" w:space="0" w:color="auto"/>
          </w:divBdr>
        </w:div>
        <w:div w:id="1683507392">
          <w:marLeft w:val="403"/>
          <w:marRight w:val="0"/>
          <w:marTop w:val="0"/>
          <w:marBottom w:val="120"/>
          <w:divBdr>
            <w:top w:val="none" w:sz="0" w:space="0" w:color="auto"/>
            <w:left w:val="none" w:sz="0" w:space="0" w:color="auto"/>
            <w:bottom w:val="none" w:sz="0" w:space="0" w:color="auto"/>
            <w:right w:val="none" w:sz="0" w:space="0" w:color="auto"/>
          </w:divBdr>
        </w:div>
      </w:divsChild>
    </w:div>
    <w:div w:id="44331911">
      <w:bodyDiv w:val="1"/>
      <w:marLeft w:val="0"/>
      <w:marRight w:val="0"/>
      <w:marTop w:val="0"/>
      <w:marBottom w:val="0"/>
      <w:divBdr>
        <w:top w:val="none" w:sz="0" w:space="0" w:color="auto"/>
        <w:left w:val="none" w:sz="0" w:space="0" w:color="auto"/>
        <w:bottom w:val="none" w:sz="0" w:space="0" w:color="auto"/>
        <w:right w:val="none" w:sz="0" w:space="0" w:color="auto"/>
      </w:divBdr>
    </w:div>
    <w:div w:id="46684191">
      <w:bodyDiv w:val="1"/>
      <w:marLeft w:val="0"/>
      <w:marRight w:val="0"/>
      <w:marTop w:val="0"/>
      <w:marBottom w:val="0"/>
      <w:divBdr>
        <w:top w:val="none" w:sz="0" w:space="0" w:color="auto"/>
        <w:left w:val="none" w:sz="0" w:space="0" w:color="auto"/>
        <w:bottom w:val="none" w:sz="0" w:space="0" w:color="auto"/>
        <w:right w:val="none" w:sz="0" w:space="0" w:color="auto"/>
      </w:divBdr>
    </w:div>
    <w:div w:id="62457924">
      <w:bodyDiv w:val="1"/>
      <w:marLeft w:val="0"/>
      <w:marRight w:val="0"/>
      <w:marTop w:val="0"/>
      <w:marBottom w:val="0"/>
      <w:divBdr>
        <w:top w:val="none" w:sz="0" w:space="0" w:color="auto"/>
        <w:left w:val="none" w:sz="0" w:space="0" w:color="auto"/>
        <w:bottom w:val="none" w:sz="0" w:space="0" w:color="auto"/>
        <w:right w:val="none" w:sz="0" w:space="0" w:color="auto"/>
      </w:divBdr>
    </w:div>
    <w:div w:id="79648199">
      <w:bodyDiv w:val="1"/>
      <w:marLeft w:val="0"/>
      <w:marRight w:val="0"/>
      <w:marTop w:val="0"/>
      <w:marBottom w:val="0"/>
      <w:divBdr>
        <w:top w:val="none" w:sz="0" w:space="0" w:color="auto"/>
        <w:left w:val="none" w:sz="0" w:space="0" w:color="auto"/>
        <w:bottom w:val="none" w:sz="0" w:space="0" w:color="auto"/>
        <w:right w:val="none" w:sz="0" w:space="0" w:color="auto"/>
      </w:divBdr>
    </w:div>
    <w:div w:id="90131178">
      <w:bodyDiv w:val="1"/>
      <w:marLeft w:val="0"/>
      <w:marRight w:val="0"/>
      <w:marTop w:val="0"/>
      <w:marBottom w:val="0"/>
      <w:divBdr>
        <w:top w:val="none" w:sz="0" w:space="0" w:color="auto"/>
        <w:left w:val="none" w:sz="0" w:space="0" w:color="auto"/>
        <w:bottom w:val="none" w:sz="0" w:space="0" w:color="auto"/>
        <w:right w:val="none" w:sz="0" w:space="0" w:color="auto"/>
      </w:divBdr>
    </w:div>
    <w:div w:id="91361248">
      <w:bodyDiv w:val="1"/>
      <w:marLeft w:val="0"/>
      <w:marRight w:val="0"/>
      <w:marTop w:val="0"/>
      <w:marBottom w:val="0"/>
      <w:divBdr>
        <w:top w:val="none" w:sz="0" w:space="0" w:color="auto"/>
        <w:left w:val="none" w:sz="0" w:space="0" w:color="auto"/>
        <w:bottom w:val="none" w:sz="0" w:space="0" w:color="auto"/>
        <w:right w:val="none" w:sz="0" w:space="0" w:color="auto"/>
      </w:divBdr>
    </w:div>
    <w:div w:id="92290969">
      <w:bodyDiv w:val="1"/>
      <w:marLeft w:val="0"/>
      <w:marRight w:val="0"/>
      <w:marTop w:val="0"/>
      <w:marBottom w:val="0"/>
      <w:divBdr>
        <w:top w:val="none" w:sz="0" w:space="0" w:color="auto"/>
        <w:left w:val="none" w:sz="0" w:space="0" w:color="auto"/>
        <w:bottom w:val="none" w:sz="0" w:space="0" w:color="auto"/>
        <w:right w:val="none" w:sz="0" w:space="0" w:color="auto"/>
      </w:divBdr>
    </w:div>
    <w:div w:id="92824698">
      <w:bodyDiv w:val="1"/>
      <w:marLeft w:val="0"/>
      <w:marRight w:val="0"/>
      <w:marTop w:val="0"/>
      <w:marBottom w:val="0"/>
      <w:divBdr>
        <w:top w:val="none" w:sz="0" w:space="0" w:color="auto"/>
        <w:left w:val="none" w:sz="0" w:space="0" w:color="auto"/>
        <w:bottom w:val="none" w:sz="0" w:space="0" w:color="auto"/>
        <w:right w:val="none" w:sz="0" w:space="0" w:color="auto"/>
      </w:divBdr>
    </w:div>
    <w:div w:id="98258453">
      <w:bodyDiv w:val="1"/>
      <w:marLeft w:val="0"/>
      <w:marRight w:val="0"/>
      <w:marTop w:val="0"/>
      <w:marBottom w:val="0"/>
      <w:divBdr>
        <w:top w:val="none" w:sz="0" w:space="0" w:color="auto"/>
        <w:left w:val="none" w:sz="0" w:space="0" w:color="auto"/>
        <w:bottom w:val="none" w:sz="0" w:space="0" w:color="auto"/>
        <w:right w:val="none" w:sz="0" w:space="0" w:color="auto"/>
      </w:divBdr>
    </w:div>
    <w:div w:id="143621487">
      <w:bodyDiv w:val="1"/>
      <w:marLeft w:val="0"/>
      <w:marRight w:val="0"/>
      <w:marTop w:val="0"/>
      <w:marBottom w:val="0"/>
      <w:divBdr>
        <w:top w:val="none" w:sz="0" w:space="0" w:color="auto"/>
        <w:left w:val="none" w:sz="0" w:space="0" w:color="auto"/>
        <w:bottom w:val="none" w:sz="0" w:space="0" w:color="auto"/>
        <w:right w:val="none" w:sz="0" w:space="0" w:color="auto"/>
      </w:divBdr>
      <w:divsChild>
        <w:div w:id="65032672">
          <w:marLeft w:val="994"/>
          <w:marRight w:val="0"/>
          <w:marTop w:val="0"/>
          <w:marBottom w:val="120"/>
          <w:divBdr>
            <w:top w:val="none" w:sz="0" w:space="0" w:color="auto"/>
            <w:left w:val="none" w:sz="0" w:space="0" w:color="auto"/>
            <w:bottom w:val="none" w:sz="0" w:space="0" w:color="auto"/>
            <w:right w:val="none" w:sz="0" w:space="0" w:color="auto"/>
          </w:divBdr>
        </w:div>
        <w:div w:id="126512398">
          <w:marLeft w:val="994"/>
          <w:marRight w:val="0"/>
          <w:marTop w:val="0"/>
          <w:marBottom w:val="0"/>
          <w:divBdr>
            <w:top w:val="none" w:sz="0" w:space="0" w:color="auto"/>
            <w:left w:val="none" w:sz="0" w:space="0" w:color="auto"/>
            <w:bottom w:val="none" w:sz="0" w:space="0" w:color="auto"/>
            <w:right w:val="none" w:sz="0" w:space="0" w:color="auto"/>
          </w:divBdr>
        </w:div>
        <w:div w:id="263343254">
          <w:marLeft w:val="994"/>
          <w:marRight w:val="0"/>
          <w:marTop w:val="0"/>
          <w:marBottom w:val="0"/>
          <w:divBdr>
            <w:top w:val="none" w:sz="0" w:space="0" w:color="auto"/>
            <w:left w:val="none" w:sz="0" w:space="0" w:color="auto"/>
            <w:bottom w:val="none" w:sz="0" w:space="0" w:color="auto"/>
            <w:right w:val="none" w:sz="0" w:space="0" w:color="auto"/>
          </w:divBdr>
        </w:div>
        <w:div w:id="317807753">
          <w:marLeft w:val="274"/>
          <w:marRight w:val="0"/>
          <w:marTop w:val="0"/>
          <w:marBottom w:val="120"/>
          <w:divBdr>
            <w:top w:val="none" w:sz="0" w:space="0" w:color="auto"/>
            <w:left w:val="none" w:sz="0" w:space="0" w:color="auto"/>
            <w:bottom w:val="none" w:sz="0" w:space="0" w:color="auto"/>
            <w:right w:val="none" w:sz="0" w:space="0" w:color="auto"/>
          </w:divBdr>
        </w:div>
        <w:div w:id="500924252">
          <w:marLeft w:val="994"/>
          <w:marRight w:val="0"/>
          <w:marTop w:val="0"/>
          <w:marBottom w:val="120"/>
          <w:divBdr>
            <w:top w:val="none" w:sz="0" w:space="0" w:color="auto"/>
            <w:left w:val="none" w:sz="0" w:space="0" w:color="auto"/>
            <w:bottom w:val="none" w:sz="0" w:space="0" w:color="auto"/>
            <w:right w:val="none" w:sz="0" w:space="0" w:color="auto"/>
          </w:divBdr>
        </w:div>
        <w:div w:id="721946653">
          <w:marLeft w:val="994"/>
          <w:marRight w:val="0"/>
          <w:marTop w:val="0"/>
          <w:marBottom w:val="120"/>
          <w:divBdr>
            <w:top w:val="none" w:sz="0" w:space="0" w:color="auto"/>
            <w:left w:val="none" w:sz="0" w:space="0" w:color="auto"/>
            <w:bottom w:val="none" w:sz="0" w:space="0" w:color="auto"/>
            <w:right w:val="none" w:sz="0" w:space="0" w:color="auto"/>
          </w:divBdr>
        </w:div>
        <w:div w:id="787553355">
          <w:marLeft w:val="274"/>
          <w:marRight w:val="0"/>
          <w:marTop w:val="0"/>
          <w:marBottom w:val="0"/>
          <w:divBdr>
            <w:top w:val="none" w:sz="0" w:space="0" w:color="auto"/>
            <w:left w:val="none" w:sz="0" w:space="0" w:color="auto"/>
            <w:bottom w:val="none" w:sz="0" w:space="0" w:color="auto"/>
            <w:right w:val="none" w:sz="0" w:space="0" w:color="auto"/>
          </w:divBdr>
        </w:div>
        <w:div w:id="1102342403">
          <w:marLeft w:val="274"/>
          <w:marRight w:val="0"/>
          <w:marTop w:val="0"/>
          <w:marBottom w:val="120"/>
          <w:divBdr>
            <w:top w:val="none" w:sz="0" w:space="0" w:color="auto"/>
            <w:left w:val="none" w:sz="0" w:space="0" w:color="auto"/>
            <w:bottom w:val="none" w:sz="0" w:space="0" w:color="auto"/>
            <w:right w:val="none" w:sz="0" w:space="0" w:color="auto"/>
          </w:divBdr>
        </w:div>
        <w:div w:id="1805391046">
          <w:marLeft w:val="994"/>
          <w:marRight w:val="0"/>
          <w:marTop w:val="0"/>
          <w:marBottom w:val="0"/>
          <w:divBdr>
            <w:top w:val="none" w:sz="0" w:space="0" w:color="auto"/>
            <w:left w:val="none" w:sz="0" w:space="0" w:color="auto"/>
            <w:bottom w:val="none" w:sz="0" w:space="0" w:color="auto"/>
            <w:right w:val="none" w:sz="0" w:space="0" w:color="auto"/>
          </w:divBdr>
        </w:div>
        <w:div w:id="1923876228">
          <w:marLeft w:val="274"/>
          <w:marRight w:val="0"/>
          <w:marTop w:val="0"/>
          <w:marBottom w:val="120"/>
          <w:divBdr>
            <w:top w:val="none" w:sz="0" w:space="0" w:color="auto"/>
            <w:left w:val="none" w:sz="0" w:space="0" w:color="auto"/>
            <w:bottom w:val="none" w:sz="0" w:space="0" w:color="auto"/>
            <w:right w:val="none" w:sz="0" w:space="0" w:color="auto"/>
          </w:divBdr>
        </w:div>
        <w:div w:id="2004966050">
          <w:marLeft w:val="274"/>
          <w:marRight w:val="0"/>
          <w:marTop w:val="0"/>
          <w:marBottom w:val="120"/>
          <w:divBdr>
            <w:top w:val="none" w:sz="0" w:space="0" w:color="auto"/>
            <w:left w:val="none" w:sz="0" w:space="0" w:color="auto"/>
            <w:bottom w:val="none" w:sz="0" w:space="0" w:color="auto"/>
            <w:right w:val="none" w:sz="0" w:space="0" w:color="auto"/>
          </w:divBdr>
        </w:div>
      </w:divsChild>
    </w:div>
    <w:div w:id="145555851">
      <w:bodyDiv w:val="1"/>
      <w:marLeft w:val="0"/>
      <w:marRight w:val="0"/>
      <w:marTop w:val="0"/>
      <w:marBottom w:val="0"/>
      <w:divBdr>
        <w:top w:val="none" w:sz="0" w:space="0" w:color="auto"/>
        <w:left w:val="none" w:sz="0" w:space="0" w:color="auto"/>
        <w:bottom w:val="none" w:sz="0" w:space="0" w:color="auto"/>
        <w:right w:val="none" w:sz="0" w:space="0" w:color="auto"/>
      </w:divBdr>
    </w:div>
    <w:div w:id="150754481">
      <w:bodyDiv w:val="1"/>
      <w:marLeft w:val="0"/>
      <w:marRight w:val="0"/>
      <w:marTop w:val="0"/>
      <w:marBottom w:val="0"/>
      <w:divBdr>
        <w:top w:val="none" w:sz="0" w:space="0" w:color="auto"/>
        <w:left w:val="none" w:sz="0" w:space="0" w:color="auto"/>
        <w:bottom w:val="none" w:sz="0" w:space="0" w:color="auto"/>
        <w:right w:val="none" w:sz="0" w:space="0" w:color="auto"/>
      </w:divBdr>
      <w:divsChild>
        <w:div w:id="1722246138">
          <w:marLeft w:val="403"/>
          <w:marRight w:val="0"/>
          <w:marTop w:val="150"/>
          <w:marBottom w:val="0"/>
          <w:divBdr>
            <w:top w:val="none" w:sz="0" w:space="0" w:color="auto"/>
            <w:left w:val="none" w:sz="0" w:space="0" w:color="auto"/>
            <w:bottom w:val="none" w:sz="0" w:space="0" w:color="auto"/>
            <w:right w:val="none" w:sz="0" w:space="0" w:color="auto"/>
          </w:divBdr>
        </w:div>
      </w:divsChild>
    </w:div>
    <w:div w:id="150827543">
      <w:bodyDiv w:val="1"/>
      <w:marLeft w:val="0"/>
      <w:marRight w:val="0"/>
      <w:marTop w:val="0"/>
      <w:marBottom w:val="0"/>
      <w:divBdr>
        <w:top w:val="none" w:sz="0" w:space="0" w:color="auto"/>
        <w:left w:val="none" w:sz="0" w:space="0" w:color="auto"/>
        <w:bottom w:val="none" w:sz="0" w:space="0" w:color="auto"/>
        <w:right w:val="none" w:sz="0" w:space="0" w:color="auto"/>
      </w:divBdr>
      <w:divsChild>
        <w:div w:id="82576272">
          <w:marLeft w:val="403"/>
          <w:marRight w:val="0"/>
          <w:marTop w:val="120"/>
          <w:marBottom w:val="0"/>
          <w:divBdr>
            <w:top w:val="none" w:sz="0" w:space="0" w:color="auto"/>
            <w:left w:val="none" w:sz="0" w:space="0" w:color="auto"/>
            <w:bottom w:val="none" w:sz="0" w:space="0" w:color="auto"/>
            <w:right w:val="none" w:sz="0" w:space="0" w:color="auto"/>
          </w:divBdr>
        </w:div>
        <w:div w:id="796220960">
          <w:marLeft w:val="403"/>
          <w:marRight w:val="0"/>
          <w:marTop w:val="120"/>
          <w:marBottom w:val="0"/>
          <w:divBdr>
            <w:top w:val="none" w:sz="0" w:space="0" w:color="auto"/>
            <w:left w:val="none" w:sz="0" w:space="0" w:color="auto"/>
            <w:bottom w:val="none" w:sz="0" w:space="0" w:color="auto"/>
            <w:right w:val="none" w:sz="0" w:space="0" w:color="auto"/>
          </w:divBdr>
        </w:div>
      </w:divsChild>
    </w:div>
    <w:div w:id="159123300">
      <w:bodyDiv w:val="1"/>
      <w:marLeft w:val="0"/>
      <w:marRight w:val="0"/>
      <w:marTop w:val="0"/>
      <w:marBottom w:val="0"/>
      <w:divBdr>
        <w:top w:val="none" w:sz="0" w:space="0" w:color="auto"/>
        <w:left w:val="none" w:sz="0" w:space="0" w:color="auto"/>
        <w:bottom w:val="none" w:sz="0" w:space="0" w:color="auto"/>
        <w:right w:val="none" w:sz="0" w:space="0" w:color="auto"/>
      </w:divBdr>
    </w:div>
    <w:div w:id="160245970">
      <w:bodyDiv w:val="1"/>
      <w:marLeft w:val="0"/>
      <w:marRight w:val="0"/>
      <w:marTop w:val="0"/>
      <w:marBottom w:val="0"/>
      <w:divBdr>
        <w:top w:val="none" w:sz="0" w:space="0" w:color="auto"/>
        <w:left w:val="none" w:sz="0" w:space="0" w:color="auto"/>
        <w:bottom w:val="none" w:sz="0" w:space="0" w:color="auto"/>
        <w:right w:val="none" w:sz="0" w:space="0" w:color="auto"/>
      </w:divBdr>
      <w:divsChild>
        <w:div w:id="117262929">
          <w:marLeft w:val="274"/>
          <w:marRight w:val="0"/>
          <w:marTop w:val="0"/>
          <w:marBottom w:val="0"/>
          <w:divBdr>
            <w:top w:val="none" w:sz="0" w:space="0" w:color="auto"/>
            <w:left w:val="none" w:sz="0" w:space="0" w:color="auto"/>
            <w:bottom w:val="none" w:sz="0" w:space="0" w:color="auto"/>
            <w:right w:val="none" w:sz="0" w:space="0" w:color="auto"/>
          </w:divBdr>
        </w:div>
        <w:div w:id="1317413181">
          <w:marLeft w:val="274"/>
          <w:marRight w:val="0"/>
          <w:marTop w:val="0"/>
          <w:marBottom w:val="0"/>
          <w:divBdr>
            <w:top w:val="none" w:sz="0" w:space="0" w:color="auto"/>
            <w:left w:val="none" w:sz="0" w:space="0" w:color="auto"/>
            <w:bottom w:val="none" w:sz="0" w:space="0" w:color="auto"/>
            <w:right w:val="none" w:sz="0" w:space="0" w:color="auto"/>
          </w:divBdr>
        </w:div>
        <w:div w:id="1361007590">
          <w:marLeft w:val="274"/>
          <w:marRight w:val="0"/>
          <w:marTop w:val="0"/>
          <w:marBottom w:val="0"/>
          <w:divBdr>
            <w:top w:val="none" w:sz="0" w:space="0" w:color="auto"/>
            <w:left w:val="none" w:sz="0" w:space="0" w:color="auto"/>
            <w:bottom w:val="none" w:sz="0" w:space="0" w:color="auto"/>
            <w:right w:val="none" w:sz="0" w:space="0" w:color="auto"/>
          </w:divBdr>
        </w:div>
        <w:div w:id="1636369334">
          <w:marLeft w:val="274"/>
          <w:marRight w:val="0"/>
          <w:marTop w:val="0"/>
          <w:marBottom w:val="0"/>
          <w:divBdr>
            <w:top w:val="none" w:sz="0" w:space="0" w:color="auto"/>
            <w:left w:val="none" w:sz="0" w:space="0" w:color="auto"/>
            <w:bottom w:val="none" w:sz="0" w:space="0" w:color="auto"/>
            <w:right w:val="none" w:sz="0" w:space="0" w:color="auto"/>
          </w:divBdr>
        </w:div>
        <w:div w:id="1668089913">
          <w:marLeft w:val="274"/>
          <w:marRight w:val="0"/>
          <w:marTop w:val="0"/>
          <w:marBottom w:val="0"/>
          <w:divBdr>
            <w:top w:val="none" w:sz="0" w:space="0" w:color="auto"/>
            <w:left w:val="none" w:sz="0" w:space="0" w:color="auto"/>
            <w:bottom w:val="none" w:sz="0" w:space="0" w:color="auto"/>
            <w:right w:val="none" w:sz="0" w:space="0" w:color="auto"/>
          </w:divBdr>
        </w:div>
        <w:div w:id="1781729145">
          <w:marLeft w:val="274"/>
          <w:marRight w:val="0"/>
          <w:marTop w:val="0"/>
          <w:marBottom w:val="0"/>
          <w:divBdr>
            <w:top w:val="none" w:sz="0" w:space="0" w:color="auto"/>
            <w:left w:val="none" w:sz="0" w:space="0" w:color="auto"/>
            <w:bottom w:val="none" w:sz="0" w:space="0" w:color="auto"/>
            <w:right w:val="none" w:sz="0" w:space="0" w:color="auto"/>
          </w:divBdr>
        </w:div>
        <w:div w:id="1906408597">
          <w:marLeft w:val="274"/>
          <w:marRight w:val="0"/>
          <w:marTop w:val="0"/>
          <w:marBottom w:val="0"/>
          <w:divBdr>
            <w:top w:val="none" w:sz="0" w:space="0" w:color="auto"/>
            <w:left w:val="none" w:sz="0" w:space="0" w:color="auto"/>
            <w:bottom w:val="none" w:sz="0" w:space="0" w:color="auto"/>
            <w:right w:val="none" w:sz="0" w:space="0" w:color="auto"/>
          </w:divBdr>
        </w:div>
        <w:div w:id="1919900679">
          <w:marLeft w:val="274"/>
          <w:marRight w:val="0"/>
          <w:marTop w:val="0"/>
          <w:marBottom w:val="0"/>
          <w:divBdr>
            <w:top w:val="none" w:sz="0" w:space="0" w:color="auto"/>
            <w:left w:val="none" w:sz="0" w:space="0" w:color="auto"/>
            <w:bottom w:val="none" w:sz="0" w:space="0" w:color="auto"/>
            <w:right w:val="none" w:sz="0" w:space="0" w:color="auto"/>
          </w:divBdr>
        </w:div>
        <w:div w:id="1973973148">
          <w:marLeft w:val="274"/>
          <w:marRight w:val="0"/>
          <w:marTop w:val="0"/>
          <w:marBottom w:val="0"/>
          <w:divBdr>
            <w:top w:val="none" w:sz="0" w:space="0" w:color="auto"/>
            <w:left w:val="none" w:sz="0" w:space="0" w:color="auto"/>
            <w:bottom w:val="none" w:sz="0" w:space="0" w:color="auto"/>
            <w:right w:val="none" w:sz="0" w:space="0" w:color="auto"/>
          </w:divBdr>
        </w:div>
        <w:div w:id="2090610310">
          <w:marLeft w:val="274"/>
          <w:marRight w:val="0"/>
          <w:marTop w:val="0"/>
          <w:marBottom w:val="0"/>
          <w:divBdr>
            <w:top w:val="none" w:sz="0" w:space="0" w:color="auto"/>
            <w:left w:val="none" w:sz="0" w:space="0" w:color="auto"/>
            <w:bottom w:val="none" w:sz="0" w:space="0" w:color="auto"/>
            <w:right w:val="none" w:sz="0" w:space="0" w:color="auto"/>
          </w:divBdr>
        </w:div>
      </w:divsChild>
    </w:div>
    <w:div w:id="160707159">
      <w:bodyDiv w:val="1"/>
      <w:marLeft w:val="0"/>
      <w:marRight w:val="0"/>
      <w:marTop w:val="0"/>
      <w:marBottom w:val="0"/>
      <w:divBdr>
        <w:top w:val="none" w:sz="0" w:space="0" w:color="auto"/>
        <w:left w:val="none" w:sz="0" w:space="0" w:color="auto"/>
        <w:bottom w:val="none" w:sz="0" w:space="0" w:color="auto"/>
        <w:right w:val="none" w:sz="0" w:space="0" w:color="auto"/>
      </w:divBdr>
    </w:div>
    <w:div w:id="162554081">
      <w:bodyDiv w:val="1"/>
      <w:marLeft w:val="0"/>
      <w:marRight w:val="0"/>
      <w:marTop w:val="0"/>
      <w:marBottom w:val="0"/>
      <w:divBdr>
        <w:top w:val="none" w:sz="0" w:space="0" w:color="auto"/>
        <w:left w:val="none" w:sz="0" w:space="0" w:color="auto"/>
        <w:bottom w:val="none" w:sz="0" w:space="0" w:color="auto"/>
        <w:right w:val="none" w:sz="0" w:space="0" w:color="auto"/>
      </w:divBdr>
      <w:divsChild>
        <w:div w:id="1505052450">
          <w:marLeft w:val="403"/>
          <w:marRight w:val="0"/>
          <w:marTop w:val="0"/>
          <w:marBottom w:val="120"/>
          <w:divBdr>
            <w:top w:val="none" w:sz="0" w:space="0" w:color="auto"/>
            <w:left w:val="none" w:sz="0" w:space="0" w:color="auto"/>
            <w:bottom w:val="none" w:sz="0" w:space="0" w:color="auto"/>
            <w:right w:val="none" w:sz="0" w:space="0" w:color="auto"/>
          </w:divBdr>
        </w:div>
        <w:div w:id="1560365730">
          <w:marLeft w:val="403"/>
          <w:marRight w:val="0"/>
          <w:marTop w:val="0"/>
          <w:marBottom w:val="120"/>
          <w:divBdr>
            <w:top w:val="none" w:sz="0" w:space="0" w:color="auto"/>
            <w:left w:val="none" w:sz="0" w:space="0" w:color="auto"/>
            <w:bottom w:val="none" w:sz="0" w:space="0" w:color="auto"/>
            <w:right w:val="none" w:sz="0" w:space="0" w:color="auto"/>
          </w:divBdr>
        </w:div>
      </w:divsChild>
    </w:div>
    <w:div w:id="169873667">
      <w:bodyDiv w:val="1"/>
      <w:marLeft w:val="0"/>
      <w:marRight w:val="0"/>
      <w:marTop w:val="0"/>
      <w:marBottom w:val="0"/>
      <w:divBdr>
        <w:top w:val="none" w:sz="0" w:space="0" w:color="auto"/>
        <w:left w:val="none" w:sz="0" w:space="0" w:color="auto"/>
        <w:bottom w:val="none" w:sz="0" w:space="0" w:color="auto"/>
        <w:right w:val="none" w:sz="0" w:space="0" w:color="auto"/>
      </w:divBdr>
    </w:div>
    <w:div w:id="180047589">
      <w:bodyDiv w:val="1"/>
      <w:marLeft w:val="0"/>
      <w:marRight w:val="0"/>
      <w:marTop w:val="0"/>
      <w:marBottom w:val="0"/>
      <w:divBdr>
        <w:top w:val="none" w:sz="0" w:space="0" w:color="auto"/>
        <w:left w:val="none" w:sz="0" w:space="0" w:color="auto"/>
        <w:bottom w:val="none" w:sz="0" w:space="0" w:color="auto"/>
        <w:right w:val="none" w:sz="0" w:space="0" w:color="auto"/>
      </w:divBdr>
    </w:div>
    <w:div w:id="180122365">
      <w:bodyDiv w:val="1"/>
      <w:marLeft w:val="0"/>
      <w:marRight w:val="0"/>
      <w:marTop w:val="0"/>
      <w:marBottom w:val="0"/>
      <w:divBdr>
        <w:top w:val="none" w:sz="0" w:space="0" w:color="auto"/>
        <w:left w:val="none" w:sz="0" w:space="0" w:color="auto"/>
        <w:bottom w:val="none" w:sz="0" w:space="0" w:color="auto"/>
        <w:right w:val="none" w:sz="0" w:space="0" w:color="auto"/>
      </w:divBdr>
    </w:div>
    <w:div w:id="186256172">
      <w:bodyDiv w:val="1"/>
      <w:marLeft w:val="0"/>
      <w:marRight w:val="0"/>
      <w:marTop w:val="0"/>
      <w:marBottom w:val="0"/>
      <w:divBdr>
        <w:top w:val="none" w:sz="0" w:space="0" w:color="auto"/>
        <w:left w:val="none" w:sz="0" w:space="0" w:color="auto"/>
        <w:bottom w:val="none" w:sz="0" w:space="0" w:color="auto"/>
        <w:right w:val="none" w:sz="0" w:space="0" w:color="auto"/>
      </w:divBdr>
      <w:divsChild>
        <w:div w:id="333265946">
          <w:marLeft w:val="403"/>
          <w:marRight w:val="0"/>
          <w:marTop w:val="0"/>
          <w:marBottom w:val="120"/>
          <w:divBdr>
            <w:top w:val="none" w:sz="0" w:space="0" w:color="auto"/>
            <w:left w:val="none" w:sz="0" w:space="0" w:color="auto"/>
            <w:bottom w:val="none" w:sz="0" w:space="0" w:color="auto"/>
            <w:right w:val="none" w:sz="0" w:space="0" w:color="auto"/>
          </w:divBdr>
        </w:div>
        <w:div w:id="1895385130">
          <w:marLeft w:val="403"/>
          <w:marRight w:val="0"/>
          <w:marTop w:val="0"/>
          <w:marBottom w:val="120"/>
          <w:divBdr>
            <w:top w:val="none" w:sz="0" w:space="0" w:color="auto"/>
            <w:left w:val="none" w:sz="0" w:space="0" w:color="auto"/>
            <w:bottom w:val="none" w:sz="0" w:space="0" w:color="auto"/>
            <w:right w:val="none" w:sz="0" w:space="0" w:color="auto"/>
          </w:divBdr>
        </w:div>
      </w:divsChild>
    </w:div>
    <w:div w:id="192160010">
      <w:bodyDiv w:val="1"/>
      <w:marLeft w:val="0"/>
      <w:marRight w:val="0"/>
      <w:marTop w:val="0"/>
      <w:marBottom w:val="0"/>
      <w:divBdr>
        <w:top w:val="none" w:sz="0" w:space="0" w:color="auto"/>
        <w:left w:val="none" w:sz="0" w:space="0" w:color="auto"/>
        <w:bottom w:val="none" w:sz="0" w:space="0" w:color="auto"/>
        <w:right w:val="none" w:sz="0" w:space="0" w:color="auto"/>
      </w:divBdr>
      <w:divsChild>
        <w:div w:id="577175732">
          <w:marLeft w:val="274"/>
          <w:marRight w:val="0"/>
          <w:marTop w:val="0"/>
          <w:marBottom w:val="0"/>
          <w:divBdr>
            <w:top w:val="none" w:sz="0" w:space="0" w:color="auto"/>
            <w:left w:val="none" w:sz="0" w:space="0" w:color="auto"/>
            <w:bottom w:val="none" w:sz="0" w:space="0" w:color="auto"/>
            <w:right w:val="none" w:sz="0" w:space="0" w:color="auto"/>
          </w:divBdr>
        </w:div>
        <w:div w:id="1215234355">
          <w:marLeft w:val="274"/>
          <w:marRight w:val="0"/>
          <w:marTop w:val="0"/>
          <w:marBottom w:val="120"/>
          <w:divBdr>
            <w:top w:val="none" w:sz="0" w:space="0" w:color="auto"/>
            <w:left w:val="none" w:sz="0" w:space="0" w:color="auto"/>
            <w:bottom w:val="none" w:sz="0" w:space="0" w:color="auto"/>
            <w:right w:val="none" w:sz="0" w:space="0" w:color="auto"/>
          </w:divBdr>
        </w:div>
      </w:divsChild>
    </w:div>
    <w:div w:id="202132982">
      <w:bodyDiv w:val="1"/>
      <w:marLeft w:val="0"/>
      <w:marRight w:val="0"/>
      <w:marTop w:val="0"/>
      <w:marBottom w:val="0"/>
      <w:divBdr>
        <w:top w:val="none" w:sz="0" w:space="0" w:color="auto"/>
        <w:left w:val="none" w:sz="0" w:space="0" w:color="auto"/>
        <w:bottom w:val="none" w:sz="0" w:space="0" w:color="auto"/>
        <w:right w:val="none" w:sz="0" w:space="0" w:color="auto"/>
      </w:divBdr>
      <w:divsChild>
        <w:div w:id="2068381903">
          <w:marLeft w:val="403"/>
          <w:marRight w:val="0"/>
          <w:marTop w:val="150"/>
          <w:marBottom w:val="0"/>
          <w:divBdr>
            <w:top w:val="none" w:sz="0" w:space="0" w:color="auto"/>
            <w:left w:val="none" w:sz="0" w:space="0" w:color="auto"/>
            <w:bottom w:val="none" w:sz="0" w:space="0" w:color="auto"/>
            <w:right w:val="none" w:sz="0" w:space="0" w:color="auto"/>
          </w:divBdr>
        </w:div>
      </w:divsChild>
    </w:div>
    <w:div w:id="203369750">
      <w:bodyDiv w:val="1"/>
      <w:marLeft w:val="0"/>
      <w:marRight w:val="0"/>
      <w:marTop w:val="0"/>
      <w:marBottom w:val="0"/>
      <w:divBdr>
        <w:top w:val="none" w:sz="0" w:space="0" w:color="auto"/>
        <w:left w:val="none" w:sz="0" w:space="0" w:color="auto"/>
        <w:bottom w:val="none" w:sz="0" w:space="0" w:color="auto"/>
        <w:right w:val="none" w:sz="0" w:space="0" w:color="auto"/>
      </w:divBdr>
    </w:div>
    <w:div w:id="204948442">
      <w:bodyDiv w:val="1"/>
      <w:marLeft w:val="0"/>
      <w:marRight w:val="0"/>
      <w:marTop w:val="0"/>
      <w:marBottom w:val="0"/>
      <w:divBdr>
        <w:top w:val="none" w:sz="0" w:space="0" w:color="auto"/>
        <w:left w:val="none" w:sz="0" w:space="0" w:color="auto"/>
        <w:bottom w:val="none" w:sz="0" w:space="0" w:color="auto"/>
        <w:right w:val="none" w:sz="0" w:space="0" w:color="auto"/>
      </w:divBdr>
      <w:divsChild>
        <w:div w:id="1574587721">
          <w:marLeft w:val="403"/>
          <w:marRight w:val="0"/>
          <w:marTop w:val="150"/>
          <w:marBottom w:val="0"/>
          <w:divBdr>
            <w:top w:val="none" w:sz="0" w:space="0" w:color="auto"/>
            <w:left w:val="none" w:sz="0" w:space="0" w:color="auto"/>
            <w:bottom w:val="none" w:sz="0" w:space="0" w:color="auto"/>
            <w:right w:val="none" w:sz="0" w:space="0" w:color="auto"/>
          </w:divBdr>
        </w:div>
        <w:div w:id="1661958807">
          <w:marLeft w:val="403"/>
          <w:marRight w:val="0"/>
          <w:marTop w:val="150"/>
          <w:marBottom w:val="0"/>
          <w:divBdr>
            <w:top w:val="none" w:sz="0" w:space="0" w:color="auto"/>
            <w:left w:val="none" w:sz="0" w:space="0" w:color="auto"/>
            <w:bottom w:val="none" w:sz="0" w:space="0" w:color="auto"/>
            <w:right w:val="none" w:sz="0" w:space="0" w:color="auto"/>
          </w:divBdr>
        </w:div>
      </w:divsChild>
    </w:div>
    <w:div w:id="205989811">
      <w:bodyDiv w:val="1"/>
      <w:marLeft w:val="0"/>
      <w:marRight w:val="0"/>
      <w:marTop w:val="0"/>
      <w:marBottom w:val="0"/>
      <w:divBdr>
        <w:top w:val="none" w:sz="0" w:space="0" w:color="auto"/>
        <w:left w:val="none" w:sz="0" w:space="0" w:color="auto"/>
        <w:bottom w:val="none" w:sz="0" w:space="0" w:color="auto"/>
        <w:right w:val="none" w:sz="0" w:space="0" w:color="auto"/>
      </w:divBdr>
    </w:div>
    <w:div w:id="207228420">
      <w:bodyDiv w:val="1"/>
      <w:marLeft w:val="0"/>
      <w:marRight w:val="0"/>
      <w:marTop w:val="0"/>
      <w:marBottom w:val="0"/>
      <w:divBdr>
        <w:top w:val="none" w:sz="0" w:space="0" w:color="auto"/>
        <w:left w:val="none" w:sz="0" w:space="0" w:color="auto"/>
        <w:bottom w:val="none" w:sz="0" w:space="0" w:color="auto"/>
        <w:right w:val="none" w:sz="0" w:space="0" w:color="auto"/>
      </w:divBdr>
    </w:div>
    <w:div w:id="213852930">
      <w:bodyDiv w:val="1"/>
      <w:marLeft w:val="0"/>
      <w:marRight w:val="0"/>
      <w:marTop w:val="0"/>
      <w:marBottom w:val="0"/>
      <w:divBdr>
        <w:top w:val="none" w:sz="0" w:space="0" w:color="auto"/>
        <w:left w:val="none" w:sz="0" w:space="0" w:color="auto"/>
        <w:bottom w:val="none" w:sz="0" w:space="0" w:color="auto"/>
        <w:right w:val="none" w:sz="0" w:space="0" w:color="auto"/>
      </w:divBdr>
    </w:div>
    <w:div w:id="225529290">
      <w:bodyDiv w:val="1"/>
      <w:marLeft w:val="0"/>
      <w:marRight w:val="0"/>
      <w:marTop w:val="0"/>
      <w:marBottom w:val="0"/>
      <w:divBdr>
        <w:top w:val="none" w:sz="0" w:space="0" w:color="auto"/>
        <w:left w:val="none" w:sz="0" w:space="0" w:color="auto"/>
        <w:bottom w:val="none" w:sz="0" w:space="0" w:color="auto"/>
        <w:right w:val="none" w:sz="0" w:space="0" w:color="auto"/>
      </w:divBdr>
    </w:div>
    <w:div w:id="229972141">
      <w:bodyDiv w:val="1"/>
      <w:marLeft w:val="0"/>
      <w:marRight w:val="0"/>
      <w:marTop w:val="0"/>
      <w:marBottom w:val="0"/>
      <w:divBdr>
        <w:top w:val="none" w:sz="0" w:space="0" w:color="auto"/>
        <w:left w:val="none" w:sz="0" w:space="0" w:color="auto"/>
        <w:bottom w:val="none" w:sz="0" w:space="0" w:color="auto"/>
        <w:right w:val="none" w:sz="0" w:space="0" w:color="auto"/>
      </w:divBdr>
    </w:div>
    <w:div w:id="233661419">
      <w:bodyDiv w:val="1"/>
      <w:marLeft w:val="0"/>
      <w:marRight w:val="0"/>
      <w:marTop w:val="0"/>
      <w:marBottom w:val="0"/>
      <w:divBdr>
        <w:top w:val="none" w:sz="0" w:space="0" w:color="auto"/>
        <w:left w:val="none" w:sz="0" w:space="0" w:color="auto"/>
        <w:bottom w:val="none" w:sz="0" w:space="0" w:color="auto"/>
        <w:right w:val="none" w:sz="0" w:space="0" w:color="auto"/>
      </w:divBdr>
      <w:divsChild>
        <w:div w:id="208416154">
          <w:marLeft w:val="403"/>
          <w:marRight w:val="0"/>
          <w:marTop w:val="150"/>
          <w:marBottom w:val="0"/>
          <w:divBdr>
            <w:top w:val="none" w:sz="0" w:space="0" w:color="auto"/>
            <w:left w:val="none" w:sz="0" w:space="0" w:color="auto"/>
            <w:bottom w:val="none" w:sz="0" w:space="0" w:color="auto"/>
            <w:right w:val="none" w:sz="0" w:space="0" w:color="auto"/>
          </w:divBdr>
        </w:div>
        <w:div w:id="1664970319">
          <w:marLeft w:val="403"/>
          <w:marRight w:val="0"/>
          <w:marTop w:val="150"/>
          <w:marBottom w:val="0"/>
          <w:divBdr>
            <w:top w:val="none" w:sz="0" w:space="0" w:color="auto"/>
            <w:left w:val="none" w:sz="0" w:space="0" w:color="auto"/>
            <w:bottom w:val="none" w:sz="0" w:space="0" w:color="auto"/>
            <w:right w:val="none" w:sz="0" w:space="0" w:color="auto"/>
          </w:divBdr>
        </w:div>
        <w:div w:id="1903633319">
          <w:marLeft w:val="403"/>
          <w:marRight w:val="0"/>
          <w:marTop w:val="150"/>
          <w:marBottom w:val="0"/>
          <w:divBdr>
            <w:top w:val="none" w:sz="0" w:space="0" w:color="auto"/>
            <w:left w:val="none" w:sz="0" w:space="0" w:color="auto"/>
            <w:bottom w:val="none" w:sz="0" w:space="0" w:color="auto"/>
            <w:right w:val="none" w:sz="0" w:space="0" w:color="auto"/>
          </w:divBdr>
        </w:div>
      </w:divsChild>
    </w:div>
    <w:div w:id="235555774">
      <w:bodyDiv w:val="1"/>
      <w:marLeft w:val="0"/>
      <w:marRight w:val="0"/>
      <w:marTop w:val="0"/>
      <w:marBottom w:val="0"/>
      <w:divBdr>
        <w:top w:val="none" w:sz="0" w:space="0" w:color="auto"/>
        <w:left w:val="none" w:sz="0" w:space="0" w:color="auto"/>
        <w:bottom w:val="none" w:sz="0" w:space="0" w:color="auto"/>
        <w:right w:val="none" w:sz="0" w:space="0" w:color="auto"/>
      </w:divBdr>
    </w:div>
    <w:div w:id="246962890">
      <w:bodyDiv w:val="1"/>
      <w:marLeft w:val="0"/>
      <w:marRight w:val="0"/>
      <w:marTop w:val="0"/>
      <w:marBottom w:val="0"/>
      <w:divBdr>
        <w:top w:val="none" w:sz="0" w:space="0" w:color="auto"/>
        <w:left w:val="none" w:sz="0" w:space="0" w:color="auto"/>
        <w:bottom w:val="none" w:sz="0" w:space="0" w:color="auto"/>
        <w:right w:val="none" w:sz="0" w:space="0" w:color="auto"/>
      </w:divBdr>
    </w:div>
    <w:div w:id="249122719">
      <w:bodyDiv w:val="1"/>
      <w:marLeft w:val="0"/>
      <w:marRight w:val="0"/>
      <w:marTop w:val="0"/>
      <w:marBottom w:val="0"/>
      <w:divBdr>
        <w:top w:val="none" w:sz="0" w:space="0" w:color="auto"/>
        <w:left w:val="none" w:sz="0" w:space="0" w:color="auto"/>
        <w:bottom w:val="none" w:sz="0" w:space="0" w:color="auto"/>
        <w:right w:val="none" w:sz="0" w:space="0" w:color="auto"/>
      </w:divBdr>
      <w:divsChild>
        <w:div w:id="516165574">
          <w:marLeft w:val="403"/>
          <w:marRight w:val="0"/>
          <w:marTop w:val="0"/>
          <w:marBottom w:val="120"/>
          <w:divBdr>
            <w:top w:val="none" w:sz="0" w:space="0" w:color="auto"/>
            <w:left w:val="none" w:sz="0" w:space="0" w:color="auto"/>
            <w:bottom w:val="none" w:sz="0" w:space="0" w:color="auto"/>
            <w:right w:val="none" w:sz="0" w:space="0" w:color="auto"/>
          </w:divBdr>
        </w:div>
        <w:div w:id="599606860">
          <w:marLeft w:val="403"/>
          <w:marRight w:val="0"/>
          <w:marTop w:val="0"/>
          <w:marBottom w:val="120"/>
          <w:divBdr>
            <w:top w:val="none" w:sz="0" w:space="0" w:color="auto"/>
            <w:left w:val="none" w:sz="0" w:space="0" w:color="auto"/>
            <w:bottom w:val="none" w:sz="0" w:space="0" w:color="auto"/>
            <w:right w:val="none" w:sz="0" w:space="0" w:color="auto"/>
          </w:divBdr>
        </w:div>
        <w:div w:id="668749677">
          <w:marLeft w:val="403"/>
          <w:marRight w:val="0"/>
          <w:marTop w:val="0"/>
          <w:marBottom w:val="120"/>
          <w:divBdr>
            <w:top w:val="none" w:sz="0" w:space="0" w:color="auto"/>
            <w:left w:val="none" w:sz="0" w:space="0" w:color="auto"/>
            <w:bottom w:val="none" w:sz="0" w:space="0" w:color="auto"/>
            <w:right w:val="none" w:sz="0" w:space="0" w:color="auto"/>
          </w:divBdr>
        </w:div>
        <w:div w:id="1757896584">
          <w:marLeft w:val="403"/>
          <w:marRight w:val="0"/>
          <w:marTop w:val="0"/>
          <w:marBottom w:val="120"/>
          <w:divBdr>
            <w:top w:val="none" w:sz="0" w:space="0" w:color="auto"/>
            <w:left w:val="none" w:sz="0" w:space="0" w:color="auto"/>
            <w:bottom w:val="none" w:sz="0" w:space="0" w:color="auto"/>
            <w:right w:val="none" w:sz="0" w:space="0" w:color="auto"/>
          </w:divBdr>
        </w:div>
      </w:divsChild>
    </w:div>
    <w:div w:id="253369441">
      <w:bodyDiv w:val="1"/>
      <w:marLeft w:val="0"/>
      <w:marRight w:val="0"/>
      <w:marTop w:val="0"/>
      <w:marBottom w:val="0"/>
      <w:divBdr>
        <w:top w:val="none" w:sz="0" w:space="0" w:color="auto"/>
        <w:left w:val="none" w:sz="0" w:space="0" w:color="auto"/>
        <w:bottom w:val="none" w:sz="0" w:space="0" w:color="auto"/>
        <w:right w:val="none" w:sz="0" w:space="0" w:color="auto"/>
      </w:divBdr>
      <w:divsChild>
        <w:div w:id="8610146">
          <w:marLeft w:val="878"/>
          <w:marRight w:val="0"/>
          <w:marTop w:val="0"/>
          <w:marBottom w:val="120"/>
          <w:divBdr>
            <w:top w:val="none" w:sz="0" w:space="0" w:color="auto"/>
            <w:left w:val="none" w:sz="0" w:space="0" w:color="auto"/>
            <w:bottom w:val="none" w:sz="0" w:space="0" w:color="auto"/>
            <w:right w:val="none" w:sz="0" w:space="0" w:color="auto"/>
          </w:divBdr>
        </w:div>
        <w:div w:id="1985429790">
          <w:marLeft w:val="403"/>
          <w:marRight w:val="0"/>
          <w:marTop w:val="0"/>
          <w:marBottom w:val="120"/>
          <w:divBdr>
            <w:top w:val="none" w:sz="0" w:space="0" w:color="auto"/>
            <w:left w:val="none" w:sz="0" w:space="0" w:color="auto"/>
            <w:bottom w:val="none" w:sz="0" w:space="0" w:color="auto"/>
            <w:right w:val="none" w:sz="0" w:space="0" w:color="auto"/>
          </w:divBdr>
        </w:div>
      </w:divsChild>
    </w:div>
    <w:div w:id="259870732">
      <w:bodyDiv w:val="1"/>
      <w:marLeft w:val="0"/>
      <w:marRight w:val="0"/>
      <w:marTop w:val="0"/>
      <w:marBottom w:val="0"/>
      <w:divBdr>
        <w:top w:val="none" w:sz="0" w:space="0" w:color="auto"/>
        <w:left w:val="none" w:sz="0" w:space="0" w:color="auto"/>
        <w:bottom w:val="none" w:sz="0" w:space="0" w:color="auto"/>
        <w:right w:val="none" w:sz="0" w:space="0" w:color="auto"/>
      </w:divBdr>
    </w:div>
    <w:div w:id="266081728">
      <w:bodyDiv w:val="1"/>
      <w:marLeft w:val="0"/>
      <w:marRight w:val="0"/>
      <w:marTop w:val="0"/>
      <w:marBottom w:val="0"/>
      <w:divBdr>
        <w:top w:val="none" w:sz="0" w:space="0" w:color="auto"/>
        <w:left w:val="none" w:sz="0" w:space="0" w:color="auto"/>
        <w:bottom w:val="none" w:sz="0" w:space="0" w:color="auto"/>
        <w:right w:val="none" w:sz="0" w:space="0" w:color="auto"/>
      </w:divBdr>
    </w:div>
    <w:div w:id="280575152">
      <w:bodyDiv w:val="1"/>
      <w:marLeft w:val="0"/>
      <w:marRight w:val="0"/>
      <w:marTop w:val="0"/>
      <w:marBottom w:val="0"/>
      <w:divBdr>
        <w:top w:val="none" w:sz="0" w:space="0" w:color="auto"/>
        <w:left w:val="none" w:sz="0" w:space="0" w:color="auto"/>
        <w:bottom w:val="none" w:sz="0" w:space="0" w:color="auto"/>
        <w:right w:val="none" w:sz="0" w:space="0" w:color="auto"/>
      </w:divBdr>
    </w:div>
    <w:div w:id="286934688">
      <w:bodyDiv w:val="1"/>
      <w:marLeft w:val="0"/>
      <w:marRight w:val="0"/>
      <w:marTop w:val="0"/>
      <w:marBottom w:val="0"/>
      <w:divBdr>
        <w:top w:val="none" w:sz="0" w:space="0" w:color="auto"/>
        <w:left w:val="none" w:sz="0" w:space="0" w:color="auto"/>
        <w:bottom w:val="none" w:sz="0" w:space="0" w:color="auto"/>
        <w:right w:val="none" w:sz="0" w:space="0" w:color="auto"/>
      </w:divBdr>
    </w:div>
    <w:div w:id="291374896">
      <w:bodyDiv w:val="1"/>
      <w:marLeft w:val="0"/>
      <w:marRight w:val="0"/>
      <w:marTop w:val="0"/>
      <w:marBottom w:val="0"/>
      <w:divBdr>
        <w:top w:val="none" w:sz="0" w:space="0" w:color="auto"/>
        <w:left w:val="none" w:sz="0" w:space="0" w:color="auto"/>
        <w:bottom w:val="none" w:sz="0" w:space="0" w:color="auto"/>
        <w:right w:val="none" w:sz="0" w:space="0" w:color="auto"/>
      </w:divBdr>
      <w:divsChild>
        <w:div w:id="1310788259">
          <w:marLeft w:val="403"/>
          <w:marRight w:val="0"/>
          <w:marTop w:val="150"/>
          <w:marBottom w:val="0"/>
          <w:divBdr>
            <w:top w:val="none" w:sz="0" w:space="0" w:color="auto"/>
            <w:left w:val="none" w:sz="0" w:space="0" w:color="auto"/>
            <w:bottom w:val="none" w:sz="0" w:space="0" w:color="auto"/>
            <w:right w:val="none" w:sz="0" w:space="0" w:color="auto"/>
          </w:divBdr>
        </w:div>
      </w:divsChild>
    </w:div>
    <w:div w:id="292952849">
      <w:bodyDiv w:val="1"/>
      <w:marLeft w:val="0"/>
      <w:marRight w:val="0"/>
      <w:marTop w:val="0"/>
      <w:marBottom w:val="0"/>
      <w:divBdr>
        <w:top w:val="none" w:sz="0" w:space="0" w:color="auto"/>
        <w:left w:val="none" w:sz="0" w:space="0" w:color="auto"/>
        <w:bottom w:val="none" w:sz="0" w:space="0" w:color="auto"/>
        <w:right w:val="none" w:sz="0" w:space="0" w:color="auto"/>
      </w:divBdr>
    </w:div>
    <w:div w:id="294262295">
      <w:bodyDiv w:val="1"/>
      <w:marLeft w:val="0"/>
      <w:marRight w:val="0"/>
      <w:marTop w:val="0"/>
      <w:marBottom w:val="0"/>
      <w:divBdr>
        <w:top w:val="none" w:sz="0" w:space="0" w:color="auto"/>
        <w:left w:val="none" w:sz="0" w:space="0" w:color="auto"/>
        <w:bottom w:val="none" w:sz="0" w:space="0" w:color="auto"/>
        <w:right w:val="none" w:sz="0" w:space="0" w:color="auto"/>
      </w:divBdr>
      <w:divsChild>
        <w:div w:id="98451781">
          <w:marLeft w:val="403"/>
          <w:marRight w:val="0"/>
          <w:marTop w:val="150"/>
          <w:marBottom w:val="0"/>
          <w:divBdr>
            <w:top w:val="none" w:sz="0" w:space="0" w:color="auto"/>
            <w:left w:val="none" w:sz="0" w:space="0" w:color="auto"/>
            <w:bottom w:val="none" w:sz="0" w:space="0" w:color="auto"/>
            <w:right w:val="none" w:sz="0" w:space="0" w:color="auto"/>
          </w:divBdr>
        </w:div>
        <w:div w:id="680398980">
          <w:marLeft w:val="403"/>
          <w:marRight w:val="0"/>
          <w:marTop w:val="150"/>
          <w:marBottom w:val="0"/>
          <w:divBdr>
            <w:top w:val="none" w:sz="0" w:space="0" w:color="auto"/>
            <w:left w:val="none" w:sz="0" w:space="0" w:color="auto"/>
            <w:bottom w:val="none" w:sz="0" w:space="0" w:color="auto"/>
            <w:right w:val="none" w:sz="0" w:space="0" w:color="auto"/>
          </w:divBdr>
        </w:div>
      </w:divsChild>
    </w:div>
    <w:div w:id="297228687">
      <w:bodyDiv w:val="1"/>
      <w:marLeft w:val="0"/>
      <w:marRight w:val="0"/>
      <w:marTop w:val="0"/>
      <w:marBottom w:val="0"/>
      <w:divBdr>
        <w:top w:val="none" w:sz="0" w:space="0" w:color="auto"/>
        <w:left w:val="none" w:sz="0" w:space="0" w:color="auto"/>
        <w:bottom w:val="none" w:sz="0" w:space="0" w:color="auto"/>
        <w:right w:val="none" w:sz="0" w:space="0" w:color="auto"/>
      </w:divBdr>
    </w:div>
    <w:div w:id="304165617">
      <w:bodyDiv w:val="1"/>
      <w:marLeft w:val="0"/>
      <w:marRight w:val="0"/>
      <w:marTop w:val="0"/>
      <w:marBottom w:val="0"/>
      <w:divBdr>
        <w:top w:val="none" w:sz="0" w:space="0" w:color="auto"/>
        <w:left w:val="none" w:sz="0" w:space="0" w:color="auto"/>
        <w:bottom w:val="none" w:sz="0" w:space="0" w:color="auto"/>
        <w:right w:val="none" w:sz="0" w:space="0" w:color="auto"/>
      </w:divBdr>
      <w:divsChild>
        <w:div w:id="1168062378">
          <w:marLeft w:val="403"/>
          <w:marRight w:val="0"/>
          <w:marTop w:val="0"/>
          <w:marBottom w:val="120"/>
          <w:divBdr>
            <w:top w:val="none" w:sz="0" w:space="0" w:color="auto"/>
            <w:left w:val="none" w:sz="0" w:space="0" w:color="auto"/>
            <w:bottom w:val="none" w:sz="0" w:space="0" w:color="auto"/>
            <w:right w:val="none" w:sz="0" w:space="0" w:color="auto"/>
          </w:divBdr>
        </w:div>
        <w:div w:id="1485466191">
          <w:marLeft w:val="403"/>
          <w:marRight w:val="0"/>
          <w:marTop w:val="0"/>
          <w:marBottom w:val="120"/>
          <w:divBdr>
            <w:top w:val="none" w:sz="0" w:space="0" w:color="auto"/>
            <w:left w:val="none" w:sz="0" w:space="0" w:color="auto"/>
            <w:bottom w:val="none" w:sz="0" w:space="0" w:color="auto"/>
            <w:right w:val="none" w:sz="0" w:space="0" w:color="auto"/>
          </w:divBdr>
        </w:div>
        <w:div w:id="1837263390">
          <w:marLeft w:val="547"/>
          <w:marRight w:val="0"/>
          <w:marTop w:val="0"/>
          <w:marBottom w:val="160"/>
          <w:divBdr>
            <w:top w:val="none" w:sz="0" w:space="0" w:color="auto"/>
            <w:left w:val="none" w:sz="0" w:space="0" w:color="auto"/>
            <w:bottom w:val="none" w:sz="0" w:space="0" w:color="auto"/>
            <w:right w:val="none" w:sz="0" w:space="0" w:color="auto"/>
          </w:divBdr>
        </w:div>
      </w:divsChild>
    </w:div>
    <w:div w:id="325667514">
      <w:bodyDiv w:val="1"/>
      <w:marLeft w:val="0"/>
      <w:marRight w:val="0"/>
      <w:marTop w:val="0"/>
      <w:marBottom w:val="0"/>
      <w:divBdr>
        <w:top w:val="none" w:sz="0" w:space="0" w:color="auto"/>
        <w:left w:val="none" w:sz="0" w:space="0" w:color="auto"/>
        <w:bottom w:val="none" w:sz="0" w:space="0" w:color="auto"/>
        <w:right w:val="none" w:sz="0" w:space="0" w:color="auto"/>
      </w:divBdr>
    </w:div>
    <w:div w:id="336814954">
      <w:bodyDiv w:val="1"/>
      <w:marLeft w:val="0"/>
      <w:marRight w:val="0"/>
      <w:marTop w:val="0"/>
      <w:marBottom w:val="0"/>
      <w:divBdr>
        <w:top w:val="none" w:sz="0" w:space="0" w:color="auto"/>
        <w:left w:val="none" w:sz="0" w:space="0" w:color="auto"/>
        <w:bottom w:val="none" w:sz="0" w:space="0" w:color="auto"/>
        <w:right w:val="none" w:sz="0" w:space="0" w:color="auto"/>
      </w:divBdr>
    </w:div>
    <w:div w:id="338509464">
      <w:bodyDiv w:val="1"/>
      <w:marLeft w:val="0"/>
      <w:marRight w:val="0"/>
      <w:marTop w:val="0"/>
      <w:marBottom w:val="0"/>
      <w:divBdr>
        <w:top w:val="none" w:sz="0" w:space="0" w:color="auto"/>
        <w:left w:val="none" w:sz="0" w:space="0" w:color="auto"/>
        <w:bottom w:val="none" w:sz="0" w:space="0" w:color="auto"/>
        <w:right w:val="none" w:sz="0" w:space="0" w:color="auto"/>
      </w:divBdr>
    </w:div>
    <w:div w:id="342823936">
      <w:bodyDiv w:val="1"/>
      <w:marLeft w:val="0"/>
      <w:marRight w:val="0"/>
      <w:marTop w:val="0"/>
      <w:marBottom w:val="0"/>
      <w:divBdr>
        <w:top w:val="none" w:sz="0" w:space="0" w:color="auto"/>
        <w:left w:val="none" w:sz="0" w:space="0" w:color="auto"/>
        <w:bottom w:val="none" w:sz="0" w:space="0" w:color="auto"/>
        <w:right w:val="none" w:sz="0" w:space="0" w:color="auto"/>
      </w:divBdr>
    </w:div>
    <w:div w:id="345525098">
      <w:bodyDiv w:val="1"/>
      <w:marLeft w:val="0"/>
      <w:marRight w:val="0"/>
      <w:marTop w:val="0"/>
      <w:marBottom w:val="0"/>
      <w:divBdr>
        <w:top w:val="none" w:sz="0" w:space="0" w:color="auto"/>
        <w:left w:val="none" w:sz="0" w:space="0" w:color="auto"/>
        <w:bottom w:val="none" w:sz="0" w:space="0" w:color="auto"/>
        <w:right w:val="none" w:sz="0" w:space="0" w:color="auto"/>
      </w:divBdr>
    </w:div>
    <w:div w:id="347604894">
      <w:bodyDiv w:val="1"/>
      <w:marLeft w:val="0"/>
      <w:marRight w:val="0"/>
      <w:marTop w:val="0"/>
      <w:marBottom w:val="0"/>
      <w:divBdr>
        <w:top w:val="none" w:sz="0" w:space="0" w:color="auto"/>
        <w:left w:val="none" w:sz="0" w:space="0" w:color="auto"/>
        <w:bottom w:val="none" w:sz="0" w:space="0" w:color="auto"/>
        <w:right w:val="none" w:sz="0" w:space="0" w:color="auto"/>
      </w:divBdr>
    </w:div>
    <w:div w:id="351151303">
      <w:bodyDiv w:val="1"/>
      <w:marLeft w:val="0"/>
      <w:marRight w:val="0"/>
      <w:marTop w:val="0"/>
      <w:marBottom w:val="0"/>
      <w:divBdr>
        <w:top w:val="none" w:sz="0" w:space="0" w:color="auto"/>
        <w:left w:val="none" w:sz="0" w:space="0" w:color="auto"/>
        <w:bottom w:val="none" w:sz="0" w:space="0" w:color="auto"/>
        <w:right w:val="none" w:sz="0" w:space="0" w:color="auto"/>
      </w:divBdr>
    </w:div>
    <w:div w:id="356472412">
      <w:bodyDiv w:val="1"/>
      <w:marLeft w:val="0"/>
      <w:marRight w:val="0"/>
      <w:marTop w:val="0"/>
      <w:marBottom w:val="0"/>
      <w:divBdr>
        <w:top w:val="none" w:sz="0" w:space="0" w:color="auto"/>
        <w:left w:val="none" w:sz="0" w:space="0" w:color="auto"/>
        <w:bottom w:val="none" w:sz="0" w:space="0" w:color="auto"/>
        <w:right w:val="none" w:sz="0" w:space="0" w:color="auto"/>
      </w:divBdr>
    </w:div>
    <w:div w:id="365906932">
      <w:bodyDiv w:val="1"/>
      <w:marLeft w:val="0"/>
      <w:marRight w:val="0"/>
      <w:marTop w:val="0"/>
      <w:marBottom w:val="0"/>
      <w:divBdr>
        <w:top w:val="none" w:sz="0" w:space="0" w:color="auto"/>
        <w:left w:val="none" w:sz="0" w:space="0" w:color="auto"/>
        <w:bottom w:val="none" w:sz="0" w:space="0" w:color="auto"/>
        <w:right w:val="none" w:sz="0" w:space="0" w:color="auto"/>
      </w:divBdr>
    </w:div>
    <w:div w:id="369262363">
      <w:bodyDiv w:val="1"/>
      <w:marLeft w:val="0"/>
      <w:marRight w:val="0"/>
      <w:marTop w:val="0"/>
      <w:marBottom w:val="0"/>
      <w:divBdr>
        <w:top w:val="none" w:sz="0" w:space="0" w:color="auto"/>
        <w:left w:val="none" w:sz="0" w:space="0" w:color="auto"/>
        <w:bottom w:val="none" w:sz="0" w:space="0" w:color="auto"/>
        <w:right w:val="none" w:sz="0" w:space="0" w:color="auto"/>
      </w:divBdr>
    </w:div>
    <w:div w:id="403258106">
      <w:bodyDiv w:val="1"/>
      <w:marLeft w:val="0"/>
      <w:marRight w:val="0"/>
      <w:marTop w:val="0"/>
      <w:marBottom w:val="0"/>
      <w:divBdr>
        <w:top w:val="none" w:sz="0" w:space="0" w:color="auto"/>
        <w:left w:val="none" w:sz="0" w:space="0" w:color="auto"/>
        <w:bottom w:val="none" w:sz="0" w:space="0" w:color="auto"/>
        <w:right w:val="none" w:sz="0" w:space="0" w:color="auto"/>
      </w:divBdr>
    </w:div>
    <w:div w:id="403993954">
      <w:bodyDiv w:val="1"/>
      <w:marLeft w:val="0"/>
      <w:marRight w:val="0"/>
      <w:marTop w:val="0"/>
      <w:marBottom w:val="0"/>
      <w:divBdr>
        <w:top w:val="none" w:sz="0" w:space="0" w:color="auto"/>
        <w:left w:val="none" w:sz="0" w:space="0" w:color="auto"/>
        <w:bottom w:val="none" w:sz="0" w:space="0" w:color="auto"/>
        <w:right w:val="none" w:sz="0" w:space="0" w:color="auto"/>
      </w:divBdr>
      <w:divsChild>
        <w:div w:id="394283368">
          <w:marLeft w:val="403"/>
          <w:marRight w:val="0"/>
          <w:marTop w:val="150"/>
          <w:marBottom w:val="0"/>
          <w:divBdr>
            <w:top w:val="none" w:sz="0" w:space="0" w:color="auto"/>
            <w:left w:val="none" w:sz="0" w:space="0" w:color="auto"/>
            <w:bottom w:val="none" w:sz="0" w:space="0" w:color="auto"/>
            <w:right w:val="none" w:sz="0" w:space="0" w:color="auto"/>
          </w:divBdr>
        </w:div>
        <w:div w:id="712655594">
          <w:marLeft w:val="403"/>
          <w:marRight w:val="0"/>
          <w:marTop w:val="150"/>
          <w:marBottom w:val="0"/>
          <w:divBdr>
            <w:top w:val="none" w:sz="0" w:space="0" w:color="auto"/>
            <w:left w:val="none" w:sz="0" w:space="0" w:color="auto"/>
            <w:bottom w:val="none" w:sz="0" w:space="0" w:color="auto"/>
            <w:right w:val="none" w:sz="0" w:space="0" w:color="auto"/>
          </w:divBdr>
        </w:div>
      </w:divsChild>
    </w:div>
    <w:div w:id="404257758">
      <w:bodyDiv w:val="1"/>
      <w:marLeft w:val="0"/>
      <w:marRight w:val="0"/>
      <w:marTop w:val="0"/>
      <w:marBottom w:val="0"/>
      <w:divBdr>
        <w:top w:val="none" w:sz="0" w:space="0" w:color="auto"/>
        <w:left w:val="none" w:sz="0" w:space="0" w:color="auto"/>
        <w:bottom w:val="none" w:sz="0" w:space="0" w:color="auto"/>
        <w:right w:val="none" w:sz="0" w:space="0" w:color="auto"/>
      </w:divBdr>
      <w:divsChild>
        <w:div w:id="1062411116">
          <w:marLeft w:val="403"/>
          <w:marRight w:val="0"/>
          <w:marTop w:val="0"/>
          <w:marBottom w:val="120"/>
          <w:divBdr>
            <w:top w:val="none" w:sz="0" w:space="0" w:color="auto"/>
            <w:left w:val="none" w:sz="0" w:space="0" w:color="auto"/>
            <w:bottom w:val="none" w:sz="0" w:space="0" w:color="auto"/>
            <w:right w:val="none" w:sz="0" w:space="0" w:color="auto"/>
          </w:divBdr>
        </w:div>
      </w:divsChild>
    </w:div>
    <w:div w:id="420486572">
      <w:bodyDiv w:val="1"/>
      <w:marLeft w:val="0"/>
      <w:marRight w:val="0"/>
      <w:marTop w:val="0"/>
      <w:marBottom w:val="0"/>
      <w:divBdr>
        <w:top w:val="none" w:sz="0" w:space="0" w:color="auto"/>
        <w:left w:val="none" w:sz="0" w:space="0" w:color="auto"/>
        <w:bottom w:val="none" w:sz="0" w:space="0" w:color="auto"/>
        <w:right w:val="none" w:sz="0" w:space="0" w:color="auto"/>
      </w:divBdr>
    </w:div>
    <w:div w:id="431361775">
      <w:bodyDiv w:val="1"/>
      <w:marLeft w:val="0"/>
      <w:marRight w:val="0"/>
      <w:marTop w:val="0"/>
      <w:marBottom w:val="0"/>
      <w:divBdr>
        <w:top w:val="none" w:sz="0" w:space="0" w:color="auto"/>
        <w:left w:val="none" w:sz="0" w:space="0" w:color="auto"/>
        <w:bottom w:val="none" w:sz="0" w:space="0" w:color="auto"/>
        <w:right w:val="none" w:sz="0" w:space="0" w:color="auto"/>
      </w:divBdr>
      <w:divsChild>
        <w:div w:id="657265375">
          <w:marLeft w:val="720"/>
          <w:marRight w:val="0"/>
          <w:marTop w:val="150"/>
          <w:marBottom w:val="0"/>
          <w:divBdr>
            <w:top w:val="none" w:sz="0" w:space="0" w:color="auto"/>
            <w:left w:val="none" w:sz="0" w:space="0" w:color="auto"/>
            <w:bottom w:val="none" w:sz="0" w:space="0" w:color="auto"/>
            <w:right w:val="none" w:sz="0" w:space="0" w:color="auto"/>
          </w:divBdr>
        </w:div>
        <w:div w:id="755395406">
          <w:marLeft w:val="720"/>
          <w:marRight w:val="0"/>
          <w:marTop w:val="0"/>
          <w:marBottom w:val="0"/>
          <w:divBdr>
            <w:top w:val="none" w:sz="0" w:space="0" w:color="auto"/>
            <w:left w:val="none" w:sz="0" w:space="0" w:color="auto"/>
            <w:bottom w:val="none" w:sz="0" w:space="0" w:color="auto"/>
            <w:right w:val="none" w:sz="0" w:space="0" w:color="auto"/>
          </w:divBdr>
        </w:div>
        <w:div w:id="1728990814">
          <w:marLeft w:val="720"/>
          <w:marRight w:val="0"/>
          <w:marTop w:val="0"/>
          <w:marBottom w:val="0"/>
          <w:divBdr>
            <w:top w:val="none" w:sz="0" w:space="0" w:color="auto"/>
            <w:left w:val="none" w:sz="0" w:space="0" w:color="auto"/>
            <w:bottom w:val="none" w:sz="0" w:space="0" w:color="auto"/>
            <w:right w:val="none" w:sz="0" w:space="0" w:color="auto"/>
          </w:divBdr>
        </w:div>
      </w:divsChild>
    </w:div>
    <w:div w:id="44296859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52869906">
      <w:bodyDiv w:val="1"/>
      <w:marLeft w:val="0"/>
      <w:marRight w:val="0"/>
      <w:marTop w:val="0"/>
      <w:marBottom w:val="0"/>
      <w:divBdr>
        <w:top w:val="none" w:sz="0" w:space="0" w:color="auto"/>
        <w:left w:val="none" w:sz="0" w:space="0" w:color="auto"/>
        <w:bottom w:val="none" w:sz="0" w:space="0" w:color="auto"/>
        <w:right w:val="none" w:sz="0" w:space="0" w:color="auto"/>
      </w:divBdr>
    </w:div>
    <w:div w:id="462426093">
      <w:bodyDiv w:val="1"/>
      <w:marLeft w:val="0"/>
      <w:marRight w:val="0"/>
      <w:marTop w:val="0"/>
      <w:marBottom w:val="0"/>
      <w:divBdr>
        <w:top w:val="none" w:sz="0" w:space="0" w:color="auto"/>
        <w:left w:val="none" w:sz="0" w:space="0" w:color="auto"/>
        <w:bottom w:val="none" w:sz="0" w:space="0" w:color="auto"/>
        <w:right w:val="none" w:sz="0" w:space="0" w:color="auto"/>
      </w:divBdr>
    </w:div>
    <w:div w:id="464857384">
      <w:bodyDiv w:val="1"/>
      <w:marLeft w:val="0"/>
      <w:marRight w:val="0"/>
      <w:marTop w:val="0"/>
      <w:marBottom w:val="0"/>
      <w:divBdr>
        <w:top w:val="none" w:sz="0" w:space="0" w:color="auto"/>
        <w:left w:val="none" w:sz="0" w:space="0" w:color="auto"/>
        <w:bottom w:val="none" w:sz="0" w:space="0" w:color="auto"/>
        <w:right w:val="none" w:sz="0" w:space="0" w:color="auto"/>
      </w:divBdr>
    </w:div>
    <w:div w:id="467826365">
      <w:bodyDiv w:val="1"/>
      <w:marLeft w:val="0"/>
      <w:marRight w:val="0"/>
      <w:marTop w:val="0"/>
      <w:marBottom w:val="0"/>
      <w:divBdr>
        <w:top w:val="none" w:sz="0" w:space="0" w:color="auto"/>
        <w:left w:val="none" w:sz="0" w:space="0" w:color="auto"/>
        <w:bottom w:val="none" w:sz="0" w:space="0" w:color="auto"/>
        <w:right w:val="none" w:sz="0" w:space="0" w:color="auto"/>
      </w:divBdr>
    </w:div>
    <w:div w:id="468327430">
      <w:bodyDiv w:val="1"/>
      <w:marLeft w:val="0"/>
      <w:marRight w:val="0"/>
      <w:marTop w:val="0"/>
      <w:marBottom w:val="0"/>
      <w:divBdr>
        <w:top w:val="none" w:sz="0" w:space="0" w:color="auto"/>
        <w:left w:val="none" w:sz="0" w:space="0" w:color="auto"/>
        <w:bottom w:val="none" w:sz="0" w:space="0" w:color="auto"/>
        <w:right w:val="none" w:sz="0" w:space="0" w:color="auto"/>
      </w:divBdr>
    </w:div>
    <w:div w:id="477301910">
      <w:bodyDiv w:val="1"/>
      <w:marLeft w:val="0"/>
      <w:marRight w:val="0"/>
      <w:marTop w:val="0"/>
      <w:marBottom w:val="0"/>
      <w:divBdr>
        <w:top w:val="none" w:sz="0" w:space="0" w:color="auto"/>
        <w:left w:val="none" w:sz="0" w:space="0" w:color="auto"/>
        <w:bottom w:val="none" w:sz="0" w:space="0" w:color="auto"/>
        <w:right w:val="none" w:sz="0" w:space="0" w:color="auto"/>
      </w:divBdr>
      <w:divsChild>
        <w:div w:id="709187988">
          <w:marLeft w:val="403"/>
          <w:marRight w:val="0"/>
          <w:marTop w:val="150"/>
          <w:marBottom w:val="0"/>
          <w:divBdr>
            <w:top w:val="none" w:sz="0" w:space="0" w:color="auto"/>
            <w:left w:val="none" w:sz="0" w:space="0" w:color="auto"/>
            <w:bottom w:val="none" w:sz="0" w:space="0" w:color="auto"/>
            <w:right w:val="none" w:sz="0" w:space="0" w:color="auto"/>
          </w:divBdr>
        </w:div>
      </w:divsChild>
    </w:div>
    <w:div w:id="479923045">
      <w:bodyDiv w:val="1"/>
      <w:marLeft w:val="0"/>
      <w:marRight w:val="0"/>
      <w:marTop w:val="0"/>
      <w:marBottom w:val="0"/>
      <w:divBdr>
        <w:top w:val="none" w:sz="0" w:space="0" w:color="auto"/>
        <w:left w:val="none" w:sz="0" w:space="0" w:color="auto"/>
        <w:bottom w:val="none" w:sz="0" w:space="0" w:color="auto"/>
        <w:right w:val="none" w:sz="0" w:space="0" w:color="auto"/>
      </w:divBdr>
      <w:divsChild>
        <w:div w:id="967933601">
          <w:marLeft w:val="403"/>
          <w:marRight w:val="0"/>
          <w:marTop w:val="150"/>
          <w:marBottom w:val="0"/>
          <w:divBdr>
            <w:top w:val="none" w:sz="0" w:space="0" w:color="auto"/>
            <w:left w:val="none" w:sz="0" w:space="0" w:color="auto"/>
            <w:bottom w:val="none" w:sz="0" w:space="0" w:color="auto"/>
            <w:right w:val="none" w:sz="0" w:space="0" w:color="auto"/>
          </w:divBdr>
        </w:div>
        <w:div w:id="1297682967">
          <w:marLeft w:val="403"/>
          <w:marRight w:val="0"/>
          <w:marTop w:val="150"/>
          <w:marBottom w:val="0"/>
          <w:divBdr>
            <w:top w:val="none" w:sz="0" w:space="0" w:color="auto"/>
            <w:left w:val="none" w:sz="0" w:space="0" w:color="auto"/>
            <w:bottom w:val="none" w:sz="0" w:space="0" w:color="auto"/>
            <w:right w:val="none" w:sz="0" w:space="0" w:color="auto"/>
          </w:divBdr>
        </w:div>
      </w:divsChild>
    </w:div>
    <w:div w:id="48478002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9">
          <w:marLeft w:val="274"/>
          <w:marRight w:val="0"/>
          <w:marTop w:val="120"/>
          <w:marBottom w:val="0"/>
          <w:divBdr>
            <w:top w:val="none" w:sz="0" w:space="0" w:color="auto"/>
            <w:left w:val="none" w:sz="0" w:space="0" w:color="auto"/>
            <w:bottom w:val="none" w:sz="0" w:space="0" w:color="auto"/>
            <w:right w:val="none" w:sz="0" w:space="0" w:color="auto"/>
          </w:divBdr>
        </w:div>
        <w:div w:id="1196818790">
          <w:marLeft w:val="274"/>
          <w:marRight w:val="0"/>
          <w:marTop w:val="120"/>
          <w:marBottom w:val="0"/>
          <w:divBdr>
            <w:top w:val="none" w:sz="0" w:space="0" w:color="auto"/>
            <w:left w:val="none" w:sz="0" w:space="0" w:color="auto"/>
            <w:bottom w:val="none" w:sz="0" w:space="0" w:color="auto"/>
            <w:right w:val="none" w:sz="0" w:space="0" w:color="auto"/>
          </w:divBdr>
        </w:div>
        <w:div w:id="1265841303">
          <w:marLeft w:val="274"/>
          <w:marRight w:val="0"/>
          <w:marTop w:val="120"/>
          <w:marBottom w:val="0"/>
          <w:divBdr>
            <w:top w:val="none" w:sz="0" w:space="0" w:color="auto"/>
            <w:left w:val="none" w:sz="0" w:space="0" w:color="auto"/>
            <w:bottom w:val="none" w:sz="0" w:space="0" w:color="auto"/>
            <w:right w:val="none" w:sz="0" w:space="0" w:color="auto"/>
          </w:divBdr>
        </w:div>
        <w:div w:id="1506479413">
          <w:marLeft w:val="274"/>
          <w:marRight w:val="0"/>
          <w:marTop w:val="120"/>
          <w:marBottom w:val="0"/>
          <w:divBdr>
            <w:top w:val="none" w:sz="0" w:space="0" w:color="auto"/>
            <w:left w:val="none" w:sz="0" w:space="0" w:color="auto"/>
            <w:bottom w:val="none" w:sz="0" w:space="0" w:color="auto"/>
            <w:right w:val="none" w:sz="0" w:space="0" w:color="auto"/>
          </w:divBdr>
        </w:div>
      </w:divsChild>
    </w:div>
    <w:div w:id="492182146">
      <w:bodyDiv w:val="1"/>
      <w:marLeft w:val="0"/>
      <w:marRight w:val="0"/>
      <w:marTop w:val="0"/>
      <w:marBottom w:val="0"/>
      <w:divBdr>
        <w:top w:val="none" w:sz="0" w:space="0" w:color="auto"/>
        <w:left w:val="none" w:sz="0" w:space="0" w:color="auto"/>
        <w:bottom w:val="none" w:sz="0" w:space="0" w:color="auto"/>
        <w:right w:val="none" w:sz="0" w:space="0" w:color="auto"/>
      </w:divBdr>
    </w:div>
    <w:div w:id="493491057">
      <w:bodyDiv w:val="1"/>
      <w:marLeft w:val="0"/>
      <w:marRight w:val="0"/>
      <w:marTop w:val="0"/>
      <w:marBottom w:val="0"/>
      <w:divBdr>
        <w:top w:val="none" w:sz="0" w:space="0" w:color="auto"/>
        <w:left w:val="none" w:sz="0" w:space="0" w:color="auto"/>
        <w:bottom w:val="none" w:sz="0" w:space="0" w:color="auto"/>
        <w:right w:val="none" w:sz="0" w:space="0" w:color="auto"/>
      </w:divBdr>
    </w:div>
    <w:div w:id="496070514">
      <w:bodyDiv w:val="1"/>
      <w:marLeft w:val="0"/>
      <w:marRight w:val="0"/>
      <w:marTop w:val="0"/>
      <w:marBottom w:val="0"/>
      <w:divBdr>
        <w:top w:val="none" w:sz="0" w:space="0" w:color="auto"/>
        <w:left w:val="none" w:sz="0" w:space="0" w:color="auto"/>
        <w:bottom w:val="none" w:sz="0" w:space="0" w:color="auto"/>
        <w:right w:val="none" w:sz="0" w:space="0" w:color="auto"/>
      </w:divBdr>
    </w:div>
    <w:div w:id="503786341">
      <w:bodyDiv w:val="1"/>
      <w:marLeft w:val="0"/>
      <w:marRight w:val="0"/>
      <w:marTop w:val="0"/>
      <w:marBottom w:val="0"/>
      <w:divBdr>
        <w:top w:val="none" w:sz="0" w:space="0" w:color="auto"/>
        <w:left w:val="none" w:sz="0" w:space="0" w:color="auto"/>
        <w:bottom w:val="none" w:sz="0" w:space="0" w:color="auto"/>
        <w:right w:val="none" w:sz="0" w:space="0" w:color="auto"/>
      </w:divBdr>
      <w:divsChild>
        <w:div w:id="422723569">
          <w:marLeft w:val="475"/>
          <w:marRight w:val="0"/>
          <w:marTop w:val="0"/>
          <w:marBottom w:val="120"/>
          <w:divBdr>
            <w:top w:val="none" w:sz="0" w:space="0" w:color="auto"/>
            <w:left w:val="none" w:sz="0" w:space="0" w:color="auto"/>
            <w:bottom w:val="none" w:sz="0" w:space="0" w:color="auto"/>
            <w:right w:val="none" w:sz="0" w:space="0" w:color="auto"/>
          </w:divBdr>
        </w:div>
        <w:div w:id="1899700643">
          <w:marLeft w:val="475"/>
          <w:marRight w:val="0"/>
          <w:marTop w:val="0"/>
          <w:marBottom w:val="120"/>
          <w:divBdr>
            <w:top w:val="none" w:sz="0" w:space="0" w:color="auto"/>
            <w:left w:val="none" w:sz="0" w:space="0" w:color="auto"/>
            <w:bottom w:val="none" w:sz="0" w:space="0" w:color="auto"/>
            <w:right w:val="none" w:sz="0" w:space="0" w:color="auto"/>
          </w:divBdr>
        </w:div>
      </w:divsChild>
    </w:div>
    <w:div w:id="512232728">
      <w:bodyDiv w:val="1"/>
      <w:marLeft w:val="0"/>
      <w:marRight w:val="0"/>
      <w:marTop w:val="0"/>
      <w:marBottom w:val="0"/>
      <w:divBdr>
        <w:top w:val="none" w:sz="0" w:space="0" w:color="auto"/>
        <w:left w:val="none" w:sz="0" w:space="0" w:color="auto"/>
        <w:bottom w:val="none" w:sz="0" w:space="0" w:color="auto"/>
        <w:right w:val="none" w:sz="0" w:space="0" w:color="auto"/>
      </w:divBdr>
    </w:div>
    <w:div w:id="512955537">
      <w:bodyDiv w:val="1"/>
      <w:marLeft w:val="0"/>
      <w:marRight w:val="0"/>
      <w:marTop w:val="0"/>
      <w:marBottom w:val="0"/>
      <w:divBdr>
        <w:top w:val="none" w:sz="0" w:space="0" w:color="auto"/>
        <w:left w:val="none" w:sz="0" w:space="0" w:color="auto"/>
        <w:bottom w:val="none" w:sz="0" w:space="0" w:color="auto"/>
        <w:right w:val="none" w:sz="0" w:space="0" w:color="auto"/>
      </w:divBdr>
    </w:div>
    <w:div w:id="520509165">
      <w:bodyDiv w:val="1"/>
      <w:marLeft w:val="0"/>
      <w:marRight w:val="0"/>
      <w:marTop w:val="0"/>
      <w:marBottom w:val="0"/>
      <w:divBdr>
        <w:top w:val="none" w:sz="0" w:space="0" w:color="auto"/>
        <w:left w:val="none" w:sz="0" w:space="0" w:color="auto"/>
        <w:bottom w:val="none" w:sz="0" w:space="0" w:color="auto"/>
        <w:right w:val="none" w:sz="0" w:space="0" w:color="auto"/>
      </w:divBdr>
    </w:div>
    <w:div w:id="536090933">
      <w:bodyDiv w:val="1"/>
      <w:marLeft w:val="0"/>
      <w:marRight w:val="0"/>
      <w:marTop w:val="0"/>
      <w:marBottom w:val="0"/>
      <w:divBdr>
        <w:top w:val="none" w:sz="0" w:space="0" w:color="auto"/>
        <w:left w:val="none" w:sz="0" w:space="0" w:color="auto"/>
        <w:bottom w:val="none" w:sz="0" w:space="0" w:color="auto"/>
        <w:right w:val="none" w:sz="0" w:space="0" w:color="auto"/>
      </w:divBdr>
    </w:div>
    <w:div w:id="558174983">
      <w:bodyDiv w:val="1"/>
      <w:marLeft w:val="0"/>
      <w:marRight w:val="0"/>
      <w:marTop w:val="0"/>
      <w:marBottom w:val="0"/>
      <w:divBdr>
        <w:top w:val="none" w:sz="0" w:space="0" w:color="auto"/>
        <w:left w:val="none" w:sz="0" w:space="0" w:color="auto"/>
        <w:bottom w:val="none" w:sz="0" w:space="0" w:color="auto"/>
        <w:right w:val="none" w:sz="0" w:space="0" w:color="auto"/>
      </w:divBdr>
    </w:div>
    <w:div w:id="558781754">
      <w:bodyDiv w:val="1"/>
      <w:marLeft w:val="0"/>
      <w:marRight w:val="0"/>
      <w:marTop w:val="0"/>
      <w:marBottom w:val="0"/>
      <w:divBdr>
        <w:top w:val="none" w:sz="0" w:space="0" w:color="auto"/>
        <w:left w:val="none" w:sz="0" w:space="0" w:color="auto"/>
        <w:bottom w:val="none" w:sz="0" w:space="0" w:color="auto"/>
        <w:right w:val="none" w:sz="0" w:space="0" w:color="auto"/>
      </w:divBdr>
    </w:div>
    <w:div w:id="560942494">
      <w:bodyDiv w:val="1"/>
      <w:marLeft w:val="0"/>
      <w:marRight w:val="0"/>
      <w:marTop w:val="0"/>
      <w:marBottom w:val="0"/>
      <w:divBdr>
        <w:top w:val="none" w:sz="0" w:space="0" w:color="auto"/>
        <w:left w:val="none" w:sz="0" w:space="0" w:color="auto"/>
        <w:bottom w:val="none" w:sz="0" w:space="0" w:color="auto"/>
        <w:right w:val="none" w:sz="0" w:space="0" w:color="auto"/>
      </w:divBdr>
    </w:div>
    <w:div w:id="572161888">
      <w:bodyDiv w:val="1"/>
      <w:marLeft w:val="0"/>
      <w:marRight w:val="0"/>
      <w:marTop w:val="0"/>
      <w:marBottom w:val="0"/>
      <w:divBdr>
        <w:top w:val="none" w:sz="0" w:space="0" w:color="auto"/>
        <w:left w:val="none" w:sz="0" w:space="0" w:color="auto"/>
        <w:bottom w:val="none" w:sz="0" w:space="0" w:color="auto"/>
        <w:right w:val="none" w:sz="0" w:space="0" w:color="auto"/>
      </w:divBdr>
    </w:div>
    <w:div w:id="584416560">
      <w:bodyDiv w:val="1"/>
      <w:marLeft w:val="0"/>
      <w:marRight w:val="0"/>
      <w:marTop w:val="0"/>
      <w:marBottom w:val="0"/>
      <w:divBdr>
        <w:top w:val="none" w:sz="0" w:space="0" w:color="auto"/>
        <w:left w:val="none" w:sz="0" w:space="0" w:color="auto"/>
        <w:bottom w:val="none" w:sz="0" w:space="0" w:color="auto"/>
        <w:right w:val="none" w:sz="0" w:space="0" w:color="auto"/>
      </w:divBdr>
    </w:div>
    <w:div w:id="585459772">
      <w:bodyDiv w:val="1"/>
      <w:marLeft w:val="0"/>
      <w:marRight w:val="0"/>
      <w:marTop w:val="0"/>
      <w:marBottom w:val="0"/>
      <w:divBdr>
        <w:top w:val="none" w:sz="0" w:space="0" w:color="auto"/>
        <w:left w:val="none" w:sz="0" w:space="0" w:color="auto"/>
        <w:bottom w:val="none" w:sz="0" w:space="0" w:color="auto"/>
        <w:right w:val="none" w:sz="0" w:space="0" w:color="auto"/>
      </w:divBdr>
      <w:divsChild>
        <w:div w:id="1618215113">
          <w:marLeft w:val="403"/>
          <w:marRight w:val="0"/>
          <w:marTop w:val="150"/>
          <w:marBottom w:val="0"/>
          <w:divBdr>
            <w:top w:val="none" w:sz="0" w:space="0" w:color="auto"/>
            <w:left w:val="none" w:sz="0" w:space="0" w:color="auto"/>
            <w:bottom w:val="none" w:sz="0" w:space="0" w:color="auto"/>
            <w:right w:val="none" w:sz="0" w:space="0" w:color="auto"/>
          </w:divBdr>
        </w:div>
      </w:divsChild>
    </w:div>
    <w:div w:id="588924856">
      <w:bodyDiv w:val="1"/>
      <w:marLeft w:val="0"/>
      <w:marRight w:val="0"/>
      <w:marTop w:val="0"/>
      <w:marBottom w:val="0"/>
      <w:divBdr>
        <w:top w:val="none" w:sz="0" w:space="0" w:color="auto"/>
        <w:left w:val="none" w:sz="0" w:space="0" w:color="auto"/>
        <w:bottom w:val="none" w:sz="0" w:space="0" w:color="auto"/>
        <w:right w:val="none" w:sz="0" w:space="0" w:color="auto"/>
      </w:divBdr>
    </w:div>
    <w:div w:id="591551071">
      <w:bodyDiv w:val="1"/>
      <w:marLeft w:val="0"/>
      <w:marRight w:val="0"/>
      <w:marTop w:val="0"/>
      <w:marBottom w:val="0"/>
      <w:divBdr>
        <w:top w:val="none" w:sz="0" w:space="0" w:color="auto"/>
        <w:left w:val="none" w:sz="0" w:space="0" w:color="auto"/>
        <w:bottom w:val="none" w:sz="0" w:space="0" w:color="auto"/>
        <w:right w:val="none" w:sz="0" w:space="0" w:color="auto"/>
      </w:divBdr>
    </w:div>
    <w:div w:id="594170770">
      <w:bodyDiv w:val="1"/>
      <w:marLeft w:val="0"/>
      <w:marRight w:val="0"/>
      <w:marTop w:val="0"/>
      <w:marBottom w:val="0"/>
      <w:divBdr>
        <w:top w:val="none" w:sz="0" w:space="0" w:color="auto"/>
        <w:left w:val="none" w:sz="0" w:space="0" w:color="auto"/>
        <w:bottom w:val="none" w:sz="0" w:space="0" w:color="auto"/>
        <w:right w:val="none" w:sz="0" w:space="0" w:color="auto"/>
      </w:divBdr>
    </w:div>
    <w:div w:id="610554109">
      <w:bodyDiv w:val="1"/>
      <w:marLeft w:val="0"/>
      <w:marRight w:val="0"/>
      <w:marTop w:val="0"/>
      <w:marBottom w:val="0"/>
      <w:divBdr>
        <w:top w:val="none" w:sz="0" w:space="0" w:color="auto"/>
        <w:left w:val="none" w:sz="0" w:space="0" w:color="auto"/>
        <w:bottom w:val="none" w:sz="0" w:space="0" w:color="auto"/>
        <w:right w:val="none" w:sz="0" w:space="0" w:color="auto"/>
      </w:divBdr>
      <w:divsChild>
        <w:div w:id="405809298">
          <w:marLeft w:val="274"/>
          <w:marRight w:val="0"/>
          <w:marTop w:val="0"/>
          <w:marBottom w:val="120"/>
          <w:divBdr>
            <w:top w:val="none" w:sz="0" w:space="0" w:color="auto"/>
            <w:left w:val="none" w:sz="0" w:space="0" w:color="auto"/>
            <w:bottom w:val="none" w:sz="0" w:space="0" w:color="auto"/>
            <w:right w:val="none" w:sz="0" w:space="0" w:color="auto"/>
          </w:divBdr>
        </w:div>
        <w:div w:id="1217738413">
          <w:marLeft w:val="274"/>
          <w:marRight w:val="0"/>
          <w:marTop w:val="0"/>
          <w:marBottom w:val="120"/>
          <w:divBdr>
            <w:top w:val="none" w:sz="0" w:space="0" w:color="auto"/>
            <w:left w:val="none" w:sz="0" w:space="0" w:color="auto"/>
            <w:bottom w:val="none" w:sz="0" w:space="0" w:color="auto"/>
            <w:right w:val="none" w:sz="0" w:space="0" w:color="auto"/>
          </w:divBdr>
        </w:div>
      </w:divsChild>
    </w:div>
    <w:div w:id="626354077">
      <w:bodyDiv w:val="1"/>
      <w:marLeft w:val="0"/>
      <w:marRight w:val="0"/>
      <w:marTop w:val="0"/>
      <w:marBottom w:val="0"/>
      <w:divBdr>
        <w:top w:val="none" w:sz="0" w:space="0" w:color="auto"/>
        <w:left w:val="none" w:sz="0" w:space="0" w:color="auto"/>
        <w:bottom w:val="none" w:sz="0" w:space="0" w:color="auto"/>
        <w:right w:val="none" w:sz="0" w:space="0" w:color="auto"/>
      </w:divBdr>
    </w:div>
    <w:div w:id="6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309821504">
          <w:marLeft w:val="274"/>
          <w:marRight w:val="0"/>
          <w:marTop w:val="120"/>
          <w:marBottom w:val="0"/>
          <w:divBdr>
            <w:top w:val="none" w:sz="0" w:space="0" w:color="auto"/>
            <w:left w:val="none" w:sz="0" w:space="0" w:color="auto"/>
            <w:bottom w:val="none" w:sz="0" w:space="0" w:color="auto"/>
            <w:right w:val="none" w:sz="0" w:space="0" w:color="auto"/>
          </w:divBdr>
        </w:div>
      </w:divsChild>
    </w:div>
    <w:div w:id="636684931">
      <w:bodyDiv w:val="1"/>
      <w:marLeft w:val="0"/>
      <w:marRight w:val="0"/>
      <w:marTop w:val="0"/>
      <w:marBottom w:val="0"/>
      <w:divBdr>
        <w:top w:val="none" w:sz="0" w:space="0" w:color="auto"/>
        <w:left w:val="none" w:sz="0" w:space="0" w:color="auto"/>
        <w:bottom w:val="none" w:sz="0" w:space="0" w:color="auto"/>
        <w:right w:val="none" w:sz="0" w:space="0" w:color="auto"/>
      </w:divBdr>
    </w:div>
    <w:div w:id="655456761">
      <w:bodyDiv w:val="1"/>
      <w:marLeft w:val="0"/>
      <w:marRight w:val="0"/>
      <w:marTop w:val="0"/>
      <w:marBottom w:val="0"/>
      <w:divBdr>
        <w:top w:val="none" w:sz="0" w:space="0" w:color="auto"/>
        <w:left w:val="none" w:sz="0" w:space="0" w:color="auto"/>
        <w:bottom w:val="none" w:sz="0" w:space="0" w:color="auto"/>
        <w:right w:val="none" w:sz="0" w:space="0" w:color="auto"/>
      </w:divBdr>
    </w:div>
    <w:div w:id="671489232">
      <w:bodyDiv w:val="1"/>
      <w:marLeft w:val="0"/>
      <w:marRight w:val="0"/>
      <w:marTop w:val="0"/>
      <w:marBottom w:val="0"/>
      <w:divBdr>
        <w:top w:val="none" w:sz="0" w:space="0" w:color="auto"/>
        <w:left w:val="none" w:sz="0" w:space="0" w:color="auto"/>
        <w:bottom w:val="none" w:sz="0" w:space="0" w:color="auto"/>
        <w:right w:val="none" w:sz="0" w:space="0" w:color="auto"/>
      </w:divBdr>
      <w:divsChild>
        <w:div w:id="190461195">
          <w:marLeft w:val="403"/>
          <w:marRight w:val="0"/>
          <w:marTop w:val="0"/>
          <w:marBottom w:val="120"/>
          <w:divBdr>
            <w:top w:val="none" w:sz="0" w:space="0" w:color="auto"/>
            <w:left w:val="none" w:sz="0" w:space="0" w:color="auto"/>
            <w:bottom w:val="none" w:sz="0" w:space="0" w:color="auto"/>
            <w:right w:val="none" w:sz="0" w:space="0" w:color="auto"/>
          </w:divBdr>
        </w:div>
        <w:div w:id="1571310531">
          <w:marLeft w:val="403"/>
          <w:marRight w:val="0"/>
          <w:marTop w:val="0"/>
          <w:marBottom w:val="120"/>
          <w:divBdr>
            <w:top w:val="none" w:sz="0" w:space="0" w:color="auto"/>
            <w:left w:val="none" w:sz="0" w:space="0" w:color="auto"/>
            <w:bottom w:val="none" w:sz="0" w:space="0" w:color="auto"/>
            <w:right w:val="none" w:sz="0" w:space="0" w:color="auto"/>
          </w:divBdr>
        </w:div>
      </w:divsChild>
    </w:div>
    <w:div w:id="671760848">
      <w:bodyDiv w:val="1"/>
      <w:marLeft w:val="0"/>
      <w:marRight w:val="0"/>
      <w:marTop w:val="0"/>
      <w:marBottom w:val="0"/>
      <w:divBdr>
        <w:top w:val="none" w:sz="0" w:space="0" w:color="auto"/>
        <w:left w:val="none" w:sz="0" w:space="0" w:color="auto"/>
        <w:bottom w:val="none" w:sz="0" w:space="0" w:color="auto"/>
        <w:right w:val="none" w:sz="0" w:space="0" w:color="auto"/>
      </w:divBdr>
    </w:div>
    <w:div w:id="678822729">
      <w:bodyDiv w:val="1"/>
      <w:marLeft w:val="0"/>
      <w:marRight w:val="0"/>
      <w:marTop w:val="0"/>
      <w:marBottom w:val="0"/>
      <w:divBdr>
        <w:top w:val="none" w:sz="0" w:space="0" w:color="auto"/>
        <w:left w:val="none" w:sz="0" w:space="0" w:color="auto"/>
        <w:bottom w:val="none" w:sz="0" w:space="0" w:color="auto"/>
        <w:right w:val="none" w:sz="0" w:space="0" w:color="auto"/>
      </w:divBdr>
      <w:divsChild>
        <w:div w:id="1362510011">
          <w:marLeft w:val="403"/>
          <w:marRight w:val="0"/>
          <w:marTop w:val="120"/>
          <w:marBottom w:val="0"/>
          <w:divBdr>
            <w:top w:val="none" w:sz="0" w:space="0" w:color="auto"/>
            <w:left w:val="none" w:sz="0" w:space="0" w:color="auto"/>
            <w:bottom w:val="none" w:sz="0" w:space="0" w:color="auto"/>
            <w:right w:val="none" w:sz="0" w:space="0" w:color="auto"/>
          </w:divBdr>
        </w:div>
        <w:div w:id="1468863093">
          <w:marLeft w:val="403"/>
          <w:marRight w:val="0"/>
          <w:marTop w:val="120"/>
          <w:marBottom w:val="0"/>
          <w:divBdr>
            <w:top w:val="none" w:sz="0" w:space="0" w:color="auto"/>
            <w:left w:val="none" w:sz="0" w:space="0" w:color="auto"/>
            <w:bottom w:val="none" w:sz="0" w:space="0" w:color="auto"/>
            <w:right w:val="none" w:sz="0" w:space="0" w:color="auto"/>
          </w:divBdr>
        </w:div>
      </w:divsChild>
    </w:div>
    <w:div w:id="683098449">
      <w:bodyDiv w:val="1"/>
      <w:marLeft w:val="0"/>
      <w:marRight w:val="0"/>
      <w:marTop w:val="0"/>
      <w:marBottom w:val="0"/>
      <w:divBdr>
        <w:top w:val="none" w:sz="0" w:space="0" w:color="auto"/>
        <w:left w:val="none" w:sz="0" w:space="0" w:color="auto"/>
        <w:bottom w:val="none" w:sz="0" w:space="0" w:color="auto"/>
        <w:right w:val="none" w:sz="0" w:space="0" w:color="auto"/>
      </w:divBdr>
    </w:div>
    <w:div w:id="694040499">
      <w:bodyDiv w:val="1"/>
      <w:marLeft w:val="0"/>
      <w:marRight w:val="0"/>
      <w:marTop w:val="0"/>
      <w:marBottom w:val="0"/>
      <w:divBdr>
        <w:top w:val="none" w:sz="0" w:space="0" w:color="auto"/>
        <w:left w:val="none" w:sz="0" w:space="0" w:color="auto"/>
        <w:bottom w:val="none" w:sz="0" w:space="0" w:color="auto"/>
        <w:right w:val="none" w:sz="0" w:space="0" w:color="auto"/>
      </w:divBdr>
      <w:divsChild>
        <w:div w:id="1310014175">
          <w:marLeft w:val="274"/>
          <w:marRight w:val="0"/>
          <w:marTop w:val="0"/>
          <w:marBottom w:val="120"/>
          <w:divBdr>
            <w:top w:val="none" w:sz="0" w:space="0" w:color="auto"/>
            <w:left w:val="none" w:sz="0" w:space="0" w:color="auto"/>
            <w:bottom w:val="none" w:sz="0" w:space="0" w:color="auto"/>
            <w:right w:val="none" w:sz="0" w:space="0" w:color="auto"/>
          </w:divBdr>
        </w:div>
        <w:div w:id="1553034455">
          <w:marLeft w:val="274"/>
          <w:marRight w:val="0"/>
          <w:marTop w:val="0"/>
          <w:marBottom w:val="120"/>
          <w:divBdr>
            <w:top w:val="none" w:sz="0" w:space="0" w:color="auto"/>
            <w:left w:val="none" w:sz="0" w:space="0" w:color="auto"/>
            <w:bottom w:val="none" w:sz="0" w:space="0" w:color="auto"/>
            <w:right w:val="none" w:sz="0" w:space="0" w:color="auto"/>
          </w:divBdr>
        </w:div>
      </w:divsChild>
    </w:div>
    <w:div w:id="700932109">
      <w:bodyDiv w:val="1"/>
      <w:marLeft w:val="0"/>
      <w:marRight w:val="0"/>
      <w:marTop w:val="0"/>
      <w:marBottom w:val="0"/>
      <w:divBdr>
        <w:top w:val="none" w:sz="0" w:space="0" w:color="auto"/>
        <w:left w:val="none" w:sz="0" w:space="0" w:color="auto"/>
        <w:bottom w:val="none" w:sz="0" w:space="0" w:color="auto"/>
        <w:right w:val="none" w:sz="0" w:space="0" w:color="auto"/>
      </w:divBdr>
    </w:div>
    <w:div w:id="710882779">
      <w:bodyDiv w:val="1"/>
      <w:marLeft w:val="0"/>
      <w:marRight w:val="0"/>
      <w:marTop w:val="0"/>
      <w:marBottom w:val="0"/>
      <w:divBdr>
        <w:top w:val="none" w:sz="0" w:space="0" w:color="auto"/>
        <w:left w:val="none" w:sz="0" w:space="0" w:color="auto"/>
        <w:bottom w:val="none" w:sz="0" w:space="0" w:color="auto"/>
        <w:right w:val="none" w:sz="0" w:space="0" w:color="auto"/>
      </w:divBdr>
    </w:div>
    <w:div w:id="720252622">
      <w:bodyDiv w:val="1"/>
      <w:marLeft w:val="0"/>
      <w:marRight w:val="0"/>
      <w:marTop w:val="0"/>
      <w:marBottom w:val="0"/>
      <w:divBdr>
        <w:top w:val="none" w:sz="0" w:space="0" w:color="auto"/>
        <w:left w:val="none" w:sz="0" w:space="0" w:color="auto"/>
        <w:bottom w:val="none" w:sz="0" w:space="0" w:color="auto"/>
        <w:right w:val="none" w:sz="0" w:space="0" w:color="auto"/>
      </w:divBdr>
      <w:divsChild>
        <w:div w:id="82846128">
          <w:marLeft w:val="274"/>
          <w:marRight w:val="0"/>
          <w:marTop w:val="0"/>
          <w:marBottom w:val="80"/>
          <w:divBdr>
            <w:top w:val="none" w:sz="0" w:space="0" w:color="auto"/>
            <w:left w:val="none" w:sz="0" w:space="0" w:color="auto"/>
            <w:bottom w:val="none" w:sz="0" w:space="0" w:color="auto"/>
            <w:right w:val="none" w:sz="0" w:space="0" w:color="auto"/>
          </w:divBdr>
        </w:div>
        <w:div w:id="355430552">
          <w:marLeft w:val="274"/>
          <w:marRight w:val="0"/>
          <w:marTop w:val="0"/>
          <w:marBottom w:val="80"/>
          <w:divBdr>
            <w:top w:val="none" w:sz="0" w:space="0" w:color="auto"/>
            <w:left w:val="none" w:sz="0" w:space="0" w:color="auto"/>
            <w:bottom w:val="none" w:sz="0" w:space="0" w:color="auto"/>
            <w:right w:val="none" w:sz="0" w:space="0" w:color="auto"/>
          </w:divBdr>
        </w:div>
        <w:div w:id="847014725">
          <w:marLeft w:val="274"/>
          <w:marRight w:val="0"/>
          <w:marTop w:val="0"/>
          <w:marBottom w:val="80"/>
          <w:divBdr>
            <w:top w:val="none" w:sz="0" w:space="0" w:color="auto"/>
            <w:left w:val="none" w:sz="0" w:space="0" w:color="auto"/>
            <w:bottom w:val="none" w:sz="0" w:space="0" w:color="auto"/>
            <w:right w:val="none" w:sz="0" w:space="0" w:color="auto"/>
          </w:divBdr>
        </w:div>
        <w:div w:id="871266172">
          <w:marLeft w:val="274"/>
          <w:marRight w:val="0"/>
          <w:marTop w:val="0"/>
          <w:marBottom w:val="0"/>
          <w:divBdr>
            <w:top w:val="none" w:sz="0" w:space="0" w:color="auto"/>
            <w:left w:val="none" w:sz="0" w:space="0" w:color="auto"/>
            <w:bottom w:val="none" w:sz="0" w:space="0" w:color="auto"/>
            <w:right w:val="none" w:sz="0" w:space="0" w:color="auto"/>
          </w:divBdr>
        </w:div>
        <w:div w:id="963388512">
          <w:marLeft w:val="274"/>
          <w:marRight w:val="0"/>
          <w:marTop w:val="0"/>
          <w:marBottom w:val="0"/>
          <w:divBdr>
            <w:top w:val="none" w:sz="0" w:space="0" w:color="auto"/>
            <w:left w:val="none" w:sz="0" w:space="0" w:color="auto"/>
            <w:bottom w:val="none" w:sz="0" w:space="0" w:color="auto"/>
            <w:right w:val="none" w:sz="0" w:space="0" w:color="auto"/>
          </w:divBdr>
        </w:div>
        <w:div w:id="1102578125">
          <w:marLeft w:val="274"/>
          <w:marRight w:val="0"/>
          <w:marTop w:val="120"/>
          <w:marBottom w:val="0"/>
          <w:divBdr>
            <w:top w:val="none" w:sz="0" w:space="0" w:color="auto"/>
            <w:left w:val="none" w:sz="0" w:space="0" w:color="auto"/>
            <w:bottom w:val="none" w:sz="0" w:space="0" w:color="auto"/>
            <w:right w:val="none" w:sz="0" w:space="0" w:color="auto"/>
          </w:divBdr>
        </w:div>
        <w:div w:id="1660113495">
          <w:marLeft w:val="274"/>
          <w:marRight w:val="0"/>
          <w:marTop w:val="0"/>
          <w:marBottom w:val="0"/>
          <w:divBdr>
            <w:top w:val="none" w:sz="0" w:space="0" w:color="auto"/>
            <w:left w:val="none" w:sz="0" w:space="0" w:color="auto"/>
            <w:bottom w:val="none" w:sz="0" w:space="0" w:color="auto"/>
            <w:right w:val="none" w:sz="0" w:space="0" w:color="auto"/>
          </w:divBdr>
        </w:div>
        <w:div w:id="1735660981">
          <w:marLeft w:val="274"/>
          <w:marRight w:val="0"/>
          <w:marTop w:val="120"/>
          <w:marBottom w:val="0"/>
          <w:divBdr>
            <w:top w:val="none" w:sz="0" w:space="0" w:color="auto"/>
            <w:left w:val="none" w:sz="0" w:space="0" w:color="auto"/>
            <w:bottom w:val="none" w:sz="0" w:space="0" w:color="auto"/>
            <w:right w:val="none" w:sz="0" w:space="0" w:color="auto"/>
          </w:divBdr>
        </w:div>
        <w:div w:id="1860923105">
          <w:marLeft w:val="274"/>
          <w:marRight w:val="0"/>
          <w:marTop w:val="0"/>
          <w:marBottom w:val="80"/>
          <w:divBdr>
            <w:top w:val="none" w:sz="0" w:space="0" w:color="auto"/>
            <w:left w:val="none" w:sz="0" w:space="0" w:color="auto"/>
            <w:bottom w:val="none" w:sz="0" w:space="0" w:color="auto"/>
            <w:right w:val="none" w:sz="0" w:space="0" w:color="auto"/>
          </w:divBdr>
        </w:div>
        <w:div w:id="2095280717">
          <w:marLeft w:val="274"/>
          <w:marRight w:val="0"/>
          <w:marTop w:val="0"/>
          <w:marBottom w:val="0"/>
          <w:divBdr>
            <w:top w:val="none" w:sz="0" w:space="0" w:color="auto"/>
            <w:left w:val="none" w:sz="0" w:space="0" w:color="auto"/>
            <w:bottom w:val="none" w:sz="0" w:space="0" w:color="auto"/>
            <w:right w:val="none" w:sz="0" w:space="0" w:color="auto"/>
          </w:divBdr>
        </w:div>
      </w:divsChild>
    </w:div>
    <w:div w:id="731466981">
      <w:bodyDiv w:val="1"/>
      <w:marLeft w:val="0"/>
      <w:marRight w:val="0"/>
      <w:marTop w:val="0"/>
      <w:marBottom w:val="0"/>
      <w:divBdr>
        <w:top w:val="none" w:sz="0" w:space="0" w:color="auto"/>
        <w:left w:val="none" w:sz="0" w:space="0" w:color="auto"/>
        <w:bottom w:val="none" w:sz="0" w:space="0" w:color="auto"/>
        <w:right w:val="none" w:sz="0" w:space="0" w:color="auto"/>
      </w:divBdr>
    </w:div>
    <w:div w:id="735278556">
      <w:bodyDiv w:val="1"/>
      <w:marLeft w:val="0"/>
      <w:marRight w:val="0"/>
      <w:marTop w:val="0"/>
      <w:marBottom w:val="0"/>
      <w:divBdr>
        <w:top w:val="none" w:sz="0" w:space="0" w:color="auto"/>
        <w:left w:val="none" w:sz="0" w:space="0" w:color="auto"/>
        <w:bottom w:val="none" w:sz="0" w:space="0" w:color="auto"/>
        <w:right w:val="none" w:sz="0" w:space="0" w:color="auto"/>
      </w:divBdr>
    </w:div>
    <w:div w:id="738333473">
      <w:bodyDiv w:val="1"/>
      <w:marLeft w:val="0"/>
      <w:marRight w:val="0"/>
      <w:marTop w:val="0"/>
      <w:marBottom w:val="0"/>
      <w:divBdr>
        <w:top w:val="none" w:sz="0" w:space="0" w:color="auto"/>
        <w:left w:val="none" w:sz="0" w:space="0" w:color="auto"/>
        <w:bottom w:val="none" w:sz="0" w:space="0" w:color="auto"/>
        <w:right w:val="none" w:sz="0" w:space="0" w:color="auto"/>
      </w:divBdr>
      <w:divsChild>
        <w:div w:id="1639726562">
          <w:marLeft w:val="403"/>
          <w:marRight w:val="0"/>
          <w:marTop w:val="0"/>
          <w:marBottom w:val="120"/>
          <w:divBdr>
            <w:top w:val="none" w:sz="0" w:space="0" w:color="auto"/>
            <w:left w:val="none" w:sz="0" w:space="0" w:color="auto"/>
            <w:bottom w:val="none" w:sz="0" w:space="0" w:color="auto"/>
            <w:right w:val="none" w:sz="0" w:space="0" w:color="auto"/>
          </w:divBdr>
        </w:div>
      </w:divsChild>
    </w:div>
    <w:div w:id="738793362">
      <w:bodyDiv w:val="1"/>
      <w:marLeft w:val="0"/>
      <w:marRight w:val="0"/>
      <w:marTop w:val="0"/>
      <w:marBottom w:val="0"/>
      <w:divBdr>
        <w:top w:val="none" w:sz="0" w:space="0" w:color="auto"/>
        <w:left w:val="none" w:sz="0" w:space="0" w:color="auto"/>
        <w:bottom w:val="none" w:sz="0" w:space="0" w:color="auto"/>
        <w:right w:val="none" w:sz="0" w:space="0" w:color="auto"/>
      </w:divBdr>
    </w:div>
    <w:div w:id="740911027">
      <w:bodyDiv w:val="1"/>
      <w:marLeft w:val="0"/>
      <w:marRight w:val="0"/>
      <w:marTop w:val="0"/>
      <w:marBottom w:val="0"/>
      <w:divBdr>
        <w:top w:val="none" w:sz="0" w:space="0" w:color="auto"/>
        <w:left w:val="none" w:sz="0" w:space="0" w:color="auto"/>
        <w:bottom w:val="none" w:sz="0" w:space="0" w:color="auto"/>
        <w:right w:val="none" w:sz="0" w:space="0" w:color="auto"/>
      </w:divBdr>
    </w:div>
    <w:div w:id="741954586">
      <w:bodyDiv w:val="1"/>
      <w:marLeft w:val="0"/>
      <w:marRight w:val="0"/>
      <w:marTop w:val="0"/>
      <w:marBottom w:val="0"/>
      <w:divBdr>
        <w:top w:val="none" w:sz="0" w:space="0" w:color="auto"/>
        <w:left w:val="none" w:sz="0" w:space="0" w:color="auto"/>
        <w:bottom w:val="none" w:sz="0" w:space="0" w:color="auto"/>
        <w:right w:val="none" w:sz="0" w:space="0" w:color="auto"/>
      </w:divBdr>
    </w:div>
    <w:div w:id="743727130">
      <w:bodyDiv w:val="1"/>
      <w:marLeft w:val="0"/>
      <w:marRight w:val="0"/>
      <w:marTop w:val="0"/>
      <w:marBottom w:val="0"/>
      <w:divBdr>
        <w:top w:val="none" w:sz="0" w:space="0" w:color="auto"/>
        <w:left w:val="none" w:sz="0" w:space="0" w:color="auto"/>
        <w:bottom w:val="none" w:sz="0" w:space="0" w:color="auto"/>
        <w:right w:val="none" w:sz="0" w:space="0" w:color="auto"/>
      </w:divBdr>
    </w:div>
    <w:div w:id="749423515">
      <w:bodyDiv w:val="1"/>
      <w:marLeft w:val="0"/>
      <w:marRight w:val="0"/>
      <w:marTop w:val="0"/>
      <w:marBottom w:val="0"/>
      <w:divBdr>
        <w:top w:val="none" w:sz="0" w:space="0" w:color="auto"/>
        <w:left w:val="none" w:sz="0" w:space="0" w:color="auto"/>
        <w:bottom w:val="none" w:sz="0" w:space="0" w:color="auto"/>
        <w:right w:val="none" w:sz="0" w:space="0" w:color="auto"/>
      </w:divBdr>
      <w:divsChild>
        <w:div w:id="1490756792">
          <w:marLeft w:val="403"/>
          <w:marRight w:val="0"/>
          <w:marTop w:val="150"/>
          <w:marBottom w:val="0"/>
          <w:divBdr>
            <w:top w:val="none" w:sz="0" w:space="0" w:color="auto"/>
            <w:left w:val="none" w:sz="0" w:space="0" w:color="auto"/>
            <w:bottom w:val="none" w:sz="0" w:space="0" w:color="auto"/>
            <w:right w:val="none" w:sz="0" w:space="0" w:color="auto"/>
          </w:divBdr>
        </w:div>
        <w:div w:id="1889340434">
          <w:marLeft w:val="403"/>
          <w:marRight w:val="0"/>
          <w:marTop w:val="150"/>
          <w:marBottom w:val="0"/>
          <w:divBdr>
            <w:top w:val="none" w:sz="0" w:space="0" w:color="auto"/>
            <w:left w:val="none" w:sz="0" w:space="0" w:color="auto"/>
            <w:bottom w:val="none" w:sz="0" w:space="0" w:color="auto"/>
            <w:right w:val="none" w:sz="0" w:space="0" w:color="auto"/>
          </w:divBdr>
        </w:div>
      </w:divsChild>
    </w:div>
    <w:div w:id="755901903">
      <w:bodyDiv w:val="1"/>
      <w:marLeft w:val="0"/>
      <w:marRight w:val="0"/>
      <w:marTop w:val="0"/>
      <w:marBottom w:val="0"/>
      <w:divBdr>
        <w:top w:val="none" w:sz="0" w:space="0" w:color="auto"/>
        <w:left w:val="none" w:sz="0" w:space="0" w:color="auto"/>
        <w:bottom w:val="none" w:sz="0" w:space="0" w:color="auto"/>
        <w:right w:val="none" w:sz="0" w:space="0" w:color="auto"/>
      </w:divBdr>
      <w:divsChild>
        <w:div w:id="793791871">
          <w:marLeft w:val="403"/>
          <w:marRight w:val="0"/>
          <w:marTop w:val="0"/>
          <w:marBottom w:val="120"/>
          <w:divBdr>
            <w:top w:val="none" w:sz="0" w:space="0" w:color="auto"/>
            <w:left w:val="none" w:sz="0" w:space="0" w:color="auto"/>
            <w:bottom w:val="none" w:sz="0" w:space="0" w:color="auto"/>
            <w:right w:val="none" w:sz="0" w:space="0" w:color="auto"/>
          </w:divBdr>
        </w:div>
        <w:div w:id="1682270945">
          <w:marLeft w:val="403"/>
          <w:marRight w:val="0"/>
          <w:marTop w:val="0"/>
          <w:marBottom w:val="120"/>
          <w:divBdr>
            <w:top w:val="none" w:sz="0" w:space="0" w:color="auto"/>
            <w:left w:val="none" w:sz="0" w:space="0" w:color="auto"/>
            <w:bottom w:val="none" w:sz="0" w:space="0" w:color="auto"/>
            <w:right w:val="none" w:sz="0" w:space="0" w:color="auto"/>
          </w:divBdr>
        </w:div>
        <w:div w:id="1931546693">
          <w:marLeft w:val="403"/>
          <w:marRight w:val="0"/>
          <w:marTop w:val="0"/>
          <w:marBottom w:val="120"/>
          <w:divBdr>
            <w:top w:val="none" w:sz="0" w:space="0" w:color="auto"/>
            <w:left w:val="none" w:sz="0" w:space="0" w:color="auto"/>
            <w:bottom w:val="none" w:sz="0" w:space="0" w:color="auto"/>
            <w:right w:val="none" w:sz="0" w:space="0" w:color="auto"/>
          </w:divBdr>
        </w:div>
      </w:divsChild>
    </w:div>
    <w:div w:id="7567489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06">
          <w:marLeft w:val="403"/>
          <w:marRight w:val="0"/>
          <w:marTop w:val="0"/>
          <w:marBottom w:val="120"/>
          <w:divBdr>
            <w:top w:val="none" w:sz="0" w:space="0" w:color="auto"/>
            <w:left w:val="none" w:sz="0" w:space="0" w:color="auto"/>
            <w:bottom w:val="none" w:sz="0" w:space="0" w:color="auto"/>
            <w:right w:val="none" w:sz="0" w:space="0" w:color="auto"/>
          </w:divBdr>
        </w:div>
        <w:div w:id="1812868319">
          <w:marLeft w:val="403"/>
          <w:marRight w:val="0"/>
          <w:marTop w:val="0"/>
          <w:marBottom w:val="120"/>
          <w:divBdr>
            <w:top w:val="none" w:sz="0" w:space="0" w:color="auto"/>
            <w:left w:val="none" w:sz="0" w:space="0" w:color="auto"/>
            <w:bottom w:val="none" w:sz="0" w:space="0" w:color="auto"/>
            <w:right w:val="none" w:sz="0" w:space="0" w:color="auto"/>
          </w:divBdr>
        </w:div>
      </w:divsChild>
    </w:div>
    <w:div w:id="775364206">
      <w:bodyDiv w:val="1"/>
      <w:marLeft w:val="0"/>
      <w:marRight w:val="0"/>
      <w:marTop w:val="0"/>
      <w:marBottom w:val="0"/>
      <w:divBdr>
        <w:top w:val="none" w:sz="0" w:space="0" w:color="auto"/>
        <w:left w:val="none" w:sz="0" w:space="0" w:color="auto"/>
        <w:bottom w:val="none" w:sz="0" w:space="0" w:color="auto"/>
        <w:right w:val="none" w:sz="0" w:space="0" w:color="auto"/>
      </w:divBdr>
    </w:div>
    <w:div w:id="789082914">
      <w:bodyDiv w:val="1"/>
      <w:marLeft w:val="0"/>
      <w:marRight w:val="0"/>
      <w:marTop w:val="0"/>
      <w:marBottom w:val="0"/>
      <w:divBdr>
        <w:top w:val="none" w:sz="0" w:space="0" w:color="auto"/>
        <w:left w:val="none" w:sz="0" w:space="0" w:color="auto"/>
        <w:bottom w:val="none" w:sz="0" w:space="0" w:color="auto"/>
        <w:right w:val="none" w:sz="0" w:space="0" w:color="auto"/>
      </w:divBdr>
    </w:div>
    <w:div w:id="803694786">
      <w:bodyDiv w:val="1"/>
      <w:marLeft w:val="0"/>
      <w:marRight w:val="0"/>
      <w:marTop w:val="0"/>
      <w:marBottom w:val="0"/>
      <w:divBdr>
        <w:top w:val="none" w:sz="0" w:space="0" w:color="auto"/>
        <w:left w:val="none" w:sz="0" w:space="0" w:color="auto"/>
        <w:bottom w:val="none" w:sz="0" w:space="0" w:color="auto"/>
        <w:right w:val="none" w:sz="0" w:space="0" w:color="auto"/>
      </w:divBdr>
      <w:divsChild>
        <w:div w:id="285740568">
          <w:marLeft w:val="403"/>
          <w:marRight w:val="0"/>
          <w:marTop w:val="120"/>
          <w:marBottom w:val="0"/>
          <w:divBdr>
            <w:top w:val="none" w:sz="0" w:space="0" w:color="auto"/>
            <w:left w:val="none" w:sz="0" w:space="0" w:color="auto"/>
            <w:bottom w:val="none" w:sz="0" w:space="0" w:color="auto"/>
            <w:right w:val="none" w:sz="0" w:space="0" w:color="auto"/>
          </w:divBdr>
        </w:div>
        <w:div w:id="1524396264">
          <w:marLeft w:val="403"/>
          <w:marRight w:val="0"/>
          <w:marTop w:val="120"/>
          <w:marBottom w:val="0"/>
          <w:divBdr>
            <w:top w:val="none" w:sz="0" w:space="0" w:color="auto"/>
            <w:left w:val="none" w:sz="0" w:space="0" w:color="auto"/>
            <w:bottom w:val="none" w:sz="0" w:space="0" w:color="auto"/>
            <w:right w:val="none" w:sz="0" w:space="0" w:color="auto"/>
          </w:divBdr>
        </w:div>
      </w:divsChild>
    </w:div>
    <w:div w:id="808984852">
      <w:bodyDiv w:val="1"/>
      <w:marLeft w:val="0"/>
      <w:marRight w:val="0"/>
      <w:marTop w:val="0"/>
      <w:marBottom w:val="0"/>
      <w:divBdr>
        <w:top w:val="none" w:sz="0" w:space="0" w:color="auto"/>
        <w:left w:val="none" w:sz="0" w:space="0" w:color="auto"/>
        <w:bottom w:val="none" w:sz="0" w:space="0" w:color="auto"/>
        <w:right w:val="none" w:sz="0" w:space="0" w:color="auto"/>
      </w:divBdr>
    </w:div>
    <w:div w:id="815680964">
      <w:bodyDiv w:val="1"/>
      <w:marLeft w:val="0"/>
      <w:marRight w:val="0"/>
      <w:marTop w:val="0"/>
      <w:marBottom w:val="0"/>
      <w:divBdr>
        <w:top w:val="none" w:sz="0" w:space="0" w:color="auto"/>
        <w:left w:val="none" w:sz="0" w:space="0" w:color="auto"/>
        <w:bottom w:val="none" w:sz="0" w:space="0" w:color="auto"/>
        <w:right w:val="none" w:sz="0" w:space="0" w:color="auto"/>
      </w:divBdr>
    </w:div>
    <w:div w:id="825435655">
      <w:bodyDiv w:val="1"/>
      <w:marLeft w:val="0"/>
      <w:marRight w:val="0"/>
      <w:marTop w:val="0"/>
      <w:marBottom w:val="0"/>
      <w:divBdr>
        <w:top w:val="none" w:sz="0" w:space="0" w:color="auto"/>
        <w:left w:val="none" w:sz="0" w:space="0" w:color="auto"/>
        <w:bottom w:val="none" w:sz="0" w:space="0" w:color="auto"/>
        <w:right w:val="none" w:sz="0" w:space="0" w:color="auto"/>
      </w:divBdr>
    </w:div>
    <w:div w:id="830946119">
      <w:bodyDiv w:val="1"/>
      <w:marLeft w:val="0"/>
      <w:marRight w:val="0"/>
      <w:marTop w:val="0"/>
      <w:marBottom w:val="0"/>
      <w:divBdr>
        <w:top w:val="none" w:sz="0" w:space="0" w:color="auto"/>
        <w:left w:val="none" w:sz="0" w:space="0" w:color="auto"/>
        <w:bottom w:val="none" w:sz="0" w:space="0" w:color="auto"/>
        <w:right w:val="none" w:sz="0" w:space="0" w:color="auto"/>
      </w:divBdr>
      <w:divsChild>
        <w:div w:id="483163082">
          <w:marLeft w:val="403"/>
          <w:marRight w:val="0"/>
          <w:marTop w:val="0"/>
          <w:marBottom w:val="120"/>
          <w:divBdr>
            <w:top w:val="none" w:sz="0" w:space="0" w:color="auto"/>
            <w:left w:val="none" w:sz="0" w:space="0" w:color="auto"/>
            <w:bottom w:val="none" w:sz="0" w:space="0" w:color="auto"/>
            <w:right w:val="none" w:sz="0" w:space="0" w:color="auto"/>
          </w:divBdr>
        </w:div>
        <w:div w:id="706295566">
          <w:marLeft w:val="403"/>
          <w:marRight w:val="0"/>
          <w:marTop w:val="0"/>
          <w:marBottom w:val="120"/>
          <w:divBdr>
            <w:top w:val="none" w:sz="0" w:space="0" w:color="auto"/>
            <w:left w:val="none" w:sz="0" w:space="0" w:color="auto"/>
            <w:bottom w:val="none" w:sz="0" w:space="0" w:color="auto"/>
            <w:right w:val="none" w:sz="0" w:space="0" w:color="auto"/>
          </w:divBdr>
        </w:div>
        <w:div w:id="2075200227">
          <w:marLeft w:val="403"/>
          <w:marRight w:val="0"/>
          <w:marTop w:val="0"/>
          <w:marBottom w:val="120"/>
          <w:divBdr>
            <w:top w:val="none" w:sz="0" w:space="0" w:color="auto"/>
            <w:left w:val="none" w:sz="0" w:space="0" w:color="auto"/>
            <w:bottom w:val="none" w:sz="0" w:space="0" w:color="auto"/>
            <w:right w:val="none" w:sz="0" w:space="0" w:color="auto"/>
          </w:divBdr>
        </w:div>
      </w:divsChild>
    </w:div>
    <w:div w:id="834345225">
      <w:bodyDiv w:val="1"/>
      <w:marLeft w:val="0"/>
      <w:marRight w:val="0"/>
      <w:marTop w:val="0"/>
      <w:marBottom w:val="0"/>
      <w:divBdr>
        <w:top w:val="none" w:sz="0" w:space="0" w:color="auto"/>
        <w:left w:val="none" w:sz="0" w:space="0" w:color="auto"/>
        <w:bottom w:val="none" w:sz="0" w:space="0" w:color="auto"/>
        <w:right w:val="none" w:sz="0" w:space="0" w:color="auto"/>
      </w:divBdr>
    </w:div>
    <w:div w:id="835609905">
      <w:bodyDiv w:val="1"/>
      <w:marLeft w:val="0"/>
      <w:marRight w:val="0"/>
      <w:marTop w:val="0"/>
      <w:marBottom w:val="0"/>
      <w:divBdr>
        <w:top w:val="none" w:sz="0" w:space="0" w:color="auto"/>
        <w:left w:val="none" w:sz="0" w:space="0" w:color="auto"/>
        <w:bottom w:val="none" w:sz="0" w:space="0" w:color="auto"/>
        <w:right w:val="none" w:sz="0" w:space="0" w:color="auto"/>
      </w:divBdr>
    </w:div>
    <w:div w:id="846596165">
      <w:bodyDiv w:val="1"/>
      <w:marLeft w:val="0"/>
      <w:marRight w:val="0"/>
      <w:marTop w:val="0"/>
      <w:marBottom w:val="0"/>
      <w:divBdr>
        <w:top w:val="none" w:sz="0" w:space="0" w:color="auto"/>
        <w:left w:val="none" w:sz="0" w:space="0" w:color="auto"/>
        <w:bottom w:val="none" w:sz="0" w:space="0" w:color="auto"/>
        <w:right w:val="none" w:sz="0" w:space="0" w:color="auto"/>
      </w:divBdr>
    </w:div>
    <w:div w:id="847334693">
      <w:bodyDiv w:val="1"/>
      <w:marLeft w:val="0"/>
      <w:marRight w:val="0"/>
      <w:marTop w:val="0"/>
      <w:marBottom w:val="0"/>
      <w:divBdr>
        <w:top w:val="none" w:sz="0" w:space="0" w:color="auto"/>
        <w:left w:val="none" w:sz="0" w:space="0" w:color="auto"/>
        <w:bottom w:val="none" w:sz="0" w:space="0" w:color="auto"/>
        <w:right w:val="none" w:sz="0" w:space="0" w:color="auto"/>
      </w:divBdr>
      <w:divsChild>
        <w:div w:id="245043099">
          <w:marLeft w:val="403"/>
          <w:marRight w:val="0"/>
          <w:marTop w:val="0"/>
          <w:marBottom w:val="120"/>
          <w:divBdr>
            <w:top w:val="none" w:sz="0" w:space="0" w:color="auto"/>
            <w:left w:val="none" w:sz="0" w:space="0" w:color="auto"/>
            <w:bottom w:val="none" w:sz="0" w:space="0" w:color="auto"/>
            <w:right w:val="none" w:sz="0" w:space="0" w:color="auto"/>
          </w:divBdr>
        </w:div>
      </w:divsChild>
    </w:div>
    <w:div w:id="848064650">
      <w:bodyDiv w:val="1"/>
      <w:marLeft w:val="0"/>
      <w:marRight w:val="0"/>
      <w:marTop w:val="0"/>
      <w:marBottom w:val="0"/>
      <w:divBdr>
        <w:top w:val="none" w:sz="0" w:space="0" w:color="auto"/>
        <w:left w:val="none" w:sz="0" w:space="0" w:color="auto"/>
        <w:bottom w:val="none" w:sz="0" w:space="0" w:color="auto"/>
        <w:right w:val="none" w:sz="0" w:space="0" w:color="auto"/>
      </w:divBdr>
    </w:div>
    <w:div w:id="848830928">
      <w:bodyDiv w:val="1"/>
      <w:marLeft w:val="0"/>
      <w:marRight w:val="0"/>
      <w:marTop w:val="0"/>
      <w:marBottom w:val="0"/>
      <w:divBdr>
        <w:top w:val="none" w:sz="0" w:space="0" w:color="auto"/>
        <w:left w:val="none" w:sz="0" w:space="0" w:color="auto"/>
        <w:bottom w:val="none" w:sz="0" w:space="0" w:color="auto"/>
        <w:right w:val="none" w:sz="0" w:space="0" w:color="auto"/>
      </w:divBdr>
    </w:div>
    <w:div w:id="861816743">
      <w:bodyDiv w:val="1"/>
      <w:marLeft w:val="0"/>
      <w:marRight w:val="0"/>
      <w:marTop w:val="0"/>
      <w:marBottom w:val="0"/>
      <w:divBdr>
        <w:top w:val="none" w:sz="0" w:space="0" w:color="auto"/>
        <w:left w:val="none" w:sz="0" w:space="0" w:color="auto"/>
        <w:bottom w:val="none" w:sz="0" w:space="0" w:color="auto"/>
        <w:right w:val="none" w:sz="0" w:space="0" w:color="auto"/>
      </w:divBdr>
    </w:div>
    <w:div w:id="866406546">
      <w:bodyDiv w:val="1"/>
      <w:marLeft w:val="0"/>
      <w:marRight w:val="0"/>
      <w:marTop w:val="0"/>
      <w:marBottom w:val="0"/>
      <w:divBdr>
        <w:top w:val="none" w:sz="0" w:space="0" w:color="auto"/>
        <w:left w:val="none" w:sz="0" w:space="0" w:color="auto"/>
        <w:bottom w:val="none" w:sz="0" w:space="0" w:color="auto"/>
        <w:right w:val="none" w:sz="0" w:space="0" w:color="auto"/>
      </w:divBdr>
    </w:div>
    <w:div w:id="875506046">
      <w:bodyDiv w:val="1"/>
      <w:marLeft w:val="0"/>
      <w:marRight w:val="0"/>
      <w:marTop w:val="0"/>
      <w:marBottom w:val="0"/>
      <w:divBdr>
        <w:top w:val="none" w:sz="0" w:space="0" w:color="auto"/>
        <w:left w:val="none" w:sz="0" w:space="0" w:color="auto"/>
        <w:bottom w:val="none" w:sz="0" w:space="0" w:color="auto"/>
        <w:right w:val="none" w:sz="0" w:space="0" w:color="auto"/>
      </w:divBdr>
      <w:divsChild>
        <w:div w:id="70010469">
          <w:marLeft w:val="274"/>
          <w:marRight w:val="0"/>
          <w:marTop w:val="150"/>
          <w:marBottom w:val="0"/>
          <w:divBdr>
            <w:top w:val="none" w:sz="0" w:space="0" w:color="auto"/>
            <w:left w:val="none" w:sz="0" w:space="0" w:color="auto"/>
            <w:bottom w:val="none" w:sz="0" w:space="0" w:color="auto"/>
            <w:right w:val="none" w:sz="0" w:space="0" w:color="auto"/>
          </w:divBdr>
        </w:div>
        <w:div w:id="681391776">
          <w:marLeft w:val="274"/>
          <w:marRight w:val="0"/>
          <w:marTop w:val="0"/>
          <w:marBottom w:val="0"/>
          <w:divBdr>
            <w:top w:val="none" w:sz="0" w:space="0" w:color="auto"/>
            <w:left w:val="none" w:sz="0" w:space="0" w:color="auto"/>
            <w:bottom w:val="none" w:sz="0" w:space="0" w:color="auto"/>
            <w:right w:val="none" w:sz="0" w:space="0" w:color="auto"/>
          </w:divBdr>
        </w:div>
        <w:div w:id="813835569">
          <w:marLeft w:val="274"/>
          <w:marRight w:val="0"/>
          <w:marTop w:val="150"/>
          <w:marBottom w:val="0"/>
          <w:divBdr>
            <w:top w:val="none" w:sz="0" w:space="0" w:color="auto"/>
            <w:left w:val="none" w:sz="0" w:space="0" w:color="auto"/>
            <w:bottom w:val="none" w:sz="0" w:space="0" w:color="auto"/>
            <w:right w:val="none" w:sz="0" w:space="0" w:color="auto"/>
          </w:divBdr>
        </w:div>
        <w:div w:id="912204297">
          <w:marLeft w:val="274"/>
          <w:marRight w:val="0"/>
          <w:marTop w:val="0"/>
          <w:marBottom w:val="0"/>
          <w:divBdr>
            <w:top w:val="none" w:sz="0" w:space="0" w:color="auto"/>
            <w:left w:val="none" w:sz="0" w:space="0" w:color="auto"/>
            <w:bottom w:val="none" w:sz="0" w:space="0" w:color="auto"/>
            <w:right w:val="none" w:sz="0" w:space="0" w:color="auto"/>
          </w:divBdr>
        </w:div>
        <w:div w:id="1108620445">
          <w:marLeft w:val="274"/>
          <w:marRight w:val="0"/>
          <w:marTop w:val="150"/>
          <w:marBottom w:val="0"/>
          <w:divBdr>
            <w:top w:val="none" w:sz="0" w:space="0" w:color="auto"/>
            <w:left w:val="none" w:sz="0" w:space="0" w:color="auto"/>
            <w:bottom w:val="none" w:sz="0" w:space="0" w:color="auto"/>
            <w:right w:val="none" w:sz="0" w:space="0" w:color="auto"/>
          </w:divBdr>
        </w:div>
        <w:div w:id="1296178466">
          <w:marLeft w:val="274"/>
          <w:marRight w:val="0"/>
          <w:marTop w:val="0"/>
          <w:marBottom w:val="0"/>
          <w:divBdr>
            <w:top w:val="none" w:sz="0" w:space="0" w:color="auto"/>
            <w:left w:val="none" w:sz="0" w:space="0" w:color="auto"/>
            <w:bottom w:val="none" w:sz="0" w:space="0" w:color="auto"/>
            <w:right w:val="none" w:sz="0" w:space="0" w:color="auto"/>
          </w:divBdr>
        </w:div>
        <w:div w:id="1949700234">
          <w:marLeft w:val="274"/>
          <w:marRight w:val="0"/>
          <w:marTop w:val="0"/>
          <w:marBottom w:val="0"/>
          <w:divBdr>
            <w:top w:val="none" w:sz="0" w:space="0" w:color="auto"/>
            <w:left w:val="none" w:sz="0" w:space="0" w:color="auto"/>
            <w:bottom w:val="none" w:sz="0" w:space="0" w:color="auto"/>
            <w:right w:val="none" w:sz="0" w:space="0" w:color="auto"/>
          </w:divBdr>
        </w:div>
        <w:div w:id="2081633967">
          <w:marLeft w:val="274"/>
          <w:marRight w:val="0"/>
          <w:marTop w:val="0"/>
          <w:marBottom w:val="0"/>
          <w:divBdr>
            <w:top w:val="none" w:sz="0" w:space="0" w:color="auto"/>
            <w:left w:val="none" w:sz="0" w:space="0" w:color="auto"/>
            <w:bottom w:val="none" w:sz="0" w:space="0" w:color="auto"/>
            <w:right w:val="none" w:sz="0" w:space="0" w:color="auto"/>
          </w:divBdr>
        </w:div>
      </w:divsChild>
    </w:div>
    <w:div w:id="886836606">
      <w:bodyDiv w:val="1"/>
      <w:marLeft w:val="0"/>
      <w:marRight w:val="0"/>
      <w:marTop w:val="0"/>
      <w:marBottom w:val="0"/>
      <w:divBdr>
        <w:top w:val="none" w:sz="0" w:space="0" w:color="auto"/>
        <w:left w:val="none" w:sz="0" w:space="0" w:color="auto"/>
        <w:bottom w:val="none" w:sz="0" w:space="0" w:color="auto"/>
        <w:right w:val="none" w:sz="0" w:space="0" w:color="auto"/>
      </w:divBdr>
      <w:divsChild>
        <w:div w:id="1424259589">
          <w:marLeft w:val="403"/>
          <w:marRight w:val="0"/>
          <w:marTop w:val="150"/>
          <w:marBottom w:val="0"/>
          <w:divBdr>
            <w:top w:val="none" w:sz="0" w:space="0" w:color="auto"/>
            <w:left w:val="none" w:sz="0" w:space="0" w:color="auto"/>
            <w:bottom w:val="none" w:sz="0" w:space="0" w:color="auto"/>
            <w:right w:val="none" w:sz="0" w:space="0" w:color="auto"/>
          </w:divBdr>
        </w:div>
        <w:div w:id="1657688331">
          <w:marLeft w:val="403"/>
          <w:marRight w:val="0"/>
          <w:marTop w:val="150"/>
          <w:marBottom w:val="0"/>
          <w:divBdr>
            <w:top w:val="none" w:sz="0" w:space="0" w:color="auto"/>
            <w:left w:val="none" w:sz="0" w:space="0" w:color="auto"/>
            <w:bottom w:val="none" w:sz="0" w:space="0" w:color="auto"/>
            <w:right w:val="none" w:sz="0" w:space="0" w:color="auto"/>
          </w:divBdr>
        </w:div>
      </w:divsChild>
    </w:div>
    <w:div w:id="888305407">
      <w:bodyDiv w:val="1"/>
      <w:marLeft w:val="0"/>
      <w:marRight w:val="0"/>
      <w:marTop w:val="0"/>
      <w:marBottom w:val="0"/>
      <w:divBdr>
        <w:top w:val="none" w:sz="0" w:space="0" w:color="auto"/>
        <w:left w:val="none" w:sz="0" w:space="0" w:color="auto"/>
        <w:bottom w:val="none" w:sz="0" w:space="0" w:color="auto"/>
        <w:right w:val="none" w:sz="0" w:space="0" w:color="auto"/>
      </w:divBdr>
      <w:divsChild>
        <w:div w:id="392895398">
          <w:marLeft w:val="403"/>
          <w:marRight w:val="0"/>
          <w:marTop w:val="0"/>
          <w:marBottom w:val="120"/>
          <w:divBdr>
            <w:top w:val="none" w:sz="0" w:space="0" w:color="auto"/>
            <w:left w:val="none" w:sz="0" w:space="0" w:color="auto"/>
            <w:bottom w:val="none" w:sz="0" w:space="0" w:color="auto"/>
            <w:right w:val="none" w:sz="0" w:space="0" w:color="auto"/>
          </w:divBdr>
        </w:div>
      </w:divsChild>
    </w:div>
    <w:div w:id="889027060">
      <w:bodyDiv w:val="1"/>
      <w:marLeft w:val="0"/>
      <w:marRight w:val="0"/>
      <w:marTop w:val="0"/>
      <w:marBottom w:val="0"/>
      <w:divBdr>
        <w:top w:val="none" w:sz="0" w:space="0" w:color="auto"/>
        <w:left w:val="none" w:sz="0" w:space="0" w:color="auto"/>
        <w:bottom w:val="none" w:sz="0" w:space="0" w:color="auto"/>
        <w:right w:val="none" w:sz="0" w:space="0" w:color="auto"/>
      </w:divBdr>
      <w:divsChild>
        <w:div w:id="889150008">
          <w:marLeft w:val="403"/>
          <w:marRight w:val="0"/>
          <w:marTop w:val="120"/>
          <w:marBottom w:val="0"/>
          <w:divBdr>
            <w:top w:val="none" w:sz="0" w:space="0" w:color="auto"/>
            <w:left w:val="none" w:sz="0" w:space="0" w:color="auto"/>
            <w:bottom w:val="none" w:sz="0" w:space="0" w:color="auto"/>
            <w:right w:val="none" w:sz="0" w:space="0" w:color="auto"/>
          </w:divBdr>
        </w:div>
        <w:div w:id="2031367977">
          <w:marLeft w:val="403"/>
          <w:marRight w:val="0"/>
          <w:marTop w:val="120"/>
          <w:marBottom w:val="0"/>
          <w:divBdr>
            <w:top w:val="none" w:sz="0" w:space="0" w:color="auto"/>
            <w:left w:val="none" w:sz="0" w:space="0" w:color="auto"/>
            <w:bottom w:val="none" w:sz="0" w:space="0" w:color="auto"/>
            <w:right w:val="none" w:sz="0" w:space="0" w:color="auto"/>
          </w:divBdr>
        </w:div>
      </w:divsChild>
    </w:div>
    <w:div w:id="892230557">
      <w:bodyDiv w:val="1"/>
      <w:marLeft w:val="0"/>
      <w:marRight w:val="0"/>
      <w:marTop w:val="0"/>
      <w:marBottom w:val="0"/>
      <w:divBdr>
        <w:top w:val="none" w:sz="0" w:space="0" w:color="auto"/>
        <w:left w:val="none" w:sz="0" w:space="0" w:color="auto"/>
        <w:bottom w:val="none" w:sz="0" w:space="0" w:color="auto"/>
        <w:right w:val="none" w:sz="0" w:space="0" w:color="auto"/>
      </w:divBdr>
    </w:div>
    <w:div w:id="892692743">
      <w:bodyDiv w:val="1"/>
      <w:marLeft w:val="0"/>
      <w:marRight w:val="0"/>
      <w:marTop w:val="0"/>
      <w:marBottom w:val="0"/>
      <w:divBdr>
        <w:top w:val="none" w:sz="0" w:space="0" w:color="auto"/>
        <w:left w:val="none" w:sz="0" w:space="0" w:color="auto"/>
        <w:bottom w:val="none" w:sz="0" w:space="0" w:color="auto"/>
        <w:right w:val="none" w:sz="0" w:space="0" w:color="auto"/>
      </w:divBdr>
    </w:div>
    <w:div w:id="904953513">
      <w:bodyDiv w:val="1"/>
      <w:marLeft w:val="0"/>
      <w:marRight w:val="0"/>
      <w:marTop w:val="0"/>
      <w:marBottom w:val="0"/>
      <w:divBdr>
        <w:top w:val="none" w:sz="0" w:space="0" w:color="auto"/>
        <w:left w:val="none" w:sz="0" w:space="0" w:color="auto"/>
        <w:bottom w:val="none" w:sz="0" w:space="0" w:color="auto"/>
        <w:right w:val="none" w:sz="0" w:space="0" w:color="auto"/>
      </w:divBdr>
    </w:div>
    <w:div w:id="908345285">
      <w:bodyDiv w:val="1"/>
      <w:marLeft w:val="0"/>
      <w:marRight w:val="0"/>
      <w:marTop w:val="0"/>
      <w:marBottom w:val="0"/>
      <w:divBdr>
        <w:top w:val="none" w:sz="0" w:space="0" w:color="auto"/>
        <w:left w:val="none" w:sz="0" w:space="0" w:color="auto"/>
        <w:bottom w:val="none" w:sz="0" w:space="0" w:color="auto"/>
        <w:right w:val="none" w:sz="0" w:space="0" w:color="auto"/>
      </w:divBdr>
      <w:divsChild>
        <w:div w:id="1334336406">
          <w:marLeft w:val="403"/>
          <w:marRight w:val="0"/>
          <w:marTop w:val="0"/>
          <w:marBottom w:val="150"/>
          <w:divBdr>
            <w:top w:val="none" w:sz="0" w:space="0" w:color="auto"/>
            <w:left w:val="none" w:sz="0" w:space="0" w:color="auto"/>
            <w:bottom w:val="none" w:sz="0" w:space="0" w:color="auto"/>
            <w:right w:val="none" w:sz="0" w:space="0" w:color="auto"/>
          </w:divBdr>
        </w:div>
      </w:divsChild>
    </w:div>
    <w:div w:id="908659742">
      <w:bodyDiv w:val="1"/>
      <w:marLeft w:val="0"/>
      <w:marRight w:val="0"/>
      <w:marTop w:val="0"/>
      <w:marBottom w:val="0"/>
      <w:divBdr>
        <w:top w:val="none" w:sz="0" w:space="0" w:color="auto"/>
        <w:left w:val="none" w:sz="0" w:space="0" w:color="auto"/>
        <w:bottom w:val="none" w:sz="0" w:space="0" w:color="auto"/>
        <w:right w:val="none" w:sz="0" w:space="0" w:color="auto"/>
      </w:divBdr>
      <w:divsChild>
        <w:div w:id="234441071">
          <w:marLeft w:val="403"/>
          <w:marRight w:val="0"/>
          <w:marTop w:val="150"/>
          <w:marBottom w:val="0"/>
          <w:divBdr>
            <w:top w:val="none" w:sz="0" w:space="0" w:color="auto"/>
            <w:left w:val="none" w:sz="0" w:space="0" w:color="auto"/>
            <w:bottom w:val="none" w:sz="0" w:space="0" w:color="auto"/>
            <w:right w:val="none" w:sz="0" w:space="0" w:color="auto"/>
          </w:divBdr>
        </w:div>
      </w:divsChild>
    </w:div>
    <w:div w:id="912810243">
      <w:bodyDiv w:val="1"/>
      <w:marLeft w:val="0"/>
      <w:marRight w:val="0"/>
      <w:marTop w:val="0"/>
      <w:marBottom w:val="0"/>
      <w:divBdr>
        <w:top w:val="none" w:sz="0" w:space="0" w:color="auto"/>
        <w:left w:val="none" w:sz="0" w:space="0" w:color="auto"/>
        <w:bottom w:val="none" w:sz="0" w:space="0" w:color="auto"/>
        <w:right w:val="none" w:sz="0" w:space="0" w:color="auto"/>
      </w:divBdr>
    </w:div>
    <w:div w:id="920678656">
      <w:bodyDiv w:val="1"/>
      <w:marLeft w:val="0"/>
      <w:marRight w:val="0"/>
      <w:marTop w:val="0"/>
      <w:marBottom w:val="0"/>
      <w:divBdr>
        <w:top w:val="none" w:sz="0" w:space="0" w:color="auto"/>
        <w:left w:val="none" w:sz="0" w:space="0" w:color="auto"/>
        <w:bottom w:val="none" w:sz="0" w:space="0" w:color="auto"/>
        <w:right w:val="none" w:sz="0" w:space="0" w:color="auto"/>
      </w:divBdr>
    </w:div>
    <w:div w:id="923297137">
      <w:bodyDiv w:val="1"/>
      <w:marLeft w:val="0"/>
      <w:marRight w:val="0"/>
      <w:marTop w:val="0"/>
      <w:marBottom w:val="0"/>
      <w:divBdr>
        <w:top w:val="none" w:sz="0" w:space="0" w:color="auto"/>
        <w:left w:val="none" w:sz="0" w:space="0" w:color="auto"/>
        <w:bottom w:val="none" w:sz="0" w:space="0" w:color="auto"/>
        <w:right w:val="none" w:sz="0" w:space="0" w:color="auto"/>
      </w:divBdr>
    </w:div>
    <w:div w:id="926767839">
      <w:bodyDiv w:val="1"/>
      <w:marLeft w:val="0"/>
      <w:marRight w:val="0"/>
      <w:marTop w:val="0"/>
      <w:marBottom w:val="0"/>
      <w:divBdr>
        <w:top w:val="none" w:sz="0" w:space="0" w:color="auto"/>
        <w:left w:val="none" w:sz="0" w:space="0" w:color="auto"/>
        <w:bottom w:val="none" w:sz="0" w:space="0" w:color="auto"/>
        <w:right w:val="none" w:sz="0" w:space="0" w:color="auto"/>
      </w:divBdr>
      <w:divsChild>
        <w:div w:id="884637503">
          <w:marLeft w:val="274"/>
          <w:marRight w:val="0"/>
          <w:marTop w:val="120"/>
          <w:marBottom w:val="0"/>
          <w:divBdr>
            <w:top w:val="none" w:sz="0" w:space="0" w:color="auto"/>
            <w:left w:val="none" w:sz="0" w:space="0" w:color="auto"/>
            <w:bottom w:val="none" w:sz="0" w:space="0" w:color="auto"/>
            <w:right w:val="none" w:sz="0" w:space="0" w:color="auto"/>
          </w:divBdr>
        </w:div>
      </w:divsChild>
    </w:div>
    <w:div w:id="939333707">
      <w:bodyDiv w:val="1"/>
      <w:marLeft w:val="0"/>
      <w:marRight w:val="0"/>
      <w:marTop w:val="0"/>
      <w:marBottom w:val="0"/>
      <w:divBdr>
        <w:top w:val="none" w:sz="0" w:space="0" w:color="auto"/>
        <w:left w:val="none" w:sz="0" w:space="0" w:color="auto"/>
        <w:bottom w:val="none" w:sz="0" w:space="0" w:color="auto"/>
        <w:right w:val="none" w:sz="0" w:space="0" w:color="auto"/>
      </w:divBdr>
    </w:div>
    <w:div w:id="944534864">
      <w:bodyDiv w:val="1"/>
      <w:marLeft w:val="0"/>
      <w:marRight w:val="0"/>
      <w:marTop w:val="0"/>
      <w:marBottom w:val="0"/>
      <w:divBdr>
        <w:top w:val="none" w:sz="0" w:space="0" w:color="auto"/>
        <w:left w:val="none" w:sz="0" w:space="0" w:color="auto"/>
        <w:bottom w:val="none" w:sz="0" w:space="0" w:color="auto"/>
        <w:right w:val="none" w:sz="0" w:space="0" w:color="auto"/>
      </w:divBdr>
    </w:div>
    <w:div w:id="946041626">
      <w:bodyDiv w:val="1"/>
      <w:marLeft w:val="0"/>
      <w:marRight w:val="0"/>
      <w:marTop w:val="0"/>
      <w:marBottom w:val="0"/>
      <w:divBdr>
        <w:top w:val="none" w:sz="0" w:space="0" w:color="auto"/>
        <w:left w:val="none" w:sz="0" w:space="0" w:color="auto"/>
        <w:bottom w:val="none" w:sz="0" w:space="0" w:color="auto"/>
        <w:right w:val="none" w:sz="0" w:space="0" w:color="auto"/>
      </w:divBdr>
    </w:div>
    <w:div w:id="946155502">
      <w:bodyDiv w:val="1"/>
      <w:marLeft w:val="0"/>
      <w:marRight w:val="0"/>
      <w:marTop w:val="0"/>
      <w:marBottom w:val="0"/>
      <w:divBdr>
        <w:top w:val="none" w:sz="0" w:space="0" w:color="auto"/>
        <w:left w:val="none" w:sz="0" w:space="0" w:color="auto"/>
        <w:bottom w:val="none" w:sz="0" w:space="0" w:color="auto"/>
        <w:right w:val="none" w:sz="0" w:space="0" w:color="auto"/>
      </w:divBdr>
    </w:div>
    <w:div w:id="946279754">
      <w:bodyDiv w:val="1"/>
      <w:marLeft w:val="0"/>
      <w:marRight w:val="0"/>
      <w:marTop w:val="0"/>
      <w:marBottom w:val="0"/>
      <w:divBdr>
        <w:top w:val="none" w:sz="0" w:space="0" w:color="auto"/>
        <w:left w:val="none" w:sz="0" w:space="0" w:color="auto"/>
        <w:bottom w:val="none" w:sz="0" w:space="0" w:color="auto"/>
        <w:right w:val="none" w:sz="0" w:space="0" w:color="auto"/>
      </w:divBdr>
      <w:divsChild>
        <w:div w:id="217590104">
          <w:marLeft w:val="403"/>
          <w:marRight w:val="0"/>
          <w:marTop w:val="0"/>
          <w:marBottom w:val="120"/>
          <w:divBdr>
            <w:top w:val="none" w:sz="0" w:space="0" w:color="auto"/>
            <w:left w:val="none" w:sz="0" w:space="0" w:color="auto"/>
            <w:bottom w:val="none" w:sz="0" w:space="0" w:color="auto"/>
            <w:right w:val="none" w:sz="0" w:space="0" w:color="auto"/>
          </w:divBdr>
        </w:div>
        <w:div w:id="573777417">
          <w:marLeft w:val="403"/>
          <w:marRight w:val="0"/>
          <w:marTop w:val="0"/>
          <w:marBottom w:val="120"/>
          <w:divBdr>
            <w:top w:val="none" w:sz="0" w:space="0" w:color="auto"/>
            <w:left w:val="none" w:sz="0" w:space="0" w:color="auto"/>
            <w:bottom w:val="none" w:sz="0" w:space="0" w:color="auto"/>
            <w:right w:val="none" w:sz="0" w:space="0" w:color="auto"/>
          </w:divBdr>
        </w:div>
      </w:divsChild>
    </w:div>
    <w:div w:id="947662933">
      <w:bodyDiv w:val="1"/>
      <w:marLeft w:val="0"/>
      <w:marRight w:val="0"/>
      <w:marTop w:val="0"/>
      <w:marBottom w:val="0"/>
      <w:divBdr>
        <w:top w:val="none" w:sz="0" w:space="0" w:color="auto"/>
        <w:left w:val="none" w:sz="0" w:space="0" w:color="auto"/>
        <w:bottom w:val="none" w:sz="0" w:space="0" w:color="auto"/>
        <w:right w:val="none" w:sz="0" w:space="0" w:color="auto"/>
      </w:divBdr>
    </w:div>
    <w:div w:id="951131042">
      <w:bodyDiv w:val="1"/>
      <w:marLeft w:val="0"/>
      <w:marRight w:val="0"/>
      <w:marTop w:val="0"/>
      <w:marBottom w:val="0"/>
      <w:divBdr>
        <w:top w:val="none" w:sz="0" w:space="0" w:color="auto"/>
        <w:left w:val="none" w:sz="0" w:space="0" w:color="auto"/>
        <w:bottom w:val="none" w:sz="0" w:space="0" w:color="auto"/>
        <w:right w:val="none" w:sz="0" w:space="0" w:color="auto"/>
      </w:divBdr>
    </w:div>
    <w:div w:id="954169201">
      <w:bodyDiv w:val="1"/>
      <w:marLeft w:val="0"/>
      <w:marRight w:val="0"/>
      <w:marTop w:val="0"/>
      <w:marBottom w:val="0"/>
      <w:divBdr>
        <w:top w:val="none" w:sz="0" w:space="0" w:color="auto"/>
        <w:left w:val="none" w:sz="0" w:space="0" w:color="auto"/>
        <w:bottom w:val="none" w:sz="0" w:space="0" w:color="auto"/>
        <w:right w:val="none" w:sz="0" w:space="0" w:color="auto"/>
      </w:divBdr>
    </w:div>
    <w:div w:id="957612707">
      <w:bodyDiv w:val="1"/>
      <w:marLeft w:val="0"/>
      <w:marRight w:val="0"/>
      <w:marTop w:val="0"/>
      <w:marBottom w:val="0"/>
      <w:divBdr>
        <w:top w:val="none" w:sz="0" w:space="0" w:color="auto"/>
        <w:left w:val="none" w:sz="0" w:space="0" w:color="auto"/>
        <w:bottom w:val="none" w:sz="0" w:space="0" w:color="auto"/>
        <w:right w:val="none" w:sz="0" w:space="0" w:color="auto"/>
      </w:divBdr>
    </w:div>
    <w:div w:id="962345984">
      <w:bodyDiv w:val="1"/>
      <w:marLeft w:val="0"/>
      <w:marRight w:val="0"/>
      <w:marTop w:val="0"/>
      <w:marBottom w:val="0"/>
      <w:divBdr>
        <w:top w:val="none" w:sz="0" w:space="0" w:color="auto"/>
        <w:left w:val="none" w:sz="0" w:space="0" w:color="auto"/>
        <w:bottom w:val="none" w:sz="0" w:space="0" w:color="auto"/>
        <w:right w:val="none" w:sz="0" w:space="0" w:color="auto"/>
      </w:divBdr>
      <w:divsChild>
        <w:div w:id="1348822945">
          <w:marLeft w:val="403"/>
          <w:marRight w:val="0"/>
          <w:marTop w:val="150"/>
          <w:marBottom w:val="0"/>
          <w:divBdr>
            <w:top w:val="none" w:sz="0" w:space="0" w:color="auto"/>
            <w:left w:val="none" w:sz="0" w:space="0" w:color="auto"/>
            <w:bottom w:val="none" w:sz="0" w:space="0" w:color="auto"/>
            <w:right w:val="none" w:sz="0" w:space="0" w:color="auto"/>
          </w:divBdr>
        </w:div>
        <w:div w:id="1678262545">
          <w:marLeft w:val="403"/>
          <w:marRight w:val="0"/>
          <w:marTop w:val="150"/>
          <w:marBottom w:val="0"/>
          <w:divBdr>
            <w:top w:val="none" w:sz="0" w:space="0" w:color="auto"/>
            <w:left w:val="none" w:sz="0" w:space="0" w:color="auto"/>
            <w:bottom w:val="none" w:sz="0" w:space="0" w:color="auto"/>
            <w:right w:val="none" w:sz="0" w:space="0" w:color="auto"/>
          </w:divBdr>
        </w:div>
      </w:divsChild>
    </w:div>
    <w:div w:id="997534848">
      <w:bodyDiv w:val="1"/>
      <w:marLeft w:val="0"/>
      <w:marRight w:val="0"/>
      <w:marTop w:val="0"/>
      <w:marBottom w:val="0"/>
      <w:divBdr>
        <w:top w:val="none" w:sz="0" w:space="0" w:color="auto"/>
        <w:left w:val="none" w:sz="0" w:space="0" w:color="auto"/>
        <w:bottom w:val="none" w:sz="0" w:space="0" w:color="auto"/>
        <w:right w:val="none" w:sz="0" w:space="0" w:color="auto"/>
      </w:divBdr>
      <w:divsChild>
        <w:div w:id="462163730">
          <w:marLeft w:val="403"/>
          <w:marRight w:val="0"/>
          <w:marTop w:val="0"/>
          <w:marBottom w:val="120"/>
          <w:divBdr>
            <w:top w:val="none" w:sz="0" w:space="0" w:color="auto"/>
            <w:left w:val="none" w:sz="0" w:space="0" w:color="auto"/>
            <w:bottom w:val="none" w:sz="0" w:space="0" w:color="auto"/>
            <w:right w:val="none" w:sz="0" w:space="0" w:color="auto"/>
          </w:divBdr>
        </w:div>
        <w:div w:id="1117334948">
          <w:marLeft w:val="403"/>
          <w:marRight w:val="0"/>
          <w:marTop w:val="0"/>
          <w:marBottom w:val="120"/>
          <w:divBdr>
            <w:top w:val="none" w:sz="0" w:space="0" w:color="auto"/>
            <w:left w:val="none" w:sz="0" w:space="0" w:color="auto"/>
            <w:bottom w:val="none" w:sz="0" w:space="0" w:color="auto"/>
            <w:right w:val="none" w:sz="0" w:space="0" w:color="auto"/>
          </w:divBdr>
        </w:div>
      </w:divsChild>
    </w:div>
    <w:div w:id="998341591">
      <w:bodyDiv w:val="1"/>
      <w:marLeft w:val="0"/>
      <w:marRight w:val="0"/>
      <w:marTop w:val="0"/>
      <w:marBottom w:val="0"/>
      <w:divBdr>
        <w:top w:val="none" w:sz="0" w:space="0" w:color="auto"/>
        <w:left w:val="none" w:sz="0" w:space="0" w:color="auto"/>
        <w:bottom w:val="none" w:sz="0" w:space="0" w:color="auto"/>
        <w:right w:val="none" w:sz="0" w:space="0" w:color="auto"/>
      </w:divBdr>
    </w:div>
    <w:div w:id="1002777882">
      <w:bodyDiv w:val="1"/>
      <w:marLeft w:val="0"/>
      <w:marRight w:val="0"/>
      <w:marTop w:val="0"/>
      <w:marBottom w:val="0"/>
      <w:divBdr>
        <w:top w:val="none" w:sz="0" w:space="0" w:color="auto"/>
        <w:left w:val="none" w:sz="0" w:space="0" w:color="auto"/>
        <w:bottom w:val="none" w:sz="0" w:space="0" w:color="auto"/>
        <w:right w:val="none" w:sz="0" w:space="0" w:color="auto"/>
      </w:divBdr>
    </w:div>
    <w:div w:id="1007097152">
      <w:bodyDiv w:val="1"/>
      <w:marLeft w:val="0"/>
      <w:marRight w:val="0"/>
      <w:marTop w:val="0"/>
      <w:marBottom w:val="0"/>
      <w:divBdr>
        <w:top w:val="none" w:sz="0" w:space="0" w:color="auto"/>
        <w:left w:val="none" w:sz="0" w:space="0" w:color="auto"/>
        <w:bottom w:val="none" w:sz="0" w:space="0" w:color="auto"/>
        <w:right w:val="none" w:sz="0" w:space="0" w:color="auto"/>
      </w:divBdr>
      <w:divsChild>
        <w:div w:id="495538764">
          <w:marLeft w:val="749"/>
          <w:marRight w:val="0"/>
          <w:marTop w:val="120"/>
          <w:marBottom w:val="0"/>
          <w:divBdr>
            <w:top w:val="none" w:sz="0" w:space="0" w:color="auto"/>
            <w:left w:val="none" w:sz="0" w:space="0" w:color="auto"/>
            <w:bottom w:val="none" w:sz="0" w:space="0" w:color="auto"/>
            <w:right w:val="none" w:sz="0" w:space="0" w:color="auto"/>
          </w:divBdr>
        </w:div>
      </w:divsChild>
    </w:div>
    <w:div w:id="1008020383">
      <w:bodyDiv w:val="1"/>
      <w:marLeft w:val="0"/>
      <w:marRight w:val="0"/>
      <w:marTop w:val="0"/>
      <w:marBottom w:val="0"/>
      <w:divBdr>
        <w:top w:val="none" w:sz="0" w:space="0" w:color="auto"/>
        <w:left w:val="none" w:sz="0" w:space="0" w:color="auto"/>
        <w:bottom w:val="none" w:sz="0" w:space="0" w:color="auto"/>
        <w:right w:val="none" w:sz="0" w:space="0" w:color="auto"/>
      </w:divBdr>
    </w:div>
    <w:div w:id="1013534236">
      <w:bodyDiv w:val="1"/>
      <w:marLeft w:val="0"/>
      <w:marRight w:val="0"/>
      <w:marTop w:val="0"/>
      <w:marBottom w:val="0"/>
      <w:divBdr>
        <w:top w:val="none" w:sz="0" w:space="0" w:color="auto"/>
        <w:left w:val="none" w:sz="0" w:space="0" w:color="auto"/>
        <w:bottom w:val="none" w:sz="0" w:space="0" w:color="auto"/>
        <w:right w:val="none" w:sz="0" w:space="0" w:color="auto"/>
      </w:divBdr>
      <w:divsChild>
        <w:div w:id="1451512027">
          <w:marLeft w:val="403"/>
          <w:marRight w:val="0"/>
          <w:marTop w:val="0"/>
          <w:marBottom w:val="120"/>
          <w:divBdr>
            <w:top w:val="none" w:sz="0" w:space="0" w:color="auto"/>
            <w:left w:val="none" w:sz="0" w:space="0" w:color="auto"/>
            <w:bottom w:val="none" w:sz="0" w:space="0" w:color="auto"/>
            <w:right w:val="none" w:sz="0" w:space="0" w:color="auto"/>
          </w:divBdr>
        </w:div>
        <w:div w:id="2024551903">
          <w:marLeft w:val="403"/>
          <w:marRight w:val="0"/>
          <w:marTop w:val="0"/>
          <w:marBottom w:val="120"/>
          <w:divBdr>
            <w:top w:val="none" w:sz="0" w:space="0" w:color="auto"/>
            <w:left w:val="none" w:sz="0" w:space="0" w:color="auto"/>
            <w:bottom w:val="none" w:sz="0" w:space="0" w:color="auto"/>
            <w:right w:val="none" w:sz="0" w:space="0" w:color="auto"/>
          </w:divBdr>
        </w:div>
      </w:divsChild>
    </w:div>
    <w:div w:id="1018236042">
      <w:bodyDiv w:val="1"/>
      <w:marLeft w:val="0"/>
      <w:marRight w:val="0"/>
      <w:marTop w:val="0"/>
      <w:marBottom w:val="0"/>
      <w:divBdr>
        <w:top w:val="none" w:sz="0" w:space="0" w:color="auto"/>
        <w:left w:val="none" w:sz="0" w:space="0" w:color="auto"/>
        <w:bottom w:val="none" w:sz="0" w:space="0" w:color="auto"/>
        <w:right w:val="none" w:sz="0" w:space="0" w:color="auto"/>
      </w:divBdr>
      <w:divsChild>
        <w:div w:id="667948375">
          <w:marLeft w:val="403"/>
          <w:marRight w:val="0"/>
          <w:marTop w:val="150"/>
          <w:marBottom w:val="0"/>
          <w:divBdr>
            <w:top w:val="none" w:sz="0" w:space="0" w:color="auto"/>
            <w:left w:val="none" w:sz="0" w:space="0" w:color="auto"/>
            <w:bottom w:val="none" w:sz="0" w:space="0" w:color="auto"/>
            <w:right w:val="none" w:sz="0" w:space="0" w:color="auto"/>
          </w:divBdr>
        </w:div>
        <w:div w:id="914825655">
          <w:marLeft w:val="403"/>
          <w:marRight w:val="0"/>
          <w:marTop w:val="150"/>
          <w:marBottom w:val="0"/>
          <w:divBdr>
            <w:top w:val="none" w:sz="0" w:space="0" w:color="auto"/>
            <w:left w:val="none" w:sz="0" w:space="0" w:color="auto"/>
            <w:bottom w:val="none" w:sz="0" w:space="0" w:color="auto"/>
            <w:right w:val="none" w:sz="0" w:space="0" w:color="auto"/>
          </w:divBdr>
        </w:div>
      </w:divsChild>
    </w:div>
    <w:div w:id="1031684454">
      <w:bodyDiv w:val="1"/>
      <w:marLeft w:val="0"/>
      <w:marRight w:val="0"/>
      <w:marTop w:val="0"/>
      <w:marBottom w:val="0"/>
      <w:divBdr>
        <w:top w:val="none" w:sz="0" w:space="0" w:color="auto"/>
        <w:left w:val="none" w:sz="0" w:space="0" w:color="auto"/>
        <w:bottom w:val="none" w:sz="0" w:space="0" w:color="auto"/>
        <w:right w:val="none" w:sz="0" w:space="0" w:color="auto"/>
      </w:divBdr>
    </w:div>
    <w:div w:id="1032458824">
      <w:bodyDiv w:val="1"/>
      <w:marLeft w:val="0"/>
      <w:marRight w:val="0"/>
      <w:marTop w:val="0"/>
      <w:marBottom w:val="0"/>
      <w:divBdr>
        <w:top w:val="none" w:sz="0" w:space="0" w:color="auto"/>
        <w:left w:val="none" w:sz="0" w:space="0" w:color="auto"/>
        <w:bottom w:val="none" w:sz="0" w:space="0" w:color="auto"/>
        <w:right w:val="none" w:sz="0" w:space="0" w:color="auto"/>
      </w:divBdr>
    </w:div>
    <w:div w:id="1034118406">
      <w:bodyDiv w:val="1"/>
      <w:marLeft w:val="0"/>
      <w:marRight w:val="0"/>
      <w:marTop w:val="0"/>
      <w:marBottom w:val="0"/>
      <w:divBdr>
        <w:top w:val="none" w:sz="0" w:space="0" w:color="auto"/>
        <w:left w:val="none" w:sz="0" w:space="0" w:color="auto"/>
        <w:bottom w:val="none" w:sz="0" w:space="0" w:color="auto"/>
        <w:right w:val="none" w:sz="0" w:space="0" w:color="auto"/>
      </w:divBdr>
    </w:div>
    <w:div w:id="1036077237">
      <w:bodyDiv w:val="1"/>
      <w:marLeft w:val="0"/>
      <w:marRight w:val="0"/>
      <w:marTop w:val="0"/>
      <w:marBottom w:val="0"/>
      <w:divBdr>
        <w:top w:val="none" w:sz="0" w:space="0" w:color="auto"/>
        <w:left w:val="none" w:sz="0" w:space="0" w:color="auto"/>
        <w:bottom w:val="none" w:sz="0" w:space="0" w:color="auto"/>
        <w:right w:val="none" w:sz="0" w:space="0" w:color="auto"/>
      </w:divBdr>
      <w:divsChild>
        <w:div w:id="29184287">
          <w:marLeft w:val="403"/>
          <w:marRight w:val="0"/>
          <w:marTop w:val="0"/>
          <w:marBottom w:val="120"/>
          <w:divBdr>
            <w:top w:val="none" w:sz="0" w:space="0" w:color="auto"/>
            <w:left w:val="none" w:sz="0" w:space="0" w:color="auto"/>
            <w:bottom w:val="none" w:sz="0" w:space="0" w:color="auto"/>
            <w:right w:val="none" w:sz="0" w:space="0" w:color="auto"/>
          </w:divBdr>
        </w:div>
      </w:divsChild>
    </w:div>
    <w:div w:id="1036660560">
      <w:bodyDiv w:val="1"/>
      <w:marLeft w:val="0"/>
      <w:marRight w:val="0"/>
      <w:marTop w:val="0"/>
      <w:marBottom w:val="0"/>
      <w:divBdr>
        <w:top w:val="none" w:sz="0" w:space="0" w:color="auto"/>
        <w:left w:val="none" w:sz="0" w:space="0" w:color="auto"/>
        <w:bottom w:val="none" w:sz="0" w:space="0" w:color="auto"/>
        <w:right w:val="none" w:sz="0" w:space="0" w:color="auto"/>
      </w:divBdr>
    </w:div>
    <w:div w:id="1038892080">
      <w:bodyDiv w:val="1"/>
      <w:marLeft w:val="0"/>
      <w:marRight w:val="0"/>
      <w:marTop w:val="0"/>
      <w:marBottom w:val="0"/>
      <w:divBdr>
        <w:top w:val="none" w:sz="0" w:space="0" w:color="auto"/>
        <w:left w:val="none" w:sz="0" w:space="0" w:color="auto"/>
        <w:bottom w:val="none" w:sz="0" w:space="0" w:color="auto"/>
        <w:right w:val="none" w:sz="0" w:space="0" w:color="auto"/>
      </w:divBdr>
    </w:div>
    <w:div w:id="1055161821">
      <w:bodyDiv w:val="1"/>
      <w:marLeft w:val="0"/>
      <w:marRight w:val="0"/>
      <w:marTop w:val="0"/>
      <w:marBottom w:val="0"/>
      <w:divBdr>
        <w:top w:val="none" w:sz="0" w:space="0" w:color="auto"/>
        <w:left w:val="none" w:sz="0" w:space="0" w:color="auto"/>
        <w:bottom w:val="none" w:sz="0" w:space="0" w:color="auto"/>
        <w:right w:val="none" w:sz="0" w:space="0" w:color="auto"/>
      </w:divBdr>
    </w:div>
    <w:div w:id="1060252996">
      <w:bodyDiv w:val="1"/>
      <w:marLeft w:val="0"/>
      <w:marRight w:val="0"/>
      <w:marTop w:val="0"/>
      <w:marBottom w:val="0"/>
      <w:divBdr>
        <w:top w:val="none" w:sz="0" w:space="0" w:color="auto"/>
        <w:left w:val="none" w:sz="0" w:space="0" w:color="auto"/>
        <w:bottom w:val="none" w:sz="0" w:space="0" w:color="auto"/>
        <w:right w:val="none" w:sz="0" w:space="0" w:color="auto"/>
      </w:divBdr>
      <w:divsChild>
        <w:div w:id="455830053">
          <w:marLeft w:val="274"/>
          <w:marRight w:val="0"/>
          <w:marTop w:val="0"/>
          <w:marBottom w:val="120"/>
          <w:divBdr>
            <w:top w:val="none" w:sz="0" w:space="0" w:color="auto"/>
            <w:left w:val="none" w:sz="0" w:space="0" w:color="auto"/>
            <w:bottom w:val="none" w:sz="0" w:space="0" w:color="auto"/>
            <w:right w:val="none" w:sz="0" w:space="0" w:color="auto"/>
          </w:divBdr>
        </w:div>
        <w:div w:id="1572958715">
          <w:marLeft w:val="994"/>
          <w:marRight w:val="0"/>
          <w:marTop w:val="0"/>
          <w:marBottom w:val="120"/>
          <w:divBdr>
            <w:top w:val="none" w:sz="0" w:space="0" w:color="auto"/>
            <w:left w:val="none" w:sz="0" w:space="0" w:color="auto"/>
            <w:bottom w:val="none" w:sz="0" w:space="0" w:color="auto"/>
            <w:right w:val="none" w:sz="0" w:space="0" w:color="auto"/>
          </w:divBdr>
        </w:div>
        <w:div w:id="1705058709">
          <w:marLeft w:val="274"/>
          <w:marRight w:val="0"/>
          <w:marTop w:val="0"/>
          <w:marBottom w:val="120"/>
          <w:divBdr>
            <w:top w:val="none" w:sz="0" w:space="0" w:color="auto"/>
            <w:left w:val="none" w:sz="0" w:space="0" w:color="auto"/>
            <w:bottom w:val="none" w:sz="0" w:space="0" w:color="auto"/>
            <w:right w:val="none" w:sz="0" w:space="0" w:color="auto"/>
          </w:divBdr>
        </w:div>
        <w:div w:id="1940482005">
          <w:marLeft w:val="274"/>
          <w:marRight w:val="0"/>
          <w:marTop w:val="0"/>
          <w:marBottom w:val="120"/>
          <w:divBdr>
            <w:top w:val="none" w:sz="0" w:space="0" w:color="auto"/>
            <w:left w:val="none" w:sz="0" w:space="0" w:color="auto"/>
            <w:bottom w:val="none" w:sz="0" w:space="0" w:color="auto"/>
            <w:right w:val="none" w:sz="0" w:space="0" w:color="auto"/>
          </w:divBdr>
        </w:div>
      </w:divsChild>
    </w:div>
    <w:div w:id="1068191611">
      <w:bodyDiv w:val="1"/>
      <w:marLeft w:val="0"/>
      <w:marRight w:val="0"/>
      <w:marTop w:val="0"/>
      <w:marBottom w:val="0"/>
      <w:divBdr>
        <w:top w:val="none" w:sz="0" w:space="0" w:color="auto"/>
        <w:left w:val="none" w:sz="0" w:space="0" w:color="auto"/>
        <w:bottom w:val="none" w:sz="0" w:space="0" w:color="auto"/>
        <w:right w:val="none" w:sz="0" w:space="0" w:color="auto"/>
      </w:divBdr>
      <w:divsChild>
        <w:div w:id="771054426">
          <w:marLeft w:val="403"/>
          <w:marRight w:val="0"/>
          <w:marTop w:val="0"/>
          <w:marBottom w:val="120"/>
          <w:divBdr>
            <w:top w:val="none" w:sz="0" w:space="0" w:color="auto"/>
            <w:left w:val="none" w:sz="0" w:space="0" w:color="auto"/>
            <w:bottom w:val="none" w:sz="0" w:space="0" w:color="auto"/>
            <w:right w:val="none" w:sz="0" w:space="0" w:color="auto"/>
          </w:divBdr>
        </w:div>
        <w:div w:id="1258909183">
          <w:marLeft w:val="403"/>
          <w:marRight w:val="0"/>
          <w:marTop w:val="0"/>
          <w:marBottom w:val="120"/>
          <w:divBdr>
            <w:top w:val="none" w:sz="0" w:space="0" w:color="auto"/>
            <w:left w:val="none" w:sz="0" w:space="0" w:color="auto"/>
            <w:bottom w:val="none" w:sz="0" w:space="0" w:color="auto"/>
            <w:right w:val="none" w:sz="0" w:space="0" w:color="auto"/>
          </w:divBdr>
        </w:div>
      </w:divsChild>
    </w:div>
    <w:div w:id="1074819554">
      <w:bodyDiv w:val="1"/>
      <w:marLeft w:val="0"/>
      <w:marRight w:val="0"/>
      <w:marTop w:val="0"/>
      <w:marBottom w:val="0"/>
      <w:divBdr>
        <w:top w:val="none" w:sz="0" w:space="0" w:color="auto"/>
        <w:left w:val="none" w:sz="0" w:space="0" w:color="auto"/>
        <w:bottom w:val="none" w:sz="0" w:space="0" w:color="auto"/>
        <w:right w:val="none" w:sz="0" w:space="0" w:color="auto"/>
      </w:divBdr>
      <w:divsChild>
        <w:div w:id="1548489924">
          <w:marLeft w:val="274"/>
          <w:marRight w:val="0"/>
          <w:marTop w:val="120"/>
          <w:marBottom w:val="0"/>
          <w:divBdr>
            <w:top w:val="none" w:sz="0" w:space="0" w:color="auto"/>
            <w:left w:val="none" w:sz="0" w:space="0" w:color="auto"/>
            <w:bottom w:val="none" w:sz="0" w:space="0" w:color="auto"/>
            <w:right w:val="none" w:sz="0" w:space="0" w:color="auto"/>
          </w:divBdr>
        </w:div>
      </w:divsChild>
    </w:div>
    <w:div w:id="1089734753">
      <w:bodyDiv w:val="1"/>
      <w:marLeft w:val="0"/>
      <w:marRight w:val="0"/>
      <w:marTop w:val="0"/>
      <w:marBottom w:val="0"/>
      <w:divBdr>
        <w:top w:val="none" w:sz="0" w:space="0" w:color="auto"/>
        <w:left w:val="none" w:sz="0" w:space="0" w:color="auto"/>
        <w:bottom w:val="none" w:sz="0" w:space="0" w:color="auto"/>
        <w:right w:val="none" w:sz="0" w:space="0" w:color="auto"/>
      </w:divBdr>
      <w:divsChild>
        <w:div w:id="583540242">
          <w:marLeft w:val="274"/>
          <w:marRight w:val="0"/>
          <w:marTop w:val="0"/>
          <w:marBottom w:val="120"/>
          <w:divBdr>
            <w:top w:val="none" w:sz="0" w:space="0" w:color="auto"/>
            <w:left w:val="none" w:sz="0" w:space="0" w:color="auto"/>
            <w:bottom w:val="none" w:sz="0" w:space="0" w:color="auto"/>
            <w:right w:val="none" w:sz="0" w:space="0" w:color="auto"/>
          </w:divBdr>
        </w:div>
        <w:div w:id="1810438080">
          <w:marLeft w:val="274"/>
          <w:marRight w:val="0"/>
          <w:marTop w:val="0"/>
          <w:marBottom w:val="120"/>
          <w:divBdr>
            <w:top w:val="none" w:sz="0" w:space="0" w:color="auto"/>
            <w:left w:val="none" w:sz="0" w:space="0" w:color="auto"/>
            <w:bottom w:val="none" w:sz="0" w:space="0" w:color="auto"/>
            <w:right w:val="none" w:sz="0" w:space="0" w:color="auto"/>
          </w:divBdr>
        </w:div>
        <w:div w:id="1963031151">
          <w:marLeft w:val="994"/>
          <w:marRight w:val="0"/>
          <w:marTop w:val="0"/>
          <w:marBottom w:val="120"/>
          <w:divBdr>
            <w:top w:val="none" w:sz="0" w:space="0" w:color="auto"/>
            <w:left w:val="none" w:sz="0" w:space="0" w:color="auto"/>
            <w:bottom w:val="none" w:sz="0" w:space="0" w:color="auto"/>
            <w:right w:val="none" w:sz="0" w:space="0" w:color="auto"/>
          </w:divBdr>
        </w:div>
      </w:divsChild>
    </w:div>
    <w:div w:id="1093017788">
      <w:bodyDiv w:val="1"/>
      <w:marLeft w:val="0"/>
      <w:marRight w:val="0"/>
      <w:marTop w:val="0"/>
      <w:marBottom w:val="0"/>
      <w:divBdr>
        <w:top w:val="none" w:sz="0" w:space="0" w:color="auto"/>
        <w:left w:val="none" w:sz="0" w:space="0" w:color="auto"/>
        <w:bottom w:val="none" w:sz="0" w:space="0" w:color="auto"/>
        <w:right w:val="none" w:sz="0" w:space="0" w:color="auto"/>
      </w:divBdr>
      <w:divsChild>
        <w:div w:id="515390900">
          <w:marLeft w:val="749"/>
          <w:marRight w:val="0"/>
          <w:marTop w:val="120"/>
          <w:marBottom w:val="0"/>
          <w:divBdr>
            <w:top w:val="none" w:sz="0" w:space="0" w:color="auto"/>
            <w:left w:val="none" w:sz="0" w:space="0" w:color="auto"/>
            <w:bottom w:val="none" w:sz="0" w:space="0" w:color="auto"/>
            <w:right w:val="none" w:sz="0" w:space="0" w:color="auto"/>
          </w:divBdr>
        </w:div>
        <w:div w:id="1797020260">
          <w:marLeft w:val="274"/>
          <w:marRight w:val="0"/>
          <w:marTop w:val="120"/>
          <w:marBottom w:val="0"/>
          <w:divBdr>
            <w:top w:val="none" w:sz="0" w:space="0" w:color="auto"/>
            <w:left w:val="none" w:sz="0" w:space="0" w:color="auto"/>
            <w:bottom w:val="none" w:sz="0" w:space="0" w:color="auto"/>
            <w:right w:val="none" w:sz="0" w:space="0" w:color="auto"/>
          </w:divBdr>
        </w:div>
      </w:divsChild>
    </w:div>
    <w:div w:id="1096092090">
      <w:bodyDiv w:val="1"/>
      <w:marLeft w:val="0"/>
      <w:marRight w:val="0"/>
      <w:marTop w:val="0"/>
      <w:marBottom w:val="0"/>
      <w:divBdr>
        <w:top w:val="none" w:sz="0" w:space="0" w:color="auto"/>
        <w:left w:val="none" w:sz="0" w:space="0" w:color="auto"/>
        <w:bottom w:val="none" w:sz="0" w:space="0" w:color="auto"/>
        <w:right w:val="none" w:sz="0" w:space="0" w:color="auto"/>
      </w:divBdr>
      <w:divsChild>
        <w:div w:id="671445071">
          <w:marLeft w:val="274"/>
          <w:marRight w:val="0"/>
          <w:marTop w:val="0"/>
          <w:marBottom w:val="120"/>
          <w:divBdr>
            <w:top w:val="none" w:sz="0" w:space="0" w:color="auto"/>
            <w:left w:val="none" w:sz="0" w:space="0" w:color="auto"/>
            <w:bottom w:val="none" w:sz="0" w:space="0" w:color="auto"/>
            <w:right w:val="none" w:sz="0" w:space="0" w:color="auto"/>
          </w:divBdr>
        </w:div>
      </w:divsChild>
    </w:div>
    <w:div w:id="1097554526">
      <w:bodyDiv w:val="1"/>
      <w:marLeft w:val="0"/>
      <w:marRight w:val="0"/>
      <w:marTop w:val="0"/>
      <w:marBottom w:val="0"/>
      <w:divBdr>
        <w:top w:val="none" w:sz="0" w:space="0" w:color="auto"/>
        <w:left w:val="none" w:sz="0" w:space="0" w:color="auto"/>
        <w:bottom w:val="none" w:sz="0" w:space="0" w:color="auto"/>
        <w:right w:val="none" w:sz="0" w:space="0" w:color="auto"/>
      </w:divBdr>
    </w:div>
    <w:div w:id="1102726672">
      <w:bodyDiv w:val="1"/>
      <w:marLeft w:val="0"/>
      <w:marRight w:val="0"/>
      <w:marTop w:val="0"/>
      <w:marBottom w:val="0"/>
      <w:divBdr>
        <w:top w:val="none" w:sz="0" w:space="0" w:color="auto"/>
        <w:left w:val="none" w:sz="0" w:space="0" w:color="auto"/>
        <w:bottom w:val="none" w:sz="0" w:space="0" w:color="auto"/>
        <w:right w:val="none" w:sz="0" w:space="0" w:color="auto"/>
      </w:divBdr>
      <w:divsChild>
        <w:div w:id="461844515">
          <w:marLeft w:val="403"/>
          <w:marRight w:val="0"/>
          <w:marTop w:val="0"/>
          <w:marBottom w:val="120"/>
          <w:divBdr>
            <w:top w:val="none" w:sz="0" w:space="0" w:color="auto"/>
            <w:left w:val="none" w:sz="0" w:space="0" w:color="auto"/>
            <w:bottom w:val="none" w:sz="0" w:space="0" w:color="auto"/>
            <w:right w:val="none" w:sz="0" w:space="0" w:color="auto"/>
          </w:divBdr>
        </w:div>
        <w:div w:id="1070153423">
          <w:marLeft w:val="403"/>
          <w:marRight w:val="0"/>
          <w:marTop w:val="0"/>
          <w:marBottom w:val="120"/>
          <w:divBdr>
            <w:top w:val="none" w:sz="0" w:space="0" w:color="auto"/>
            <w:left w:val="none" w:sz="0" w:space="0" w:color="auto"/>
            <w:bottom w:val="none" w:sz="0" w:space="0" w:color="auto"/>
            <w:right w:val="none" w:sz="0" w:space="0" w:color="auto"/>
          </w:divBdr>
        </w:div>
      </w:divsChild>
    </w:div>
    <w:div w:id="1102989481">
      <w:bodyDiv w:val="1"/>
      <w:marLeft w:val="0"/>
      <w:marRight w:val="0"/>
      <w:marTop w:val="0"/>
      <w:marBottom w:val="0"/>
      <w:divBdr>
        <w:top w:val="none" w:sz="0" w:space="0" w:color="auto"/>
        <w:left w:val="none" w:sz="0" w:space="0" w:color="auto"/>
        <w:bottom w:val="none" w:sz="0" w:space="0" w:color="auto"/>
        <w:right w:val="none" w:sz="0" w:space="0" w:color="auto"/>
      </w:divBdr>
    </w:div>
    <w:div w:id="1106000806">
      <w:bodyDiv w:val="1"/>
      <w:marLeft w:val="0"/>
      <w:marRight w:val="0"/>
      <w:marTop w:val="0"/>
      <w:marBottom w:val="0"/>
      <w:divBdr>
        <w:top w:val="none" w:sz="0" w:space="0" w:color="auto"/>
        <w:left w:val="none" w:sz="0" w:space="0" w:color="auto"/>
        <w:bottom w:val="none" w:sz="0" w:space="0" w:color="auto"/>
        <w:right w:val="none" w:sz="0" w:space="0" w:color="auto"/>
      </w:divBdr>
      <w:divsChild>
        <w:div w:id="1398089822">
          <w:marLeft w:val="403"/>
          <w:marRight w:val="0"/>
          <w:marTop w:val="150"/>
          <w:marBottom w:val="0"/>
          <w:divBdr>
            <w:top w:val="none" w:sz="0" w:space="0" w:color="auto"/>
            <w:left w:val="none" w:sz="0" w:space="0" w:color="auto"/>
            <w:bottom w:val="none" w:sz="0" w:space="0" w:color="auto"/>
            <w:right w:val="none" w:sz="0" w:space="0" w:color="auto"/>
          </w:divBdr>
        </w:div>
      </w:divsChild>
    </w:div>
    <w:div w:id="1114521441">
      <w:bodyDiv w:val="1"/>
      <w:marLeft w:val="0"/>
      <w:marRight w:val="0"/>
      <w:marTop w:val="0"/>
      <w:marBottom w:val="0"/>
      <w:divBdr>
        <w:top w:val="none" w:sz="0" w:space="0" w:color="auto"/>
        <w:left w:val="none" w:sz="0" w:space="0" w:color="auto"/>
        <w:bottom w:val="none" w:sz="0" w:space="0" w:color="auto"/>
        <w:right w:val="none" w:sz="0" w:space="0" w:color="auto"/>
      </w:divBdr>
    </w:div>
    <w:div w:id="1131484308">
      <w:bodyDiv w:val="1"/>
      <w:marLeft w:val="0"/>
      <w:marRight w:val="0"/>
      <w:marTop w:val="0"/>
      <w:marBottom w:val="0"/>
      <w:divBdr>
        <w:top w:val="none" w:sz="0" w:space="0" w:color="auto"/>
        <w:left w:val="none" w:sz="0" w:space="0" w:color="auto"/>
        <w:bottom w:val="none" w:sz="0" w:space="0" w:color="auto"/>
        <w:right w:val="none" w:sz="0" w:space="0" w:color="auto"/>
      </w:divBdr>
    </w:div>
    <w:div w:id="1140927821">
      <w:bodyDiv w:val="1"/>
      <w:marLeft w:val="0"/>
      <w:marRight w:val="0"/>
      <w:marTop w:val="0"/>
      <w:marBottom w:val="0"/>
      <w:divBdr>
        <w:top w:val="none" w:sz="0" w:space="0" w:color="auto"/>
        <w:left w:val="none" w:sz="0" w:space="0" w:color="auto"/>
        <w:bottom w:val="none" w:sz="0" w:space="0" w:color="auto"/>
        <w:right w:val="none" w:sz="0" w:space="0" w:color="auto"/>
      </w:divBdr>
      <w:divsChild>
        <w:div w:id="1442531421">
          <w:marLeft w:val="403"/>
          <w:marRight w:val="0"/>
          <w:marTop w:val="150"/>
          <w:marBottom w:val="0"/>
          <w:divBdr>
            <w:top w:val="none" w:sz="0" w:space="0" w:color="auto"/>
            <w:left w:val="none" w:sz="0" w:space="0" w:color="auto"/>
            <w:bottom w:val="none" w:sz="0" w:space="0" w:color="auto"/>
            <w:right w:val="none" w:sz="0" w:space="0" w:color="auto"/>
          </w:divBdr>
        </w:div>
      </w:divsChild>
    </w:div>
    <w:div w:id="1166625593">
      <w:bodyDiv w:val="1"/>
      <w:marLeft w:val="0"/>
      <w:marRight w:val="0"/>
      <w:marTop w:val="0"/>
      <w:marBottom w:val="0"/>
      <w:divBdr>
        <w:top w:val="none" w:sz="0" w:space="0" w:color="auto"/>
        <w:left w:val="none" w:sz="0" w:space="0" w:color="auto"/>
        <w:bottom w:val="none" w:sz="0" w:space="0" w:color="auto"/>
        <w:right w:val="none" w:sz="0" w:space="0" w:color="auto"/>
      </w:divBdr>
      <w:divsChild>
        <w:div w:id="414714221">
          <w:marLeft w:val="403"/>
          <w:marRight w:val="0"/>
          <w:marTop w:val="0"/>
          <w:marBottom w:val="150"/>
          <w:divBdr>
            <w:top w:val="none" w:sz="0" w:space="0" w:color="auto"/>
            <w:left w:val="none" w:sz="0" w:space="0" w:color="auto"/>
            <w:bottom w:val="none" w:sz="0" w:space="0" w:color="auto"/>
            <w:right w:val="none" w:sz="0" w:space="0" w:color="auto"/>
          </w:divBdr>
        </w:div>
        <w:div w:id="416706701">
          <w:marLeft w:val="878"/>
          <w:marRight w:val="0"/>
          <w:marTop w:val="0"/>
          <w:marBottom w:val="0"/>
          <w:divBdr>
            <w:top w:val="none" w:sz="0" w:space="0" w:color="auto"/>
            <w:left w:val="none" w:sz="0" w:space="0" w:color="auto"/>
            <w:bottom w:val="none" w:sz="0" w:space="0" w:color="auto"/>
            <w:right w:val="none" w:sz="0" w:space="0" w:color="auto"/>
          </w:divBdr>
        </w:div>
        <w:div w:id="1045523900">
          <w:marLeft w:val="878"/>
          <w:marRight w:val="0"/>
          <w:marTop w:val="0"/>
          <w:marBottom w:val="0"/>
          <w:divBdr>
            <w:top w:val="none" w:sz="0" w:space="0" w:color="auto"/>
            <w:left w:val="none" w:sz="0" w:space="0" w:color="auto"/>
            <w:bottom w:val="none" w:sz="0" w:space="0" w:color="auto"/>
            <w:right w:val="none" w:sz="0" w:space="0" w:color="auto"/>
          </w:divBdr>
        </w:div>
        <w:div w:id="1392078264">
          <w:marLeft w:val="878"/>
          <w:marRight w:val="0"/>
          <w:marTop w:val="0"/>
          <w:marBottom w:val="0"/>
          <w:divBdr>
            <w:top w:val="none" w:sz="0" w:space="0" w:color="auto"/>
            <w:left w:val="none" w:sz="0" w:space="0" w:color="auto"/>
            <w:bottom w:val="none" w:sz="0" w:space="0" w:color="auto"/>
            <w:right w:val="none" w:sz="0" w:space="0" w:color="auto"/>
          </w:divBdr>
        </w:div>
        <w:div w:id="1544251524">
          <w:marLeft w:val="878"/>
          <w:marRight w:val="0"/>
          <w:marTop w:val="0"/>
          <w:marBottom w:val="0"/>
          <w:divBdr>
            <w:top w:val="none" w:sz="0" w:space="0" w:color="auto"/>
            <w:left w:val="none" w:sz="0" w:space="0" w:color="auto"/>
            <w:bottom w:val="none" w:sz="0" w:space="0" w:color="auto"/>
            <w:right w:val="none" w:sz="0" w:space="0" w:color="auto"/>
          </w:divBdr>
        </w:div>
        <w:div w:id="1650397151">
          <w:marLeft w:val="878"/>
          <w:marRight w:val="0"/>
          <w:marTop w:val="0"/>
          <w:marBottom w:val="0"/>
          <w:divBdr>
            <w:top w:val="none" w:sz="0" w:space="0" w:color="auto"/>
            <w:left w:val="none" w:sz="0" w:space="0" w:color="auto"/>
            <w:bottom w:val="none" w:sz="0" w:space="0" w:color="auto"/>
            <w:right w:val="none" w:sz="0" w:space="0" w:color="auto"/>
          </w:divBdr>
        </w:div>
        <w:div w:id="1676179009">
          <w:marLeft w:val="878"/>
          <w:marRight w:val="0"/>
          <w:marTop w:val="0"/>
          <w:marBottom w:val="0"/>
          <w:divBdr>
            <w:top w:val="none" w:sz="0" w:space="0" w:color="auto"/>
            <w:left w:val="none" w:sz="0" w:space="0" w:color="auto"/>
            <w:bottom w:val="none" w:sz="0" w:space="0" w:color="auto"/>
            <w:right w:val="none" w:sz="0" w:space="0" w:color="auto"/>
          </w:divBdr>
        </w:div>
      </w:divsChild>
    </w:div>
    <w:div w:id="1167088110">
      <w:bodyDiv w:val="1"/>
      <w:marLeft w:val="0"/>
      <w:marRight w:val="0"/>
      <w:marTop w:val="0"/>
      <w:marBottom w:val="0"/>
      <w:divBdr>
        <w:top w:val="none" w:sz="0" w:space="0" w:color="auto"/>
        <w:left w:val="none" w:sz="0" w:space="0" w:color="auto"/>
        <w:bottom w:val="none" w:sz="0" w:space="0" w:color="auto"/>
        <w:right w:val="none" w:sz="0" w:space="0" w:color="auto"/>
      </w:divBdr>
      <w:divsChild>
        <w:div w:id="534276225">
          <w:marLeft w:val="403"/>
          <w:marRight w:val="0"/>
          <w:marTop w:val="0"/>
          <w:marBottom w:val="120"/>
          <w:divBdr>
            <w:top w:val="none" w:sz="0" w:space="0" w:color="auto"/>
            <w:left w:val="none" w:sz="0" w:space="0" w:color="auto"/>
            <w:bottom w:val="none" w:sz="0" w:space="0" w:color="auto"/>
            <w:right w:val="none" w:sz="0" w:space="0" w:color="auto"/>
          </w:divBdr>
        </w:div>
      </w:divsChild>
    </w:div>
    <w:div w:id="1169175834">
      <w:bodyDiv w:val="1"/>
      <w:marLeft w:val="0"/>
      <w:marRight w:val="0"/>
      <w:marTop w:val="0"/>
      <w:marBottom w:val="0"/>
      <w:divBdr>
        <w:top w:val="none" w:sz="0" w:space="0" w:color="auto"/>
        <w:left w:val="none" w:sz="0" w:space="0" w:color="auto"/>
        <w:bottom w:val="none" w:sz="0" w:space="0" w:color="auto"/>
        <w:right w:val="none" w:sz="0" w:space="0" w:color="auto"/>
      </w:divBdr>
      <w:divsChild>
        <w:div w:id="2001158664">
          <w:marLeft w:val="403"/>
          <w:marRight w:val="0"/>
          <w:marTop w:val="150"/>
          <w:marBottom w:val="0"/>
          <w:divBdr>
            <w:top w:val="none" w:sz="0" w:space="0" w:color="auto"/>
            <w:left w:val="none" w:sz="0" w:space="0" w:color="auto"/>
            <w:bottom w:val="none" w:sz="0" w:space="0" w:color="auto"/>
            <w:right w:val="none" w:sz="0" w:space="0" w:color="auto"/>
          </w:divBdr>
        </w:div>
      </w:divsChild>
    </w:div>
    <w:div w:id="1182009635">
      <w:bodyDiv w:val="1"/>
      <w:marLeft w:val="0"/>
      <w:marRight w:val="0"/>
      <w:marTop w:val="0"/>
      <w:marBottom w:val="0"/>
      <w:divBdr>
        <w:top w:val="none" w:sz="0" w:space="0" w:color="auto"/>
        <w:left w:val="none" w:sz="0" w:space="0" w:color="auto"/>
        <w:bottom w:val="none" w:sz="0" w:space="0" w:color="auto"/>
        <w:right w:val="none" w:sz="0" w:space="0" w:color="auto"/>
      </w:divBdr>
    </w:div>
    <w:div w:id="1183057743">
      <w:bodyDiv w:val="1"/>
      <w:marLeft w:val="0"/>
      <w:marRight w:val="0"/>
      <w:marTop w:val="0"/>
      <w:marBottom w:val="0"/>
      <w:divBdr>
        <w:top w:val="none" w:sz="0" w:space="0" w:color="auto"/>
        <w:left w:val="none" w:sz="0" w:space="0" w:color="auto"/>
        <w:bottom w:val="none" w:sz="0" w:space="0" w:color="auto"/>
        <w:right w:val="none" w:sz="0" w:space="0" w:color="auto"/>
      </w:divBdr>
      <w:divsChild>
        <w:div w:id="9265476">
          <w:marLeft w:val="274"/>
          <w:marRight w:val="0"/>
          <w:marTop w:val="150"/>
          <w:marBottom w:val="0"/>
          <w:divBdr>
            <w:top w:val="none" w:sz="0" w:space="0" w:color="auto"/>
            <w:left w:val="none" w:sz="0" w:space="0" w:color="auto"/>
            <w:bottom w:val="none" w:sz="0" w:space="0" w:color="auto"/>
            <w:right w:val="none" w:sz="0" w:space="0" w:color="auto"/>
          </w:divBdr>
        </w:div>
        <w:div w:id="67534102">
          <w:marLeft w:val="274"/>
          <w:marRight w:val="0"/>
          <w:marTop w:val="120"/>
          <w:marBottom w:val="0"/>
          <w:divBdr>
            <w:top w:val="none" w:sz="0" w:space="0" w:color="auto"/>
            <w:left w:val="none" w:sz="0" w:space="0" w:color="auto"/>
            <w:bottom w:val="none" w:sz="0" w:space="0" w:color="auto"/>
            <w:right w:val="none" w:sz="0" w:space="0" w:color="auto"/>
          </w:divBdr>
        </w:div>
        <w:div w:id="646855928">
          <w:marLeft w:val="274"/>
          <w:marRight w:val="0"/>
          <w:marTop w:val="150"/>
          <w:marBottom w:val="0"/>
          <w:divBdr>
            <w:top w:val="none" w:sz="0" w:space="0" w:color="auto"/>
            <w:left w:val="none" w:sz="0" w:space="0" w:color="auto"/>
            <w:bottom w:val="none" w:sz="0" w:space="0" w:color="auto"/>
            <w:right w:val="none" w:sz="0" w:space="0" w:color="auto"/>
          </w:divBdr>
        </w:div>
        <w:div w:id="672531183">
          <w:marLeft w:val="274"/>
          <w:marRight w:val="0"/>
          <w:marTop w:val="150"/>
          <w:marBottom w:val="0"/>
          <w:divBdr>
            <w:top w:val="none" w:sz="0" w:space="0" w:color="auto"/>
            <w:left w:val="none" w:sz="0" w:space="0" w:color="auto"/>
            <w:bottom w:val="none" w:sz="0" w:space="0" w:color="auto"/>
            <w:right w:val="none" w:sz="0" w:space="0" w:color="auto"/>
          </w:divBdr>
        </w:div>
        <w:div w:id="705448879">
          <w:marLeft w:val="274"/>
          <w:marRight w:val="0"/>
          <w:marTop w:val="150"/>
          <w:marBottom w:val="0"/>
          <w:divBdr>
            <w:top w:val="none" w:sz="0" w:space="0" w:color="auto"/>
            <w:left w:val="none" w:sz="0" w:space="0" w:color="auto"/>
            <w:bottom w:val="none" w:sz="0" w:space="0" w:color="auto"/>
            <w:right w:val="none" w:sz="0" w:space="0" w:color="auto"/>
          </w:divBdr>
        </w:div>
        <w:div w:id="1049722203">
          <w:marLeft w:val="274"/>
          <w:marRight w:val="0"/>
          <w:marTop w:val="150"/>
          <w:marBottom w:val="0"/>
          <w:divBdr>
            <w:top w:val="none" w:sz="0" w:space="0" w:color="auto"/>
            <w:left w:val="none" w:sz="0" w:space="0" w:color="auto"/>
            <w:bottom w:val="none" w:sz="0" w:space="0" w:color="auto"/>
            <w:right w:val="none" w:sz="0" w:space="0" w:color="auto"/>
          </w:divBdr>
        </w:div>
        <w:div w:id="1666014249">
          <w:marLeft w:val="274"/>
          <w:marRight w:val="0"/>
          <w:marTop w:val="120"/>
          <w:marBottom w:val="0"/>
          <w:divBdr>
            <w:top w:val="none" w:sz="0" w:space="0" w:color="auto"/>
            <w:left w:val="none" w:sz="0" w:space="0" w:color="auto"/>
            <w:bottom w:val="none" w:sz="0" w:space="0" w:color="auto"/>
            <w:right w:val="none" w:sz="0" w:space="0" w:color="auto"/>
          </w:divBdr>
        </w:div>
        <w:div w:id="1723479722">
          <w:marLeft w:val="274"/>
          <w:marRight w:val="0"/>
          <w:marTop w:val="150"/>
          <w:marBottom w:val="0"/>
          <w:divBdr>
            <w:top w:val="none" w:sz="0" w:space="0" w:color="auto"/>
            <w:left w:val="none" w:sz="0" w:space="0" w:color="auto"/>
            <w:bottom w:val="none" w:sz="0" w:space="0" w:color="auto"/>
            <w:right w:val="none" w:sz="0" w:space="0" w:color="auto"/>
          </w:divBdr>
        </w:div>
        <w:div w:id="1840073091">
          <w:marLeft w:val="274"/>
          <w:marRight w:val="0"/>
          <w:marTop w:val="150"/>
          <w:marBottom w:val="0"/>
          <w:divBdr>
            <w:top w:val="none" w:sz="0" w:space="0" w:color="auto"/>
            <w:left w:val="none" w:sz="0" w:space="0" w:color="auto"/>
            <w:bottom w:val="none" w:sz="0" w:space="0" w:color="auto"/>
            <w:right w:val="none" w:sz="0" w:space="0" w:color="auto"/>
          </w:divBdr>
        </w:div>
        <w:div w:id="1971200566">
          <w:marLeft w:val="274"/>
          <w:marRight w:val="0"/>
          <w:marTop w:val="120"/>
          <w:marBottom w:val="0"/>
          <w:divBdr>
            <w:top w:val="none" w:sz="0" w:space="0" w:color="auto"/>
            <w:left w:val="none" w:sz="0" w:space="0" w:color="auto"/>
            <w:bottom w:val="none" w:sz="0" w:space="0" w:color="auto"/>
            <w:right w:val="none" w:sz="0" w:space="0" w:color="auto"/>
          </w:divBdr>
        </w:div>
        <w:div w:id="2077776217">
          <w:marLeft w:val="274"/>
          <w:marRight w:val="0"/>
          <w:marTop w:val="120"/>
          <w:marBottom w:val="0"/>
          <w:divBdr>
            <w:top w:val="none" w:sz="0" w:space="0" w:color="auto"/>
            <w:left w:val="none" w:sz="0" w:space="0" w:color="auto"/>
            <w:bottom w:val="none" w:sz="0" w:space="0" w:color="auto"/>
            <w:right w:val="none" w:sz="0" w:space="0" w:color="auto"/>
          </w:divBdr>
        </w:div>
      </w:divsChild>
    </w:div>
    <w:div w:id="1183930643">
      <w:bodyDiv w:val="1"/>
      <w:marLeft w:val="0"/>
      <w:marRight w:val="0"/>
      <w:marTop w:val="0"/>
      <w:marBottom w:val="0"/>
      <w:divBdr>
        <w:top w:val="none" w:sz="0" w:space="0" w:color="auto"/>
        <w:left w:val="none" w:sz="0" w:space="0" w:color="auto"/>
        <w:bottom w:val="none" w:sz="0" w:space="0" w:color="auto"/>
        <w:right w:val="none" w:sz="0" w:space="0" w:color="auto"/>
      </w:divBdr>
      <w:divsChild>
        <w:div w:id="1393195892">
          <w:marLeft w:val="403"/>
          <w:marRight w:val="0"/>
          <w:marTop w:val="0"/>
          <w:marBottom w:val="120"/>
          <w:divBdr>
            <w:top w:val="none" w:sz="0" w:space="0" w:color="auto"/>
            <w:left w:val="none" w:sz="0" w:space="0" w:color="auto"/>
            <w:bottom w:val="none" w:sz="0" w:space="0" w:color="auto"/>
            <w:right w:val="none" w:sz="0" w:space="0" w:color="auto"/>
          </w:divBdr>
        </w:div>
      </w:divsChild>
    </w:div>
    <w:div w:id="1190487099">
      <w:bodyDiv w:val="1"/>
      <w:marLeft w:val="0"/>
      <w:marRight w:val="0"/>
      <w:marTop w:val="0"/>
      <w:marBottom w:val="0"/>
      <w:divBdr>
        <w:top w:val="none" w:sz="0" w:space="0" w:color="auto"/>
        <w:left w:val="none" w:sz="0" w:space="0" w:color="auto"/>
        <w:bottom w:val="none" w:sz="0" w:space="0" w:color="auto"/>
        <w:right w:val="none" w:sz="0" w:space="0" w:color="auto"/>
      </w:divBdr>
    </w:div>
    <w:div w:id="1193301082">
      <w:bodyDiv w:val="1"/>
      <w:marLeft w:val="0"/>
      <w:marRight w:val="0"/>
      <w:marTop w:val="0"/>
      <w:marBottom w:val="0"/>
      <w:divBdr>
        <w:top w:val="none" w:sz="0" w:space="0" w:color="auto"/>
        <w:left w:val="none" w:sz="0" w:space="0" w:color="auto"/>
        <w:bottom w:val="none" w:sz="0" w:space="0" w:color="auto"/>
        <w:right w:val="none" w:sz="0" w:space="0" w:color="auto"/>
      </w:divBdr>
    </w:div>
    <w:div w:id="1193805185">
      <w:bodyDiv w:val="1"/>
      <w:marLeft w:val="0"/>
      <w:marRight w:val="0"/>
      <w:marTop w:val="0"/>
      <w:marBottom w:val="0"/>
      <w:divBdr>
        <w:top w:val="none" w:sz="0" w:space="0" w:color="auto"/>
        <w:left w:val="none" w:sz="0" w:space="0" w:color="auto"/>
        <w:bottom w:val="none" w:sz="0" w:space="0" w:color="auto"/>
        <w:right w:val="none" w:sz="0" w:space="0" w:color="auto"/>
      </w:divBdr>
      <w:divsChild>
        <w:div w:id="293292286">
          <w:marLeft w:val="403"/>
          <w:marRight w:val="0"/>
          <w:marTop w:val="0"/>
          <w:marBottom w:val="120"/>
          <w:divBdr>
            <w:top w:val="none" w:sz="0" w:space="0" w:color="auto"/>
            <w:left w:val="none" w:sz="0" w:space="0" w:color="auto"/>
            <w:bottom w:val="none" w:sz="0" w:space="0" w:color="auto"/>
            <w:right w:val="none" w:sz="0" w:space="0" w:color="auto"/>
          </w:divBdr>
        </w:div>
      </w:divsChild>
    </w:div>
    <w:div w:id="1198005932">
      <w:bodyDiv w:val="1"/>
      <w:marLeft w:val="0"/>
      <w:marRight w:val="0"/>
      <w:marTop w:val="0"/>
      <w:marBottom w:val="0"/>
      <w:divBdr>
        <w:top w:val="none" w:sz="0" w:space="0" w:color="auto"/>
        <w:left w:val="none" w:sz="0" w:space="0" w:color="auto"/>
        <w:bottom w:val="none" w:sz="0" w:space="0" w:color="auto"/>
        <w:right w:val="none" w:sz="0" w:space="0" w:color="auto"/>
      </w:divBdr>
      <w:divsChild>
        <w:div w:id="1385373003">
          <w:marLeft w:val="403"/>
          <w:marRight w:val="0"/>
          <w:marTop w:val="150"/>
          <w:marBottom w:val="0"/>
          <w:divBdr>
            <w:top w:val="none" w:sz="0" w:space="0" w:color="auto"/>
            <w:left w:val="none" w:sz="0" w:space="0" w:color="auto"/>
            <w:bottom w:val="none" w:sz="0" w:space="0" w:color="auto"/>
            <w:right w:val="none" w:sz="0" w:space="0" w:color="auto"/>
          </w:divBdr>
        </w:div>
      </w:divsChild>
    </w:div>
    <w:div w:id="1205097411">
      <w:bodyDiv w:val="1"/>
      <w:marLeft w:val="0"/>
      <w:marRight w:val="0"/>
      <w:marTop w:val="0"/>
      <w:marBottom w:val="0"/>
      <w:divBdr>
        <w:top w:val="none" w:sz="0" w:space="0" w:color="auto"/>
        <w:left w:val="none" w:sz="0" w:space="0" w:color="auto"/>
        <w:bottom w:val="none" w:sz="0" w:space="0" w:color="auto"/>
        <w:right w:val="none" w:sz="0" w:space="0" w:color="auto"/>
      </w:divBdr>
      <w:divsChild>
        <w:div w:id="1924604312">
          <w:marLeft w:val="274"/>
          <w:marRight w:val="0"/>
          <w:marTop w:val="120"/>
          <w:marBottom w:val="0"/>
          <w:divBdr>
            <w:top w:val="none" w:sz="0" w:space="0" w:color="auto"/>
            <w:left w:val="none" w:sz="0" w:space="0" w:color="auto"/>
            <w:bottom w:val="none" w:sz="0" w:space="0" w:color="auto"/>
            <w:right w:val="none" w:sz="0" w:space="0" w:color="auto"/>
          </w:divBdr>
        </w:div>
        <w:div w:id="2114011239">
          <w:marLeft w:val="274"/>
          <w:marRight w:val="0"/>
          <w:marTop w:val="120"/>
          <w:marBottom w:val="0"/>
          <w:divBdr>
            <w:top w:val="none" w:sz="0" w:space="0" w:color="auto"/>
            <w:left w:val="none" w:sz="0" w:space="0" w:color="auto"/>
            <w:bottom w:val="none" w:sz="0" w:space="0" w:color="auto"/>
            <w:right w:val="none" w:sz="0" w:space="0" w:color="auto"/>
          </w:divBdr>
        </w:div>
      </w:divsChild>
    </w:div>
    <w:div w:id="1205366111">
      <w:bodyDiv w:val="1"/>
      <w:marLeft w:val="0"/>
      <w:marRight w:val="0"/>
      <w:marTop w:val="0"/>
      <w:marBottom w:val="0"/>
      <w:divBdr>
        <w:top w:val="none" w:sz="0" w:space="0" w:color="auto"/>
        <w:left w:val="none" w:sz="0" w:space="0" w:color="auto"/>
        <w:bottom w:val="none" w:sz="0" w:space="0" w:color="auto"/>
        <w:right w:val="none" w:sz="0" w:space="0" w:color="auto"/>
      </w:divBdr>
    </w:div>
    <w:div w:id="1205606719">
      <w:bodyDiv w:val="1"/>
      <w:marLeft w:val="0"/>
      <w:marRight w:val="0"/>
      <w:marTop w:val="0"/>
      <w:marBottom w:val="0"/>
      <w:divBdr>
        <w:top w:val="none" w:sz="0" w:space="0" w:color="auto"/>
        <w:left w:val="none" w:sz="0" w:space="0" w:color="auto"/>
        <w:bottom w:val="none" w:sz="0" w:space="0" w:color="auto"/>
        <w:right w:val="none" w:sz="0" w:space="0" w:color="auto"/>
      </w:divBdr>
    </w:div>
    <w:div w:id="1210650122">
      <w:bodyDiv w:val="1"/>
      <w:marLeft w:val="0"/>
      <w:marRight w:val="0"/>
      <w:marTop w:val="0"/>
      <w:marBottom w:val="0"/>
      <w:divBdr>
        <w:top w:val="none" w:sz="0" w:space="0" w:color="auto"/>
        <w:left w:val="none" w:sz="0" w:space="0" w:color="auto"/>
        <w:bottom w:val="none" w:sz="0" w:space="0" w:color="auto"/>
        <w:right w:val="none" w:sz="0" w:space="0" w:color="auto"/>
      </w:divBdr>
    </w:div>
    <w:div w:id="1212035089">
      <w:bodyDiv w:val="1"/>
      <w:marLeft w:val="0"/>
      <w:marRight w:val="0"/>
      <w:marTop w:val="0"/>
      <w:marBottom w:val="0"/>
      <w:divBdr>
        <w:top w:val="none" w:sz="0" w:space="0" w:color="auto"/>
        <w:left w:val="none" w:sz="0" w:space="0" w:color="auto"/>
        <w:bottom w:val="none" w:sz="0" w:space="0" w:color="auto"/>
        <w:right w:val="none" w:sz="0" w:space="0" w:color="auto"/>
      </w:divBdr>
    </w:div>
    <w:div w:id="1213617539">
      <w:bodyDiv w:val="1"/>
      <w:marLeft w:val="0"/>
      <w:marRight w:val="0"/>
      <w:marTop w:val="0"/>
      <w:marBottom w:val="0"/>
      <w:divBdr>
        <w:top w:val="none" w:sz="0" w:space="0" w:color="auto"/>
        <w:left w:val="none" w:sz="0" w:space="0" w:color="auto"/>
        <w:bottom w:val="none" w:sz="0" w:space="0" w:color="auto"/>
        <w:right w:val="none" w:sz="0" w:space="0" w:color="auto"/>
      </w:divBdr>
      <w:divsChild>
        <w:div w:id="116991627">
          <w:marLeft w:val="403"/>
          <w:marRight w:val="0"/>
          <w:marTop w:val="0"/>
          <w:marBottom w:val="120"/>
          <w:divBdr>
            <w:top w:val="none" w:sz="0" w:space="0" w:color="auto"/>
            <w:left w:val="none" w:sz="0" w:space="0" w:color="auto"/>
            <w:bottom w:val="none" w:sz="0" w:space="0" w:color="auto"/>
            <w:right w:val="none" w:sz="0" w:space="0" w:color="auto"/>
          </w:divBdr>
        </w:div>
        <w:div w:id="386496858">
          <w:marLeft w:val="403"/>
          <w:marRight w:val="0"/>
          <w:marTop w:val="0"/>
          <w:marBottom w:val="120"/>
          <w:divBdr>
            <w:top w:val="none" w:sz="0" w:space="0" w:color="auto"/>
            <w:left w:val="none" w:sz="0" w:space="0" w:color="auto"/>
            <w:bottom w:val="none" w:sz="0" w:space="0" w:color="auto"/>
            <w:right w:val="none" w:sz="0" w:space="0" w:color="auto"/>
          </w:divBdr>
        </w:div>
        <w:div w:id="1578829574">
          <w:marLeft w:val="403"/>
          <w:marRight w:val="0"/>
          <w:marTop w:val="0"/>
          <w:marBottom w:val="120"/>
          <w:divBdr>
            <w:top w:val="none" w:sz="0" w:space="0" w:color="auto"/>
            <w:left w:val="none" w:sz="0" w:space="0" w:color="auto"/>
            <w:bottom w:val="none" w:sz="0" w:space="0" w:color="auto"/>
            <w:right w:val="none" w:sz="0" w:space="0" w:color="auto"/>
          </w:divBdr>
        </w:div>
      </w:divsChild>
    </w:div>
    <w:div w:id="1215044300">
      <w:bodyDiv w:val="1"/>
      <w:marLeft w:val="0"/>
      <w:marRight w:val="0"/>
      <w:marTop w:val="0"/>
      <w:marBottom w:val="0"/>
      <w:divBdr>
        <w:top w:val="none" w:sz="0" w:space="0" w:color="auto"/>
        <w:left w:val="none" w:sz="0" w:space="0" w:color="auto"/>
        <w:bottom w:val="none" w:sz="0" w:space="0" w:color="auto"/>
        <w:right w:val="none" w:sz="0" w:space="0" w:color="auto"/>
      </w:divBdr>
      <w:divsChild>
        <w:div w:id="404688379">
          <w:marLeft w:val="475"/>
          <w:marRight w:val="0"/>
          <w:marTop w:val="0"/>
          <w:marBottom w:val="120"/>
          <w:divBdr>
            <w:top w:val="none" w:sz="0" w:space="0" w:color="auto"/>
            <w:left w:val="none" w:sz="0" w:space="0" w:color="auto"/>
            <w:bottom w:val="none" w:sz="0" w:space="0" w:color="auto"/>
            <w:right w:val="none" w:sz="0" w:space="0" w:color="auto"/>
          </w:divBdr>
        </w:div>
        <w:div w:id="1581672091">
          <w:marLeft w:val="1195"/>
          <w:marRight w:val="0"/>
          <w:marTop w:val="0"/>
          <w:marBottom w:val="120"/>
          <w:divBdr>
            <w:top w:val="none" w:sz="0" w:space="0" w:color="auto"/>
            <w:left w:val="none" w:sz="0" w:space="0" w:color="auto"/>
            <w:bottom w:val="none" w:sz="0" w:space="0" w:color="auto"/>
            <w:right w:val="none" w:sz="0" w:space="0" w:color="auto"/>
          </w:divBdr>
        </w:div>
        <w:div w:id="1671441987">
          <w:marLeft w:val="475"/>
          <w:marRight w:val="0"/>
          <w:marTop w:val="0"/>
          <w:marBottom w:val="120"/>
          <w:divBdr>
            <w:top w:val="none" w:sz="0" w:space="0" w:color="auto"/>
            <w:left w:val="none" w:sz="0" w:space="0" w:color="auto"/>
            <w:bottom w:val="none" w:sz="0" w:space="0" w:color="auto"/>
            <w:right w:val="none" w:sz="0" w:space="0" w:color="auto"/>
          </w:divBdr>
        </w:div>
        <w:div w:id="1683774731">
          <w:marLeft w:val="475"/>
          <w:marRight w:val="0"/>
          <w:marTop w:val="0"/>
          <w:marBottom w:val="120"/>
          <w:divBdr>
            <w:top w:val="none" w:sz="0" w:space="0" w:color="auto"/>
            <w:left w:val="none" w:sz="0" w:space="0" w:color="auto"/>
            <w:bottom w:val="none" w:sz="0" w:space="0" w:color="auto"/>
            <w:right w:val="none" w:sz="0" w:space="0" w:color="auto"/>
          </w:divBdr>
        </w:div>
      </w:divsChild>
    </w:div>
    <w:div w:id="1223059647">
      <w:bodyDiv w:val="1"/>
      <w:marLeft w:val="0"/>
      <w:marRight w:val="0"/>
      <w:marTop w:val="0"/>
      <w:marBottom w:val="0"/>
      <w:divBdr>
        <w:top w:val="none" w:sz="0" w:space="0" w:color="auto"/>
        <w:left w:val="none" w:sz="0" w:space="0" w:color="auto"/>
        <w:bottom w:val="none" w:sz="0" w:space="0" w:color="auto"/>
        <w:right w:val="none" w:sz="0" w:space="0" w:color="auto"/>
      </w:divBdr>
    </w:div>
    <w:div w:id="1227909631">
      <w:bodyDiv w:val="1"/>
      <w:marLeft w:val="0"/>
      <w:marRight w:val="0"/>
      <w:marTop w:val="0"/>
      <w:marBottom w:val="0"/>
      <w:divBdr>
        <w:top w:val="none" w:sz="0" w:space="0" w:color="auto"/>
        <w:left w:val="none" w:sz="0" w:space="0" w:color="auto"/>
        <w:bottom w:val="none" w:sz="0" w:space="0" w:color="auto"/>
        <w:right w:val="none" w:sz="0" w:space="0" w:color="auto"/>
      </w:divBdr>
    </w:div>
    <w:div w:id="1236164620">
      <w:bodyDiv w:val="1"/>
      <w:marLeft w:val="0"/>
      <w:marRight w:val="0"/>
      <w:marTop w:val="0"/>
      <w:marBottom w:val="0"/>
      <w:divBdr>
        <w:top w:val="none" w:sz="0" w:space="0" w:color="auto"/>
        <w:left w:val="none" w:sz="0" w:space="0" w:color="auto"/>
        <w:bottom w:val="none" w:sz="0" w:space="0" w:color="auto"/>
        <w:right w:val="none" w:sz="0" w:space="0" w:color="auto"/>
      </w:divBdr>
    </w:div>
    <w:div w:id="1242258926">
      <w:bodyDiv w:val="1"/>
      <w:marLeft w:val="0"/>
      <w:marRight w:val="0"/>
      <w:marTop w:val="0"/>
      <w:marBottom w:val="0"/>
      <w:divBdr>
        <w:top w:val="none" w:sz="0" w:space="0" w:color="auto"/>
        <w:left w:val="none" w:sz="0" w:space="0" w:color="auto"/>
        <w:bottom w:val="none" w:sz="0" w:space="0" w:color="auto"/>
        <w:right w:val="none" w:sz="0" w:space="0" w:color="auto"/>
      </w:divBdr>
    </w:div>
    <w:div w:id="1247492744">
      <w:bodyDiv w:val="1"/>
      <w:marLeft w:val="0"/>
      <w:marRight w:val="0"/>
      <w:marTop w:val="0"/>
      <w:marBottom w:val="0"/>
      <w:divBdr>
        <w:top w:val="none" w:sz="0" w:space="0" w:color="auto"/>
        <w:left w:val="none" w:sz="0" w:space="0" w:color="auto"/>
        <w:bottom w:val="none" w:sz="0" w:space="0" w:color="auto"/>
        <w:right w:val="none" w:sz="0" w:space="0" w:color="auto"/>
      </w:divBdr>
    </w:div>
    <w:div w:id="1248538135">
      <w:bodyDiv w:val="1"/>
      <w:marLeft w:val="0"/>
      <w:marRight w:val="0"/>
      <w:marTop w:val="0"/>
      <w:marBottom w:val="0"/>
      <w:divBdr>
        <w:top w:val="none" w:sz="0" w:space="0" w:color="auto"/>
        <w:left w:val="none" w:sz="0" w:space="0" w:color="auto"/>
        <w:bottom w:val="none" w:sz="0" w:space="0" w:color="auto"/>
        <w:right w:val="none" w:sz="0" w:space="0" w:color="auto"/>
      </w:divBdr>
    </w:div>
    <w:div w:id="1252396796">
      <w:bodyDiv w:val="1"/>
      <w:marLeft w:val="0"/>
      <w:marRight w:val="0"/>
      <w:marTop w:val="0"/>
      <w:marBottom w:val="0"/>
      <w:divBdr>
        <w:top w:val="none" w:sz="0" w:space="0" w:color="auto"/>
        <w:left w:val="none" w:sz="0" w:space="0" w:color="auto"/>
        <w:bottom w:val="none" w:sz="0" w:space="0" w:color="auto"/>
        <w:right w:val="none" w:sz="0" w:space="0" w:color="auto"/>
      </w:divBdr>
      <w:divsChild>
        <w:div w:id="1677922499">
          <w:marLeft w:val="403"/>
          <w:marRight w:val="0"/>
          <w:marTop w:val="0"/>
          <w:marBottom w:val="120"/>
          <w:divBdr>
            <w:top w:val="none" w:sz="0" w:space="0" w:color="auto"/>
            <w:left w:val="none" w:sz="0" w:space="0" w:color="auto"/>
            <w:bottom w:val="none" w:sz="0" w:space="0" w:color="auto"/>
            <w:right w:val="none" w:sz="0" w:space="0" w:color="auto"/>
          </w:divBdr>
        </w:div>
        <w:div w:id="1971782458">
          <w:marLeft w:val="403"/>
          <w:marRight w:val="0"/>
          <w:marTop w:val="0"/>
          <w:marBottom w:val="120"/>
          <w:divBdr>
            <w:top w:val="none" w:sz="0" w:space="0" w:color="auto"/>
            <w:left w:val="none" w:sz="0" w:space="0" w:color="auto"/>
            <w:bottom w:val="none" w:sz="0" w:space="0" w:color="auto"/>
            <w:right w:val="none" w:sz="0" w:space="0" w:color="auto"/>
          </w:divBdr>
        </w:div>
      </w:divsChild>
    </w:div>
    <w:div w:id="1255016840">
      <w:bodyDiv w:val="1"/>
      <w:marLeft w:val="0"/>
      <w:marRight w:val="0"/>
      <w:marTop w:val="0"/>
      <w:marBottom w:val="0"/>
      <w:divBdr>
        <w:top w:val="none" w:sz="0" w:space="0" w:color="auto"/>
        <w:left w:val="none" w:sz="0" w:space="0" w:color="auto"/>
        <w:bottom w:val="none" w:sz="0" w:space="0" w:color="auto"/>
        <w:right w:val="none" w:sz="0" w:space="0" w:color="auto"/>
      </w:divBdr>
      <w:divsChild>
        <w:div w:id="835420054">
          <w:marLeft w:val="403"/>
          <w:marRight w:val="0"/>
          <w:marTop w:val="0"/>
          <w:marBottom w:val="120"/>
          <w:divBdr>
            <w:top w:val="none" w:sz="0" w:space="0" w:color="auto"/>
            <w:left w:val="none" w:sz="0" w:space="0" w:color="auto"/>
            <w:bottom w:val="none" w:sz="0" w:space="0" w:color="auto"/>
            <w:right w:val="none" w:sz="0" w:space="0" w:color="auto"/>
          </w:divBdr>
        </w:div>
      </w:divsChild>
    </w:div>
    <w:div w:id="1268153684">
      <w:bodyDiv w:val="1"/>
      <w:marLeft w:val="0"/>
      <w:marRight w:val="0"/>
      <w:marTop w:val="0"/>
      <w:marBottom w:val="0"/>
      <w:divBdr>
        <w:top w:val="none" w:sz="0" w:space="0" w:color="auto"/>
        <w:left w:val="none" w:sz="0" w:space="0" w:color="auto"/>
        <w:bottom w:val="none" w:sz="0" w:space="0" w:color="auto"/>
        <w:right w:val="none" w:sz="0" w:space="0" w:color="auto"/>
      </w:divBdr>
    </w:div>
    <w:div w:id="1268537125">
      <w:bodyDiv w:val="1"/>
      <w:marLeft w:val="0"/>
      <w:marRight w:val="0"/>
      <w:marTop w:val="0"/>
      <w:marBottom w:val="0"/>
      <w:divBdr>
        <w:top w:val="none" w:sz="0" w:space="0" w:color="auto"/>
        <w:left w:val="none" w:sz="0" w:space="0" w:color="auto"/>
        <w:bottom w:val="none" w:sz="0" w:space="0" w:color="auto"/>
        <w:right w:val="none" w:sz="0" w:space="0" w:color="auto"/>
      </w:divBdr>
    </w:div>
    <w:div w:id="1276868318">
      <w:bodyDiv w:val="1"/>
      <w:marLeft w:val="0"/>
      <w:marRight w:val="0"/>
      <w:marTop w:val="0"/>
      <w:marBottom w:val="0"/>
      <w:divBdr>
        <w:top w:val="none" w:sz="0" w:space="0" w:color="auto"/>
        <w:left w:val="none" w:sz="0" w:space="0" w:color="auto"/>
        <w:bottom w:val="none" w:sz="0" w:space="0" w:color="auto"/>
        <w:right w:val="none" w:sz="0" w:space="0" w:color="auto"/>
      </w:divBdr>
      <w:divsChild>
        <w:div w:id="1206138422">
          <w:marLeft w:val="475"/>
          <w:marRight w:val="0"/>
          <w:marTop w:val="0"/>
          <w:marBottom w:val="120"/>
          <w:divBdr>
            <w:top w:val="none" w:sz="0" w:space="0" w:color="auto"/>
            <w:left w:val="none" w:sz="0" w:space="0" w:color="auto"/>
            <w:bottom w:val="none" w:sz="0" w:space="0" w:color="auto"/>
            <w:right w:val="none" w:sz="0" w:space="0" w:color="auto"/>
          </w:divBdr>
        </w:div>
        <w:div w:id="1383824577">
          <w:marLeft w:val="475"/>
          <w:marRight w:val="0"/>
          <w:marTop w:val="0"/>
          <w:marBottom w:val="120"/>
          <w:divBdr>
            <w:top w:val="none" w:sz="0" w:space="0" w:color="auto"/>
            <w:left w:val="none" w:sz="0" w:space="0" w:color="auto"/>
            <w:bottom w:val="none" w:sz="0" w:space="0" w:color="auto"/>
            <w:right w:val="none" w:sz="0" w:space="0" w:color="auto"/>
          </w:divBdr>
        </w:div>
      </w:divsChild>
    </w:div>
    <w:div w:id="1282687564">
      <w:bodyDiv w:val="1"/>
      <w:marLeft w:val="0"/>
      <w:marRight w:val="0"/>
      <w:marTop w:val="0"/>
      <w:marBottom w:val="0"/>
      <w:divBdr>
        <w:top w:val="none" w:sz="0" w:space="0" w:color="auto"/>
        <w:left w:val="none" w:sz="0" w:space="0" w:color="auto"/>
        <w:bottom w:val="none" w:sz="0" w:space="0" w:color="auto"/>
        <w:right w:val="none" w:sz="0" w:space="0" w:color="auto"/>
      </w:divBdr>
    </w:div>
    <w:div w:id="1288975001">
      <w:bodyDiv w:val="1"/>
      <w:marLeft w:val="0"/>
      <w:marRight w:val="0"/>
      <w:marTop w:val="0"/>
      <w:marBottom w:val="0"/>
      <w:divBdr>
        <w:top w:val="none" w:sz="0" w:space="0" w:color="auto"/>
        <w:left w:val="none" w:sz="0" w:space="0" w:color="auto"/>
        <w:bottom w:val="none" w:sz="0" w:space="0" w:color="auto"/>
        <w:right w:val="none" w:sz="0" w:space="0" w:color="auto"/>
      </w:divBdr>
    </w:div>
    <w:div w:id="1303463627">
      <w:bodyDiv w:val="1"/>
      <w:marLeft w:val="0"/>
      <w:marRight w:val="0"/>
      <w:marTop w:val="0"/>
      <w:marBottom w:val="0"/>
      <w:divBdr>
        <w:top w:val="none" w:sz="0" w:space="0" w:color="auto"/>
        <w:left w:val="none" w:sz="0" w:space="0" w:color="auto"/>
        <w:bottom w:val="none" w:sz="0" w:space="0" w:color="auto"/>
        <w:right w:val="none" w:sz="0" w:space="0" w:color="auto"/>
      </w:divBdr>
      <w:divsChild>
        <w:div w:id="63266521">
          <w:marLeft w:val="403"/>
          <w:marRight w:val="0"/>
          <w:marTop w:val="150"/>
          <w:marBottom w:val="0"/>
          <w:divBdr>
            <w:top w:val="none" w:sz="0" w:space="0" w:color="auto"/>
            <w:left w:val="none" w:sz="0" w:space="0" w:color="auto"/>
            <w:bottom w:val="none" w:sz="0" w:space="0" w:color="auto"/>
            <w:right w:val="none" w:sz="0" w:space="0" w:color="auto"/>
          </w:divBdr>
        </w:div>
        <w:div w:id="1838570684">
          <w:marLeft w:val="403"/>
          <w:marRight w:val="0"/>
          <w:marTop w:val="150"/>
          <w:marBottom w:val="0"/>
          <w:divBdr>
            <w:top w:val="none" w:sz="0" w:space="0" w:color="auto"/>
            <w:left w:val="none" w:sz="0" w:space="0" w:color="auto"/>
            <w:bottom w:val="none" w:sz="0" w:space="0" w:color="auto"/>
            <w:right w:val="none" w:sz="0" w:space="0" w:color="auto"/>
          </w:divBdr>
        </w:div>
      </w:divsChild>
    </w:div>
    <w:div w:id="1306424399">
      <w:bodyDiv w:val="1"/>
      <w:marLeft w:val="0"/>
      <w:marRight w:val="0"/>
      <w:marTop w:val="0"/>
      <w:marBottom w:val="0"/>
      <w:divBdr>
        <w:top w:val="none" w:sz="0" w:space="0" w:color="auto"/>
        <w:left w:val="none" w:sz="0" w:space="0" w:color="auto"/>
        <w:bottom w:val="none" w:sz="0" w:space="0" w:color="auto"/>
        <w:right w:val="none" w:sz="0" w:space="0" w:color="auto"/>
      </w:divBdr>
    </w:div>
    <w:div w:id="1308511630">
      <w:bodyDiv w:val="1"/>
      <w:marLeft w:val="0"/>
      <w:marRight w:val="0"/>
      <w:marTop w:val="0"/>
      <w:marBottom w:val="0"/>
      <w:divBdr>
        <w:top w:val="none" w:sz="0" w:space="0" w:color="auto"/>
        <w:left w:val="none" w:sz="0" w:space="0" w:color="auto"/>
        <w:bottom w:val="none" w:sz="0" w:space="0" w:color="auto"/>
        <w:right w:val="none" w:sz="0" w:space="0" w:color="auto"/>
      </w:divBdr>
    </w:div>
    <w:div w:id="1314680854">
      <w:bodyDiv w:val="1"/>
      <w:marLeft w:val="0"/>
      <w:marRight w:val="0"/>
      <w:marTop w:val="0"/>
      <w:marBottom w:val="0"/>
      <w:divBdr>
        <w:top w:val="none" w:sz="0" w:space="0" w:color="auto"/>
        <w:left w:val="none" w:sz="0" w:space="0" w:color="auto"/>
        <w:bottom w:val="none" w:sz="0" w:space="0" w:color="auto"/>
        <w:right w:val="none" w:sz="0" w:space="0" w:color="auto"/>
      </w:divBdr>
    </w:div>
    <w:div w:id="1315798541">
      <w:bodyDiv w:val="1"/>
      <w:marLeft w:val="0"/>
      <w:marRight w:val="0"/>
      <w:marTop w:val="0"/>
      <w:marBottom w:val="0"/>
      <w:divBdr>
        <w:top w:val="none" w:sz="0" w:space="0" w:color="auto"/>
        <w:left w:val="none" w:sz="0" w:space="0" w:color="auto"/>
        <w:bottom w:val="none" w:sz="0" w:space="0" w:color="auto"/>
        <w:right w:val="none" w:sz="0" w:space="0" w:color="auto"/>
      </w:divBdr>
    </w:div>
    <w:div w:id="1321151822">
      <w:bodyDiv w:val="1"/>
      <w:marLeft w:val="0"/>
      <w:marRight w:val="0"/>
      <w:marTop w:val="0"/>
      <w:marBottom w:val="0"/>
      <w:divBdr>
        <w:top w:val="none" w:sz="0" w:space="0" w:color="auto"/>
        <w:left w:val="none" w:sz="0" w:space="0" w:color="auto"/>
        <w:bottom w:val="none" w:sz="0" w:space="0" w:color="auto"/>
        <w:right w:val="none" w:sz="0" w:space="0" w:color="auto"/>
      </w:divBdr>
      <w:divsChild>
        <w:div w:id="765921593">
          <w:marLeft w:val="475"/>
          <w:marRight w:val="0"/>
          <w:marTop w:val="0"/>
          <w:marBottom w:val="120"/>
          <w:divBdr>
            <w:top w:val="none" w:sz="0" w:space="0" w:color="auto"/>
            <w:left w:val="none" w:sz="0" w:space="0" w:color="auto"/>
            <w:bottom w:val="none" w:sz="0" w:space="0" w:color="auto"/>
            <w:right w:val="none" w:sz="0" w:space="0" w:color="auto"/>
          </w:divBdr>
        </w:div>
        <w:div w:id="1803500760">
          <w:marLeft w:val="475"/>
          <w:marRight w:val="0"/>
          <w:marTop w:val="0"/>
          <w:marBottom w:val="120"/>
          <w:divBdr>
            <w:top w:val="none" w:sz="0" w:space="0" w:color="auto"/>
            <w:left w:val="none" w:sz="0" w:space="0" w:color="auto"/>
            <w:bottom w:val="none" w:sz="0" w:space="0" w:color="auto"/>
            <w:right w:val="none" w:sz="0" w:space="0" w:color="auto"/>
          </w:divBdr>
        </w:div>
      </w:divsChild>
    </w:div>
    <w:div w:id="1326979358">
      <w:bodyDiv w:val="1"/>
      <w:marLeft w:val="0"/>
      <w:marRight w:val="0"/>
      <w:marTop w:val="0"/>
      <w:marBottom w:val="0"/>
      <w:divBdr>
        <w:top w:val="none" w:sz="0" w:space="0" w:color="auto"/>
        <w:left w:val="none" w:sz="0" w:space="0" w:color="auto"/>
        <w:bottom w:val="none" w:sz="0" w:space="0" w:color="auto"/>
        <w:right w:val="none" w:sz="0" w:space="0" w:color="auto"/>
      </w:divBdr>
      <w:divsChild>
        <w:div w:id="206181451">
          <w:marLeft w:val="403"/>
          <w:marRight w:val="0"/>
          <w:marTop w:val="0"/>
          <w:marBottom w:val="120"/>
          <w:divBdr>
            <w:top w:val="none" w:sz="0" w:space="0" w:color="auto"/>
            <w:left w:val="none" w:sz="0" w:space="0" w:color="auto"/>
            <w:bottom w:val="none" w:sz="0" w:space="0" w:color="auto"/>
            <w:right w:val="none" w:sz="0" w:space="0" w:color="auto"/>
          </w:divBdr>
        </w:div>
        <w:div w:id="206798687">
          <w:marLeft w:val="403"/>
          <w:marRight w:val="0"/>
          <w:marTop w:val="0"/>
          <w:marBottom w:val="120"/>
          <w:divBdr>
            <w:top w:val="none" w:sz="0" w:space="0" w:color="auto"/>
            <w:left w:val="none" w:sz="0" w:space="0" w:color="auto"/>
            <w:bottom w:val="none" w:sz="0" w:space="0" w:color="auto"/>
            <w:right w:val="none" w:sz="0" w:space="0" w:color="auto"/>
          </w:divBdr>
        </w:div>
        <w:div w:id="383523628">
          <w:marLeft w:val="403"/>
          <w:marRight w:val="0"/>
          <w:marTop w:val="0"/>
          <w:marBottom w:val="120"/>
          <w:divBdr>
            <w:top w:val="none" w:sz="0" w:space="0" w:color="auto"/>
            <w:left w:val="none" w:sz="0" w:space="0" w:color="auto"/>
            <w:bottom w:val="none" w:sz="0" w:space="0" w:color="auto"/>
            <w:right w:val="none" w:sz="0" w:space="0" w:color="auto"/>
          </w:divBdr>
        </w:div>
        <w:div w:id="951593787">
          <w:marLeft w:val="403"/>
          <w:marRight w:val="0"/>
          <w:marTop w:val="0"/>
          <w:marBottom w:val="120"/>
          <w:divBdr>
            <w:top w:val="none" w:sz="0" w:space="0" w:color="auto"/>
            <w:left w:val="none" w:sz="0" w:space="0" w:color="auto"/>
            <w:bottom w:val="none" w:sz="0" w:space="0" w:color="auto"/>
            <w:right w:val="none" w:sz="0" w:space="0" w:color="auto"/>
          </w:divBdr>
        </w:div>
        <w:div w:id="1344356915">
          <w:marLeft w:val="403"/>
          <w:marRight w:val="0"/>
          <w:marTop w:val="0"/>
          <w:marBottom w:val="120"/>
          <w:divBdr>
            <w:top w:val="none" w:sz="0" w:space="0" w:color="auto"/>
            <w:left w:val="none" w:sz="0" w:space="0" w:color="auto"/>
            <w:bottom w:val="none" w:sz="0" w:space="0" w:color="auto"/>
            <w:right w:val="none" w:sz="0" w:space="0" w:color="auto"/>
          </w:divBdr>
        </w:div>
        <w:div w:id="1686401731">
          <w:marLeft w:val="403"/>
          <w:marRight w:val="0"/>
          <w:marTop w:val="0"/>
          <w:marBottom w:val="120"/>
          <w:divBdr>
            <w:top w:val="none" w:sz="0" w:space="0" w:color="auto"/>
            <w:left w:val="none" w:sz="0" w:space="0" w:color="auto"/>
            <w:bottom w:val="none" w:sz="0" w:space="0" w:color="auto"/>
            <w:right w:val="none" w:sz="0" w:space="0" w:color="auto"/>
          </w:divBdr>
        </w:div>
      </w:divsChild>
    </w:div>
    <w:div w:id="1327169884">
      <w:bodyDiv w:val="1"/>
      <w:marLeft w:val="0"/>
      <w:marRight w:val="0"/>
      <w:marTop w:val="0"/>
      <w:marBottom w:val="0"/>
      <w:divBdr>
        <w:top w:val="none" w:sz="0" w:space="0" w:color="auto"/>
        <w:left w:val="none" w:sz="0" w:space="0" w:color="auto"/>
        <w:bottom w:val="none" w:sz="0" w:space="0" w:color="auto"/>
        <w:right w:val="none" w:sz="0" w:space="0" w:color="auto"/>
      </w:divBdr>
    </w:div>
    <w:div w:id="1332099303">
      <w:bodyDiv w:val="1"/>
      <w:marLeft w:val="0"/>
      <w:marRight w:val="0"/>
      <w:marTop w:val="0"/>
      <w:marBottom w:val="0"/>
      <w:divBdr>
        <w:top w:val="none" w:sz="0" w:space="0" w:color="auto"/>
        <w:left w:val="none" w:sz="0" w:space="0" w:color="auto"/>
        <w:bottom w:val="none" w:sz="0" w:space="0" w:color="auto"/>
        <w:right w:val="none" w:sz="0" w:space="0" w:color="auto"/>
      </w:divBdr>
    </w:div>
    <w:div w:id="1337459032">
      <w:bodyDiv w:val="1"/>
      <w:marLeft w:val="0"/>
      <w:marRight w:val="0"/>
      <w:marTop w:val="0"/>
      <w:marBottom w:val="0"/>
      <w:divBdr>
        <w:top w:val="none" w:sz="0" w:space="0" w:color="auto"/>
        <w:left w:val="none" w:sz="0" w:space="0" w:color="auto"/>
        <w:bottom w:val="none" w:sz="0" w:space="0" w:color="auto"/>
        <w:right w:val="none" w:sz="0" w:space="0" w:color="auto"/>
      </w:divBdr>
    </w:div>
    <w:div w:id="1346444806">
      <w:bodyDiv w:val="1"/>
      <w:marLeft w:val="0"/>
      <w:marRight w:val="0"/>
      <w:marTop w:val="0"/>
      <w:marBottom w:val="0"/>
      <w:divBdr>
        <w:top w:val="none" w:sz="0" w:space="0" w:color="auto"/>
        <w:left w:val="none" w:sz="0" w:space="0" w:color="auto"/>
        <w:bottom w:val="none" w:sz="0" w:space="0" w:color="auto"/>
        <w:right w:val="none" w:sz="0" w:space="0" w:color="auto"/>
      </w:divBdr>
    </w:div>
    <w:div w:id="1346833085">
      <w:bodyDiv w:val="1"/>
      <w:marLeft w:val="0"/>
      <w:marRight w:val="0"/>
      <w:marTop w:val="0"/>
      <w:marBottom w:val="0"/>
      <w:divBdr>
        <w:top w:val="none" w:sz="0" w:space="0" w:color="auto"/>
        <w:left w:val="none" w:sz="0" w:space="0" w:color="auto"/>
        <w:bottom w:val="none" w:sz="0" w:space="0" w:color="auto"/>
        <w:right w:val="none" w:sz="0" w:space="0" w:color="auto"/>
      </w:divBdr>
      <w:divsChild>
        <w:div w:id="264583711">
          <w:marLeft w:val="274"/>
          <w:marRight w:val="0"/>
          <w:marTop w:val="0"/>
          <w:marBottom w:val="0"/>
          <w:divBdr>
            <w:top w:val="none" w:sz="0" w:space="0" w:color="auto"/>
            <w:left w:val="none" w:sz="0" w:space="0" w:color="auto"/>
            <w:bottom w:val="none" w:sz="0" w:space="0" w:color="auto"/>
            <w:right w:val="none" w:sz="0" w:space="0" w:color="auto"/>
          </w:divBdr>
        </w:div>
        <w:div w:id="827474836">
          <w:marLeft w:val="274"/>
          <w:marRight w:val="0"/>
          <w:marTop w:val="0"/>
          <w:marBottom w:val="0"/>
          <w:divBdr>
            <w:top w:val="none" w:sz="0" w:space="0" w:color="auto"/>
            <w:left w:val="none" w:sz="0" w:space="0" w:color="auto"/>
            <w:bottom w:val="none" w:sz="0" w:space="0" w:color="auto"/>
            <w:right w:val="none" w:sz="0" w:space="0" w:color="auto"/>
          </w:divBdr>
        </w:div>
        <w:div w:id="857619608">
          <w:marLeft w:val="274"/>
          <w:marRight w:val="0"/>
          <w:marTop w:val="0"/>
          <w:marBottom w:val="0"/>
          <w:divBdr>
            <w:top w:val="none" w:sz="0" w:space="0" w:color="auto"/>
            <w:left w:val="none" w:sz="0" w:space="0" w:color="auto"/>
            <w:bottom w:val="none" w:sz="0" w:space="0" w:color="auto"/>
            <w:right w:val="none" w:sz="0" w:space="0" w:color="auto"/>
          </w:divBdr>
        </w:div>
        <w:div w:id="956523893">
          <w:marLeft w:val="274"/>
          <w:marRight w:val="0"/>
          <w:marTop w:val="0"/>
          <w:marBottom w:val="0"/>
          <w:divBdr>
            <w:top w:val="none" w:sz="0" w:space="0" w:color="auto"/>
            <w:left w:val="none" w:sz="0" w:space="0" w:color="auto"/>
            <w:bottom w:val="none" w:sz="0" w:space="0" w:color="auto"/>
            <w:right w:val="none" w:sz="0" w:space="0" w:color="auto"/>
          </w:divBdr>
        </w:div>
        <w:div w:id="1188524848">
          <w:marLeft w:val="274"/>
          <w:marRight w:val="0"/>
          <w:marTop w:val="0"/>
          <w:marBottom w:val="0"/>
          <w:divBdr>
            <w:top w:val="none" w:sz="0" w:space="0" w:color="auto"/>
            <w:left w:val="none" w:sz="0" w:space="0" w:color="auto"/>
            <w:bottom w:val="none" w:sz="0" w:space="0" w:color="auto"/>
            <w:right w:val="none" w:sz="0" w:space="0" w:color="auto"/>
          </w:divBdr>
        </w:div>
        <w:div w:id="1323312540">
          <w:marLeft w:val="274"/>
          <w:marRight w:val="0"/>
          <w:marTop w:val="0"/>
          <w:marBottom w:val="0"/>
          <w:divBdr>
            <w:top w:val="none" w:sz="0" w:space="0" w:color="auto"/>
            <w:left w:val="none" w:sz="0" w:space="0" w:color="auto"/>
            <w:bottom w:val="none" w:sz="0" w:space="0" w:color="auto"/>
            <w:right w:val="none" w:sz="0" w:space="0" w:color="auto"/>
          </w:divBdr>
        </w:div>
        <w:div w:id="1447968631">
          <w:marLeft w:val="274"/>
          <w:marRight w:val="0"/>
          <w:marTop w:val="0"/>
          <w:marBottom w:val="0"/>
          <w:divBdr>
            <w:top w:val="none" w:sz="0" w:space="0" w:color="auto"/>
            <w:left w:val="none" w:sz="0" w:space="0" w:color="auto"/>
            <w:bottom w:val="none" w:sz="0" w:space="0" w:color="auto"/>
            <w:right w:val="none" w:sz="0" w:space="0" w:color="auto"/>
          </w:divBdr>
        </w:div>
        <w:div w:id="1773931969">
          <w:marLeft w:val="274"/>
          <w:marRight w:val="0"/>
          <w:marTop w:val="0"/>
          <w:marBottom w:val="0"/>
          <w:divBdr>
            <w:top w:val="none" w:sz="0" w:space="0" w:color="auto"/>
            <w:left w:val="none" w:sz="0" w:space="0" w:color="auto"/>
            <w:bottom w:val="none" w:sz="0" w:space="0" w:color="auto"/>
            <w:right w:val="none" w:sz="0" w:space="0" w:color="auto"/>
          </w:divBdr>
        </w:div>
        <w:div w:id="2077974816">
          <w:marLeft w:val="274"/>
          <w:marRight w:val="0"/>
          <w:marTop w:val="0"/>
          <w:marBottom w:val="0"/>
          <w:divBdr>
            <w:top w:val="none" w:sz="0" w:space="0" w:color="auto"/>
            <w:left w:val="none" w:sz="0" w:space="0" w:color="auto"/>
            <w:bottom w:val="none" w:sz="0" w:space="0" w:color="auto"/>
            <w:right w:val="none" w:sz="0" w:space="0" w:color="auto"/>
          </w:divBdr>
        </w:div>
      </w:divsChild>
    </w:div>
    <w:div w:id="1350790033">
      <w:bodyDiv w:val="1"/>
      <w:marLeft w:val="0"/>
      <w:marRight w:val="0"/>
      <w:marTop w:val="0"/>
      <w:marBottom w:val="0"/>
      <w:divBdr>
        <w:top w:val="none" w:sz="0" w:space="0" w:color="auto"/>
        <w:left w:val="none" w:sz="0" w:space="0" w:color="auto"/>
        <w:bottom w:val="none" w:sz="0" w:space="0" w:color="auto"/>
        <w:right w:val="none" w:sz="0" w:space="0" w:color="auto"/>
      </w:divBdr>
    </w:div>
    <w:div w:id="1357004148">
      <w:bodyDiv w:val="1"/>
      <w:marLeft w:val="0"/>
      <w:marRight w:val="0"/>
      <w:marTop w:val="0"/>
      <w:marBottom w:val="0"/>
      <w:divBdr>
        <w:top w:val="none" w:sz="0" w:space="0" w:color="auto"/>
        <w:left w:val="none" w:sz="0" w:space="0" w:color="auto"/>
        <w:bottom w:val="none" w:sz="0" w:space="0" w:color="auto"/>
        <w:right w:val="none" w:sz="0" w:space="0" w:color="auto"/>
      </w:divBdr>
    </w:div>
    <w:div w:id="1373386987">
      <w:bodyDiv w:val="1"/>
      <w:marLeft w:val="0"/>
      <w:marRight w:val="0"/>
      <w:marTop w:val="0"/>
      <w:marBottom w:val="0"/>
      <w:divBdr>
        <w:top w:val="none" w:sz="0" w:space="0" w:color="auto"/>
        <w:left w:val="none" w:sz="0" w:space="0" w:color="auto"/>
        <w:bottom w:val="none" w:sz="0" w:space="0" w:color="auto"/>
        <w:right w:val="none" w:sz="0" w:space="0" w:color="auto"/>
      </w:divBdr>
    </w:div>
    <w:div w:id="1401633787">
      <w:bodyDiv w:val="1"/>
      <w:marLeft w:val="0"/>
      <w:marRight w:val="0"/>
      <w:marTop w:val="0"/>
      <w:marBottom w:val="0"/>
      <w:divBdr>
        <w:top w:val="none" w:sz="0" w:space="0" w:color="auto"/>
        <w:left w:val="none" w:sz="0" w:space="0" w:color="auto"/>
        <w:bottom w:val="none" w:sz="0" w:space="0" w:color="auto"/>
        <w:right w:val="none" w:sz="0" w:space="0" w:color="auto"/>
      </w:divBdr>
      <w:divsChild>
        <w:div w:id="1349598321">
          <w:marLeft w:val="403"/>
          <w:marRight w:val="0"/>
          <w:marTop w:val="150"/>
          <w:marBottom w:val="0"/>
          <w:divBdr>
            <w:top w:val="none" w:sz="0" w:space="0" w:color="auto"/>
            <w:left w:val="none" w:sz="0" w:space="0" w:color="auto"/>
            <w:bottom w:val="none" w:sz="0" w:space="0" w:color="auto"/>
            <w:right w:val="none" w:sz="0" w:space="0" w:color="auto"/>
          </w:divBdr>
        </w:div>
      </w:divsChild>
    </w:div>
    <w:div w:id="1413160330">
      <w:bodyDiv w:val="1"/>
      <w:marLeft w:val="0"/>
      <w:marRight w:val="0"/>
      <w:marTop w:val="0"/>
      <w:marBottom w:val="0"/>
      <w:divBdr>
        <w:top w:val="none" w:sz="0" w:space="0" w:color="auto"/>
        <w:left w:val="none" w:sz="0" w:space="0" w:color="auto"/>
        <w:bottom w:val="none" w:sz="0" w:space="0" w:color="auto"/>
        <w:right w:val="none" w:sz="0" w:space="0" w:color="auto"/>
      </w:divBdr>
    </w:div>
    <w:div w:id="1422946598">
      <w:bodyDiv w:val="1"/>
      <w:marLeft w:val="0"/>
      <w:marRight w:val="0"/>
      <w:marTop w:val="0"/>
      <w:marBottom w:val="0"/>
      <w:divBdr>
        <w:top w:val="none" w:sz="0" w:space="0" w:color="auto"/>
        <w:left w:val="none" w:sz="0" w:space="0" w:color="auto"/>
        <w:bottom w:val="none" w:sz="0" w:space="0" w:color="auto"/>
        <w:right w:val="none" w:sz="0" w:space="0" w:color="auto"/>
      </w:divBdr>
    </w:div>
    <w:div w:id="1425147268">
      <w:bodyDiv w:val="1"/>
      <w:marLeft w:val="0"/>
      <w:marRight w:val="0"/>
      <w:marTop w:val="0"/>
      <w:marBottom w:val="0"/>
      <w:divBdr>
        <w:top w:val="none" w:sz="0" w:space="0" w:color="auto"/>
        <w:left w:val="none" w:sz="0" w:space="0" w:color="auto"/>
        <w:bottom w:val="none" w:sz="0" w:space="0" w:color="auto"/>
        <w:right w:val="none" w:sz="0" w:space="0" w:color="auto"/>
      </w:divBdr>
      <w:divsChild>
        <w:div w:id="1710102545">
          <w:marLeft w:val="403"/>
          <w:marRight w:val="0"/>
          <w:marTop w:val="0"/>
          <w:marBottom w:val="120"/>
          <w:divBdr>
            <w:top w:val="none" w:sz="0" w:space="0" w:color="auto"/>
            <w:left w:val="none" w:sz="0" w:space="0" w:color="auto"/>
            <w:bottom w:val="none" w:sz="0" w:space="0" w:color="auto"/>
            <w:right w:val="none" w:sz="0" w:space="0" w:color="auto"/>
          </w:divBdr>
        </w:div>
      </w:divsChild>
    </w:div>
    <w:div w:id="1431781347">
      <w:bodyDiv w:val="1"/>
      <w:marLeft w:val="0"/>
      <w:marRight w:val="0"/>
      <w:marTop w:val="0"/>
      <w:marBottom w:val="0"/>
      <w:divBdr>
        <w:top w:val="none" w:sz="0" w:space="0" w:color="auto"/>
        <w:left w:val="none" w:sz="0" w:space="0" w:color="auto"/>
        <w:bottom w:val="none" w:sz="0" w:space="0" w:color="auto"/>
        <w:right w:val="none" w:sz="0" w:space="0" w:color="auto"/>
      </w:divBdr>
    </w:div>
    <w:div w:id="1434979293">
      <w:bodyDiv w:val="1"/>
      <w:marLeft w:val="0"/>
      <w:marRight w:val="0"/>
      <w:marTop w:val="0"/>
      <w:marBottom w:val="0"/>
      <w:divBdr>
        <w:top w:val="none" w:sz="0" w:space="0" w:color="auto"/>
        <w:left w:val="none" w:sz="0" w:space="0" w:color="auto"/>
        <w:bottom w:val="none" w:sz="0" w:space="0" w:color="auto"/>
        <w:right w:val="none" w:sz="0" w:space="0" w:color="auto"/>
      </w:divBdr>
      <w:divsChild>
        <w:div w:id="1698042882">
          <w:marLeft w:val="403"/>
          <w:marRight w:val="0"/>
          <w:marTop w:val="150"/>
          <w:marBottom w:val="0"/>
          <w:divBdr>
            <w:top w:val="none" w:sz="0" w:space="0" w:color="auto"/>
            <w:left w:val="none" w:sz="0" w:space="0" w:color="auto"/>
            <w:bottom w:val="none" w:sz="0" w:space="0" w:color="auto"/>
            <w:right w:val="none" w:sz="0" w:space="0" w:color="auto"/>
          </w:divBdr>
        </w:div>
        <w:div w:id="1831291378">
          <w:marLeft w:val="403"/>
          <w:marRight w:val="0"/>
          <w:marTop w:val="150"/>
          <w:marBottom w:val="0"/>
          <w:divBdr>
            <w:top w:val="none" w:sz="0" w:space="0" w:color="auto"/>
            <w:left w:val="none" w:sz="0" w:space="0" w:color="auto"/>
            <w:bottom w:val="none" w:sz="0" w:space="0" w:color="auto"/>
            <w:right w:val="none" w:sz="0" w:space="0" w:color="auto"/>
          </w:divBdr>
        </w:div>
      </w:divsChild>
    </w:div>
    <w:div w:id="1440682239">
      <w:bodyDiv w:val="1"/>
      <w:marLeft w:val="0"/>
      <w:marRight w:val="0"/>
      <w:marTop w:val="0"/>
      <w:marBottom w:val="0"/>
      <w:divBdr>
        <w:top w:val="none" w:sz="0" w:space="0" w:color="auto"/>
        <w:left w:val="none" w:sz="0" w:space="0" w:color="auto"/>
        <w:bottom w:val="none" w:sz="0" w:space="0" w:color="auto"/>
        <w:right w:val="none" w:sz="0" w:space="0" w:color="auto"/>
      </w:divBdr>
    </w:div>
    <w:div w:id="1450927331">
      <w:bodyDiv w:val="1"/>
      <w:marLeft w:val="0"/>
      <w:marRight w:val="0"/>
      <w:marTop w:val="0"/>
      <w:marBottom w:val="0"/>
      <w:divBdr>
        <w:top w:val="none" w:sz="0" w:space="0" w:color="auto"/>
        <w:left w:val="none" w:sz="0" w:space="0" w:color="auto"/>
        <w:bottom w:val="none" w:sz="0" w:space="0" w:color="auto"/>
        <w:right w:val="none" w:sz="0" w:space="0" w:color="auto"/>
      </w:divBdr>
      <w:divsChild>
        <w:div w:id="480000952">
          <w:marLeft w:val="403"/>
          <w:marRight w:val="0"/>
          <w:marTop w:val="0"/>
          <w:marBottom w:val="120"/>
          <w:divBdr>
            <w:top w:val="none" w:sz="0" w:space="0" w:color="auto"/>
            <w:left w:val="none" w:sz="0" w:space="0" w:color="auto"/>
            <w:bottom w:val="none" w:sz="0" w:space="0" w:color="auto"/>
            <w:right w:val="none" w:sz="0" w:space="0" w:color="auto"/>
          </w:divBdr>
        </w:div>
        <w:div w:id="970937362">
          <w:marLeft w:val="403"/>
          <w:marRight w:val="0"/>
          <w:marTop w:val="0"/>
          <w:marBottom w:val="120"/>
          <w:divBdr>
            <w:top w:val="none" w:sz="0" w:space="0" w:color="auto"/>
            <w:left w:val="none" w:sz="0" w:space="0" w:color="auto"/>
            <w:bottom w:val="none" w:sz="0" w:space="0" w:color="auto"/>
            <w:right w:val="none" w:sz="0" w:space="0" w:color="auto"/>
          </w:divBdr>
        </w:div>
        <w:div w:id="1438913850">
          <w:marLeft w:val="403"/>
          <w:marRight w:val="0"/>
          <w:marTop w:val="0"/>
          <w:marBottom w:val="120"/>
          <w:divBdr>
            <w:top w:val="none" w:sz="0" w:space="0" w:color="auto"/>
            <w:left w:val="none" w:sz="0" w:space="0" w:color="auto"/>
            <w:bottom w:val="none" w:sz="0" w:space="0" w:color="auto"/>
            <w:right w:val="none" w:sz="0" w:space="0" w:color="auto"/>
          </w:divBdr>
        </w:div>
      </w:divsChild>
    </w:div>
    <w:div w:id="1451630475">
      <w:bodyDiv w:val="1"/>
      <w:marLeft w:val="0"/>
      <w:marRight w:val="0"/>
      <w:marTop w:val="0"/>
      <w:marBottom w:val="0"/>
      <w:divBdr>
        <w:top w:val="none" w:sz="0" w:space="0" w:color="auto"/>
        <w:left w:val="none" w:sz="0" w:space="0" w:color="auto"/>
        <w:bottom w:val="none" w:sz="0" w:space="0" w:color="auto"/>
        <w:right w:val="none" w:sz="0" w:space="0" w:color="auto"/>
      </w:divBdr>
      <w:divsChild>
        <w:div w:id="885607586">
          <w:marLeft w:val="274"/>
          <w:marRight w:val="0"/>
          <w:marTop w:val="0"/>
          <w:marBottom w:val="0"/>
          <w:divBdr>
            <w:top w:val="none" w:sz="0" w:space="0" w:color="auto"/>
            <w:left w:val="none" w:sz="0" w:space="0" w:color="auto"/>
            <w:bottom w:val="none" w:sz="0" w:space="0" w:color="auto"/>
            <w:right w:val="none" w:sz="0" w:space="0" w:color="auto"/>
          </w:divBdr>
        </w:div>
        <w:div w:id="1242594999">
          <w:marLeft w:val="274"/>
          <w:marRight w:val="0"/>
          <w:marTop w:val="0"/>
          <w:marBottom w:val="0"/>
          <w:divBdr>
            <w:top w:val="none" w:sz="0" w:space="0" w:color="auto"/>
            <w:left w:val="none" w:sz="0" w:space="0" w:color="auto"/>
            <w:bottom w:val="none" w:sz="0" w:space="0" w:color="auto"/>
            <w:right w:val="none" w:sz="0" w:space="0" w:color="auto"/>
          </w:divBdr>
        </w:div>
        <w:div w:id="1619338515">
          <w:marLeft w:val="576"/>
          <w:marRight w:val="0"/>
          <w:marTop w:val="0"/>
          <w:marBottom w:val="0"/>
          <w:divBdr>
            <w:top w:val="none" w:sz="0" w:space="0" w:color="auto"/>
            <w:left w:val="none" w:sz="0" w:space="0" w:color="auto"/>
            <w:bottom w:val="none" w:sz="0" w:space="0" w:color="auto"/>
            <w:right w:val="none" w:sz="0" w:space="0" w:color="auto"/>
          </w:divBdr>
        </w:div>
        <w:div w:id="1787694965">
          <w:marLeft w:val="274"/>
          <w:marRight w:val="0"/>
          <w:marTop w:val="0"/>
          <w:marBottom w:val="0"/>
          <w:divBdr>
            <w:top w:val="none" w:sz="0" w:space="0" w:color="auto"/>
            <w:left w:val="none" w:sz="0" w:space="0" w:color="auto"/>
            <w:bottom w:val="none" w:sz="0" w:space="0" w:color="auto"/>
            <w:right w:val="none" w:sz="0" w:space="0" w:color="auto"/>
          </w:divBdr>
        </w:div>
        <w:div w:id="2143886852">
          <w:marLeft w:val="576"/>
          <w:marRight w:val="0"/>
          <w:marTop w:val="0"/>
          <w:marBottom w:val="0"/>
          <w:divBdr>
            <w:top w:val="none" w:sz="0" w:space="0" w:color="auto"/>
            <w:left w:val="none" w:sz="0" w:space="0" w:color="auto"/>
            <w:bottom w:val="none" w:sz="0" w:space="0" w:color="auto"/>
            <w:right w:val="none" w:sz="0" w:space="0" w:color="auto"/>
          </w:divBdr>
        </w:div>
      </w:divsChild>
    </w:div>
    <w:div w:id="1453280397">
      <w:bodyDiv w:val="1"/>
      <w:marLeft w:val="0"/>
      <w:marRight w:val="0"/>
      <w:marTop w:val="0"/>
      <w:marBottom w:val="0"/>
      <w:divBdr>
        <w:top w:val="none" w:sz="0" w:space="0" w:color="auto"/>
        <w:left w:val="none" w:sz="0" w:space="0" w:color="auto"/>
        <w:bottom w:val="none" w:sz="0" w:space="0" w:color="auto"/>
        <w:right w:val="none" w:sz="0" w:space="0" w:color="auto"/>
      </w:divBdr>
    </w:div>
    <w:div w:id="1454983611">
      <w:bodyDiv w:val="1"/>
      <w:marLeft w:val="0"/>
      <w:marRight w:val="0"/>
      <w:marTop w:val="0"/>
      <w:marBottom w:val="0"/>
      <w:divBdr>
        <w:top w:val="none" w:sz="0" w:space="0" w:color="auto"/>
        <w:left w:val="none" w:sz="0" w:space="0" w:color="auto"/>
        <w:bottom w:val="none" w:sz="0" w:space="0" w:color="auto"/>
        <w:right w:val="none" w:sz="0" w:space="0" w:color="auto"/>
      </w:divBdr>
    </w:div>
    <w:div w:id="1458379754">
      <w:bodyDiv w:val="1"/>
      <w:marLeft w:val="0"/>
      <w:marRight w:val="0"/>
      <w:marTop w:val="0"/>
      <w:marBottom w:val="0"/>
      <w:divBdr>
        <w:top w:val="none" w:sz="0" w:space="0" w:color="auto"/>
        <w:left w:val="none" w:sz="0" w:space="0" w:color="auto"/>
        <w:bottom w:val="none" w:sz="0" w:space="0" w:color="auto"/>
        <w:right w:val="none" w:sz="0" w:space="0" w:color="auto"/>
      </w:divBdr>
      <w:divsChild>
        <w:div w:id="138084921">
          <w:marLeft w:val="274"/>
          <w:marRight w:val="0"/>
          <w:marTop w:val="150"/>
          <w:marBottom w:val="0"/>
          <w:divBdr>
            <w:top w:val="none" w:sz="0" w:space="0" w:color="auto"/>
            <w:left w:val="none" w:sz="0" w:space="0" w:color="auto"/>
            <w:bottom w:val="none" w:sz="0" w:space="0" w:color="auto"/>
            <w:right w:val="none" w:sz="0" w:space="0" w:color="auto"/>
          </w:divBdr>
        </w:div>
        <w:div w:id="1156065292">
          <w:marLeft w:val="274"/>
          <w:marRight w:val="0"/>
          <w:marTop w:val="150"/>
          <w:marBottom w:val="0"/>
          <w:divBdr>
            <w:top w:val="none" w:sz="0" w:space="0" w:color="auto"/>
            <w:left w:val="none" w:sz="0" w:space="0" w:color="auto"/>
            <w:bottom w:val="none" w:sz="0" w:space="0" w:color="auto"/>
            <w:right w:val="none" w:sz="0" w:space="0" w:color="auto"/>
          </w:divBdr>
        </w:div>
        <w:div w:id="1535539423">
          <w:marLeft w:val="274"/>
          <w:marRight w:val="0"/>
          <w:marTop w:val="150"/>
          <w:marBottom w:val="0"/>
          <w:divBdr>
            <w:top w:val="none" w:sz="0" w:space="0" w:color="auto"/>
            <w:left w:val="none" w:sz="0" w:space="0" w:color="auto"/>
            <w:bottom w:val="none" w:sz="0" w:space="0" w:color="auto"/>
            <w:right w:val="none" w:sz="0" w:space="0" w:color="auto"/>
          </w:divBdr>
        </w:div>
        <w:div w:id="1949698893">
          <w:marLeft w:val="274"/>
          <w:marRight w:val="0"/>
          <w:marTop w:val="150"/>
          <w:marBottom w:val="0"/>
          <w:divBdr>
            <w:top w:val="none" w:sz="0" w:space="0" w:color="auto"/>
            <w:left w:val="none" w:sz="0" w:space="0" w:color="auto"/>
            <w:bottom w:val="none" w:sz="0" w:space="0" w:color="auto"/>
            <w:right w:val="none" w:sz="0" w:space="0" w:color="auto"/>
          </w:divBdr>
        </w:div>
      </w:divsChild>
    </w:div>
    <w:div w:id="1459109130">
      <w:bodyDiv w:val="1"/>
      <w:marLeft w:val="0"/>
      <w:marRight w:val="0"/>
      <w:marTop w:val="0"/>
      <w:marBottom w:val="0"/>
      <w:divBdr>
        <w:top w:val="none" w:sz="0" w:space="0" w:color="auto"/>
        <w:left w:val="none" w:sz="0" w:space="0" w:color="auto"/>
        <w:bottom w:val="none" w:sz="0" w:space="0" w:color="auto"/>
        <w:right w:val="none" w:sz="0" w:space="0" w:color="auto"/>
      </w:divBdr>
    </w:div>
    <w:div w:id="1465080222">
      <w:bodyDiv w:val="1"/>
      <w:marLeft w:val="0"/>
      <w:marRight w:val="0"/>
      <w:marTop w:val="0"/>
      <w:marBottom w:val="0"/>
      <w:divBdr>
        <w:top w:val="none" w:sz="0" w:space="0" w:color="auto"/>
        <w:left w:val="none" w:sz="0" w:space="0" w:color="auto"/>
        <w:bottom w:val="none" w:sz="0" w:space="0" w:color="auto"/>
        <w:right w:val="none" w:sz="0" w:space="0" w:color="auto"/>
      </w:divBdr>
    </w:div>
    <w:div w:id="1465385584">
      <w:bodyDiv w:val="1"/>
      <w:marLeft w:val="0"/>
      <w:marRight w:val="0"/>
      <w:marTop w:val="0"/>
      <w:marBottom w:val="0"/>
      <w:divBdr>
        <w:top w:val="none" w:sz="0" w:space="0" w:color="auto"/>
        <w:left w:val="none" w:sz="0" w:space="0" w:color="auto"/>
        <w:bottom w:val="none" w:sz="0" w:space="0" w:color="auto"/>
        <w:right w:val="none" w:sz="0" w:space="0" w:color="auto"/>
      </w:divBdr>
    </w:div>
    <w:div w:id="1469856050">
      <w:bodyDiv w:val="1"/>
      <w:marLeft w:val="0"/>
      <w:marRight w:val="0"/>
      <w:marTop w:val="0"/>
      <w:marBottom w:val="0"/>
      <w:divBdr>
        <w:top w:val="none" w:sz="0" w:space="0" w:color="auto"/>
        <w:left w:val="none" w:sz="0" w:space="0" w:color="auto"/>
        <w:bottom w:val="none" w:sz="0" w:space="0" w:color="auto"/>
        <w:right w:val="none" w:sz="0" w:space="0" w:color="auto"/>
      </w:divBdr>
    </w:div>
    <w:div w:id="1476143811">
      <w:bodyDiv w:val="1"/>
      <w:marLeft w:val="0"/>
      <w:marRight w:val="0"/>
      <w:marTop w:val="0"/>
      <w:marBottom w:val="0"/>
      <w:divBdr>
        <w:top w:val="none" w:sz="0" w:space="0" w:color="auto"/>
        <w:left w:val="none" w:sz="0" w:space="0" w:color="auto"/>
        <w:bottom w:val="none" w:sz="0" w:space="0" w:color="auto"/>
        <w:right w:val="none" w:sz="0" w:space="0" w:color="auto"/>
      </w:divBdr>
    </w:div>
    <w:div w:id="1484352811">
      <w:bodyDiv w:val="1"/>
      <w:marLeft w:val="0"/>
      <w:marRight w:val="0"/>
      <w:marTop w:val="0"/>
      <w:marBottom w:val="0"/>
      <w:divBdr>
        <w:top w:val="none" w:sz="0" w:space="0" w:color="auto"/>
        <w:left w:val="none" w:sz="0" w:space="0" w:color="auto"/>
        <w:bottom w:val="none" w:sz="0" w:space="0" w:color="auto"/>
        <w:right w:val="none" w:sz="0" w:space="0" w:color="auto"/>
      </w:divBdr>
    </w:div>
    <w:div w:id="1486581843">
      <w:bodyDiv w:val="1"/>
      <w:marLeft w:val="0"/>
      <w:marRight w:val="0"/>
      <w:marTop w:val="0"/>
      <w:marBottom w:val="0"/>
      <w:divBdr>
        <w:top w:val="none" w:sz="0" w:space="0" w:color="auto"/>
        <w:left w:val="none" w:sz="0" w:space="0" w:color="auto"/>
        <w:bottom w:val="none" w:sz="0" w:space="0" w:color="auto"/>
        <w:right w:val="none" w:sz="0" w:space="0" w:color="auto"/>
      </w:divBdr>
    </w:div>
    <w:div w:id="1488087420">
      <w:bodyDiv w:val="1"/>
      <w:marLeft w:val="0"/>
      <w:marRight w:val="0"/>
      <w:marTop w:val="0"/>
      <w:marBottom w:val="0"/>
      <w:divBdr>
        <w:top w:val="none" w:sz="0" w:space="0" w:color="auto"/>
        <w:left w:val="none" w:sz="0" w:space="0" w:color="auto"/>
        <w:bottom w:val="none" w:sz="0" w:space="0" w:color="auto"/>
        <w:right w:val="none" w:sz="0" w:space="0" w:color="auto"/>
      </w:divBdr>
      <w:divsChild>
        <w:div w:id="328139255">
          <w:marLeft w:val="403"/>
          <w:marRight w:val="0"/>
          <w:marTop w:val="150"/>
          <w:marBottom w:val="0"/>
          <w:divBdr>
            <w:top w:val="none" w:sz="0" w:space="0" w:color="auto"/>
            <w:left w:val="none" w:sz="0" w:space="0" w:color="auto"/>
            <w:bottom w:val="none" w:sz="0" w:space="0" w:color="auto"/>
            <w:right w:val="none" w:sz="0" w:space="0" w:color="auto"/>
          </w:divBdr>
        </w:div>
      </w:divsChild>
    </w:div>
    <w:div w:id="1497070685">
      <w:bodyDiv w:val="1"/>
      <w:marLeft w:val="0"/>
      <w:marRight w:val="0"/>
      <w:marTop w:val="0"/>
      <w:marBottom w:val="0"/>
      <w:divBdr>
        <w:top w:val="none" w:sz="0" w:space="0" w:color="auto"/>
        <w:left w:val="none" w:sz="0" w:space="0" w:color="auto"/>
        <w:bottom w:val="none" w:sz="0" w:space="0" w:color="auto"/>
        <w:right w:val="none" w:sz="0" w:space="0" w:color="auto"/>
      </w:divBdr>
    </w:div>
    <w:div w:id="1498233070">
      <w:bodyDiv w:val="1"/>
      <w:marLeft w:val="0"/>
      <w:marRight w:val="0"/>
      <w:marTop w:val="0"/>
      <w:marBottom w:val="0"/>
      <w:divBdr>
        <w:top w:val="none" w:sz="0" w:space="0" w:color="auto"/>
        <w:left w:val="none" w:sz="0" w:space="0" w:color="auto"/>
        <w:bottom w:val="none" w:sz="0" w:space="0" w:color="auto"/>
        <w:right w:val="none" w:sz="0" w:space="0" w:color="auto"/>
      </w:divBdr>
    </w:div>
    <w:div w:id="1501192073">
      <w:bodyDiv w:val="1"/>
      <w:marLeft w:val="0"/>
      <w:marRight w:val="0"/>
      <w:marTop w:val="0"/>
      <w:marBottom w:val="0"/>
      <w:divBdr>
        <w:top w:val="none" w:sz="0" w:space="0" w:color="auto"/>
        <w:left w:val="none" w:sz="0" w:space="0" w:color="auto"/>
        <w:bottom w:val="none" w:sz="0" w:space="0" w:color="auto"/>
        <w:right w:val="none" w:sz="0" w:space="0" w:color="auto"/>
      </w:divBdr>
    </w:div>
    <w:div w:id="1501891196">
      <w:bodyDiv w:val="1"/>
      <w:marLeft w:val="0"/>
      <w:marRight w:val="0"/>
      <w:marTop w:val="0"/>
      <w:marBottom w:val="0"/>
      <w:divBdr>
        <w:top w:val="none" w:sz="0" w:space="0" w:color="auto"/>
        <w:left w:val="none" w:sz="0" w:space="0" w:color="auto"/>
        <w:bottom w:val="none" w:sz="0" w:space="0" w:color="auto"/>
        <w:right w:val="none" w:sz="0" w:space="0" w:color="auto"/>
      </w:divBdr>
    </w:div>
    <w:div w:id="1506282503">
      <w:bodyDiv w:val="1"/>
      <w:marLeft w:val="0"/>
      <w:marRight w:val="0"/>
      <w:marTop w:val="0"/>
      <w:marBottom w:val="0"/>
      <w:divBdr>
        <w:top w:val="none" w:sz="0" w:space="0" w:color="auto"/>
        <w:left w:val="none" w:sz="0" w:space="0" w:color="auto"/>
        <w:bottom w:val="none" w:sz="0" w:space="0" w:color="auto"/>
        <w:right w:val="none" w:sz="0" w:space="0" w:color="auto"/>
      </w:divBdr>
    </w:div>
    <w:div w:id="1514294669">
      <w:bodyDiv w:val="1"/>
      <w:marLeft w:val="0"/>
      <w:marRight w:val="0"/>
      <w:marTop w:val="0"/>
      <w:marBottom w:val="0"/>
      <w:divBdr>
        <w:top w:val="none" w:sz="0" w:space="0" w:color="auto"/>
        <w:left w:val="none" w:sz="0" w:space="0" w:color="auto"/>
        <w:bottom w:val="none" w:sz="0" w:space="0" w:color="auto"/>
        <w:right w:val="none" w:sz="0" w:space="0" w:color="auto"/>
      </w:divBdr>
    </w:div>
    <w:div w:id="1514417370">
      <w:bodyDiv w:val="1"/>
      <w:marLeft w:val="0"/>
      <w:marRight w:val="0"/>
      <w:marTop w:val="0"/>
      <w:marBottom w:val="0"/>
      <w:divBdr>
        <w:top w:val="none" w:sz="0" w:space="0" w:color="auto"/>
        <w:left w:val="none" w:sz="0" w:space="0" w:color="auto"/>
        <w:bottom w:val="none" w:sz="0" w:space="0" w:color="auto"/>
        <w:right w:val="none" w:sz="0" w:space="0" w:color="auto"/>
      </w:divBdr>
    </w:div>
    <w:div w:id="1525096662">
      <w:bodyDiv w:val="1"/>
      <w:marLeft w:val="0"/>
      <w:marRight w:val="0"/>
      <w:marTop w:val="0"/>
      <w:marBottom w:val="0"/>
      <w:divBdr>
        <w:top w:val="none" w:sz="0" w:space="0" w:color="auto"/>
        <w:left w:val="none" w:sz="0" w:space="0" w:color="auto"/>
        <w:bottom w:val="none" w:sz="0" w:space="0" w:color="auto"/>
        <w:right w:val="none" w:sz="0" w:space="0" w:color="auto"/>
      </w:divBdr>
      <w:divsChild>
        <w:div w:id="1787232378">
          <w:marLeft w:val="403"/>
          <w:marRight w:val="0"/>
          <w:marTop w:val="150"/>
          <w:marBottom w:val="0"/>
          <w:divBdr>
            <w:top w:val="none" w:sz="0" w:space="0" w:color="auto"/>
            <w:left w:val="none" w:sz="0" w:space="0" w:color="auto"/>
            <w:bottom w:val="none" w:sz="0" w:space="0" w:color="auto"/>
            <w:right w:val="none" w:sz="0" w:space="0" w:color="auto"/>
          </w:divBdr>
        </w:div>
      </w:divsChild>
    </w:div>
    <w:div w:id="1525703222">
      <w:bodyDiv w:val="1"/>
      <w:marLeft w:val="0"/>
      <w:marRight w:val="0"/>
      <w:marTop w:val="0"/>
      <w:marBottom w:val="0"/>
      <w:divBdr>
        <w:top w:val="none" w:sz="0" w:space="0" w:color="auto"/>
        <w:left w:val="none" w:sz="0" w:space="0" w:color="auto"/>
        <w:bottom w:val="none" w:sz="0" w:space="0" w:color="auto"/>
        <w:right w:val="none" w:sz="0" w:space="0" w:color="auto"/>
      </w:divBdr>
      <w:divsChild>
        <w:div w:id="208685634">
          <w:marLeft w:val="403"/>
          <w:marRight w:val="0"/>
          <w:marTop w:val="150"/>
          <w:marBottom w:val="0"/>
          <w:divBdr>
            <w:top w:val="none" w:sz="0" w:space="0" w:color="auto"/>
            <w:left w:val="none" w:sz="0" w:space="0" w:color="auto"/>
            <w:bottom w:val="none" w:sz="0" w:space="0" w:color="auto"/>
            <w:right w:val="none" w:sz="0" w:space="0" w:color="auto"/>
          </w:divBdr>
        </w:div>
        <w:div w:id="2109812090">
          <w:marLeft w:val="403"/>
          <w:marRight w:val="0"/>
          <w:marTop w:val="150"/>
          <w:marBottom w:val="0"/>
          <w:divBdr>
            <w:top w:val="none" w:sz="0" w:space="0" w:color="auto"/>
            <w:left w:val="none" w:sz="0" w:space="0" w:color="auto"/>
            <w:bottom w:val="none" w:sz="0" w:space="0" w:color="auto"/>
            <w:right w:val="none" w:sz="0" w:space="0" w:color="auto"/>
          </w:divBdr>
        </w:div>
      </w:divsChild>
    </w:div>
    <w:div w:id="1535196189">
      <w:bodyDiv w:val="1"/>
      <w:marLeft w:val="0"/>
      <w:marRight w:val="0"/>
      <w:marTop w:val="0"/>
      <w:marBottom w:val="0"/>
      <w:divBdr>
        <w:top w:val="none" w:sz="0" w:space="0" w:color="auto"/>
        <w:left w:val="none" w:sz="0" w:space="0" w:color="auto"/>
        <w:bottom w:val="none" w:sz="0" w:space="0" w:color="auto"/>
        <w:right w:val="none" w:sz="0" w:space="0" w:color="auto"/>
      </w:divBdr>
    </w:div>
    <w:div w:id="1550336962">
      <w:bodyDiv w:val="1"/>
      <w:marLeft w:val="0"/>
      <w:marRight w:val="0"/>
      <w:marTop w:val="0"/>
      <w:marBottom w:val="0"/>
      <w:divBdr>
        <w:top w:val="none" w:sz="0" w:space="0" w:color="auto"/>
        <w:left w:val="none" w:sz="0" w:space="0" w:color="auto"/>
        <w:bottom w:val="none" w:sz="0" w:space="0" w:color="auto"/>
        <w:right w:val="none" w:sz="0" w:space="0" w:color="auto"/>
      </w:divBdr>
    </w:div>
    <w:div w:id="1555577011">
      <w:bodyDiv w:val="1"/>
      <w:marLeft w:val="0"/>
      <w:marRight w:val="0"/>
      <w:marTop w:val="0"/>
      <w:marBottom w:val="0"/>
      <w:divBdr>
        <w:top w:val="none" w:sz="0" w:space="0" w:color="auto"/>
        <w:left w:val="none" w:sz="0" w:space="0" w:color="auto"/>
        <w:bottom w:val="none" w:sz="0" w:space="0" w:color="auto"/>
        <w:right w:val="none" w:sz="0" w:space="0" w:color="auto"/>
      </w:divBdr>
    </w:div>
    <w:div w:id="1560482710">
      <w:bodyDiv w:val="1"/>
      <w:marLeft w:val="0"/>
      <w:marRight w:val="0"/>
      <w:marTop w:val="0"/>
      <w:marBottom w:val="0"/>
      <w:divBdr>
        <w:top w:val="none" w:sz="0" w:space="0" w:color="auto"/>
        <w:left w:val="none" w:sz="0" w:space="0" w:color="auto"/>
        <w:bottom w:val="none" w:sz="0" w:space="0" w:color="auto"/>
        <w:right w:val="none" w:sz="0" w:space="0" w:color="auto"/>
      </w:divBdr>
    </w:div>
    <w:div w:id="1562251686">
      <w:bodyDiv w:val="1"/>
      <w:marLeft w:val="0"/>
      <w:marRight w:val="0"/>
      <w:marTop w:val="0"/>
      <w:marBottom w:val="0"/>
      <w:divBdr>
        <w:top w:val="none" w:sz="0" w:space="0" w:color="auto"/>
        <w:left w:val="none" w:sz="0" w:space="0" w:color="auto"/>
        <w:bottom w:val="none" w:sz="0" w:space="0" w:color="auto"/>
        <w:right w:val="none" w:sz="0" w:space="0" w:color="auto"/>
      </w:divBdr>
    </w:div>
    <w:div w:id="1571186394">
      <w:bodyDiv w:val="1"/>
      <w:marLeft w:val="0"/>
      <w:marRight w:val="0"/>
      <w:marTop w:val="0"/>
      <w:marBottom w:val="0"/>
      <w:divBdr>
        <w:top w:val="none" w:sz="0" w:space="0" w:color="auto"/>
        <w:left w:val="none" w:sz="0" w:space="0" w:color="auto"/>
        <w:bottom w:val="none" w:sz="0" w:space="0" w:color="auto"/>
        <w:right w:val="none" w:sz="0" w:space="0" w:color="auto"/>
      </w:divBdr>
    </w:div>
    <w:div w:id="1577322521">
      <w:bodyDiv w:val="1"/>
      <w:marLeft w:val="0"/>
      <w:marRight w:val="0"/>
      <w:marTop w:val="0"/>
      <w:marBottom w:val="0"/>
      <w:divBdr>
        <w:top w:val="none" w:sz="0" w:space="0" w:color="auto"/>
        <w:left w:val="none" w:sz="0" w:space="0" w:color="auto"/>
        <w:bottom w:val="none" w:sz="0" w:space="0" w:color="auto"/>
        <w:right w:val="none" w:sz="0" w:space="0" w:color="auto"/>
      </w:divBdr>
    </w:div>
    <w:div w:id="1581059709">
      <w:bodyDiv w:val="1"/>
      <w:marLeft w:val="0"/>
      <w:marRight w:val="0"/>
      <w:marTop w:val="0"/>
      <w:marBottom w:val="0"/>
      <w:divBdr>
        <w:top w:val="none" w:sz="0" w:space="0" w:color="auto"/>
        <w:left w:val="none" w:sz="0" w:space="0" w:color="auto"/>
        <w:bottom w:val="none" w:sz="0" w:space="0" w:color="auto"/>
        <w:right w:val="none" w:sz="0" w:space="0" w:color="auto"/>
      </w:divBdr>
      <w:divsChild>
        <w:div w:id="660891579">
          <w:marLeft w:val="403"/>
          <w:marRight w:val="0"/>
          <w:marTop w:val="0"/>
          <w:marBottom w:val="150"/>
          <w:divBdr>
            <w:top w:val="none" w:sz="0" w:space="0" w:color="auto"/>
            <w:left w:val="none" w:sz="0" w:space="0" w:color="auto"/>
            <w:bottom w:val="none" w:sz="0" w:space="0" w:color="auto"/>
            <w:right w:val="none" w:sz="0" w:space="0" w:color="auto"/>
          </w:divBdr>
        </w:div>
        <w:div w:id="2024359666">
          <w:marLeft w:val="403"/>
          <w:marRight w:val="0"/>
          <w:marTop w:val="0"/>
          <w:marBottom w:val="150"/>
          <w:divBdr>
            <w:top w:val="none" w:sz="0" w:space="0" w:color="auto"/>
            <w:left w:val="none" w:sz="0" w:space="0" w:color="auto"/>
            <w:bottom w:val="none" w:sz="0" w:space="0" w:color="auto"/>
            <w:right w:val="none" w:sz="0" w:space="0" w:color="auto"/>
          </w:divBdr>
        </w:div>
      </w:divsChild>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95626474">
      <w:bodyDiv w:val="1"/>
      <w:marLeft w:val="0"/>
      <w:marRight w:val="0"/>
      <w:marTop w:val="0"/>
      <w:marBottom w:val="0"/>
      <w:divBdr>
        <w:top w:val="none" w:sz="0" w:space="0" w:color="auto"/>
        <w:left w:val="none" w:sz="0" w:space="0" w:color="auto"/>
        <w:bottom w:val="none" w:sz="0" w:space="0" w:color="auto"/>
        <w:right w:val="none" w:sz="0" w:space="0" w:color="auto"/>
      </w:divBdr>
    </w:div>
    <w:div w:id="1601598450">
      <w:bodyDiv w:val="1"/>
      <w:marLeft w:val="0"/>
      <w:marRight w:val="0"/>
      <w:marTop w:val="0"/>
      <w:marBottom w:val="0"/>
      <w:divBdr>
        <w:top w:val="none" w:sz="0" w:space="0" w:color="auto"/>
        <w:left w:val="none" w:sz="0" w:space="0" w:color="auto"/>
        <w:bottom w:val="none" w:sz="0" w:space="0" w:color="auto"/>
        <w:right w:val="none" w:sz="0" w:space="0" w:color="auto"/>
      </w:divBdr>
      <w:divsChild>
        <w:div w:id="1426220442">
          <w:marLeft w:val="403"/>
          <w:marRight w:val="0"/>
          <w:marTop w:val="0"/>
          <w:marBottom w:val="120"/>
          <w:divBdr>
            <w:top w:val="none" w:sz="0" w:space="0" w:color="auto"/>
            <w:left w:val="none" w:sz="0" w:space="0" w:color="auto"/>
            <w:bottom w:val="none" w:sz="0" w:space="0" w:color="auto"/>
            <w:right w:val="none" w:sz="0" w:space="0" w:color="auto"/>
          </w:divBdr>
        </w:div>
        <w:div w:id="2131242364">
          <w:marLeft w:val="403"/>
          <w:marRight w:val="0"/>
          <w:marTop w:val="0"/>
          <w:marBottom w:val="120"/>
          <w:divBdr>
            <w:top w:val="none" w:sz="0" w:space="0" w:color="auto"/>
            <w:left w:val="none" w:sz="0" w:space="0" w:color="auto"/>
            <w:bottom w:val="none" w:sz="0" w:space="0" w:color="auto"/>
            <w:right w:val="none" w:sz="0" w:space="0" w:color="auto"/>
          </w:divBdr>
        </w:div>
      </w:divsChild>
    </w:div>
    <w:div w:id="1606688391">
      <w:bodyDiv w:val="1"/>
      <w:marLeft w:val="0"/>
      <w:marRight w:val="0"/>
      <w:marTop w:val="0"/>
      <w:marBottom w:val="0"/>
      <w:divBdr>
        <w:top w:val="none" w:sz="0" w:space="0" w:color="auto"/>
        <w:left w:val="none" w:sz="0" w:space="0" w:color="auto"/>
        <w:bottom w:val="none" w:sz="0" w:space="0" w:color="auto"/>
        <w:right w:val="none" w:sz="0" w:space="0" w:color="auto"/>
      </w:divBdr>
    </w:div>
    <w:div w:id="1608587169">
      <w:bodyDiv w:val="1"/>
      <w:marLeft w:val="0"/>
      <w:marRight w:val="0"/>
      <w:marTop w:val="0"/>
      <w:marBottom w:val="0"/>
      <w:divBdr>
        <w:top w:val="none" w:sz="0" w:space="0" w:color="auto"/>
        <w:left w:val="none" w:sz="0" w:space="0" w:color="auto"/>
        <w:bottom w:val="none" w:sz="0" w:space="0" w:color="auto"/>
        <w:right w:val="none" w:sz="0" w:space="0" w:color="auto"/>
      </w:divBdr>
      <w:divsChild>
        <w:div w:id="297415934">
          <w:marLeft w:val="274"/>
          <w:marRight w:val="0"/>
          <w:marTop w:val="120"/>
          <w:marBottom w:val="0"/>
          <w:divBdr>
            <w:top w:val="none" w:sz="0" w:space="0" w:color="auto"/>
            <w:left w:val="none" w:sz="0" w:space="0" w:color="auto"/>
            <w:bottom w:val="none" w:sz="0" w:space="0" w:color="auto"/>
            <w:right w:val="none" w:sz="0" w:space="0" w:color="auto"/>
          </w:divBdr>
        </w:div>
        <w:div w:id="502165741">
          <w:marLeft w:val="274"/>
          <w:marRight w:val="0"/>
          <w:marTop w:val="120"/>
          <w:marBottom w:val="0"/>
          <w:divBdr>
            <w:top w:val="none" w:sz="0" w:space="0" w:color="auto"/>
            <w:left w:val="none" w:sz="0" w:space="0" w:color="auto"/>
            <w:bottom w:val="none" w:sz="0" w:space="0" w:color="auto"/>
            <w:right w:val="none" w:sz="0" w:space="0" w:color="auto"/>
          </w:divBdr>
        </w:div>
        <w:div w:id="593368522">
          <w:marLeft w:val="274"/>
          <w:marRight w:val="0"/>
          <w:marTop w:val="120"/>
          <w:marBottom w:val="0"/>
          <w:divBdr>
            <w:top w:val="none" w:sz="0" w:space="0" w:color="auto"/>
            <w:left w:val="none" w:sz="0" w:space="0" w:color="auto"/>
            <w:bottom w:val="none" w:sz="0" w:space="0" w:color="auto"/>
            <w:right w:val="none" w:sz="0" w:space="0" w:color="auto"/>
          </w:divBdr>
        </w:div>
        <w:div w:id="636911165">
          <w:marLeft w:val="274"/>
          <w:marRight w:val="0"/>
          <w:marTop w:val="120"/>
          <w:marBottom w:val="0"/>
          <w:divBdr>
            <w:top w:val="none" w:sz="0" w:space="0" w:color="auto"/>
            <w:left w:val="none" w:sz="0" w:space="0" w:color="auto"/>
            <w:bottom w:val="none" w:sz="0" w:space="0" w:color="auto"/>
            <w:right w:val="none" w:sz="0" w:space="0" w:color="auto"/>
          </w:divBdr>
        </w:div>
        <w:div w:id="887960948">
          <w:marLeft w:val="274"/>
          <w:marRight w:val="0"/>
          <w:marTop w:val="120"/>
          <w:marBottom w:val="0"/>
          <w:divBdr>
            <w:top w:val="none" w:sz="0" w:space="0" w:color="auto"/>
            <w:left w:val="none" w:sz="0" w:space="0" w:color="auto"/>
            <w:bottom w:val="none" w:sz="0" w:space="0" w:color="auto"/>
            <w:right w:val="none" w:sz="0" w:space="0" w:color="auto"/>
          </w:divBdr>
        </w:div>
        <w:div w:id="925456307">
          <w:marLeft w:val="274"/>
          <w:marRight w:val="0"/>
          <w:marTop w:val="150"/>
          <w:marBottom w:val="0"/>
          <w:divBdr>
            <w:top w:val="none" w:sz="0" w:space="0" w:color="auto"/>
            <w:left w:val="none" w:sz="0" w:space="0" w:color="auto"/>
            <w:bottom w:val="none" w:sz="0" w:space="0" w:color="auto"/>
            <w:right w:val="none" w:sz="0" w:space="0" w:color="auto"/>
          </w:divBdr>
        </w:div>
        <w:div w:id="1786462668">
          <w:marLeft w:val="274"/>
          <w:marRight w:val="0"/>
          <w:marTop w:val="120"/>
          <w:marBottom w:val="0"/>
          <w:divBdr>
            <w:top w:val="none" w:sz="0" w:space="0" w:color="auto"/>
            <w:left w:val="none" w:sz="0" w:space="0" w:color="auto"/>
            <w:bottom w:val="none" w:sz="0" w:space="0" w:color="auto"/>
            <w:right w:val="none" w:sz="0" w:space="0" w:color="auto"/>
          </w:divBdr>
        </w:div>
        <w:div w:id="1802066722">
          <w:marLeft w:val="274"/>
          <w:marRight w:val="0"/>
          <w:marTop w:val="120"/>
          <w:marBottom w:val="0"/>
          <w:divBdr>
            <w:top w:val="none" w:sz="0" w:space="0" w:color="auto"/>
            <w:left w:val="none" w:sz="0" w:space="0" w:color="auto"/>
            <w:bottom w:val="none" w:sz="0" w:space="0" w:color="auto"/>
            <w:right w:val="none" w:sz="0" w:space="0" w:color="auto"/>
          </w:divBdr>
        </w:div>
        <w:div w:id="2143382440">
          <w:marLeft w:val="274"/>
          <w:marRight w:val="0"/>
          <w:marTop w:val="120"/>
          <w:marBottom w:val="0"/>
          <w:divBdr>
            <w:top w:val="none" w:sz="0" w:space="0" w:color="auto"/>
            <w:left w:val="none" w:sz="0" w:space="0" w:color="auto"/>
            <w:bottom w:val="none" w:sz="0" w:space="0" w:color="auto"/>
            <w:right w:val="none" w:sz="0" w:space="0" w:color="auto"/>
          </w:divBdr>
        </w:div>
      </w:divsChild>
    </w:div>
    <w:div w:id="1613049764">
      <w:bodyDiv w:val="1"/>
      <w:marLeft w:val="0"/>
      <w:marRight w:val="0"/>
      <w:marTop w:val="0"/>
      <w:marBottom w:val="0"/>
      <w:divBdr>
        <w:top w:val="none" w:sz="0" w:space="0" w:color="auto"/>
        <w:left w:val="none" w:sz="0" w:space="0" w:color="auto"/>
        <w:bottom w:val="none" w:sz="0" w:space="0" w:color="auto"/>
        <w:right w:val="none" w:sz="0" w:space="0" w:color="auto"/>
      </w:divBdr>
    </w:div>
    <w:div w:id="1623531749">
      <w:bodyDiv w:val="1"/>
      <w:marLeft w:val="0"/>
      <w:marRight w:val="0"/>
      <w:marTop w:val="0"/>
      <w:marBottom w:val="0"/>
      <w:divBdr>
        <w:top w:val="none" w:sz="0" w:space="0" w:color="auto"/>
        <w:left w:val="none" w:sz="0" w:space="0" w:color="auto"/>
        <w:bottom w:val="none" w:sz="0" w:space="0" w:color="auto"/>
        <w:right w:val="none" w:sz="0" w:space="0" w:color="auto"/>
      </w:divBdr>
      <w:divsChild>
        <w:div w:id="2116556887">
          <w:marLeft w:val="403"/>
          <w:marRight w:val="0"/>
          <w:marTop w:val="150"/>
          <w:marBottom w:val="0"/>
          <w:divBdr>
            <w:top w:val="none" w:sz="0" w:space="0" w:color="auto"/>
            <w:left w:val="none" w:sz="0" w:space="0" w:color="auto"/>
            <w:bottom w:val="none" w:sz="0" w:space="0" w:color="auto"/>
            <w:right w:val="none" w:sz="0" w:space="0" w:color="auto"/>
          </w:divBdr>
        </w:div>
      </w:divsChild>
    </w:div>
    <w:div w:id="1623923889">
      <w:bodyDiv w:val="1"/>
      <w:marLeft w:val="0"/>
      <w:marRight w:val="0"/>
      <w:marTop w:val="0"/>
      <w:marBottom w:val="0"/>
      <w:divBdr>
        <w:top w:val="none" w:sz="0" w:space="0" w:color="auto"/>
        <w:left w:val="none" w:sz="0" w:space="0" w:color="auto"/>
        <w:bottom w:val="none" w:sz="0" w:space="0" w:color="auto"/>
        <w:right w:val="none" w:sz="0" w:space="0" w:color="auto"/>
      </w:divBdr>
    </w:div>
    <w:div w:id="1629816796">
      <w:bodyDiv w:val="1"/>
      <w:marLeft w:val="0"/>
      <w:marRight w:val="0"/>
      <w:marTop w:val="0"/>
      <w:marBottom w:val="0"/>
      <w:divBdr>
        <w:top w:val="none" w:sz="0" w:space="0" w:color="auto"/>
        <w:left w:val="none" w:sz="0" w:space="0" w:color="auto"/>
        <w:bottom w:val="none" w:sz="0" w:space="0" w:color="auto"/>
        <w:right w:val="none" w:sz="0" w:space="0" w:color="auto"/>
      </w:divBdr>
      <w:divsChild>
        <w:div w:id="24723072">
          <w:marLeft w:val="720"/>
          <w:marRight w:val="0"/>
          <w:marTop w:val="150"/>
          <w:marBottom w:val="0"/>
          <w:divBdr>
            <w:top w:val="none" w:sz="0" w:space="0" w:color="auto"/>
            <w:left w:val="none" w:sz="0" w:space="0" w:color="auto"/>
            <w:bottom w:val="none" w:sz="0" w:space="0" w:color="auto"/>
            <w:right w:val="none" w:sz="0" w:space="0" w:color="auto"/>
          </w:divBdr>
        </w:div>
        <w:div w:id="169948660">
          <w:marLeft w:val="720"/>
          <w:marRight w:val="0"/>
          <w:marTop w:val="150"/>
          <w:marBottom w:val="0"/>
          <w:divBdr>
            <w:top w:val="none" w:sz="0" w:space="0" w:color="auto"/>
            <w:left w:val="none" w:sz="0" w:space="0" w:color="auto"/>
            <w:bottom w:val="none" w:sz="0" w:space="0" w:color="auto"/>
            <w:right w:val="none" w:sz="0" w:space="0" w:color="auto"/>
          </w:divBdr>
        </w:div>
        <w:div w:id="303775472">
          <w:marLeft w:val="274"/>
          <w:marRight w:val="0"/>
          <w:marTop w:val="150"/>
          <w:marBottom w:val="0"/>
          <w:divBdr>
            <w:top w:val="none" w:sz="0" w:space="0" w:color="auto"/>
            <w:left w:val="none" w:sz="0" w:space="0" w:color="auto"/>
            <w:bottom w:val="none" w:sz="0" w:space="0" w:color="auto"/>
            <w:right w:val="none" w:sz="0" w:space="0" w:color="auto"/>
          </w:divBdr>
        </w:div>
        <w:div w:id="482694817">
          <w:marLeft w:val="274"/>
          <w:marRight w:val="0"/>
          <w:marTop w:val="150"/>
          <w:marBottom w:val="0"/>
          <w:divBdr>
            <w:top w:val="none" w:sz="0" w:space="0" w:color="auto"/>
            <w:left w:val="none" w:sz="0" w:space="0" w:color="auto"/>
            <w:bottom w:val="none" w:sz="0" w:space="0" w:color="auto"/>
            <w:right w:val="none" w:sz="0" w:space="0" w:color="auto"/>
          </w:divBdr>
        </w:div>
        <w:div w:id="903956582">
          <w:marLeft w:val="274"/>
          <w:marRight w:val="0"/>
          <w:marTop w:val="150"/>
          <w:marBottom w:val="0"/>
          <w:divBdr>
            <w:top w:val="none" w:sz="0" w:space="0" w:color="auto"/>
            <w:left w:val="none" w:sz="0" w:space="0" w:color="auto"/>
            <w:bottom w:val="none" w:sz="0" w:space="0" w:color="auto"/>
            <w:right w:val="none" w:sz="0" w:space="0" w:color="auto"/>
          </w:divBdr>
        </w:div>
        <w:div w:id="914707623">
          <w:marLeft w:val="274"/>
          <w:marRight w:val="0"/>
          <w:marTop w:val="150"/>
          <w:marBottom w:val="0"/>
          <w:divBdr>
            <w:top w:val="none" w:sz="0" w:space="0" w:color="auto"/>
            <w:left w:val="none" w:sz="0" w:space="0" w:color="auto"/>
            <w:bottom w:val="none" w:sz="0" w:space="0" w:color="auto"/>
            <w:right w:val="none" w:sz="0" w:space="0" w:color="auto"/>
          </w:divBdr>
        </w:div>
        <w:div w:id="1211839307">
          <w:marLeft w:val="274"/>
          <w:marRight w:val="0"/>
          <w:marTop w:val="150"/>
          <w:marBottom w:val="0"/>
          <w:divBdr>
            <w:top w:val="none" w:sz="0" w:space="0" w:color="auto"/>
            <w:left w:val="none" w:sz="0" w:space="0" w:color="auto"/>
            <w:bottom w:val="none" w:sz="0" w:space="0" w:color="auto"/>
            <w:right w:val="none" w:sz="0" w:space="0" w:color="auto"/>
          </w:divBdr>
        </w:div>
        <w:div w:id="1766073492">
          <w:marLeft w:val="576"/>
          <w:marRight w:val="0"/>
          <w:marTop w:val="150"/>
          <w:marBottom w:val="0"/>
          <w:divBdr>
            <w:top w:val="none" w:sz="0" w:space="0" w:color="auto"/>
            <w:left w:val="none" w:sz="0" w:space="0" w:color="auto"/>
            <w:bottom w:val="none" w:sz="0" w:space="0" w:color="auto"/>
            <w:right w:val="none" w:sz="0" w:space="0" w:color="auto"/>
          </w:divBdr>
        </w:div>
        <w:div w:id="1853837273">
          <w:marLeft w:val="274"/>
          <w:marRight w:val="0"/>
          <w:marTop w:val="150"/>
          <w:marBottom w:val="0"/>
          <w:divBdr>
            <w:top w:val="none" w:sz="0" w:space="0" w:color="auto"/>
            <w:left w:val="none" w:sz="0" w:space="0" w:color="auto"/>
            <w:bottom w:val="none" w:sz="0" w:space="0" w:color="auto"/>
            <w:right w:val="none" w:sz="0" w:space="0" w:color="auto"/>
          </w:divBdr>
        </w:div>
        <w:div w:id="1934702612">
          <w:marLeft w:val="274"/>
          <w:marRight w:val="0"/>
          <w:marTop w:val="150"/>
          <w:marBottom w:val="0"/>
          <w:divBdr>
            <w:top w:val="none" w:sz="0" w:space="0" w:color="auto"/>
            <w:left w:val="none" w:sz="0" w:space="0" w:color="auto"/>
            <w:bottom w:val="none" w:sz="0" w:space="0" w:color="auto"/>
            <w:right w:val="none" w:sz="0" w:space="0" w:color="auto"/>
          </w:divBdr>
        </w:div>
      </w:divsChild>
    </w:div>
    <w:div w:id="1629821297">
      <w:bodyDiv w:val="1"/>
      <w:marLeft w:val="0"/>
      <w:marRight w:val="0"/>
      <w:marTop w:val="0"/>
      <w:marBottom w:val="0"/>
      <w:divBdr>
        <w:top w:val="none" w:sz="0" w:space="0" w:color="auto"/>
        <w:left w:val="none" w:sz="0" w:space="0" w:color="auto"/>
        <w:bottom w:val="none" w:sz="0" w:space="0" w:color="auto"/>
        <w:right w:val="none" w:sz="0" w:space="0" w:color="auto"/>
      </w:divBdr>
    </w:div>
    <w:div w:id="1644195034">
      <w:bodyDiv w:val="1"/>
      <w:marLeft w:val="0"/>
      <w:marRight w:val="0"/>
      <w:marTop w:val="0"/>
      <w:marBottom w:val="0"/>
      <w:divBdr>
        <w:top w:val="none" w:sz="0" w:space="0" w:color="auto"/>
        <w:left w:val="none" w:sz="0" w:space="0" w:color="auto"/>
        <w:bottom w:val="none" w:sz="0" w:space="0" w:color="auto"/>
        <w:right w:val="none" w:sz="0" w:space="0" w:color="auto"/>
      </w:divBdr>
    </w:div>
    <w:div w:id="1645621360">
      <w:bodyDiv w:val="1"/>
      <w:marLeft w:val="0"/>
      <w:marRight w:val="0"/>
      <w:marTop w:val="0"/>
      <w:marBottom w:val="0"/>
      <w:divBdr>
        <w:top w:val="none" w:sz="0" w:space="0" w:color="auto"/>
        <w:left w:val="none" w:sz="0" w:space="0" w:color="auto"/>
        <w:bottom w:val="none" w:sz="0" w:space="0" w:color="auto"/>
        <w:right w:val="none" w:sz="0" w:space="0" w:color="auto"/>
      </w:divBdr>
    </w:div>
    <w:div w:id="1652825612">
      <w:bodyDiv w:val="1"/>
      <w:marLeft w:val="0"/>
      <w:marRight w:val="0"/>
      <w:marTop w:val="0"/>
      <w:marBottom w:val="0"/>
      <w:divBdr>
        <w:top w:val="none" w:sz="0" w:space="0" w:color="auto"/>
        <w:left w:val="none" w:sz="0" w:space="0" w:color="auto"/>
        <w:bottom w:val="none" w:sz="0" w:space="0" w:color="auto"/>
        <w:right w:val="none" w:sz="0" w:space="0" w:color="auto"/>
      </w:divBdr>
    </w:div>
    <w:div w:id="1665667103">
      <w:bodyDiv w:val="1"/>
      <w:marLeft w:val="0"/>
      <w:marRight w:val="0"/>
      <w:marTop w:val="0"/>
      <w:marBottom w:val="0"/>
      <w:divBdr>
        <w:top w:val="none" w:sz="0" w:space="0" w:color="auto"/>
        <w:left w:val="none" w:sz="0" w:space="0" w:color="auto"/>
        <w:bottom w:val="none" w:sz="0" w:space="0" w:color="auto"/>
        <w:right w:val="none" w:sz="0" w:space="0" w:color="auto"/>
      </w:divBdr>
    </w:div>
    <w:div w:id="1668552095">
      <w:bodyDiv w:val="1"/>
      <w:marLeft w:val="0"/>
      <w:marRight w:val="0"/>
      <w:marTop w:val="0"/>
      <w:marBottom w:val="0"/>
      <w:divBdr>
        <w:top w:val="none" w:sz="0" w:space="0" w:color="auto"/>
        <w:left w:val="none" w:sz="0" w:space="0" w:color="auto"/>
        <w:bottom w:val="none" w:sz="0" w:space="0" w:color="auto"/>
        <w:right w:val="none" w:sz="0" w:space="0" w:color="auto"/>
      </w:divBdr>
    </w:div>
    <w:div w:id="1690644684">
      <w:bodyDiv w:val="1"/>
      <w:marLeft w:val="0"/>
      <w:marRight w:val="0"/>
      <w:marTop w:val="0"/>
      <w:marBottom w:val="0"/>
      <w:divBdr>
        <w:top w:val="none" w:sz="0" w:space="0" w:color="auto"/>
        <w:left w:val="none" w:sz="0" w:space="0" w:color="auto"/>
        <w:bottom w:val="none" w:sz="0" w:space="0" w:color="auto"/>
        <w:right w:val="none" w:sz="0" w:space="0" w:color="auto"/>
      </w:divBdr>
      <w:divsChild>
        <w:div w:id="261108257">
          <w:marLeft w:val="274"/>
          <w:marRight w:val="0"/>
          <w:marTop w:val="150"/>
          <w:marBottom w:val="0"/>
          <w:divBdr>
            <w:top w:val="none" w:sz="0" w:space="0" w:color="auto"/>
            <w:left w:val="none" w:sz="0" w:space="0" w:color="auto"/>
            <w:bottom w:val="none" w:sz="0" w:space="0" w:color="auto"/>
            <w:right w:val="none" w:sz="0" w:space="0" w:color="auto"/>
          </w:divBdr>
        </w:div>
        <w:div w:id="1647278054">
          <w:marLeft w:val="274"/>
          <w:marRight w:val="0"/>
          <w:marTop w:val="150"/>
          <w:marBottom w:val="0"/>
          <w:divBdr>
            <w:top w:val="none" w:sz="0" w:space="0" w:color="auto"/>
            <w:left w:val="none" w:sz="0" w:space="0" w:color="auto"/>
            <w:bottom w:val="none" w:sz="0" w:space="0" w:color="auto"/>
            <w:right w:val="none" w:sz="0" w:space="0" w:color="auto"/>
          </w:divBdr>
        </w:div>
        <w:div w:id="2102413980">
          <w:marLeft w:val="274"/>
          <w:marRight w:val="0"/>
          <w:marTop w:val="150"/>
          <w:marBottom w:val="0"/>
          <w:divBdr>
            <w:top w:val="none" w:sz="0" w:space="0" w:color="auto"/>
            <w:left w:val="none" w:sz="0" w:space="0" w:color="auto"/>
            <w:bottom w:val="none" w:sz="0" w:space="0" w:color="auto"/>
            <w:right w:val="none" w:sz="0" w:space="0" w:color="auto"/>
          </w:divBdr>
        </w:div>
      </w:divsChild>
    </w:div>
    <w:div w:id="1696074059">
      <w:bodyDiv w:val="1"/>
      <w:marLeft w:val="0"/>
      <w:marRight w:val="0"/>
      <w:marTop w:val="0"/>
      <w:marBottom w:val="0"/>
      <w:divBdr>
        <w:top w:val="none" w:sz="0" w:space="0" w:color="auto"/>
        <w:left w:val="none" w:sz="0" w:space="0" w:color="auto"/>
        <w:bottom w:val="none" w:sz="0" w:space="0" w:color="auto"/>
        <w:right w:val="none" w:sz="0" w:space="0" w:color="auto"/>
      </w:divBdr>
      <w:divsChild>
        <w:div w:id="1112015691">
          <w:marLeft w:val="274"/>
          <w:marRight w:val="0"/>
          <w:marTop w:val="0"/>
          <w:marBottom w:val="120"/>
          <w:divBdr>
            <w:top w:val="none" w:sz="0" w:space="0" w:color="auto"/>
            <w:left w:val="none" w:sz="0" w:space="0" w:color="auto"/>
            <w:bottom w:val="none" w:sz="0" w:space="0" w:color="auto"/>
            <w:right w:val="none" w:sz="0" w:space="0" w:color="auto"/>
          </w:divBdr>
        </w:div>
      </w:divsChild>
    </w:div>
    <w:div w:id="1697805139">
      <w:bodyDiv w:val="1"/>
      <w:marLeft w:val="0"/>
      <w:marRight w:val="0"/>
      <w:marTop w:val="0"/>
      <w:marBottom w:val="0"/>
      <w:divBdr>
        <w:top w:val="none" w:sz="0" w:space="0" w:color="auto"/>
        <w:left w:val="none" w:sz="0" w:space="0" w:color="auto"/>
        <w:bottom w:val="none" w:sz="0" w:space="0" w:color="auto"/>
        <w:right w:val="none" w:sz="0" w:space="0" w:color="auto"/>
      </w:divBdr>
      <w:divsChild>
        <w:div w:id="545604215">
          <w:marLeft w:val="475"/>
          <w:marRight w:val="0"/>
          <w:marTop w:val="0"/>
          <w:marBottom w:val="120"/>
          <w:divBdr>
            <w:top w:val="none" w:sz="0" w:space="0" w:color="auto"/>
            <w:left w:val="none" w:sz="0" w:space="0" w:color="auto"/>
            <w:bottom w:val="none" w:sz="0" w:space="0" w:color="auto"/>
            <w:right w:val="none" w:sz="0" w:space="0" w:color="auto"/>
          </w:divBdr>
        </w:div>
        <w:div w:id="1496071598">
          <w:marLeft w:val="475"/>
          <w:marRight w:val="0"/>
          <w:marTop w:val="0"/>
          <w:marBottom w:val="120"/>
          <w:divBdr>
            <w:top w:val="none" w:sz="0" w:space="0" w:color="auto"/>
            <w:left w:val="none" w:sz="0" w:space="0" w:color="auto"/>
            <w:bottom w:val="none" w:sz="0" w:space="0" w:color="auto"/>
            <w:right w:val="none" w:sz="0" w:space="0" w:color="auto"/>
          </w:divBdr>
        </w:div>
      </w:divsChild>
    </w:div>
    <w:div w:id="1700352239">
      <w:bodyDiv w:val="1"/>
      <w:marLeft w:val="0"/>
      <w:marRight w:val="0"/>
      <w:marTop w:val="0"/>
      <w:marBottom w:val="0"/>
      <w:divBdr>
        <w:top w:val="none" w:sz="0" w:space="0" w:color="auto"/>
        <w:left w:val="none" w:sz="0" w:space="0" w:color="auto"/>
        <w:bottom w:val="none" w:sz="0" w:space="0" w:color="auto"/>
        <w:right w:val="none" w:sz="0" w:space="0" w:color="auto"/>
      </w:divBdr>
    </w:div>
    <w:div w:id="1703632202">
      <w:bodyDiv w:val="1"/>
      <w:marLeft w:val="0"/>
      <w:marRight w:val="0"/>
      <w:marTop w:val="0"/>
      <w:marBottom w:val="0"/>
      <w:divBdr>
        <w:top w:val="none" w:sz="0" w:space="0" w:color="auto"/>
        <w:left w:val="none" w:sz="0" w:space="0" w:color="auto"/>
        <w:bottom w:val="none" w:sz="0" w:space="0" w:color="auto"/>
        <w:right w:val="none" w:sz="0" w:space="0" w:color="auto"/>
      </w:divBdr>
      <w:divsChild>
        <w:div w:id="512381385">
          <w:marLeft w:val="403"/>
          <w:marRight w:val="0"/>
          <w:marTop w:val="0"/>
          <w:marBottom w:val="120"/>
          <w:divBdr>
            <w:top w:val="none" w:sz="0" w:space="0" w:color="auto"/>
            <w:left w:val="none" w:sz="0" w:space="0" w:color="auto"/>
            <w:bottom w:val="none" w:sz="0" w:space="0" w:color="auto"/>
            <w:right w:val="none" w:sz="0" w:space="0" w:color="auto"/>
          </w:divBdr>
        </w:div>
        <w:div w:id="730232588">
          <w:marLeft w:val="403"/>
          <w:marRight w:val="0"/>
          <w:marTop w:val="0"/>
          <w:marBottom w:val="120"/>
          <w:divBdr>
            <w:top w:val="none" w:sz="0" w:space="0" w:color="auto"/>
            <w:left w:val="none" w:sz="0" w:space="0" w:color="auto"/>
            <w:bottom w:val="none" w:sz="0" w:space="0" w:color="auto"/>
            <w:right w:val="none" w:sz="0" w:space="0" w:color="auto"/>
          </w:divBdr>
        </w:div>
        <w:div w:id="876696488">
          <w:marLeft w:val="403"/>
          <w:marRight w:val="0"/>
          <w:marTop w:val="0"/>
          <w:marBottom w:val="120"/>
          <w:divBdr>
            <w:top w:val="none" w:sz="0" w:space="0" w:color="auto"/>
            <w:left w:val="none" w:sz="0" w:space="0" w:color="auto"/>
            <w:bottom w:val="none" w:sz="0" w:space="0" w:color="auto"/>
            <w:right w:val="none" w:sz="0" w:space="0" w:color="auto"/>
          </w:divBdr>
        </w:div>
        <w:div w:id="1772161831">
          <w:marLeft w:val="403"/>
          <w:marRight w:val="0"/>
          <w:marTop w:val="0"/>
          <w:marBottom w:val="120"/>
          <w:divBdr>
            <w:top w:val="none" w:sz="0" w:space="0" w:color="auto"/>
            <w:left w:val="none" w:sz="0" w:space="0" w:color="auto"/>
            <w:bottom w:val="none" w:sz="0" w:space="0" w:color="auto"/>
            <w:right w:val="none" w:sz="0" w:space="0" w:color="auto"/>
          </w:divBdr>
        </w:div>
        <w:div w:id="1882981633">
          <w:marLeft w:val="403"/>
          <w:marRight w:val="0"/>
          <w:marTop w:val="0"/>
          <w:marBottom w:val="120"/>
          <w:divBdr>
            <w:top w:val="none" w:sz="0" w:space="0" w:color="auto"/>
            <w:left w:val="none" w:sz="0" w:space="0" w:color="auto"/>
            <w:bottom w:val="none" w:sz="0" w:space="0" w:color="auto"/>
            <w:right w:val="none" w:sz="0" w:space="0" w:color="auto"/>
          </w:divBdr>
        </w:div>
        <w:div w:id="2050955108">
          <w:marLeft w:val="403"/>
          <w:marRight w:val="0"/>
          <w:marTop w:val="0"/>
          <w:marBottom w:val="120"/>
          <w:divBdr>
            <w:top w:val="none" w:sz="0" w:space="0" w:color="auto"/>
            <w:left w:val="none" w:sz="0" w:space="0" w:color="auto"/>
            <w:bottom w:val="none" w:sz="0" w:space="0" w:color="auto"/>
            <w:right w:val="none" w:sz="0" w:space="0" w:color="auto"/>
          </w:divBdr>
        </w:div>
      </w:divsChild>
    </w:div>
    <w:div w:id="1704208813">
      <w:bodyDiv w:val="1"/>
      <w:marLeft w:val="0"/>
      <w:marRight w:val="0"/>
      <w:marTop w:val="0"/>
      <w:marBottom w:val="0"/>
      <w:divBdr>
        <w:top w:val="none" w:sz="0" w:space="0" w:color="auto"/>
        <w:left w:val="none" w:sz="0" w:space="0" w:color="auto"/>
        <w:bottom w:val="none" w:sz="0" w:space="0" w:color="auto"/>
        <w:right w:val="none" w:sz="0" w:space="0" w:color="auto"/>
      </w:divBdr>
    </w:div>
    <w:div w:id="1707175537">
      <w:bodyDiv w:val="1"/>
      <w:marLeft w:val="0"/>
      <w:marRight w:val="0"/>
      <w:marTop w:val="0"/>
      <w:marBottom w:val="0"/>
      <w:divBdr>
        <w:top w:val="none" w:sz="0" w:space="0" w:color="auto"/>
        <w:left w:val="none" w:sz="0" w:space="0" w:color="auto"/>
        <w:bottom w:val="none" w:sz="0" w:space="0" w:color="auto"/>
        <w:right w:val="none" w:sz="0" w:space="0" w:color="auto"/>
      </w:divBdr>
    </w:div>
    <w:div w:id="1707295836">
      <w:bodyDiv w:val="1"/>
      <w:marLeft w:val="0"/>
      <w:marRight w:val="0"/>
      <w:marTop w:val="0"/>
      <w:marBottom w:val="0"/>
      <w:divBdr>
        <w:top w:val="none" w:sz="0" w:space="0" w:color="auto"/>
        <w:left w:val="none" w:sz="0" w:space="0" w:color="auto"/>
        <w:bottom w:val="none" w:sz="0" w:space="0" w:color="auto"/>
        <w:right w:val="none" w:sz="0" w:space="0" w:color="auto"/>
      </w:divBdr>
      <w:divsChild>
        <w:div w:id="1892109387">
          <w:marLeft w:val="878"/>
          <w:marRight w:val="0"/>
          <w:marTop w:val="0"/>
          <w:marBottom w:val="120"/>
          <w:divBdr>
            <w:top w:val="none" w:sz="0" w:space="0" w:color="auto"/>
            <w:left w:val="none" w:sz="0" w:space="0" w:color="auto"/>
            <w:bottom w:val="none" w:sz="0" w:space="0" w:color="auto"/>
            <w:right w:val="none" w:sz="0" w:space="0" w:color="auto"/>
          </w:divBdr>
        </w:div>
        <w:div w:id="2042853173">
          <w:marLeft w:val="403"/>
          <w:marRight w:val="0"/>
          <w:marTop w:val="0"/>
          <w:marBottom w:val="120"/>
          <w:divBdr>
            <w:top w:val="none" w:sz="0" w:space="0" w:color="auto"/>
            <w:left w:val="none" w:sz="0" w:space="0" w:color="auto"/>
            <w:bottom w:val="none" w:sz="0" w:space="0" w:color="auto"/>
            <w:right w:val="none" w:sz="0" w:space="0" w:color="auto"/>
          </w:divBdr>
        </w:div>
      </w:divsChild>
    </w:div>
    <w:div w:id="1714500501">
      <w:bodyDiv w:val="1"/>
      <w:marLeft w:val="0"/>
      <w:marRight w:val="0"/>
      <w:marTop w:val="0"/>
      <w:marBottom w:val="0"/>
      <w:divBdr>
        <w:top w:val="none" w:sz="0" w:space="0" w:color="auto"/>
        <w:left w:val="none" w:sz="0" w:space="0" w:color="auto"/>
        <w:bottom w:val="none" w:sz="0" w:space="0" w:color="auto"/>
        <w:right w:val="none" w:sz="0" w:space="0" w:color="auto"/>
      </w:divBdr>
    </w:div>
    <w:div w:id="1716926468">
      <w:bodyDiv w:val="1"/>
      <w:marLeft w:val="0"/>
      <w:marRight w:val="0"/>
      <w:marTop w:val="0"/>
      <w:marBottom w:val="0"/>
      <w:divBdr>
        <w:top w:val="none" w:sz="0" w:space="0" w:color="auto"/>
        <w:left w:val="none" w:sz="0" w:space="0" w:color="auto"/>
        <w:bottom w:val="none" w:sz="0" w:space="0" w:color="auto"/>
        <w:right w:val="none" w:sz="0" w:space="0" w:color="auto"/>
      </w:divBdr>
    </w:div>
    <w:div w:id="1717504006">
      <w:bodyDiv w:val="1"/>
      <w:marLeft w:val="0"/>
      <w:marRight w:val="0"/>
      <w:marTop w:val="0"/>
      <w:marBottom w:val="0"/>
      <w:divBdr>
        <w:top w:val="none" w:sz="0" w:space="0" w:color="auto"/>
        <w:left w:val="none" w:sz="0" w:space="0" w:color="auto"/>
        <w:bottom w:val="none" w:sz="0" w:space="0" w:color="auto"/>
        <w:right w:val="none" w:sz="0" w:space="0" w:color="auto"/>
      </w:divBdr>
    </w:div>
    <w:div w:id="1719013389">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
    <w:div w:id="1741632943">
      <w:bodyDiv w:val="1"/>
      <w:marLeft w:val="0"/>
      <w:marRight w:val="0"/>
      <w:marTop w:val="0"/>
      <w:marBottom w:val="0"/>
      <w:divBdr>
        <w:top w:val="none" w:sz="0" w:space="0" w:color="auto"/>
        <w:left w:val="none" w:sz="0" w:space="0" w:color="auto"/>
        <w:bottom w:val="none" w:sz="0" w:space="0" w:color="auto"/>
        <w:right w:val="none" w:sz="0" w:space="0" w:color="auto"/>
      </w:divBdr>
    </w:div>
    <w:div w:id="1744372630">
      <w:bodyDiv w:val="1"/>
      <w:marLeft w:val="0"/>
      <w:marRight w:val="0"/>
      <w:marTop w:val="0"/>
      <w:marBottom w:val="0"/>
      <w:divBdr>
        <w:top w:val="none" w:sz="0" w:space="0" w:color="auto"/>
        <w:left w:val="none" w:sz="0" w:space="0" w:color="auto"/>
        <w:bottom w:val="none" w:sz="0" w:space="0" w:color="auto"/>
        <w:right w:val="none" w:sz="0" w:space="0" w:color="auto"/>
      </w:divBdr>
      <w:divsChild>
        <w:div w:id="697585859">
          <w:marLeft w:val="403"/>
          <w:marRight w:val="0"/>
          <w:marTop w:val="0"/>
          <w:marBottom w:val="120"/>
          <w:divBdr>
            <w:top w:val="none" w:sz="0" w:space="0" w:color="auto"/>
            <w:left w:val="none" w:sz="0" w:space="0" w:color="auto"/>
            <w:bottom w:val="none" w:sz="0" w:space="0" w:color="auto"/>
            <w:right w:val="none" w:sz="0" w:space="0" w:color="auto"/>
          </w:divBdr>
        </w:div>
      </w:divsChild>
    </w:div>
    <w:div w:id="1745956341">
      <w:bodyDiv w:val="1"/>
      <w:marLeft w:val="0"/>
      <w:marRight w:val="0"/>
      <w:marTop w:val="0"/>
      <w:marBottom w:val="0"/>
      <w:divBdr>
        <w:top w:val="none" w:sz="0" w:space="0" w:color="auto"/>
        <w:left w:val="none" w:sz="0" w:space="0" w:color="auto"/>
        <w:bottom w:val="none" w:sz="0" w:space="0" w:color="auto"/>
        <w:right w:val="none" w:sz="0" w:space="0" w:color="auto"/>
      </w:divBdr>
    </w:div>
    <w:div w:id="1755198732">
      <w:bodyDiv w:val="1"/>
      <w:marLeft w:val="0"/>
      <w:marRight w:val="0"/>
      <w:marTop w:val="0"/>
      <w:marBottom w:val="0"/>
      <w:divBdr>
        <w:top w:val="none" w:sz="0" w:space="0" w:color="auto"/>
        <w:left w:val="none" w:sz="0" w:space="0" w:color="auto"/>
        <w:bottom w:val="none" w:sz="0" w:space="0" w:color="auto"/>
        <w:right w:val="none" w:sz="0" w:space="0" w:color="auto"/>
      </w:divBdr>
    </w:div>
    <w:div w:id="1767340804">
      <w:bodyDiv w:val="1"/>
      <w:marLeft w:val="0"/>
      <w:marRight w:val="0"/>
      <w:marTop w:val="0"/>
      <w:marBottom w:val="0"/>
      <w:divBdr>
        <w:top w:val="none" w:sz="0" w:space="0" w:color="auto"/>
        <w:left w:val="none" w:sz="0" w:space="0" w:color="auto"/>
        <w:bottom w:val="none" w:sz="0" w:space="0" w:color="auto"/>
        <w:right w:val="none" w:sz="0" w:space="0" w:color="auto"/>
      </w:divBdr>
    </w:div>
    <w:div w:id="1767456517">
      <w:bodyDiv w:val="1"/>
      <w:marLeft w:val="0"/>
      <w:marRight w:val="0"/>
      <w:marTop w:val="0"/>
      <w:marBottom w:val="0"/>
      <w:divBdr>
        <w:top w:val="none" w:sz="0" w:space="0" w:color="auto"/>
        <w:left w:val="none" w:sz="0" w:space="0" w:color="auto"/>
        <w:bottom w:val="none" w:sz="0" w:space="0" w:color="auto"/>
        <w:right w:val="none" w:sz="0" w:space="0" w:color="auto"/>
      </w:divBdr>
      <w:divsChild>
        <w:div w:id="2141342891">
          <w:marLeft w:val="403"/>
          <w:marRight w:val="0"/>
          <w:marTop w:val="150"/>
          <w:marBottom w:val="0"/>
          <w:divBdr>
            <w:top w:val="none" w:sz="0" w:space="0" w:color="auto"/>
            <w:left w:val="none" w:sz="0" w:space="0" w:color="auto"/>
            <w:bottom w:val="none" w:sz="0" w:space="0" w:color="auto"/>
            <w:right w:val="none" w:sz="0" w:space="0" w:color="auto"/>
          </w:divBdr>
        </w:div>
      </w:divsChild>
    </w:div>
    <w:div w:id="1770662136">
      <w:bodyDiv w:val="1"/>
      <w:marLeft w:val="0"/>
      <w:marRight w:val="0"/>
      <w:marTop w:val="0"/>
      <w:marBottom w:val="0"/>
      <w:divBdr>
        <w:top w:val="none" w:sz="0" w:space="0" w:color="auto"/>
        <w:left w:val="none" w:sz="0" w:space="0" w:color="auto"/>
        <w:bottom w:val="none" w:sz="0" w:space="0" w:color="auto"/>
        <w:right w:val="none" w:sz="0" w:space="0" w:color="auto"/>
      </w:divBdr>
      <w:divsChild>
        <w:div w:id="875435114">
          <w:marLeft w:val="475"/>
          <w:marRight w:val="0"/>
          <w:marTop w:val="0"/>
          <w:marBottom w:val="120"/>
          <w:divBdr>
            <w:top w:val="none" w:sz="0" w:space="0" w:color="auto"/>
            <w:left w:val="none" w:sz="0" w:space="0" w:color="auto"/>
            <w:bottom w:val="none" w:sz="0" w:space="0" w:color="auto"/>
            <w:right w:val="none" w:sz="0" w:space="0" w:color="auto"/>
          </w:divBdr>
        </w:div>
        <w:div w:id="923152420">
          <w:marLeft w:val="475"/>
          <w:marRight w:val="0"/>
          <w:marTop w:val="0"/>
          <w:marBottom w:val="120"/>
          <w:divBdr>
            <w:top w:val="none" w:sz="0" w:space="0" w:color="auto"/>
            <w:left w:val="none" w:sz="0" w:space="0" w:color="auto"/>
            <w:bottom w:val="none" w:sz="0" w:space="0" w:color="auto"/>
            <w:right w:val="none" w:sz="0" w:space="0" w:color="auto"/>
          </w:divBdr>
        </w:div>
      </w:divsChild>
    </w:div>
    <w:div w:id="1776359850">
      <w:bodyDiv w:val="1"/>
      <w:marLeft w:val="0"/>
      <w:marRight w:val="0"/>
      <w:marTop w:val="0"/>
      <w:marBottom w:val="0"/>
      <w:divBdr>
        <w:top w:val="none" w:sz="0" w:space="0" w:color="auto"/>
        <w:left w:val="none" w:sz="0" w:space="0" w:color="auto"/>
        <w:bottom w:val="none" w:sz="0" w:space="0" w:color="auto"/>
        <w:right w:val="none" w:sz="0" w:space="0" w:color="auto"/>
      </w:divBdr>
    </w:div>
    <w:div w:id="1776362625">
      <w:bodyDiv w:val="1"/>
      <w:marLeft w:val="0"/>
      <w:marRight w:val="0"/>
      <w:marTop w:val="0"/>
      <w:marBottom w:val="0"/>
      <w:divBdr>
        <w:top w:val="none" w:sz="0" w:space="0" w:color="auto"/>
        <w:left w:val="none" w:sz="0" w:space="0" w:color="auto"/>
        <w:bottom w:val="none" w:sz="0" w:space="0" w:color="auto"/>
        <w:right w:val="none" w:sz="0" w:space="0" w:color="auto"/>
      </w:divBdr>
    </w:div>
    <w:div w:id="1779174973">
      <w:bodyDiv w:val="1"/>
      <w:marLeft w:val="0"/>
      <w:marRight w:val="0"/>
      <w:marTop w:val="0"/>
      <w:marBottom w:val="0"/>
      <w:divBdr>
        <w:top w:val="none" w:sz="0" w:space="0" w:color="auto"/>
        <w:left w:val="none" w:sz="0" w:space="0" w:color="auto"/>
        <w:bottom w:val="none" w:sz="0" w:space="0" w:color="auto"/>
        <w:right w:val="none" w:sz="0" w:space="0" w:color="auto"/>
      </w:divBdr>
    </w:div>
    <w:div w:id="1786341255">
      <w:bodyDiv w:val="1"/>
      <w:marLeft w:val="0"/>
      <w:marRight w:val="0"/>
      <w:marTop w:val="0"/>
      <w:marBottom w:val="0"/>
      <w:divBdr>
        <w:top w:val="none" w:sz="0" w:space="0" w:color="auto"/>
        <w:left w:val="none" w:sz="0" w:space="0" w:color="auto"/>
        <w:bottom w:val="none" w:sz="0" w:space="0" w:color="auto"/>
        <w:right w:val="none" w:sz="0" w:space="0" w:color="auto"/>
      </w:divBdr>
    </w:div>
    <w:div w:id="1798336332">
      <w:bodyDiv w:val="1"/>
      <w:marLeft w:val="0"/>
      <w:marRight w:val="0"/>
      <w:marTop w:val="0"/>
      <w:marBottom w:val="0"/>
      <w:divBdr>
        <w:top w:val="none" w:sz="0" w:space="0" w:color="auto"/>
        <w:left w:val="none" w:sz="0" w:space="0" w:color="auto"/>
        <w:bottom w:val="none" w:sz="0" w:space="0" w:color="auto"/>
        <w:right w:val="none" w:sz="0" w:space="0" w:color="auto"/>
      </w:divBdr>
    </w:div>
    <w:div w:id="1799839058">
      <w:bodyDiv w:val="1"/>
      <w:marLeft w:val="0"/>
      <w:marRight w:val="0"/>
      <w:marTop w:val="0"/>
      <w:marBottom w:val="0"/>
      <w:divBdr>
        <w:top w:val="none" w:sz="0" w:space="0" w:color="auto"/>
        <w:left w:val="none" w:sz="0" w:space="0" w:color="auto"/>
        <w:bottom w:val="none" w:sz="0" w:space="0" w:color="auto"/>
        <w:right w:val="none" w:sz="0" w:space="0" w:color="auto"/>
      </w:divBdr>
    </w:div>
    <w:div w:id="1807745288">
      <w:bodyDiv w:val="1"/>
      <w:marLeft w:val="0"/>
      <w:marRight w:val="0"/>
      <w:marTop w:val="0"/>
      <w:marBottom w:val="0"/>
      <w:divBdr>
        <w:top w:val="none" w:sz="0" w:space="0" w:color="auto"/>
        <w:left w:val="none" w:sz="0" w:space="0" w:color="auto"/>
        <w:bottom w:val="none" w:sz="0" w:space="0" w:color="auto"/>
        <w:right w:val="none" w:sz="0" w:space="0" w:color="auto"/>
      </w:divBdr>
    </w:div>
    <w:div w:id="1813017050">
      <w:bodyDiv w:val="1"/>
      <w:marLeft w:val="0"/>
      <w:marRight w:val="0"/>
      <w:marTop w:val="0"/>
      <w:marBottom w:val="0"/>
      <w:divBdr>
        <w:top w:val="none" w:sz="0" w:space="0" w:color="auto"/>
        <w:left w:val="none" w:sz="0" w:space="0" w:color="auto"/>
        <w:bottom w:val="none" w:sz="0" w:space="0" w:color="auto"/>
        <w:right w:val="none" w:sz="0" w:space="0" w:color="auto"/>
      </w:divBdr>
    </w:div>
    <w:div w:id="1814174825">
      <w:bodyDiv w:val="1"/>
      <w:marLeft w:val="0"/>
      <w:marRight w:val="0"/>
      <w:marTop w:val="0"/>
      <w:marBottom w:val="0"/>
      <w:divBdr>
        <w:top w:val="none" w:sz="0" w:space="0" w:color="auto"/>
        <w:left w:val="none" w:sz="0" w:space="0" w:color="auto"/>
        <w:bottom w:val="none" w:sz="0" w:space="0" w:color="auto"/>
        <w:right w:val="none" w:sz="0" w:space="0" w:color="auto"/>
      </w:divBdr>
    </w:div>
    <w:div w:id="1816531484">
      <w:bodyDiv w:val="1"/>
      <w:marLeft w:val="0"/>
      <w:marRight w:val="0"/>
      <w:marTop w:val="0"/>
      <w:marBottom w:val="0"/>
      <w:divBdr>
        <w:top w:val="none" w:sz="0" w:space="0" w:color="auto"/>
        <w:left w:val="none" w:sz="0" w:space="0" w:color="auto"/>
        <w:bottom w:val="none" w:sz="0" w:space="0" w:color="auto"/>
        <w:right w:val="none" w:sz="0" w:space="0" w:color="auto"/>
      </w:divBdr>
      <w:divsChild>
        <w:div w:id="2127894015">
          <w:marLeft w:val="403"/>
          <w:marRight w:val="0"/>
          <w:marTop w:val="0"/>
          <w:marBottom w:val="120"/>
          <w:divBdr>
            <w:top w:val="none" w:sz="0" w:space="0" w:color="auto"/>
            <w:left w:val="none" w:sz="0" w:space="0" w:color="auto"/>
            <w:bottom w:val="none" w:sz="0" w:space="0" w:color="auto"/>
            <w:right w:val="none" w:sz="0" w:space="0" w:color="auto"/>
          </w:divBdr>
        </w:div>
      </w:divsChild>
    </w:div>
    <w:div w:id="1823080994">
      <w:bodyDiv w:val="1"/>
      <w:marLeft w:val="0"/>
      <w:marRight w:val="0"/>
      <w:marTop w:val="0"/>
      <w:marBottom w:val="0"/>
      <w:divBdr>
        <w:top w:val="none" w:sz="0" w:space="0" w:color="auto"/>
        <w:left w:val="none" w:sz="0" w:space="0" w:color="auto"/>
        <w:bottom w:val="none" w:sz="0" w:space="0" w:color="auto"/>
        <w:right w:val="none" w:sz="0" w:space="0" w:color="auto"/>
      </w:divBdr>
    </w:div>
    <w:div w:id="1829051503">
      <w:bodyDiv w:val="1"/>
      <w:marLeft w:val="0"/>
      <w:marRight w:val="0"/>
      <w:marTop w:val="0"/>
      <w:marBottom w:val="0"/>
      <w:divBdr>
        <w:top w:val="none" w:sz="0" w:space="0" w:color="auto"/>
        <w:left w:val="none" w:sz="0" w:space="0" w:color="auto"/>
        <w:bottom w:val="none" w:sz="0" w:space="0" w:color="auto"/>
        <w:right w:val="none" w:sz="0" w:space="0" w:color="auto"/>
      </w:divBdr>
    </w:div>
    <w:div w:id="1831359378">
      <w:bodyDiv w:val="1"/>
      <w:marLeft w:val="0"/>
      <w:marRight w:val="0"/>
      <w:marTop w:val="0"/>
      <w:marBottom w:val="0"/>
      <w:divBdr>
        <w:top w:val="none" w:sz="0" w:space="0" w:color="auto"/>
        <w:left w:val="none" w:sz="0" w:space="0" w:color="auto"/>
        <w:bottom w:val="none" w:sz="0" w:space="0" w:color="auto"/>
        <w:right w:val="none" w:sz="0" w:space="0" w:color="auto"/>
      </w:divBdr>
    </w:div>
    <w:div w:id="1833057245">
      <w:bodyDiv w:val="1"/>
      <w:marLeft w:val="0"/>
      <w:marRight w:val="0"/>
      <w:marTop w:val="0"/>
      <w:marBottom w:val="0"/>
      <w:divBdr>
        <w:top w:val="none" w:sz="0" w:space="0" w:color="auto"/>
        <w:left w:val="none" w:sz="0" w:space="0" w:color="auto"/>
        <w:bottom w:val="none" w:sz="0" w:space="0" w:color="auto"/>
        <w:right w:val="none" w:sz="0" w:space="0" w:color="auto"/>
      </w:divBdr>
    </w:div>
    <w:div w:id="1833639401">
      <w:bodyDiv w:val="1"/>
      <w:marLeft w:val="0"/>
      <w:marRight w:val="0"/>
      <w:marTop w:val="0"/>
      <w:marBottom w:val="0"/>
      <w:divBdr>
        <w:top w:val="none" w:sz="0" w:space="0" w:color="auto"/>
        <w:left w:val="none" w:sz="0" w:space="0" w:color="auto"/>
        <w:bottom w:val="none" w:sz="0" w:space="0" w:color="auto"/>
        <w:right w:val="none" w:sz="0" w:space="0" w:color="auto"/>
      </w:divBdr>
    </w:div>
    <w:div w:id="1843427449">
      <w:bodyDiv w:val="1"/>
      <w:marLeft w:val="0"/>
      <w:marRight w:val="0"/>
      <w:marTop w:val="0"/>
      <w:marBottom w:val="0"/>
      <w:divBdr>
        <w:top w:val="none" w:sz="0" w:space="0" w:color="auto"/>
        <w:left w:val="none" w:sz="0" w:space="0" w:color="auto"/>
        <w:bottom w:val="none" w:sz="0" w:space="0" w:color="auto"/>
        <w:right w:val="none" w:sz="0" w:space="0" w:color="auto"/>
      </w:divBdr>
      <w:divsChild>
        <w:div w:id="1519077767">
          <w:marLeft w:val="403"/>
          <w:marRight w:val="0"/>
          <w:marTop w:val="150"/>
          <w:marBottom w:val="0"/>
          <w:divBdr>
            <w:top w:val="none" w:sz="0" w:space="0" w:color="auto"/>
            <w:left w:val="none" w:sz="0" w:space="0" w:color="auto"/>
            <w:bottom w:val="none" w:sz="0" w:space="0" w:color="auto"/>
            <w:right w:val="none" w:sz="0" w:space="0" w:color="auto"/>
          </w:divBdr>
        </w:div>
      </w:divsChild>
    </w:div>
    <w:div w:id="1844512377">
      <w:bodyDiv w:val="1"/>
      <w:marLeft w:val="0"/>
      <w:marRight w:val="0"/>
      <w:marTop w:val="0"/>
      <w:marBottom w:val="0"/>
      <w:divBdr>
        <w:top w:val="none" w:sz="0" w:space="0" w:color="auto"/>
        <w:left w:val="none" w:sz="0" w:space="0" w:color="auto"/>
        <w:bottom w:val="none" w:sz="0" w:space="0" w:color="auto"/>
        <w:right w:val="none" w:sz="0" w:space="0" w:color="auto"/>
      </w:divBdr>
      <w:divsChild>
        <w:div w:id="137190551">
          <w:marLeft w:val="274"/>
          <w:marRight w:val="0"/>
          <w:marTop w:val="150"/>
          <w:marBottom w:val="0"/>
          <w:divBdr>
            <w:top w:val="none" w:sz="0" w:space="0" w:color="auto"/>
            <w:left w:val="none" w:sz="0" w:space="0" w:color="auto"/>
            <w:bottom w:val="none" w:sz="0" w:space="0" w:color="auto"/>
            <w:right w:val="none" w:sz="0" w:space="0" w:color="auto"/>
          </w:divBdr>
        </w:div>
        <w:div w:id="857042880">
          <w:marLeft w:val="274"/>
          <w:marRight w:val="0"/>
          <w:marTop w:val="150"/>
          <w:marBottom w:val="0"/>
          <w:divBdr>
            <w:top w:val="none" w:sz="0" w:space="0" w:color="auto"/>
            <w:left w:val="none" w:sz="0" w:space="0" w:color="auto"/>
            <w:bottom w:val="none" w:sz="0" w:space="0" w:color="auto"/>
            <w:right w:val="none" w:sz="0" w:space="0" w:color="auto"/>
          </w:divBdr>
        </w:div>
        <w:div w:id="1288052564">
          <w:marLeft w:val="274"/>
          <w:marRight w:val="0"/>
          <w:marTop w:val="150"/>
          <w:marBottom w:val="0"/>
          <w:divBdr>
            <w:top w:val="none" w:sz="0" w:space="0" w:color="auto"/>
            <w:left w:val="none" w:sz="0" w:space="0" w:color="auto"/>
            <w:bottom w:val="none" w:sz="0" w:space="0" w:color="auto"/>
            <w:right w:val="none" w:sz="0" w:space="0" w:color="auto"/>
          </w:divBdr>
        </w:div>
        <w:div w:id="1524587456">
          <w:marLeft w:val="274"/>
          <w:marRight w:val="0"/>
          <w:marTop w:val="150"/>
          <w:marBottom w:val="0"/>
          <w:divBdr>
            <w:top w:val="none" w:sz="0" w:space="0" w:color="auto"/>
            <w:left w:val="none" w:sz="0" w:space="0" w:color="auto"/>
            <w:bottom w:val="none" w:sz="0" w:space="0" w:color="auto"/>
            <w:right w:val="none" w:sz="0" w:space="0" w:color="auto"/>
          </w:divBdr>
        </w:div>
      </w:divsChild>
    </w:div>
    <w:div w:id="1845170811">
      <w:bodyDiv w:val="1"/>
      <w:marLeft w:val="0"/>
      <w:marRight w:val="0"/>
      <w:marTop w:val="0"/>
      <w:marBottom w:val="0"/>
      <w:divBdr>
        <w:top w:val="none" w:sz="0" w:space="0" w:color="auto"/>
        <w:left w:val="none" w:sz="0" w:space="0" w:color="auto"/>
        <w:bottom w:val="none" w:sz="0" w:space="0" w:color="auto"/>
        <w:right w:val="none" w:sz="0" w:space="0" w:color="auto"/>
      </w:divBdr>
    </w:div>
    <w:div w:id="1859587035">
      <w:bodyDiv w:val="1"/>
      <w:marLeft w:val="0"/>
      <w:marRight w:val="0"/>
      <w:marTop w:val="0"/>
      <w:marBottom w:val="0"/>
      <w:divBdr>
        <w:top w:val="none" w:sz="0" w:space="0" w:color="auto"/>
        <w:left w:val="none" w:sz="0" w:space="0" w:color="auto"/>
        <w:bottom w:val="none" w:sz="0" w:space="0" w:color="auto"/>
        <w:right w:val="none" w:sz="0" w:space="0" w:color="auto"/>
      </w:divBdr>
      <w:divsChild>
        <w:div w:id="110247846">
          <w:marLeft w:val="403"/>
          <w:marRight w:val="0"/>
          <w:marTop w:val="150"/>
          <w:marBottom w:val="0"/>
          <w:divBdr>
            <w:top w:val="none" w:sz="0" w:space="0" w:color="auto"/>
            <w:left w:val="none" w:sz="0" w:space="0" w:color="auto"/>
            <w:bottom w:val="none" w:sz="0" w:space="0" w:color="auto"/>
            <w:right w:val="none" w:sz="0" w:space="0" w:color="auto"/>
          </w:divBdr>
        </w:div>
        <w:div w:id="545414153">
          <w:marLeft w:val="403"/>
          <w:marRight w:val="0"/>
          <w:marTop w:val="150"/>
          <w:marBottom w:val="0"/>
          <w:divBdr>
            <w:top w:val="none" w:sz="0" w:space="0" w:color="auto"/>
            <w:left w:val="none" w:sz="0" w:space="0" w:color="auto"/>
            <w:bottom w:val="none" w:sz="0" w:space="0" w:color="auto"/>
            <w:right w:val="none" w:sz="0" w:space="0" w:color="auto"/>
          </w:divBdr>
        </w:div>
      </w:divsChild>
    </w:div>
    <w:div w:id="1859931350">
      <w:bodyDiv w:val="1"/>
      <w:marLeft w:val="0"/>
      <w:marRight w:val="0"/>
      <w:marTop w:val="0"/>
      <w:marBottom w:val="0"/>
      <w:divBdr>
        <w:top w:val="none" w:sz="0" w:space="0" w:color="auto"/>
        <w:left w:val="none" w:sz="0" w:space="0" w:color="auto"/>
        <w:bottom w:val="none" w:sz="0" w:space="0" w:color="auto"/>
        <w:right w:val="none" w:sz="0" w:space="0" w:color="auto"/>
      </w:divBdr>
    </w:div>
    <w:div w:id="1863587703">
      <w:bodyDiv w:val="1"/>
      <w:marLeft w:val="0"/>
      <w:marRight w:val="0"/>
      <w:marTop w:val="0"/>
      <w:marBottom w:val="0"/>
      <w:divBdr>
        <w:top w:val="none" w:sz="0" w:space="0" w:color="auto"/>
        <w:left w:val="none" w:sz="0" w:space="0" w:color="auto"/>
        <w:bottom w:val="none" w:sz="0" w:space="0" w:color="auto"/>
        <w:right w:val="none" w:sz="0" w:space="0" w:color="auto"/>
      </w:divBdr>
    </w:div>
    <w:div w:id="1867675844">
      <w:bodyDiv w:val="1"/>
      <w:marLeft w:val="0"/>
      <w:marRight w:val="0"/>
      <w:marTop w:val="0"/>
      <w:marBottom w:val="0"/>
      <w:divBdr>
        <w:top w:val="none" w:sz="0" w:space="0" w:color="auto"/>
        <w:left w:val="none" w:sz="0" w:space="0" w:color="auto"/>
        <w:bottom w:val="none" w:sz="0" w:space="0" w:color="auto"/>
        <w:right w:val="none" w:sz="0" w:space="0" w:color="auto"/>
      </w:divBdr>
    </w:div>
    <w:div w:id="1890145246">
      <w:bodyDiv w:val="1"/>
      <w:marLeft w:val="0"/>
      <w:marRight w:val="0"/>
      <w:marTop w:val="0"/>
      <w:marBottom w:val="0"/>
      <w:divBdr>
        <w:top w:val="none" w:sz="0" w:space="0" w:color="auto"/>
        <w:left w:val="none" w:sz="0" w:space="0" w:color="auto"/>
        <w:bottom w:val="none" w:sz="0" w:space="0" w:color="auto"/>
        <w:right w:val="none" w:sz="0" w:space="0" w:color="auto"/>
      </w:divBdr>
    </w:div>
    <w:div w:id="1893539926">
      <w:bodyDiv w:val="1"/>
      <w:marLeft w:val="0"/>
      <w:marRight w:val="0"/>
      <w:marTop w:val="0"/>
      <w:marBottom w:val="0"/>
      <w:divBdr>
        <w:top w:val="none" w:sz="0" w:space="0" w:color="auto"/>
        <w:left w:val="none" w:sz="0" w:space="0" w:color="auto"/>
        <w:bottom w:val="none" w:sz="0" w:space="0" w:color="auto"/>
        <w:right w:val="none" w:sz="0" w:space="0" w:color="auto"/>
      </w:divBdr>
    </w:div>
    <w:div w:id="1895778755">
      <w:bodyDiv w:val="1"/>
      <w:marLeft w:val="0"/>
      <w:marRight w:val="0"/>
      <w:marTop w:val="0"/>
      <w:marBottom w:val="0"/>
      <w:divBdr>
        <w:top w:val="none" w:sz="0" w:space="0" w:color="auto"/>
        <w:left w:val="none" w:sz="0" w:space="0" w:color="auto"/>
        <w:bottom w:val="none" w:sz="0" w:space="0" w:color="auto"/>
        <w:right w:val="none" w:sz="0" w:space="0" w:color="auto"/>
      </w:divBdr>
    </w:div>
    <w:div w:id="1897348940">
      <w:bodyDiv w:val="1"/>
      <w:marLeft w:val="0"/>
      <w:marRight w:val="0"/>
      <w:marTop w:val="0"/>
      <w:marBottom w:val="0"/>
      <w:divBdr>
        <w:top w:val="none" w:sz="0" w:space="0" w:color="auto"/>
        <w:left w:val="none" w:sz="0" w:space="0" w:color="auto"/>
        <w:bottom w:val="none" w:sz="0" w:space="0" w:color="auto"/>
        <w:right w:val="none" w:sz="0" w:space="0" w:color="auto"/>
      </w:divBdr>
    </w:div>
    <w:div w:id="1897622984">
      <w:bodyDiv w:val="1"/>
      <w:marLeft w:val="0"/>
      <w:marRight w:val="0"/>
      <w:marTop w:val="0"/>
      <w:marBottom w:val="0"/>
      <w:divBdr>
        <w:top w:val="none" w:sz="0" w:space="0" w:color="auto"/>
        <w:left w:val="none" w:sz="0" w:space="0" w:color="auto"/>
        <w:bottom w:val="none" w:sz="0" w:space="0" w:color="auto"/>
        <w:right w:val="none" w:sz="0" w:space="0" w:color="auto"/>
      </w:divBdr>
      <w:divsChild>
        <w:div w:id="1256406176">
          <w:marLeft w:val="274"/>
          <w:marRight w:val="0"/>
          <w:marTop w:val="0"/>
          <w:marBottom w:val="120"/>
          <w:divBdr>
            <w:top w:val="none" w:sz="0" w:space="0" w:color="auto"/>
            <w:left w:val="none" w:sz="0" w:space="0" w:color="auto"/>
            <w:bottom w:val="none" w:sz="0" w:space="0" w:color="auto"/>
            <w:right w:val="none" w:sz="0" w:space="0" w:color="auto"/>
          </w:divBdr>
        </w:div>
      </w:divsChild>
    </w:div>
    <w:div w:id="1900702514">
      <w:bodyDiv w:val="1"/>
      <w:marLeft w:val="0"/>
      <w:marRight w:val="0"/>
      <w:marTop w:val="0"/>
      <w:marBottom w:val="0"/>
      <w:divBdr>
        <w:top w:val="none" w:sz="0" w:space="0" w:color="auto"/>
        <w:left w:val="none" w:sz="0" w:space="0" w:color="auto"/>
        <w:bottom w:val="none" w:sz="0" w:space="0" w:color="auto"/>
        <w:right w:val="none" w:sz="0" w:space="0" w:color="auto"/>
      </w:divBdr>
    </w:div>
    <w:div w:id="1908803420">
      <w:bodyDiv w:val="1"/>
      <w:marLeft w:val="0"/>
      <w:marRight w:val="0"/>
      <w:marTop w:val="0"/>
      <w:marBottom w:val="0"/>
      <w:divBdr>
        <w:top w:val="none" w:sz="0" w:space="0" w:color="auto"/>
        <w:left w:val="none" w:sz="0" w:space="0" w:color="auto"/>
        <w:bottom w:val="none" w:sz="0" w:space="0" w:color="auto"/>
        <w:right w:val="none" w:sz="0" w:space="0" w:color="auto"/>
      </w:divBdr>
      <w:divsChild>
        <w:div w:id="267082317">
          <w:marLeft w:val="403"/>
          <w:marRight w:val="0"/>
          <w:marTop w:val="150"/>
          <w:marBottom w:val="0"/>
          <w:divBdr>
            <w:top w:val="none" w:sz="0" w:space="0" w:color="auto"/>
            <w:left w:val="none" w:sz="0" w:space="0" w:color="auto"/>
            <w:bottom w:val="none" w:sz="0" w:space="0" w:color="auto"/>
            <w:right w:val="none" w:sz="0" w:space="0" w:color="auto"/>
          </w:divBdr>
        </w:div>
        <w:div w:id="1723207580">
          <w:marLeft w:val="403"/>
          <w:marRight w:val="0"/>
          <w:marTop w:val="150"/>
          <w:marBottom w:val="0"/>
          <w:divBdr>
            <w:top w:val="none" w:sz="0" w:space="0" w:color="auto"/>
            <w:left w:val="none" w:sz="0" w:space="0" w:color="auto"/>
            <w:bottom w:val="none" w:sz="0" w:space="0" w:color="auto"/>
            <w:right w:val="none" w:sz="0" w:space="0" w:color="auto"/>
          </w:divBdr>
        </w:div>
      </w:divsChild>
    </w:div>
    <w:div w:id="1916011344">
      <w:bodyDiv w:val="1"/>
      <w:marLeft w:val="0"/>
      <w:marRight w:val="0"/>
      <w:marTop w:val="0"/>
      <w:marBottom w:val="0"/>
      <w:divBdr>
        <w:top w:val="none" w:sz="0" w:space="0" w:color="auto"/>
        <w:left w:val="none" w:sz="0" w:space="0" w:color="auto"/>
        <w:bottom w:val="none" w:sz="0" w:space="0" w:color="auto"/>
        <w:right w:val="none" w:sz="0" w:space="0" w:color="auto"/>
      </w:divBdr>
    </w:div>
    <w:div w:id="1919051940">
      <w:bodyDiv w:val="1"/>
      <w:marLeft w:val="0"/>
      <w:marRight w:val="0"/>
      <w:marTop w:val="0"/>
      <w:marBottom w:val="0"/>
      <w:divBdr>
        <w:top w:val="none" w:sz="0" w:space="0" w:color="auto"/>
        <w:left w:val="none" w:sz="0" w:space="0" w:color="auto"/>
        <w:bottom w:val="none" w:sz="0" w:space="0" w:color="auto"/>
        <w:right w:val="none" w:sz="0" w:space="0" w:color="auto"/>
      </w:divBdr>
      <w:divsChild>
        <w:div w:id="253362849">
          <w:marLeft w:val="403"/>
          <w:marRight w:val="0"/>
          <w:marTop w:val="0"/>
          <w:marBottom w:val="150"/>
          <w:divBdr>
            <w:top w:val="none" w:sz="0" w:space="0" w:color="auto"/>
            <w:left w:val="none" w:sz="0" w:space="0" w:color="auto"/>
            <w:bottom w:val="none" w:sz="0" w:space="0" w:color="auto"/>
            <w:right w:val="none" w:sz="0" w:space="0" w:color="auto"/>
          </w:divBdr>
        </w:div>
        <w:div w:id="891381043">
          <w:marLeft w:val="878"/>
          <w:marRight w:val="0"/>
          <w:marTop w:val="0"/>
          <w:marBottom w:val="0"/>
          <w:divBdr>
            <w:top w:val="none" w:sz="0" w:space="0" w:color="auto"/>
            <w:left w:val="none" w:sz="0" w:space="0" w:color="auto"/>
            <w:bottom w:val="none" w:sz="0" w:space="0" w:color="auto"/>
            <w:right w:val="none" w:sz="0" w:space="0" w:color="auto"/>
          </w:divBdr>
        </w:div>
        <w:div w:id="1211965961">
          <w:marLeft w:val="878"/>
          <w:marRight w:val="0"/>
          <w:marTop w:val="0"/>
          <w:marBottom w:val="0"/>
          <w:divBdr>
            <w:top w:val="none" w:sz="0" w:space="0" w:color="auto"/>
            <w:left w:val="none" w:sz="0" w:space="0" w:color="auto"/>
            <w:bottom w:val="none" w:sz="0" w:space="0" w:color="auto"/>
            <w:right w:val="none" w:sz="0" w:space="0" w:color="auto"/>
          </w:divBdr>
        </w:div>
        <w:div w:id="1218469841">
          <w:marLeft w:val="878"/>
          <w:marRight w:val="0"/>
          <w:marTop w:val="0"/>
          <w:marBottom w:val="0"/>
          <w:divBdr>
            <w:top w:val="none" w:sz="0" w:space="0" w:color="auto"/>
            <w:left w:val="none" w:sz="0" w:space="0" w:color="auto"/>
            <w:bottom w:val="none" w:sz="0" w:space="0" w:color="auto"/>
            <w:right w:val="none" w:sz="0" w:space="0" w:color="auto"/>
          </w:divBdr>
        </w:div>
      </w:divsChild>
    </w:div>
    <w:div w:id="1932158988">
      <w:bodyDiv w:val="1"/>
      <w:marLeft w:val="0"/>
      <w:marRight w:val="0"/>
      <w:marTop w:val="0"/>
      <w:marBottom w:val="0"/>
      <w:divBdr>
        <w:top w:val="none" w:sz="0" w:space="0" w:color="auto"/>
        <w:left w:val="none" w:sz="0" w:space="0" w:color="auto"/>
        <w:bottom w:val="none" w:sz="0" w:space="0" w:color="auto"/>
        <w:right w:val="none" w:sz="0" w:space="0" w:color="auto"/>
      </w:divBdr>
      <w:divsChild>
        <w:div w:id="1644970315">
          <w:marLeft w:val="274"/>
          <w:marRight w:val="0"/>
          <w:marTop w:val="120"/>
          <w:marBottom w:val="0"/>
          <w:divBdr>
            <w:top w:val="none" w:sz="0" w:space="0" w:color="auto"/>
            <w:left w:val="none" w:sz="0" w:space="0" w:color="auto"/>
            <w:bottom w:val="none" w:sz="0" w:space="0" w:color="auto"/>
            <w:right w:val="none" w:sz="0" w:space="0" w:color="auto"/>
          </w:divBdr>
        </w:div>
      </w:divsChild>
    </w:div>
    <w:div w:id="1940261232">
      <w:bodyDiv w:val="1"/>
      <w:marLeft w:val="0"/>
      <w:marRight w:val="0"/>
      <w:marTop w:val="0"/>
      <w:marBottom w:val="0"/>
      <w:divBdr>
        <w:top w:val="none" w:sz="0" w:space="0" w:color="auto"/>
        <w:left w:val="none" w:sz="0" w:space="0" w:color="auto"/>
        <w:bottom w:val="none" w:sz="0" w:space="0" w:color="auto"/>
        <w:right w:val="none" w:sz="0" w:space="0" w:color="auto"/>
      </w:divBdr>
    </w:div>
    <w:div w:id="1942226561">
      <w:bodyDiv w:val="1"/>
      <w:marLeft w:val="0"/>
      <w:marRight w:val="0"/>
      <w:marTop w:val="0"/>
      <w:marBottom w:val="0"/>
      <w:divBdr>
        <w:top w:val="none" w:sz="0" w:space="0" w:color="auto"/>
        <w:left w:val="none" w:sz="0" w:space="0" w:color="auto"/>
        <w:bottom w:val="none" w:sz="0" w:space="0" w:color="auto"/>
        <w:right w:val="none" w:sz="0" w:space="0" w:color="auto"/>
      </w:divBdr>
    </w:div>
    <w:div w:id="1942298077">
      <w:bodyDiv w:val="1"/>
      <w:marLeft w:val="0"/>
      <w:marRight w:val="0"/>
      <w:marTop w:val="0"/>
      <w:marBottom w:val="0"/>
      <w:divBdr>
        <w:top w:val="none" w:sz="0" w:space="0" w:color="auto"/>
        <w:left w:val="none" w:sz="0" w:space="0" w:color="auto"/>
        <w:bottom w:val="none" w:sz="0" w:space="0" w:color="auto"/>
        <w:right w:val="none" w:sz="0" w:space="0" w:color="auto"/>
      </w:divBdr>
    </w:div>
    <w:div w:id="1947495343">
      <w:bodyDiv w:val="1"/>
      <w:marLeft w:val="0"/>
      <w:marRight w:val="0"/>
      <w:marTop w:val="0"/>
      <w:marBottom w:val="0"/>
      <w:divBdr>
        <w:top w:val="none" w:sz="0" w:space="0" w:color="auto"/>
        <w:left w:val="none" w:sz="0" w:space="0" w:color="auto"/>
        <w:bottom w:val="none" w:sz="0" w:space="0" w:color="auto"/>
        <w:right w:val="none" w:sz="0" w:space="0" w:color="auto"/>
      </w:divBdr>
      <w:divsChild>
        <w:div w:id="484661860">
          <w:marLeft w:val="720"/>
          <w:marRight w:val="0"/>
          <w:marTop w:val="150"/>
          <w:marBottom w:val="0"/>
          <w:divBdr>
            <w:top w:val="none" w:sz="0" w:space="0" w:color="auto"/>
            <w:left w:val="none" w:sz="0" w:space="0" w:color="auto"/>
            <w:bottom w:val="none" w:sz="0" w:space="0" w:color="auto"/>
            <w:right w:val="none" w:sz="0" w:space="0" w:color="auto"/>
          </w:divBdr>
        </w:div>
        <w:div w:id="1928146363">
          <w:marLeft w:val="720"/>
          <w:marRight w:val="0"/>
          <w:marTop w:val="150"/>
          <w:marBottom w:val="0"/>
          <w:divBdr>
            <w:top w:val="none" w:sz="0" w:space="0" w:color="auto"/>
            <w:left w:val="none" w:sz="0" w:space="0" w:color="auto"/>
            <w:bottom w:val="none" w:sz="0" w:space="0" w:color="auto"/>
            <w:right w:val="none" w:sz="0" w:space="0" w:color="auto"/>
          </w:divBdr>
        </w:div>
      </w:divsChild>
    </w:div>
    <w:div w:id="1960841518">
      <w:bodyDiv w:val="1"/>
      <w:marLeft w:val="0"/>
      <w:marRight w:val="0"/>
      <w:marTop w:val="0"/>
      <w:marBottom w:val="0"/>
      <w:divBdr>
        <w:top w:val="none" w:sz="0" w:space="0" w:color="auto"/>
        <w:left w:val="none" w:sz="0" w:space="0" w:color="auto"/>
        <w:bottom w:val="none" w:sz="0" w:space="0" w:color="auto"/>
        <w:right w:val="none" w:sz="0" w:space="0" w:color="auto"/>
      </w:divBdr>
      <w:divsChild>
        <w:div w:id="47147762">
          <w:marLeft w:val="403"/>
          <w:marRight w:val="0"/>
          <w:marTop w:val="0"/>
          <w:marBottom w:val="120"/>
          <w:divBdr>
            <w:top w:val="none" w:sz="0" w:space="0" w:color="auto"/>
            <w:left w:val="none" w:sz="0" w:space="0" w:color="auto"/>
            <w:bottom w:val="none" w:sz="0" w:space="0" w:color="auto"/>
            <w:right w:val="none" w:sz="0" w:space="0" w:color="auto"/>
          </w:divBdr>
        </w:div>
      </w:divsChild>
    </w:div>
    <w:div w:id="1972591457">
      <w:bodyDiv w:val="1"/>
      <w:marLeft w:val="0"/>
      <w:marRight w:val="0"/>
      <w:marTop w:val="0"/>
      <w:marBottom w:val="0"/>
      <w:divBdr>
        <w:top w:val="none" w:sz="0" w:space="0" w:color="auto"/>
        <w:left w:val="none" w:sz="0" w:space="0" w:color="auto"/>
        <w:bottom w:val="none" w:sz="0" w:space="0" w:color="auto"/>
        <w:right w:val="none" w:sz="0" w:space="0" w:color="auto"/>
      </w:divBdr>
    </w:div>
    <w:div w:id="1976376547">
      <w:bodyDiv w:val="1"/>
      <w:marLeft w:val="0"/>
      <w:marRight w:val="0"/>
      <w:marTop w:val="0"/>
      <w:marBottom w:val="0"/>
      <w:divBdr>
        <w:top w:val="none" w:sz="0" w:space="0" w:color="auto"/>
        <w:left w:val="none" w:sz="0" w:space="0" w:color="auto"/>
        <w:bottom w:val="none" w:sz="0" w:space="0" w:color="auto"/>
        <w:right w:val="none" w:sz="0" w:space="0" w:color="auto"/>
      </w:divBdr>
    </w:div>
    <w:div w:id="1979454874">
      <w:bodyDiv w:val="1"/>
      <w:marLeft w:val="0"/>
      <w:marRight w:val="0"/>
      <w:marTop w:val="0"/>
      <w:marBottom w:val="0"/>
      <w:divBdr>
        <w:top w:val="none" w:sz="0" w:space="0" w:color="auto"/>
        <w:left w:val="none" w:sz="0" w:space="0" w:color="auto"/>
        <w:bottom w:val="none" w:sz="0" w:space="0" w:color="auto"/>
        <w:right w:val="none" w:sz="0" w:space="0" w:color="auto"/>
      </w:divBdr>
    </w:div>
    <w:div w:id="1988389867">
      <w:bodyDiv w:val="1"/>
      <w:marLeft w:val="0"/>
      <w:marRight w:val="0"/>
      <w:marTop w:val="0"/>
      <w:marBottom w:val="0"/>
      <w:divBdr>
        <w:top w:val="none" w:sz="0" w:space="0" w:color="auto"/>
        <w:left w:val="none" w:sz="0" w:space="0" w:color="auto"/>
        <w:bottom w:val="none" w:sz="0" w:space="0" w:color="auto"/>
        <w:right w:val="none" w:sz="0" w:space="0" w:color="auto"/>
      </w:divBdr>
      <w:divsChild>
        <w:div w:id="38863838">
          <w:marLeft w:val="403"/>
          <w:marRight w:val="0"/>
          <w:marTop w:val="0"/>
          <w:marBottom w:val="120"/>
          <w:divBdr>
            <w:top w:val="none" w:sz="0" w:space="0" w:color="auto"/>
            <w:left w:val="none" w:sz="0" w:space="0" w:color="auto"/>
            <w:bottom w:val="none" w:sz="0" w:space="0" w:color="auto"/>
            <w:right w:val="none" w:sz="0" w:space="0" w:color="auto"/>
          </w:divBdr>
        </w:div>
        <w:div w:id="790250737">
          <w:marLeft w:val="403"/>
          <w:marRight w:val="0"/>
          <w:marTop w:val="0"/>
          <w:marBottom w:val="120"/>
          <w:divBdr>
            <w:top w:val="none" w:sz="0" w:space="0" w:color="auto"/>
            <w:left w:val="none" w:sz="0" w:space="0" w:color="auto"/>
            <w:bottom w:val="none" w:sz="0" w:space="0" w:color="auto"/>
            <w:right w:val="none" w:sz="0" w:space="0" w:color="auto"/>
          </w:divBdr>
        </w:div>
        <w:div w:id="1149595780">
          <w:marLeft w:val="403"/>
          <w:marRight w:val="0"/>
          <w:marTop w:val="0"/>
          <w:marBottom w:val="120"/>
          <w:divBdr>
            <w:top w:val="none" w:sz="0" w:space="0" w:color="auto"/>
            <w:left w:val="none" w:sz="0" w:space="0" w:color="auto"/>
            <w:bottom w:val="none" w:sz="0" w:space="0" w:color="auto"/>
            <w:right w:val="none" w:sz="0" w:space="0" w:color="auto"/>
          </w:divBdr>
        </w:div>
      </w:divsChild>
    </w:div>
    <w:div w:id="1996377519">
      <w:bodyDiv w:val="1"/>
      <w:marLeft w:val="0"/>
      <w:marRight w:val="0"/>
      <w:marTop w:val="0"/>
      <w:marBottom w:val="0"/>
      <w:divBdr>
        <w:top w:val="none" w:sz="0" w:space="0" w:color="auto"/>
        <w:left w:val="none" w:sz="0" w:space="0" w:color="auto"/>
        <w:bottom w:val="none" w:sz="0" w:space="0" w:color="auto"/>
        <w:right w:val="none" w:sz="0" w:space="0" w:color="auto"/>
      </w:divBdr>
    </w:div>
    <w:div w:id="2002268162">
      <w:bodyDiv w:val="1"/>
      <w:marLeft w:val="0"/>
      <w:marRight w:val="0"/>
      <w:marTop w:val="0"/>
      <w:marBottom w:val="0"/>
      <w:divBdr>
        <w:top w:val="none" w:sz="0" w:space="0" w:color="auto"/>
        <w:left w:val="none" w:sz="0" w:space="0" w:color="auto"/>
        <w:bottom w:val="none" w:sz="0" w:space="0" w:color="auto"/>
        <w:right w:val="none" w:sz="0" w:space="0" w:color="auto"/>
      </w:divBdr>
      <w:divsChild>
        <w:div w:id="117261136">
          <w:marLeft w:val="403"/>
          <w:marRight w:val="0"/>
          <w:marTop w:val="150"/>
          <w:marBottom w:val="0"/>
          <w:divBdr>
            <w:top w:val="none" w:sz="0" w:space="0" w:color="auto"/>
            <w:left w:val="none" w:sz="0" w:space="0" w:color="auto"/>
            <w:bottom w:val="none" w:sz="0" w:space="0" w:color="auto"/>
            <w:right w:val="none" w:sz="0" w:space="0" w:color="auto"/>
          </w:divBdr>
        </w:div>
        <w:div w:id="1718893060">
          <w:marLeft w:val="403"/>
          <w:marRight w:val="0"/>
          <w:marTop w:val="150"/>
          <w:marBottom w:val="0"/>
          <w:divBdr>
            <w:top w:val="none" w:sz="0" w:space="0" w:color="auto"/>
            <w:left w:val="none" w:sz="0" w:space="0" w:color="auto"/>
            <w:bottom w:val="none" w:sz="0" w:space="0" w:color="auto"/>
            <w:right w:val="none" w:sz="0" w:space="0" w:color="auto"/>
          </w:divBdr>
        </w:div>
        <w:div w:id="1747262749">
          <w:marLeft w:val="403"/>
          <w:marRight w:val="0"/>
          <w:marTop w:val="150"/>
          <w:marBottom w:val="0"/>
          <w:divBdr>
            <w:top w:val="none" w:sz="0" w:space="0" w:color="auto"/>
            <w:left w:val="none" w:sz="0" w:space="0" w:color="auto"/>
            <w:bottom w:val="none" w:sz="0" w:space="0" w:color="auto"/>
            <w:right w:val="none" w:sz="0" w:space="0" w:color="auto"/>
          </w:divBdr>
        </w:div>
      </w:divsChild>
    </w:div>
    <w:div w:id="2004501262">
      <w:bodyDiv w:val="1"/>
      <w:marLeft w:val="0"/>
      <w:marRight w:val="0"/>
      <w:marTop w:val="0"/>
      <w:marBottom w:val="0"/>
      <w:divBdr>
        <w:top w:val="none" w:sz="0" w:space="0" w:color="auto"/>
        <w:left w:val="none" w:sz="0" w:space="0" w:color="auto"/>
        <w:bottom w:val="none" w:sz="0" w:space="0" w:color="auto"/>
        <w:right w:val="none" w:sz="0" w:space="0" w:color="auto"/>
      </w:divBdr>
    </w:div>
    <w:div w:id="2006742037">
      <w:bodyDiv w:val="1"/>
      <w:marLeft w:val="0"/>
      <w:marRight w:val="0"/>
      <w:marTop w:val="0"/>
      <w:marBottom w:val="0"/>
      <w:divBdr>
        <w:top w:val="none" w:sz="0" w:space="0" w:color="auto"/>
        <w:left w:val="none" w:sz="0" w:space="0" w:color="auto"/>
        <w:bottom w:val="none" w:sz="0" w:space="0" w:color="auto"/>
        <w:right w:val="none" w:sz="0" w:space="0" w:color="auto"/>
      </w:divBdr>
      <w:divsChild>
        <w:div w:id="176695528">
          <w:marLeft w:val="274"/>
          <w:marRight w:val="0"/>
          <w:marTop w:val="120"/>
          <w:marBottom w:val="0"/>
          <w:divBdr>
            <w:top w:val="none" w:sz="0" w:space="0" w:color="auto"/>
            <w:left w:val="none" w:sz="0" w:space="0" w:color="auto"/>
            <w:bottom w:val="none" w:sz="0" w:space="0" w:color="auto"/>
            <w:right w:val="none" w:sz="0" w:space="0" w:color="auto"/>
          </w:divBdr>
        </w:div>
        <w:div w:id="682515189">
          <w:marLeft w:val="274"/>
          <w:marRight w:val="0"/>
          <w:marTop w:val="120"/>
          <w:marBottom w:val="0"/>
          <w:divBdr>
            <w:top w:val="none" w:sz="0" w:space="0" w:color="auto"/>
            <w:left w:val="none" w:sz="0" w:space="0" w:color="auto"/>
            <w:bottom w:val="none" w:sz="0" w:space="0" w:color="auto"/>
            <w:right w:val="none" w:sz="0" w:space="0" w:color="auto"/>
          </w:divBdr>
        </w:div>
        <w:div w:id="960455810">
          <w:marLeft w:val="274"/>
          <w:marRight w:val="0"/>
          <w:marTop w:val="120"/>
          <w:marBottom w:val="0"/>
          <w:divBdr>
            <w:top w:val="none" w:sz="0" w:space="0" w:color="auto"/>
            <w:left w:val="none" w:sz="0" w:space="0" w:color="auto"/>
            <w:bottom w:val="none" w:sz="0" w:space="0" w:color="auto"/>
            <w:right w:val="none" w:sz="0" w:space="0" w:color="auto"/>
          </w:divBdr>
        </w:div>
        <w:div w:id="1301107173">
          <w:marLeft w:val="274"/>
          <w:marRight w:val="0"/>
          <w:marTop w:val="120"/>
          <w:marBottom w:val="0"/>
          <w:divBdr>
            <w:top w:val="none" w:sz="0" w:space="0" w:color="auto"/>
            <w:left w:val="none" w:sz="0" w:space="0" w:color="auto"/>
            <w:bottom w:val="none" w:sz="0" w:space="0" w:color="auto"/>
            <w:right w:val="none" w:sz="0" w:space="0" w:color="auto"/>
          </w:divBdr>
        </w:div>
        <w:div w:id="1335573007">
          <w:marLeft w:val="274"/>
          <w:marRight w:val="0"/>
          <w:marTop w:val="120"/>
          <w:marBottom w:val="0"/>
          <w:divBdr>
            <w:top w:val="none" w:sz="0" w:space="0" w:color="auto"/>
            <w:left w:val="none" w:sz="0" w:space="0" w:color="auto"/>
            <w:bottom w:val="none" w:sz="0" w:space="0" w:color="auto"/>
            <w:right w:val="none" w:sz="0" w:space="0" w:color="auto"/>
          </w:divBdr>
        </w:div>
        <w:div w:id="1728189441">
          <w:marLeft w:val="274"/>
          <w:marRight w:val="0"/>
          <w:marTop w:val="120"/>
          <w:marBottom w:val="0"/>
          <w:divBdr>
            <w:top w:val="none" w:sz="0" w:space="0" w:color="auto"/>
            <w:left w:val="none" w:sz="0" w:space="0" w:color="auto"/>
            <w:bottom w:val="none" w:sz="0" w:space="0" w:color="auto"/>
            <w:right w:val="none" w:sz="0" w:space="0" w:color="auto"/>
          </w:divBdr>
        </w:div>
      </w:divsChild>
    </w:div>
    <w:div w:id="2008633372">
      <w:bodyDiv w:val="1"/>
      <w:marLeft w:val="0"/>
      <w:marRight w:val="0"/>
      <w:marTop w:val="0"/>
      <w:marBottom w:val="0"/>
      <w:divBdr>
        <w:top w:val="none" w:sz="0" w:space="0" w:color="auto"/>
        <w:left w:val="none" w:sz="0" w:space="0" w:color="auto"/>
        <w:bottom w:val="none" w:sz="0" w:space="0" w:color="auto"/>
        <w:right w:val="none" w:sz="0" w:space="0" w:color="auto"/>
      </w:divBdr>
    </w:div>
    <w:div w:id="2020544043">
      <w:bodyDiv w:val="1"/>
      <w:marLeft w:val="0"/>
      <w:marRight w:val="0"/>
      <w:marTop w:val="0"/>
      <w:marBottom w:val="0"/>
      <w:divBdr>
        <w:top w:val="none" w:sz="0" w:space="0" w:color="auto"/>
        <w:left w:val="none" w:sz="0" w:space="0" w:color="auto"/>
        <w:bottom w:val="none" w:sz="0" w:space="0" w:color="auto"/>
        <w:right w:val="none" w:sz="0" w:space="0" w:color="auto"/>
      </w:divBdr>
    </w:div>
    <w:div w:id="2029982937">
      <w:bodyDiv w:val="1"/>
      <w:marLeft w:val="0"/>
      <w:marRight w:val="0"/>
      <w:marTop w:val="0"/>
      <w:marBottom w:val="0"/>
      <w:divBdr>
        <w:top w:val="none" w:sz="0" w:space="0" w:color="auto"/>
        <w:left w:val="none" w:sz="0" w:space="0" w:color="auto"/>
        <w:bottom w:val="none" w:sz="0" w:space="0" w:color="auto"/>
        <w:right w:val="none" w:sz="0" w:space="0" w:color="auto"/>
      </w:divBdr>
    </w:div>
    <w:div w:id="2034259752">
      <w:bodyDiv w:val="1"/>
      <w:marLeft w:val="0"/>
      <w:marRight w:val="0"/>
      <w:marTop w:val="0"/>
      <w:marBottom w:val="0"/>
      <w:divBdr>
        <w:top w:val="none" w:sz="0" w:space="0" w:color="auto"/>
        <w:left w:val="none" w:sz="0" w:space="0" w:color="auto"/>
        <w:bottom w:val="none" w:sz="0" w:space="0" w:color="auto"/>
        <w:right w:val="none" w:sz="0" w:space="0" w:color="auto"/>
      </w:divBdr>
    </w:div>
    <w:div w:id="2049260473">
      <w:bodyDiv w:val="1"/>
      <w:marLeft w:val="0"/>
      <w:marRight w:val="0"/>
      <w:marTop w:val="0"/>
      <w:marBottom w:val="0"/>
      <w:divBdr>
        <w:top w:val="none" w:sz="0" w:space="0" w:color="auto"/>
        <w:left w:val="none" w:sz="0" w:space="0" w:color="auto"/>
        <w:bottom w:val="none" w:sz="0" w:space="0" w:color="auto"/>
        <w:right w:val="none" w:sz="0" w:space="0" w:color="auto"/>
      </w:divBdr>
    </w:div>
    <w:div w:id="2052797673">
      <w:bodyDiv w:val="1"/>
      <w:marLeft w:val="0"/>
      <w:marRight w:val="0"/>
      <w:marTop w:val="0"/>
      <w:marBottom w:val="0"/>
      <w:divBdr>
        <w:top w:val="none" w:sz="0" w:space="0" w:color="auto"/>
        <w:left w:val="none" w:sz="0" w:space="0" w:color="auto"/>
        <w:bottom w:val="none" w:sz="0" w:space="0" w:color="auto"/>
        <w:right w:val="none" w:sz="0" w:space="0" w:color="auto"/>
      </w:divBdr>
    </w:div>
    <w:div w:id="2053461846">
      <w:bodyDiv w:val="1"/>
      <w:marLeft w:val="0"/>
      <w:marRight w:val="0"/>
      <w:marTop w:val="0"/>
      <w:marBottom w:val="0"/>
      <w:divBdr>
        <w:top w:val="none" w:sz="0" w:space="0" w:color="auto"/>
        <w:left w:val="none" w:sz="0" w:space="0" w:color="auto"/>
        <w:bottom w:val="none" w:sz="0" w:space="0" w:color="auto"/>
        <w:right w:val="none" w:sz="0" w:space="0" w:color="auto"/>
      </w:divBdr>
    </w:div>
    <w:div w:id="2054695199">
      <w:bodyDiv w:val="1"/>
      <w:marLeft w:val="0"/>
      <w:marRight w:val="0"/>
      <w:marTop w:val="0"/>
      <w:marBottom w:val="0"/>
      <w:divBdr>
        <w:top w:val="none" w:sz="0" w:space="0" w:color="auto"/>
        <w:left w:val="none" w:sz="0" w:space="0" w:color="auto"/>
        <w:bottom w:val="none" w:sz="0" w:space="0" w:color="auto"/>
        <w:right w:val="none" w:sz="0" w:space="0" w:color="auto"/>
      </w:divBdr>
      <w:divsChild>
        <w:div w:id="34473240">
          <w:marLeft w:val="403"/>
          <w:marRight w:val="0"/>
          <w:marTop w:val="0"/>
          <w:marBottom w:val="120"/>
          <w:divBdr>
            <w:top w:val="none" w:sz="0" w:space="0" w:color="auto"/>
            <w:left w:val="none" w:sz="0" w:space="0" w:color="auto"/>
            <w:bottom w:val="none" w:sz="0" w:space="0" w:color="auto"/>
            <w:right w:val="none" w:sz="0" w:space="0" w:color="auto"/>
          </w:divBdr>
        </w:div>
        <w:div w:id="77792269">
          <w:marLeft w:val="403"/>
          <w:marRight w:val="0"/>
          <w:marTop w:val="0"/>
          <w:marBottom w:val="120"/>
          <w:divBdr>
            <w:top w:val="none" w:sz="0" w:space="0" w:color="auto"/>
            <w:left w:val="none" w:sz="0" w:space="0" w:color="auto"/>
            <w:bottom w:val="none" w:sz="0" w:space="0" w:color="auto"/>
            <w:right w:val="none" w:sz="0" w:space="0" w:color="auto"/>
          </w:divBdr>
        </w:div>
        <w:div w:id="1958288296">
          <w:marLeft w:val="403"/>
          <w:marRight w:val="0"/>
          <w:marTop w:val="0"/>
          <w:marBottom w:val="120"/>
          <w:divBdr>
            <w:top w:val="none" w:sz="0" w:space="0" w:color="auto"/>
            <w:left w:val="none" w:sz="0" w:space="0" w:color="auto"/>
            <w:bottom w:val="none" w:sz="0" w:space="0" w:color="auto"/>
            <w:right w:val="none" w:sz="0" w:space="0" w:color="auto"/>
          </w:divBdr>
        </w:div>
      </w:divsChild>
    </w:div>
    <w:div w:id="2057198173">
      <w:bodyDiv w:val="1"/>
      <w:marLeft w:val="0"/>
      <w:marRight w:val="0"/>
      <w:marTop w:val="0"/>
      <w:marBottom w:val="0"/>
      <w:divBdr>
        <w:top w:val="none" w:sz="0" w:space="0" w:color="auto"/>
        <w:left w:val="none" w:sz="0" w:space="0" w:color="auto"/>
        <w:bottom w:val="none" w:sz="0" w:space="0" w:color="auto"/>
        <w:right w:val="none" w:sz="0" w:space="0" w:color="auto"/>
      </w:divBdr>
      <w:divsChild>
        <w:div w:id="1755711502">
          <w:marLeft w:val="274"/>
          <w:marRight w:val="0"/>
          <w:marTop w:val="120"/>
          <w:marBottom w:val="0"/>
          <w:divBdr>
            <w:top w:val="none" w:sz="0" w:space="0" w:color="auto"/>
            <w:left w:val="none" w:sz="0" w:space="0" w:color="auto"/>
            <w:bottom w:val="none" w:sz="0" w:space="0" w:color="auto"/>
            <w:right w:val="none" w:sz="0" w:space="0" w:color="auto"/>
          </w:divBdr>
        </w:div>
      </w:divsChild>
    </w:div>
    <w:div w:id="2070110347">
      <w:bodyDiv w:val="1"/>
      <w:marLeft w:val="0"/>
      <w:marRight w:val="0"/>
      <w:marTop w:val="0"/>
      <w:marBottom w:val="0"/>
      <w:divBdr>
        <w:top w:val="none" w:sz="0" w:space="0" w:color="auto"/>
        <w:left w:val="none" w:sz="0" w:space="0" w:color="auto"/>
        <w:bottom w:val="none" w:sz="0" w:space="0" w:color="auto"/>
        <w:right w:val="none" w:sz="0" w:space="0" w:color="auto"/>
      </w:divBdr>
    </w:div>
    <w:div w:id="2077049504">
      <w:bodyDiv w:val="1"/>
      <w:marLeft w:val="0"/>
      <w:marRight w:val="0"/>
      <w:marTop w:val="0"/>
      <w:marBottom w:val="0"/>
      <w:divBdr>
        <w:top w:val="none" w:sz="0" w:space="0" w:color="auto"/>
        <w:left w:val="none" w:sz="0" w:space="0" w:color="auto"/>
        <w:bottom w:val="none" w:sz="0" w:space="0" w:color="auto"/>
        <w:right w:val="none" w:sz="0" w:space="0" w:color="auto"/>
      </w:divBdr>
      <w:divsChild>
        <w:div w:id="97258790">
          <w:marLeft w:val="403"/>
          <w:marRight w:val="0"/>
          <w:marTop w:val="0"/>
          <w:marBottom w:val="120"/>
          <w:divBdr>
            <w:top w:val="none" w:sz="0" w:space="0" w:color="auto"/>
            <w:left w:val="none" w:sz="0" w:space="0" w:color="auto"/>
            <w:bottom w:val="none" w:sz="0" w:space="0" w:color="auto"/>
            <w:right w:val="none" w:sz="0" w:space="0" w:color="auto"/>
          </w:divBdr>
        </w:div>
        <w:div w:id="123430725">
          <w:marLeft w:val="403"/>
          <w:marRight w:val="0"/>
          <w:marTop w:val="0"/>
          <w:marBottom w:val="120"/>
          <w:divBdr>
            <w:top w:val="none" w:sz="0" w:space="0" w:color="auto"/>
            <w:left w:val="none" w:sz="0" w:space="0" w:color="auto"/>
            <w:bottom w:val="none" w:sz="0" w:space="0" w:color="auto"/>
            <w:right w:val="none" w:sz="0" w:space="0" w:color="auto"/>
          </w:divBdr>
        </w:div>
      </w:divsChild>
    </w:div>
    <w:div w:id="2077779326">
      <w:bodyDiv w:val="1"/>
      <w:marLeft w:val="0"/>
      <w:marRight w:val="0"/>
      <w:marTop w:val="0"/>
      <w:marBottom w:val="0"/>
      <w:divBdr>
        <w:top w:val="none" w:sz="0" w:space="0" w:color="auto"/>
        <w:left w:val="none" w:sz="0" w:space="0" w:color="auto"/>
        <w:bottom w:val="none" w:sz="0" w:space="0" w:color="auto"/>
        <w:right w:val="none" w:sz="0" w:space="0" w:color="auto"/>
      </w:divBdr>
    </w:div>
    <w:div w:id="2085711804">
      <w:bodyDiv w:val="1"/>
      <w:marLeft w:val="0"/>
      <w:marRight w:val="0"/>
      <w:marTop w:val="0"/>
      <w:marBottom w:val="0"/>
      <w:divBdr>
        <w:top w:val="none" w:sz="0" w:space="0" w:color="auto"/>
        <w:left w:val="none" w:sz="0" w:space="0" w:color="auto"/>
        <w:bottom w:val="none" w:sz="0" w:space="0" w:color="auto"/>
        <w:right w:val="none" w:sz="0" w:space="0" w:color="auto"/>
      </w:divBdr>
      <w:divsChild>
        <w:div w:id="621687342">
          <w:marLeft w:val="475"/>
          <w:marRight w:val="0"/>
          <w:marTop w:val="0"/>
          <w:marBottom w:val="120"/>
          <w:divBdr>
            <w:top w:val="none" w:sz="0" w:space="0" w:color="auto"/>
            <w:left w:val="none" w:sz="0" w:space="0" w:color="auto"/>
            <w:bottom w:val="none" w:sz="0" w:space="0" w:color="auto"/>
            <w:right w:val="none" w:sz="0" w:space="0" w:color="auto"/>
          </w:divBdr>
        </w:div>
        <w:div w:id="2034068594">
          <w:marLeft w:val="475"/>
          <w:marRight w:val="0"/>
          <w:marTop w:val="0"/>
          <w:marBottom w:val="120"/>
          <w:divBdr>
            <w:top w:val="none" w:sz="0" w:space="0" w:color="auto"/>
            <w:left w:val="none" w:sz="0" w:space="0" w:color="auto"/>
            <w:bottom w:val="none" w:sz="0" w:space="0" w:color="auto"/>
            <w:right w:val="none" w:sz="0" w:space="0" w:color="auto"/>
          </w:divBdr>
        </w:div>
      </w:divsChild>
    </w:div>
    <w:div w:id="2096896270">
      <w:bodyDiv w:val="1"/>
      <w:marLeft w:val="0"/>
      <w:marRight w:val="0"/>
      <w:marTop w:val="0"/>
      <w:marBottom w:val="0"/>
      <w:divBdr>
        <w:top w:val="none" w:sz="0" w:space="0" w:color="auto"/>
        <w:left w:val="none" w:sz="0" w:space="0" w:color="auto"/>
        <w:bottom w:val="none" w:sz="0" w:space="0" w:color="auto"/>
        <w:right w:val="none" w:sz="0" w:space="0" w:color="auto"/>
      </w:divBdr>
    </w:div>
    <w:div w:id="2102604437">
      <w:bodyDiv w:val="1"/>
      <w:marLeft w:val="0"/>
      <w:marRight w:val="0"/>
      <w:marTop w:val="0"/>
      <w:marBottom w:val="0"/>
      <w:divBdr>
        <w:top w:val="none" w:sz="0" w:space="0" w:color="auto"/>
        <w:left w:val="none" w:sz="0" w:space="0" w:color="auto"/>
        <w:bottom w:val="none" w:sz="0" w:space="0" w:color="auto"/>
        <w:right w:val="none" w:sz="0" w:space="0" w:color="auto"/>
      </w:divBdr>
      <w:divsChild>
        <w:div w:id="1077940432">
          <w:marLeft w:val="403"/>
          <w:marRight w:val="0"/>
          <w:marTop w:val="0"/>
          <w:marBottom w:val="150"/>
          <w:divBdr>
            <w:top w:val="none" w:sz="0" w:space="0" w:color="auto"/>
            <w:left w:val="none" w:sz="0" w:space="0" w:color="auto"/>
            <w:bottom w:val="none" w:sz="0" w:space="0" w:color="auto"/>
            <w:right w:val="none" w:sz="0" w:space="0" w:color="auto"/>
          </w:divBdr>
        </w:div>
      </w:divsChild>
    </w:div>
    <w:div w:id="2104953577">
      <w:bodyDiv w:val="1"/>
      <w:marLeft w:val="0"/>
      <w:marRight w:val="0"/>
      <w:marTop w:val="0"/>
      <w:marBottom w:val="0"/>
      <w:divBdr>
        <w:top w:val="none" w:sz="0" w:space="0" w:color="auto"/>
        <w:left w:val="none" w:sz="0" w:space="0" w:color="auto"/>
        <w:bottom w:val="none" w:sz="0" w:space="0" w:color="auto"/>
        <w:right w:val="none" w:sz="0" w:space="0" w:color="auto"/>
      </w:divBdr>
    </w:div>
    <w:div w:id="2105414395">
      <w:bodyDiv w:val="1"/>
      <w:marLeft w:val="0"/>
      <w:marRight w:val="0"/>
      <w:marTop w:val="0"/>
      <w:marBottom w:val="0"/>
      <w:divBdr>
        <w:top w:val="none" w:sz="0" w:space="0" w:color="auto"/>
        <w:left w:val="none" w:sz="0" w:space="0" w:color="auto"/>
        <w:bottom w:val="none" w:sz="0" w:space="0" w:color="auto"/>
        <w:right w:val="none" w:sz="0" w:space="0" w:color="auto"/>
      </w:divBdr>
    </w:div>
    <w:div w:id="2107075045">
      <w:bodyDiv w:val="1"/>
      <w:marLeft w:val="0"/>
      <w:marRight w:val="0"/>
      <w:marTop w:val="0"/>
      <w:marBottom w:val="0"/>
      <w:divBdr>
        <w:top w:val="none" w:sz="0" w:space="0" w:color="auto"/>
        <w:left w:val="none" w:sz="0" w:space="0" w:color="auto"/>
        <w:bottom w:val="none" w:sz="0" w:space="0" w:color="auto"/>
        <w:right w:val="none" w:sz="0" w:space="0" w:color="auto"/>
      </w:divBdr>
      <w:divsChild>
        <w:div w:id="63721988">
          <w:marLeft w:val="403"/>
          <w:marRight w:val="0"/>
          <w:marTop w:val="120"/>
          <w:marBottom w:val="0"/>
          <w:divBdr>
            <w:top w:val="none" w:sz="0" w:space="0" w:color="auto"/>
            <w:left w:val="none" w:sz="0" w:space="0" w:color="auto"/>
            <w:bottom w:val="none" w:sz="0" w:space="0" w:color="auto"/>
            <w:right w:val="none" w:sz="0" w:space="0" w:color="auto"/>
          </w:divBdr>
        </w:div>
        <w:div w:id="326174368">
          <w:marLeft w:val="403"/>
          <w:marRight w:val="0"/>
          <w:marTop w:val="120"/>
          <w:marBottom w:val="0"/>
          <w:divBdr>
            <w:top w:val="none" w:sz="0" w:space="0" w:color="auto"/>
            <w:left w:val="none" w:sz="0" w:space="0" w:color="auto"/>
            <w:bottom w:val="none" w:sz="0" w:space="0" w:color="auto"/>
            <w:right w:val="none" w:sz="0" w:space="0" w:color="auto"/>
          </w:divBdr>
        </w:div>
      </w:divsChild>
    </w:div>
    <w:div w:id="2109881758">
      <w:bodyDiv w:val="1"/>
      <w:marLeft w:val="0"/>
      <w:marRight w:val="0"/>
      <w:marTop w:val="0"/>
      <w:marBottom w:val="0"/>
      <w:divBdr>
        <w:top w:val="none" w:sz="0" w:space="0" w:color="auto"/>
        <w:left w:val="none" w:sz="0" w:space="0" w:color="auto"/>
        <w:bottom w:val="none" w:sz="0" w:space="0" w:color="auto"/>
        <w:right w:val="none" w:sz="0" w:space="0" w:color="auto"/>
      </w:divBdr>
      <w:divsChild>
        <w:div w:id="207842922">
          <w:marLeft w:val="878"/>
          <w:marRight w:val="0"/>
          <w:marTop w:val="0"/>
          <w:marBottom w:val="120"/>
          <w:divBdr>
            <w:top w:val="none" w:sz="0" w:space="0" w:color="auto"/>
            <w:left w:val="none" w:sz="0" w:space="0" w:color="auto"/>
            <w:bottom w:val="none" w:sz="0" w:space="0" w:color="auto"/>
            <w:right w:val="none" w:sz="0" w:space="0" w:color="auto"/>
          </w:divBdr>
        </w:div>
        <w:div w:id="953756374">
          <w:marLeft w:val="878"/>
          <w:marRight w:val="0"/>
          <w:marTop w:val="0"/>
          <w:marBottom w:val="120"/>
          <w:divBdr>
            <w:top w:val="none" w:sz="0" w:space="0" w:color="auto"/>
            <w:left w:val="none" w:sz="0" w:space="0" w:color="auto"/>
            <w:bottom w:val="none" w:sz="0" w:space="0" w:color="auto"/>
            <w:right w:val="none" w:sz="0" w:space="0" w:color="auto"/>
          </w:divBdr>
        </w:div>
        <w:div w:id="2122993546">
          <w:marLeft w:val="878"/>
          <w:marRight w:val="0"/>
          <w:marTop w:val="0"/>
          <w:marBottom w:val="120"/>
          <w:divBdr>
            <w:top w:val="none" w:sz="0" w:space="0" w:color="auto"/>
            <w:left w:val="none" w:sz="0" w:space="0" w:color="auto"/>
            <w:bottom w:val="none" w:sz="0" w:space="0" w:color="auto"/>
            <w:right w:val="none" w:sz="0" w:space="0" w:color="auto"/>
          </w:divBdr>
        </w:div>
      </w:divsChild>
    </w:div>
    <w:div w:id="2118483117">
      <w:bodyDiv w:val="1"/>
      <w:marLeft w:val="0"/>
      <w:marRight w:val="0"/>
      <w:marTop w:val="0"/>
      <w:marBottom w:val="0"/>
      <w:divBdr>
        <w:top w:val="none" w:sz="0" w:space="0" w:color="auto"/>
        <w:left w:val="none" w:sz="0" w:space="0" w:color="auto"/>
        <w:bottom w:val="none" w:sz="0" w:space="0" w:color="auto"/>
        <w:right w:val="none" w:sz="0" w:space="0" w:color="auto"/>
      </w:divBdr>
      <w:divsChild>
        <w:div w:id="2101020662">
          <w:marLeft w:val="403"/>
          <w:marRight w:val="0"/>
          <w:marTop w:val="150"/>
          <w:marBottom w:val="0"/>
          <w:divBdr>
            <w:top w:val="none" w:sz="0" w:space="0" w:color="auto"/>
            <w:left w:val="none" w:sz="0" w:space="0" w:color="auto"/>
            <w:bottom w:val="none" w:sz="0" w:space="0" w:color="auto"/>
            <w:right w:val="none" w:sz="0" w:space="0" w:color="auto"/>
          </w:divBdr>
        </w:div>
      </w:divsChild>
    </w:div>
    <w:div w:id="2119567172">
      <w:bodyDiv w:val="1"/>
      <w:marLeft w:val="0"/>
      <w:marRight w:val="0"/>
      <w:marTop w:val="0"/>
      <w:marBottom w:val="0"/>
      <w:divBdr>
        <w:top w:val="none" w:sz="0" w:space="0" w:color="auto"/>
        <w:left w:val="none" w:sz="0" w:space="0" w:color="auto"/>
        <w:bottom w:val="none" w:sz="0" w:space="0" w:color="auto"/>
        <w:right w:val="none" w:sz="0" w:space="0" w:color="auto"/>
      </w:divBdr>
    </w:div>
    <w:div w:id="2123301102">
      <w:bodyDiv w:val="1"/>
      <w:marLeft w:val="0"/>
      <w:marRight w:val="0"/>
      <w:marTop w:val="0"/>
      <w:marBottom w:val="0"/>
      <w:divBdr>
        <w:top w:val="none" w:sz="0" w:space="0" w:color="auto"/>
        <w:left w:val="none" w:sz="0" w:space="0" w:color="auto"/>
        <w:bottom w:val="none" w:sz="0" w:space="0" w:color="auto"/>
        <w:right w:val="none" w:sz="0" w:space="0" w:color="auto"/>
      </w:divBdr>
      <w:divsChild>
        <w:div w:id="2070882180">
          <w:marLeft w:val="403"/>
          <w:marRight w:val="0"/>
          <w:marTop w:val="150"/>
          <w:marBottom w:val="0"/>
          <w:divBdr>
            <w:top w:val="none" w:sz="0" w:space="0" w:color="auto"/>
            <w:left w:val="none" w:sz="0" w:space="0" w:color="auto"/>
            <w:bottom w:val="none" w:sz="0" w:space="0" w:color="auto"/>
            <w:right w:val="none" w:sz="0" w:space="0" w:color="auto"/>
          </w:divBdr>
        </w:div>
      </w:divsChild>
    </w:div>
    <w:div w:id="2124962197">
      <w:bodyDiv w:val="1"/>
      <w:marLeft w:val="0"/>
      <w:marRight w:val="0"/>
      <w:marTop w:val="0"/>
      <w:marBottom w:val="0"/>
      <w:divBdr>
        <w:top w:val="none" w:sz="0" w:space="0" w:color="auto"/>
        <w:left w:val="none" w:sz="0" w:space="0" w:color="auto"/>
        <w:bottom w:val="none" w:sz="0" w:space="0" w:color="auto"/>
        <w:right w:val="none" w:sz="0" w:space="0" w:color="auto"/>
      </w:divBdr>
      <w:divsChild>
        <w:div w:id="139739408">
          <w:marLeft w:val="403"/>
          <w:marRight w:val="0"/>
          <w:marTop w:val="0"/>
          <w:marBottom w:val="120"/>
          <w:divBdr>
            <w:top w:val="none" w:sz="0" w:space="0" w:color="auto"/>
            <w:left w:val="none" w:sz="0" w:space="0" w:color="auto"/>
            <w:bottom w:val="none" w:sz="0" w:space="0" w:color="auto"/>
            <w:right w:val="none" w:sz="0" w:space="0" w:color="auto"/>
          </w:divBdr>
        </w:div>
        <w:div w:id="558441485">
          <w:marLeft w:val="403"/>
          <w:marRight w:val="0"/>
          <w:marTop w:val="0"/>
          <w:marBottom w:val="120"/>
          <w:divBdr>
            <w:top w:val="none" w:sz="0" w:space="0" w:color="auto"/>
            <w:left w:val="none" w:sz="0" w:space="0" w:color="auto"/>
            <w:bottom w:val="none" w:sz="0" w:space="0" w:color="auto"/>
            <w:right w:val="none" w:sz="0" w:space="0" w:color="auto"/>
          </w:divBdr>
        </w:div>
        <w:div w:id="1769347741">
          <w:marLeft w:val="403"/>
          <w:marRight w:val="0"/>
          <w:marTop w:val="0"/>
          <w:marBottom w:val="120"/>
          <w:divBdr>
            <w:top w:val="none" w:sz="0" w:space="0" w:color="auto"/>
            <w:left w:val="none" w:sz="0" w:space="0" w:color="auto"/>
            <w:bottom w:val="none" w:sz="0" w:space="0" w:color="auto"/>
            <w:right w:val="none" w:sz="0" w:space="0" w:color="auto"/>
          </w:divBdr>
        </w:div>
        <w:div w:id="2110732992">
          <w:marLeft w:val="403"/>
          <w:marRight w:val="0"/>
          <w:marTop w:val="0"/>
          <w:marBottom w:val="120"/>
          <w:divBdr>
            <w:top w:val="none" w:sz="0" w:space="0" w:color="auto"/>
            <w:left w:val="none" w:sz="0" w:space="0" w:color="auto"/>
            <w:bottom w:val="none" w:sz="0" w:space="0" w:color="auto"/>
            <w:right w:val="none" w:sz="0" w:space="0" w:color="auto"/>
          </w:divBdr>
        </w:div>
      </w:divsChild>
    </w:div>
    <w:div w:id="2126609592">
      <w:bodyDiv w:val="1"/>
      <w:marLeft w:val="0"/>
      <w:marRight w:val="0"/>
      <w:marTop w:val="0"/>
      <w:marBottom w:val="0"/>
      <w:divBdr>
        <w:top w:val="none" w:sz="0" w:space="0" w:color="auto"/>
        <w:left w:val="none" w:sz="0" w:space="0" w:color="auto"/>
        <w:bottom w:val="none" w:sz="0" w:space="0" w:color="auto"/>
        <w:right w:val="none" w:sz="0" w:space="0" w:color="auto"/>
      </w:divBdr>
    </w:div>
    <w:div w:id="2143109981">
      <w:bodyDiv w:val="1"/>
      <w:marLeft w:val="0"/>
      <w:marRight w:val="0"/>
      <w:marTop w:val="0"/>
      <w:marBottom w:val="0"/>
      <w:divBdr>
        <w:top w:val="none" w:sz="0" w:space="0" w:color="auto"/>
        <w:left w:val="none" w:sz="0" w:space="0" w:color="auto"/>
        <w:bottom w:val="none" w:sz="0" w:space="0" w:color="auto"/>
        <w:right w:val="none" w:sz="0" w:space="0" w:color="auto"/>
      </w:divBdr>
      <w:divsChild>
        <w:div w:id="1521162372">
          <w:marLeft w:val="403"/>
          <w:marRight w:val="0"/>
          <w:marTop w:val="150"/>
          <w:marBottom w:val="0"/>
          <w:divBdr>
            <w:top w:val="none" w:sz="0" w:space="0" w:color="auto"/>
            <w:left w:val="none" w:sz="0" w:space="0" w:color="auto"/>
            <w:bottom w:val="none" w:sz="0" w:space="0" w:color="auto"/>
            <w:right w:val="none" w:sz="0" w:space="0" w:color="auto"/>
          </w:divBdr>
        </w:div>
      </w:divsChild>
    </w:div>
    <w:div w:id="2145661237">
      <w:bodyDiv w:val="1"/>
      <w:marLeft w:val="0"/>
      <w:marRight w:val="0"/>
      <w:marTop w:val="0"/>
      <w:marBottom w:val="0"/>
      <w:divBdr>
        <w:top w:val="none" w:sz="0" w:space="0" w:color="auto"/>
        <w:left w:val="none" w:sz="0" w:space="0" w:color="auto"/>
        <w:bottom w:val="none" w:sz="0" w:space="0" w:color="auto"/>
        <w:right w:val="none" w:sz="0" w:space="0" w:color="auto"/>
      </w:divBdr>
    </w:div>
    <w:div w:id="214697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cdc.gov/hiv" TargetMode="External"/><Relationship Id="rId21" Type="http://schemas.openxmlformats.org/officeDocument/2006/relationships/hyperlink" Target="https://www.cdc.gov/std/chlamydia/stdfact-chlamydia-detailed.htm"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https://www.mass.gov/lists/massachusetts-youth-health-survey-myhs" TargetMode="External"/><Relationship Id="rId89" Type="http://schemas.openxmlformats.org/officeDocument/2006/relationships/hyperlink" Target="mailto:Betsey.John@state.ma.us" TargetMode="External"/><Relationship Id="rId112" Type="http://schemas.openxmlformats.org/officeDocument/2006/relationships/hyperlink" Target="http://www.mass.gov/hepatitis-c-hcv" TargetMode="External"/><Relationship Id="rId16" Type="http://schemas.openxmlformats.org/officeDocument/2006/relationships/header" Target="header2.xml"/><Relationship Id="rId107" Type="http://schemas.openxmlformats.org/officeDocument/2006/relationships/hyperlink" Target="https://www.mass.gov/partner-services-program-psp" TargetMode="External"/><Relationship Id="rId11" Type="http://schemas.openxmlformats.org/officeDocument/2006/relationships/hyperlink" Target="https://www.mass.gov/doc/2022-integrated-hiv-std-and-viral-hepatitis-report-pdf/download" TargetMode="Externa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www.mass.gov/doc/congenital-syphilis-clinical-alert-6-30-2020/download" TargetMode="External"/><Relationship Id="rId79" Type="http://schemas.openxmlformats.org/officeDocument/2006/relationships/image" Target="media/image54.png"/><Relationship Id="rId102" Type="http://schemas.openxmlformats.org/officeDocument/2006/relationships/hyperlink" Target="http://www.ratelleptc.org/"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png"/><Relationship Id="rId82" Type="http://schemas.openxmlformats.org/officeDocument/2006/relationships/image" Target="media/image57.png"/><Relationship Id="rId90" Type="http://schemas.openxmlformats.org/officeDocument/2006/relationships/hyperlink" Target="mailto:Katherine.Hsu@state.ma.us" TargetMode="External"/><Relationship Id="rId95" Type="http://schemas.openxmlformats.org/officeDocument/2006/relationships/hyperlink" Target="mailto:Lindsay.Bouton@state.ma.us"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hyperlink" Target="https://www.mass.gov/doc/clinical-alert-on-non-susceptible-gonorrhea-january-19-2023/download"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2.png"/><Relationship Id="rId100" Type="http://schemas.openxmlformats.org/officeDocument/2006/relationships/hyperlink" Target="https://www.mass.gov/lists/hepatitis-b-educational-materials-and-other-resources" TargetMode="External"/><Relationship Id="rId105" Type="http://schemas.openxmlformats.org/officeDocument/2006/relationships/hyperlink" Target="https://massclearinghouse.ehs.state.ma.us/" TargetMode="External"/><Relationship Id="rId113" Type="http://schemas.openxmlformats.org/officeDocument/2006/relationships/hyperlink" Target="http://www.RatellePTC.org" TargetMode="External"/><Relationship Id="rId118" Type="http://schemas.openxmlformats.org/officeDocument/2006/relationships/hyperlink" Target="http://www.cdc.gov/hepatitis"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5.png"/><Relationship Id="rId85" Type="http://schemas.openxmlformats.org/officeDocument/2006/relationships/hyperlink" Target="http://www.donahue.umassp.edu/business-groups/economic-public-policy-research/massachusetts-population-estimates-program" TargetMode="External"/><Relationship Id="rId93" Type="http://schemas.openxmlformats.org/officeDocument/2006/relationships/hyperlink" Target="mailto:linda.goldman@state.ma.us" TargetMode="External"/><Relationship Id="rId98" Type="http://schemas.openxmlformats.org/officeDocument/2006/relationships/hyperlink" Target="http://www.mass.gov/dph/cdc/aids" TargetMode="External"/><Relationship Id="rId12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https://www.mass.gov/lists/infectious-disease-data-reports-and-requests"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s://www.cdc.gov/std/syphilis/stdfact-syphilis-detailed.htm"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hyperlink" Target="https://www.mass.gov/lists/hivaids-epidemiologic-profiles" TargetMode="External"/><Relationship Id="rId108" Type="http://schemas.openxmlformats.org/officeDocument/2006/relationships/hyperlink" Target="http://www.mass.gov/orgs/bureau-of-infectious-disease-" TargetMode="External"/><Relationship Id="rId116" Type="http://schemas.openxmlformats.org/officeDocument/2006/relationships/hyperlink" Target="http://www.cdc.gov/std" TargetMode="External"/><Relationship Id="rId124"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hyperlink" Target="mailto:Janine.Dyer@state.ma.us" TargetMode="External"/><Relationship Id="rId91" Type="http://schemas.openxmlformats.org/officeDocument/2006/relationships/hyperlink" Target="mailto:Kaitlin.Nichols@mass.gov" TargetMode="External"/><Relationship Id="rId96" Type="http://schemas.openxmlformats.org/officeDocument/2006/relationships/hyperlink" Target="mailto:Anthony.Osinski@state.ma.us" TargetMode="External"/><Relationship Id="rId111" Type="http://schemas.openxmlformats.org/officeDocument/2006/relationships/hyperlink" Target="http://www.mass.gov/hepatitis-b-hb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hyperlink" Target="https://www.cdc.gov/std/gonorrhea/stdfact-gonorrhea-detailed.htm"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hyperlink" Target="http://www.ratelleptc.org/" TargetMode="External"/><Relationship Id="rId114" Type="http://schemas.openxmlformats.org/officeDocument/2006/relationships/hyperlink" Target="http://www.mass.gov/dph/cdc/std" TargetMode="External"/><Relationship Id="rId119" Type="http://schemas.openxmlformats.org/officeDocument/2006/relationships/hyperlink" Target="http://www.nnptc.org"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hyperlink" Target="mailto:Brenda.Hernandez@state.ma.us" TargetMode="External"/><Relationship Id="rId94" Type="http://schemas.openxmlformats.org/officeDocument/2006/relationships/hyperlink" Target="mailto:Barry.Callis@state.ma.us" TargetMode="External"/><Relationship Id="rId99" Type="http://schemas.openxmlformats.org/officeDocument/2006/relationships/hyperlink" Target="http://www.mass.gov/dph/aids" TargetMode="External"/><Relationship Id="rId101" Type="http://schemas.openxmlformats.org/officeDocument/2006/relationships/hyperlink" Target="https://www.mass.gov/lists/hepatitis-c-educational-materials-and-other-resources" TargetMode="External"/><Relationship Id="rId12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ss.gov/lists/std-data-and-reports" TargetMode="External"/><Relationship Id="rId18" Type="http://schemas.openxmlformats.org/officeDocument/2006/relationships/header" Target="header3.xml"/><Relationship Id="rId39" Type="http://schemas.openxmlformats.org/officeDocument/2006/relationships/image" Target="media/image15.png"/><Relationship Id="rId109" Type="http://schemas.openxmlformats.org/officeDocument/2006/relationships/hyperlink" Target="http://www.mass.gov/dph/aids" TargetMode="Externa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hyperlink" Target="http://www.mass.gov/dph/cdc/std" TargetMode="External"/><Relationship Id="rId104" Type="http://schemas.openxmlformats.org/officeDocument/2006/relationships/hyperlink" Target="https://www.mass.gov/infectious-disease-surveillance-reporting-and-control" TargetMode="External"/><Relationship Id="rId120"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hyperlink" Target="mailto:linda.goldman@state.ma.us"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3.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hyperlink" Target="mailto:Katherine.Hsu@state.ma.us" TargetMode="External"/><Relationship Id="rId110" Type="http://schemas.openxmlformats.org/officeDocument/2006/relationships/hyperlink" Target="http://www.mass.gov//hepatitis-a" TargetMode="External"/><Relationship Id="rId115" Type="http://schemas.openxmlformats.org/officeDocument/2006/relationships/hyperlink" Target="http://www.cdc.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am12.safelinks.protection.outlook.com/?url=https%3A%2F%2Fwww.cdc.gov%2Fnchhstp%2Fdear_colleague%2F2020%2Fdcl-040620-std-treatment-options.html&amp;data=05%7C01%7C%7Cdada360fb37f4c5ea95f08dabc2abf8c%7C84df9e7fe9f640afb435aaaaaaaaaaaa%7C1%7C0%7C638029189047857817%7CUnknown%7CTWFpbGZsb3d8eyJWIjoiMC4wLjAwMDAiLCJQIjoiV2luMzIiLCJBTiI6Ik1haWwiLCJXVCI6Mn0%3D%7C3000%7C%7C%7C&amp;sdata=q1DAD%2FNrB4p%2BTti%2BUiH1g0DOFI3peQBN4JeWp4RmOvU%3D&amp;reserved=0" TargetMode="External"/><Relationship Id="rId13" Type="http://schemas.openxmlformats.org/officeDocument/2006/relationships/hyperlink" Target="https://doi.org/10.1007/s40615-022-01456-7" TargetMode="External"/><Relationship Id="rId18" Type="http://schemas.openxmlformats.org/officeDocument/2006/relationships/hyperlink" Target="https://wwwn.cdc.gov/nndss/conditions/" TargetMode="External"/><Relationship Id="rId3" Type="http://schemas.openxmlformats.org/officeDocument/2006/relationships/hyperlink" Target="https://www.cdc.gov/std/statistics/2021/default.htm" TargetMode="External"/><Relationship Id="rId21" Type="http://schemas.openxmlformats.org/officeDocument/2006/relationships/hyperlink" Target="https://www.mass.gov/doc/joint-mdph-and-bphc-clinical-advisory-hiv-transmission-through-injection-drug-use-in-boston-march-15-2021/download" TargetMode="External"/><Relationship Id="rId7" Type="http://schemas.openxmlformats.org/officeDocument/2006/relationships/hyperlink" Target="https://www.mass.gov/info-details/covid-19-state-of-emergency" TargetMode="External"/><Relationship Id="rId12" Type="http://schemas.openxmlformats.org/officeDocument/2006/relationships/hyperlink" Target="https://www.atsdr.cdc.gov/placeandhealth/svi/index.html" TargetMode="External"/><Relationship Id="rId17" Type="http://schemas.openxmlformats.org/officeDocument/2006/relationships/hyperlink" Target="http://dx.doi.org/10.15585/mmwr.rr6905a1" TargetMode="External"/><Relationship Id="rId2" Type="http://schemas.openxmlformats.org/officeDocument/2006/relationships/hyperlink" Target="https://www.cdc.gov/nchhstp/newsroom/2021/2020-std-trend-report.html" TargetMode="External"/><Relationship Id="rId16" Type="http://schemas.openxmlformats.org/officeDocument/2006/relationships/hyperlink" Target="https://www.cdc.gov/hiv/statistics/deaths/index.html" TargetMode="External"/><Relationship Id="rId20" Type="http://schemas.openxmlformats.org/officeDocument/2006/relationships/hyperlink" Target="https://doi.org/10.2105/AJPH.2019.305366" TargetMode="External"/><Relationship Id="rId1" Type="http://schemas.openxmlformats.org/officeDocument/2006/relationships/hyperlink" Target="https://www.mass.gov/service-details/partner-services-program-information-for-healthcare-providers" TargetMode="External"/><Relationship Id="rId6" Type="http://schemas.openxmlformats.org/officeDocument/2006/relationships/hyperlink" Target="https://www.cdc.gov/std/statistics/2021/default.htm" TargetMode="External"/><Relationship Id="rId11" Type="http://schemas.openxmlformats.org/officeDocument/2006/relationships/hyperlink" Target="https://www.cdc.gov/std/statistics/2021/default.htm" TargetMode="External"/><Relationship Id="rId24" Type="http://schemas.openxmlformats.org/officeDocument/2006/relationships/hyperlink" Target="http://www.cdc.gov/std/stats/congenitalsyphilisdef-rev-jan-2015.pdf" TargetMode="External"/><Relationship Id="rId5" Type="http://schemas.openxmlformats.org/officeDocument/2006/relationships/hyperlink" Target="https://www.mass.gov/doc/joint-mdph-and-bphc-clinical-advisory-hiv-transmission-through-injection-drug-use-in-boston-march-15-2021/download" TargetMode="External"/><Relationship Id="rId15" Type="http://schemas.openxmlformats.org/officeDocument/2006/relationships/hyperlink" Target="https://www.cdc.gov/std/statistics/2021/default.htm" TargetMode="External"/><Relationship Id="rId23" Type="http://schemas.openxmlformats.org/officeDocument/2006/relationships/hyperlink" Target="https://www.mass.gov/doc/joint-mdph-and-bphc-clinical-advisory-hiv-transmission-through-injection-drug-use-in-boston-march-15-2021/download" TargetMode="External"/><Relationship Id="rId10" Type="http://schemas.openxmlformats.org/officeDocument/2006/relationships/hyperlink" Target="https://www.mass.gov/doc/chlamydia-screening-advisory-2022/download" TargetMode="External"/><Relationship Id="rId19" Type="http://schemas.openxmlformats.org/officeDocument/2006/relationships/hyperlink" Target="https://wwwn.cdc.gov/nndss/conditions/" TargetMode="External"/><Relationship Id="rId4" Type="http://schemas.openxmlformats.org/officeDocument/2006/relationships/hyperlink" Target="https://www.cdc.gov/std/statistics/2020/impact.htm" TargetMode="External"/><Relationship Id="rId9" Type="http://schemas.openxmlformats.org/officeDocument/2006/relationships/hyperlink" Target="https://www.uspreventiveservicestaskforce.org/uspstf/recommendation/chlamydia-and-gonorrhea-screening" TargetMode="External"/><Relationship Id="rId14" Type="http://schemas.openxmlformats.org/officeDocument/2006/relationships/hyperlink" Target="http://dx.doi.org/10.15585/mmwr.mm6942a3" TargetMode="External"/><Relationship Id="rId22" Type="http://schemas.openxmlformats.org/officeDocument/2006/relationships/hyperlink" Target="https://doi.org/10.2105/AJPH.2019.3053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26F6B51A8CE64A84A594A767808327" ma:contentTypeVersion="3" ma:contentTypeDescription="Create a new document." ma:contentTypeScope="" ma:versionID="558e7adcafd4778aa1656fc2b750b516">
  <xsd:schema xmlns:xsd="http://www.w3.org/2001/XMLSchema" xmlns:xs="http://www.w3.org/2001/XMLSchema" xmlns:p="http://schemas.microsoft.com/office/2006/metadata/properties" xmlns:ns2="9d8f8cbb-be7f-4f82-880f-e044c26b0a0d" targetNamespace="http://schemas.microsoft.com/office/2006/metadata/properties" ma:root="true" ma:fieldsID="3c4cc4733ecbd39b9427f6fbaa34bc8d" ns2:_="">
    <xsd:import namespace="9d8f8cbb-be7f-4f82-880f-e044c26b0a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f8cbb-be7f-4f82-880f-e044c26b0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46EF7-18A6-4C3D-969A-35A88D65C1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E756ED-025D-4006-88E7-3019F57E0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f8cbb-be7f-4f82-880f-e044c26b0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A86438-C804-46C9-A41D-39874D11026C}">
  <ds:schemaRefs>
    <ds:schemaRef ds:uri="http://schemas.microsoft.com/sharepoint/v3/contenttype/forms"/>
  </ds:schemaRefs>
</ds:datastoreItem>
</file>

<file path=customXml/itemProps4.xml><?xml version="1.0" encoding="utf-8"?>
<ds:datastoreItem xmlns:ds="http://schemas.openxmlformats.org/officeDocument/2006/customXml" ds:itemID="{50D84D03-93DB-43F2-BBCA-6CA8DFA2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22645</Words>
  <Characters>129078</Characters>
  <Application>Microsoft Office Word</Application>
  <DocSecurity>4</DocSecurity>
  <Lines>1075</Lines>
  <Paragraphs>302</Paragraphs>
  <ScaleCrop>false</ScaleCrop>
  <HeadingPairs>
    <vt:vector size="2" baseType="variant">
      <vt:variant>
        <vt:lpstr>Title</vt:lpstr>
      </vt:variant>
      <vt:variant>
        <vt:i4>1</vt:i4>
      </vt:variant>
    </vt:vector>
  </HeadingPairs>
  <TitlesOfParts>
    <vt:vector size="1" baseType="lpstr">
      <vt:lpstr>2022 Massachusetts Integrated HIV/AIDS, STD and Viral Hepatitis Surveillance Report, Accessible Version</vt:lpstr>
    </vt:vector>
  </TitlesOfParts>
  <Company/>
  <LinksUpToDate>false</LinksUpToDate>
  <CharactersWithSpaces>151421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Massachusetts Integrated HIV/AIDS, STD and Viral Hepatitis Surveillance Report, Accessible Version</dc:title>
  <dc:subject/>
  <dc:creator>Bureau of Infectious Disease and Laboratory Sciences</dc:creator>
  <cp:keywords>HIV, AIDS, chlamydia, gonorrhea, syphilis, viral hepatitis, hepatitis A, hepatitis B, hepatitis C, co-infections, Massachusetts, surveillance data</cp:keywords>
  <dc:description/>
  <cp:lastModifiedBy>Yeaple, Jennifer (DPH)</cp:lastModifiedBy>
  <cp:revision>2</cp:revision>
  <dcterms:created xsi:type="dcterms:W3CDTF">2023-12-26T15:42:00Z</dcterms:created>
  <dcterms:modified xsi:type="dcterms:W3CDTF">2023-12-26T15:42:00Z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0x0101002026F6B51A8CE64A84A594A767808327</vt:lpwstr>
  </property>
</Properties>
</file>