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F5C93" w14:textId="77777777" w:rsidR="009A26BE" w:rsidRPr="009A26BE" w:rsidRDefault="009A26BE" w:rsidP="009A26BE">
      <w:pPr>
        <w:framePr w:w="6926" w:hSpace="187" w:wrap="notBeside" w:vAnchor="page" w:hAnchor="page" w:x="2881" w:y="1441"/>
        <w:jc w:val="center"/>
        <w:rPr>
          <w:rFonts w:ascii="Arial" w:hAnsi="Arial"/>
          <w:sz w:val="36"/>
        </w:rPr>
      </w:pPr>
      <w:r w:rsidRPr="009A26BE">
        <w:rPr>
          <w:rFonts w:ascii="Arial" w:hAnsi="Arial"/>
          <w:sz w:val="36"/>
        </w:rPr>
        <w:t>The Commonwealth of Massachusetts</w:t>
      </w:r>
    </w:p>
    <w:p w14:paraId="4B8F67EA" w14:textId="77777777" w:rsidR="009A26BE" w:rsidRPr="009A26BE" w:rsidRDefault="009A26BE" w:rsidP="009A26BE">
      <w:pPr>
        <w:framePr w:w="6926" w:hSpace="187" w:wrap="notBeside" w:vAnchor="page" w:hAnchor="page" w:x="2881" w:y="1441"/>
        <w:jc w:val="center"/>
        <w:rPr>
          <w:rFonts w:ascii="Arial" w:hAnsi="Arial"/>
          <w:sz w:val="28"/>
        </w:rPr>
      </w:pPr>
      <w:r w:rsidRPr="009A26BE">
        <w:rPr>
          <w:rFonts w:ascii="Arial" w:hAnsi="Arial"/>
          <w:sz w:val="28"/>
        </w:rPr>
        <w:t>Executive Office of Health and Human Services</w:t>
      </w:r>
    </w:p>
    <w:p w14:paraId="57926727" w14:textId="77777777" w:rsidR="009A26BE" w:rsidRPr="009A26BE" w:rsidRDefault="009A26BE" w:rsidP="009A26BE">
      <w:pPr>
        <w:framePr w:w="6926" w:hSpace="187" w:wrap="notBeside" w:vAnchor="page" w:hAnchor="page" w:x="2881" w:y="1441"/>
        <w:jc w:val="center"/>
        <w:rPr>
          <w:rFonts w:ascii="Arial" w:hAnsi="Arial"/>
          <w:sz w:val="28"/>
        </w:rPr>
      </w:pPr>
      <w:r w:rsidRPr="009A26BE">
        <w:rPr>
          <w:rFonts w:ascii="Arial" w:hAnsi="Arial"/>
          <w:sz w:val="28"/>
        </w:rPr>
        <w:t>Department of Public Health</w:t>
      </w:r>
    </w:p>
    <w:p w14:paraId="268C39A2" w14:textId="77777777" w:rsidR="009A26BE" w:rsidRPr="009A26BE" w:rsidRDefault="009A26BE" w:rsidP="009A26BE">
      <w:pPr>
        <w:framePr w:w="6926" w:hSpace="187" w:wrap="notBeside" w:vAnchor="page" w:hAnchor="page" w:x="2881" w:y="1441"/>
        <w:jc w:val="center"/>
        <w:rPr>
          <w:rFonts w:ascii="Arial" w:hAnsi="Arial"/>
          <w:sz w:val="28"/>
        </w:rPr>
      </w:pPr>
      <w:r w:rsidRPr="009A26BE">
        <w:rPr>
          <w:rFonts w:ascii="Arial" w:hAnsi="Arial"/>
          <w:sz w:val="28"/>
        </w:rPr>
        <w:t>250 Washington Street, Boston, MA 02108-4619</w:t>
      </w:r>
    </w:p>
    <w:p w14:paraId="6C8BB5FE" w14:textId="7B150992" w:rsidR="009A26BE" w:rsidRPr="009A26BE" w:rsidRDefault="00D50E3B" w:rsidP="009A26BE">
      <w:pPr>
        <w:jc w:val="center"/>
        <w:rPr>
          <w:rFonts w:ascii="Calibri" w:hAnsi="Calibri" w:cs="Arial"/>
          <w:b/>
          <w:sz w:val="48"/>
          <w:szCs w:val="48"/>
        </w:rPr>
      </w:pPr>
      <w:r>
        <w:rPr>
          <w:noProof/>
          <w:sz w:val="22"/>
        </w:rPr>
        <mc:AlternateContent>
          <mc:Choice Requires="wps">
            <w:drawing>
              <wp:anchor distT="0" distB="0" distL="114300" distR="114300" simplePos="0" relativeHeight="251669504" behindDoc="0" locked="0" layoutInCell="1" allowOverlap="1" wp14:anchorId="711D312E" wp14:editId="26434622">
                <wp:simplePos x="0" y="0"/>
                <wp:positionH relativeFrom="page">
                  <wp:posOffset>5496395</wp:posOffset>
                </wp:positionH>
                <wp:positionV relativeFrom="page">
                  <wp:posOffset>1972945</wp:posOffset>
                </wp:positionV>
                <wp:extent cx="1814195" cy="1136015"/>
                <wp:effectExtent l="0" t="0" r="0" b="698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79942A" w14:textId="77777777" w:rsidR="00D50E3B" w:rsidRDefault="00D50E3B" w:rsidP="00D50E3B">
                            <w:pPr>
                              <w:pStyle w:val="Governor"/>
                              <w:spacing w:after="0"/>
                              <w:rPr>
                                <w:sz w:val="16"/>
                                <w:szCs w:val="16"/>
                              </w:rPr>
                            </w:pPr>
                          </w:p>
                          <w:p w14:paraId="1B35F8C2" w14:textId="17FCAB4D" w:rsidR="00D50E3B" w:rsidRDefault="00BC09D6" w:rsidP="00D50E3B">
                            <w:pPr>
                              <w:pStyle w:val="Governor"/>
                              <w:spacing w:after="0"/>
                              <w:rPr>
                                <w:sz w:val="16"/>
                                <w:szCs w:val="16"/>
                              </w:rPr>
                            </w:pPr>
                            <w:r>
                              <w:rPr>
                                <w:sz w:val="16"/>
                                <w:szCs w:val="16"/>
                              </w:rPr>
                              <w:t>MARYLOU SUDDERS</w:t>
                            </w:r>
                          </w:p>
                          <w:p w14:paraId="0094FABB" w14:textId="77777777" w:rsidR="00D50E3B" w:rsidRPr="00E662E1" w:rsidRDefault="00D50E3B" w:rsidP="00D50E3B">
                            <w:pPr>
                              <w:pStyle w:val="Governor"/>
                              <w:rPr>
                                <w:sz w:val="16"/>
                                <w:szCs w:val="16"/>
                              </w:rPr>
                            </w:pPr>
                            <w:r>
                              <w:rPr>
                                <w:szCs w:val="14"/>
                              </w:rPr>
                              <w:t>Secretary</w:t>
                            </w:r>
                          </w:p>
                          <w:p w14:paraId="6E6379A6" w14:textId="091D5994" w:rsidR="00D50E3B" w:rsidRDefault="0045710A" w:rsidP="00D50E3B">
                            <w:pPr>
                              <w:jc w:val="center"/>
                              <w:rPr>
                                <w:rFonts w:ascii="Arial Rounded MT Bold" w:hAnsi="Arial Rounded MT Bold"/>
                                <w:sz w:val="14"/>
                                <w:szCs w:val="14"/>
                              </w:rPr>
                            </w:pPr>
                            <w:r>
                              <w:rPr>
                                <w:rFonts w:ascii="Arial Rounded MT Bold" w:hAnsi="Arial Rounded MT Bold"/>
                                <w:sz w:val="16"/>
                                <w:szCs w:val="16"/>
                              </w:rPr>
                              <w:t>MARGRET R. COOKE</w:t>
                            </w:r>
                            <w:r w:rsidR="00D50E3B" w:rsidRPr="00033154">
                              <w:rPr>
                                <w:rFonts w:ascii="Arial Rounded MT Bold" w:hAnsi="Arial Rounded MT Bold"/>
                                <w:sz w:val="16"/>
                                <w:szCs w:val="16"/>
                              </w:rPr>
                              <w:t xml:space="preserve"> </w:t>
                            </w:r>
                            <w:r w:rsidR="00D50E3B" w:rsidRPr="00FC6B42">
                              <w:rPr>
                                <w:rFonts w:ascii="Arial Rounded MT Bold" w:hAnsi="Arial Rounded MT Bold"/>
                                <w:sz w:val="14"/>
                                <w:szCs w:val="14"/>
                              </w:rPr>
                              <w:t>Commissioner</w:t>
                            </w:r>
                          </w:p>
                          <w:p w14:paraId="793ECB77" w14:textId="77777777" w:rsidR="00D50E3B" w:rsidRDefault="00D50E3B" w:rsidP="00D50E3B">
                            <w:pPr>
                              <w:jc w:val="center"/>
                              <w:rPr>
                                <w:rFonts w:ascii="Arial Rounded MT Bold" w:hAnsi="Arial Rounded MT Bold"/>
                                <w:sz w:val="14"/>
                                <w:szCs w:val="14"/>
                              </w:rPr>
                            </w:pPr>
                          </w:p>
                          <w:p w14:paraId="79108AD7" w14:textId="77777777" w:rsidR="00D50E3B" w:rsidRPr="004813AC" w:rsidRDefault="00D50E3B" w:rsidP="00D50E3B">
                            <w:pPr>
                              <w:jc w:val="center"/>
                              <w:rPr>
                                <w:rFonts w:ascii="Arial" w:hAnsi="Arial" w:cs="Arial"/>
                                <w:b/>
                                <w:sz w:val="14"/>
                                <w:szCs w:val="14"/>
                              </w:rPr>
                            </w:pPr>
                            <w:r w:rsidRPr="004813AC">
                              <w:rPr>
                                <w:rFonts w:ascii="Arial" w:hAnsi="Arial" w:cs="Arial"/>
                                <w:b/>
                                <w:sz w:val="14"/>
                                <w:szCs w:val="14"/>
                              </w:rPr>
                              <w:t>Tel: 617-624-6000</w:t>
                            </w:r>
                          </w:p>
                          <w:p w14:paraId="0AAB48A1" w14:textId="77777777" w:rsidR="00D50E3B" w:rsidRPr="004813AC" w:rsidRDefault="00D50E3B" w:rsidP="00D50E3B">
                            <w:pPr>
                              <w:jc w:val="center"/>
                              <w:rPr>
                                <w:rFonts w:ascii="Arial" w:hAnsi="Arial" w:cs="Arial"/>
                                <w:b/>
                                <w:sz w:val="14"/>
                                <w:szCs w:val="14"/>
                                <w:lang w:val="fr-FR"/>
                              </w:rPr>
                            </w:pPr>
                            <w:r w:rsidRPr="004813AC">
                              <w:rPr>
                                <w:rFonts w:ascii="Arial" w:hAnsi="Arial" w:cs="Arial"/>
                                <w:b/>
                                <w:sz w:val="14"/>
                                <w:szCs w:val="14"/>
                                <w:lang w:val="fr-FR"/>
                              </w:rPr>
                              <w:t>www.mass.gov/dph</w:t>
                            </w:r>
                          </w:p>
                          <w:p w14:paraId="680DF8F7" w14:textId="77777777" w:rsidR="00D50E3B" w:rsidRPr="00FC6B42" w:rsidRDefault="00D50E3B" w:rsidP="00D50E3B">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11D312E" id="_x0000_t202" coordsize="21600,21600" o:spt="202" path="m,l,21600r21600,l21600,xe">
                <v:stroke joinstyle="miter"/>
                <v:path gradientshapeok="t" o:connecttype="rect"/>
              </v:shapetype>
              <v:shape id="Text Box 10" o:spid="_x0000_s1026" type="#_x0000_t202" style="position:absolute;left:0;text-align:left;margin-left:432.8pt;margin-top:155.35pt;width:142.85pt;height:89.45pt;z-index:251669504;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" stroked="f">
                <v:textbox style="mso-fit-shape-to-text:t">
                  <w:txbxContent>
                    <w:p w14:paraId="6879942A" w14:textId="77777777" w:rsidR="00D50E3B" w:rsidRDefault="00D50E3B" w:rsidP="00D50E3B">
                      <w:pPr>
                        <w:pStyle w:val="Governor"/>
                        <w:spacing w:after="0"/>
                        <w:rPr>
                          <w:sz w:val="16"/>
                          <w:szCs w:val="16"/>
                        </w:rPr>
                      </w:pPr>
                    </w:p>
                    <w:p w14:paraId="1B35F8C2" w14:textId="17FCAB4D" w:rsidR="00D50E3B" w:rsidRDefault="00BC09D6" w:rsidP="00D50E3B">
                      <w:pPr>
                        <w:pStyle w:val="Governor"/>
                        <w:spacing w:after="0"/>
                        <w:rPr>
                          <w:sz w:val="16"/>
                          <w:szCs w:val="16"/>
                        </w:rPr>
                      </w:pPr>
                      <w:r>
                        <w:rPr>
                          <w:sz w:val="16"/>
                          <w:szCs w:val="16"/>
                        </w:rPr>
                        <w:t>MARYLOU SUDDERS</w:t>
                      </w:r>
                    </w:p>
                    <w:p w14:paraId="0094FABB" w14:textId="77777777" w:rsidR="00D50E3B" w:rsidRPr="00E662E1" w:rsidRDefault="00D50E3B" w:rsidP="00D50E3B">
                      <w:pPr>
                        <w:pStyle w:val="Governor"/>
                        <w:rPr>
                          <w:sz w:val="16"/>
                          <w:szCs w:val="16"/>
                        </w:rPr>
                      </w:pPr>
                      <w:r>
                        <w:rPr>
                          <w:szCs w:val="14"/>
                        </w:rPr>
                        <w:t>Secretary</w:t>
                      </w:r>
                    </w:p>
                    <w:p w14:paraId="6E6379A6" w14:textId="091D5994" w:rsidR="00D50E3B" w:rsidRDefault="0045710A" w:rsidP="00D50E3B">
                      <w:pPr>
                        <w:jc w:val="center"/>
                        <w:rPr>
                          <w:rFonts w:ascii="Arial Rounded MT Bold" w:hAnsi="Arial Rounded MT Bold"/>
                          <w:sz w:val="14"/>
                          <w:szCs w:val="14"/>
                        </w:rPr>
                      </w:pPr>
                      <w:r>
                        <w:rPr>
                          <w:rFonts w:ascii="Arial Rounded MT Bold" w:hAnsi="Arial Rounded MT Bold"/>
                          <w:sz w:val="16"/>
                          <w:szCs w:val="16"/>
                        </w:rPr>
                        <w:t>MARGRET R. COOKE</w:t>
                      </w:r>
                      <w:r w:rsidR="00D50E3B" w:rsidRPr="00033154">
                        <w:rPr>
                          <w:rFonts w:ascii="Arial Rounded MT Bold" w:hAnsi="Arial Rounded MT Bold"/>
                          <w:sz w:val="16"/>
                          <w:szCs w:val="16"/>
                        </w:rPr>
                        <w:t xml:space="preserve"> </w:t>
                      </w:r>
                      <w:r w:rsidR="00D50E3B" w:rsidRPr="00FC6B42">
                        <w:rPr>
                          <w:rFonts w:ascii="Arial Rounded MT Bold" w:hAnsi="Arial Rounded MT Bold"/>
                          <w:sz w:val="14"/>
                          <w:szCs w:val="14"/>
                        </w:rPr>
                        <w:t>Commissioner</w:t>
                      </w:r>
                    </w:p>
                    <w:p w14:paraId="793ECB77" w14:textId="77777777" w:rsidR="00D50E3B" w:rsidRDefault="00D50E3B" w:rsidP="00D50E3B">
                      <w:pPr>
                        <w:jc w:val="center"/>
                        <w:rPr>
                          <w:rFonts w:ascii="Arial Rounded MT Bold" w:hAnsi="Arial Rounded MT Bold"/>
                          <w:sz w:val="14"/>
                          <w:szCs w:val="14"/>
                        </w:rPr>
                      </w:pPr>
                    </w:p>
                    <w:p w14:paraId="79108AD7" w14:textId="77777777" w:rsidR="00D50E3B" w:rsidRPr="004813AC" w:rsidRDefault="00D50E3B" w:rsidP="00D50E3B">
                      <w:pPr>
                        <w:jc w:val="center"/>
                        <w:rPr>
                          <w:rFonts w:ascii="Arial" w:hAnsi="Arial" w:cs="Arial"/>
                          <w:b/>
                          <w:sz w:val="14"/>
                          <w:szCs w:val="14"/>
                        </w:rPr>
                      </w:pPr>
                      <w:r w:rsidRPr="004813AC">
                        <w:rPr>
                          <w:rFonts w:ascii="Arial" w:hAnsi="Arial" w:cs="Arial"/>
                          <w:b/>
                          <w:sz w:val="14"/>
                          <w:szCs w:val="14"/>
                        </w:rPr>
                        <w:t>Tel: 617-624-6000</w:t>
                      </w:r>
                    </w:p>
                    <w:p w14:paraId="0AAB48A1" w14:textId="77777777" w:rsidR="00D50E3B" w:rsidRPr="004813AC" w:rsidRDefault="00D50E3B" w:rsidP="00D50E3B">
                      <w:pPr>
                        <w:jc w:val="center"/>
                        <w:rPr>
                          <w:rFonts w:ascii="Arial" w:hAnsi="Arial" w:cs="Arial"/>
                          <w:b/>
                          <w:sz w:val="14"/>
                          <w:szCs w:val="14"/>
                          <w:lang w:val="fr-FR"/>
                        </w:rPr>
                      </w:pPr>
                      <w:r w:rsidRPr="004813AC">
                        <w:rPr>
                          <w:rFonts w:ascii="Arial" w:hAnsi="Arial" w:cs="Arial"/>
                          <w:b/>
                          <w:sz w:val="14"/>
                          <w:szCs w:val="14"/>
                          <w:lang w:val="fr-FR"/>
                        </w:rPr>
                        <w:t>www.mass.gov/dph</w:t>
                      </w:r>
                    </w:p>
                    <w:p w14:paraId="680DF8F7" w14:textId="77777777" w:rsidR="00D50E3B" w:rsidRPr="00FC6B42" w:rsidRDefault="00D50E3B" w:rsidP="00D50E3B">
                      <w:pPr>
                        <w:jc w:val="center"/>
                        <w:rPr>
                          <w:rFonts w:ascii="Arial Rounded MT Bold" w:hAnsi="Arial Rounded MT Bold"/>
                          <w:sz w:val="14"/>
                          <w:szCs w:val="14"/>
                        </w:rPr>
                      </w:pPr>
                    </w:p>
                  </w:txbxContent>
                </v:textbox>
                <w10:wrap anchorx="page" anchory="page"/>
              </v:shape>
            </w:pict>
          </mc:Fallback>
        </mc:AlternateContent>
      </w:r>
      <w:r w:rsidR="009A26BE">
        <w:rPr>
          <w:noProof/>
          <w:sz w:val="22"/>
        </w:rPr>
        <w:drawing>
          <wp:anchor distT="0" distB="0" distL="114300" distR="114300" simplePos="0" relativeHeight="251667456" behindDoc="0" locked="0" layoutInCell="1" allowOverlap="1" wp14:anchorId="6B243241" wp14:editId="7DE642D1">
            <wp:simplePos x="0" y="0"/>
            <wp:positionH relativeFrom="column">
              <wp:posOffset>-116205</wp:posOffset>
            </wp:positionH>
            <wp:positionV relativeFrom="page">
              <wp:posOffset>732790</wp:posOffset>
            </wp:positionV>
            <wp:extent cx="960120" cy="115189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0120" cy="1151890"/>
                    </a:xfrm>
                    <a:prstGeom prst="rect">
                      <a:avLst/>
                    </a:prstGeom>
                    <a:noFill/>
                    <a:ln>
                      <a:noFill/>
                    </a:ln>
                  </pic:spPr>
                </pic:pic>
              </a:graphicData>
            </a:graphic>
            <wp14:sizeRelH relativeFrom="page">
              <wp14:pctWidth>0</wp14:pctWidth>
            </wp14:sizeRelH>
            <wp14:sizeRelV relativeFrom="page">
              <wp14:pctHeight>0</wp14:pctHeight>
            </wp14:sizeRelV>
          </wp:anchor>
        </w:drawing>
      </w:r>
      <w:r w:rsidR="009A26BE">
        <w:rPr>
          <w:noProof/>
          <w:sz w:val="22"/>
        </w:rPr>
        <mc:AlternateContent>
          <mc:Choice Requires="wps">
            <w:drawing>
              <wp:anchor distT="0" distB="0" distL="114300" distR="114300" simplePos="0" relativeHeight="251665408" behindDoc="0" locked="0" layoutInCell="1" allowOverlap="1" wp14:anchorId="75E0F08E" wp14:editId="059E3C2C">
                <wp:simplePos x="0" y="0"/>
                <wp:positionH relativeFrom="page">
                  <wp:posOffset>469265</wp:posOffset>
                </wp:positionH>
                <wp:positionV relativeFrom="page">
                  <wp:posOffset>2020570</wp:posOffset>
                </wp:positionV>
                <wp:extent cx="1572895" cy="802005"/>
                <wp:effectExtent l="0" t="0" r="825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7DF188" w14:textId="77777777" w:rsidR="00C341E9" w:rsidRDefault="00C341E9" w:rsidP="00C341E9">
                            <w:pPr>
                              <w:pStyle w:val="Governor"/>
                              <w:spacing w:after="0"/>
                              <w:rPr>
                                <w:sz w:val="16"/>
                              </w:rPr>
                            </w:pPr>
                          </w:p>
                          <w:p w14:paraId="38A7D6EF" w14:textId="24E7E0F7" w:rsidR="00C341E9" w:rsidRDefault="00BC09D6" w:rsidP="00C341E9">
                            <w:pPr>
                              <w:pStyle w:val="Governor"/>
                              <w:spacing w:after="0"/>
                              <w:rPr>
                                <w:sz w:val="16"/>
                              </w:rPr>
                            </w:pPr>
                            <w:r>
                              <w:rPr>
                                <w:sz w:val="16"/>
                              </w:rPr>
                              <w:t>CHARLES D. BAKER</w:t>
                            </w:r>
                          </w:p>
                          <w:p w14:paraId="19ED5137" w14:textId="77777777" w:rsidR="00C341E9" w:rsidRDefault="00C341E9" w:rsidP="00C341E9">
                            <w:pPr>
                              <w:pStyle w:val="Governor"/>
                            </w:pPr>
                            <w:r>
                              <w:t>Governor</w:t>
                            </w:r>
                          </w:p>
                          <w:p w14:paraId="40515BE9" w14:textId="764743B5" w:rsidR="00C341E9" w:rsidRDefault="00C341E9" w:rsidP="00C341E9">
                            <w:pPr>
                              <w:pStyle w:val="Governor"/>
                              <w:spacing w:after="0"/>
                              <w:rPr>
                                <w:sz w:val="16"/>
                              </w:rPr>
                            </w:pPr>
                            <w:r>
                              <w:rPr>
                                <w:sz w:val="16"/>
                              </w:rPr>
                              <w:t>K</w:t>
                            </w:r>
                            <w:r w:rsidR="00BC09D6">
                              <w:rPr>
                                <w:sz w:val="16"/>
                              </w:rPr>
                              <w:t>ARYN POLITO</w:t>
                            </w:r>
                          </w:p>
                          <w:p w14:paraId="0C3FC494" w14:textId="77777777" w:rsidR="00C341E9" w:rsidRDefault="00C341E9" w:rsidP="00C341E9">
                            <w:pPr>
                              <w:pStyle w:val="Governor"/>
                            </w:pPr>
                            <w:r>
                              <w:t>Lieutenant Governor</w:t>
                            </w:r>
                          </w:p>
                          <w:p w14:paraId="59B88D05" w14:textId="016E585D" w:rsidR="009A26BE" w:rsidRDefault="009A26BE" w:rsidP="009A325D">
                            <w:pPr>
                              <w:pStyle w:val="Governor"/>
                              <w:spacing w:after="0"/>
                              <w:jc w:val="left"/>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5E0F08E" id="Text Box 11" o:spid="_x0000_s1027" type="#_x0000_t202" style="position:absolute;left:0;text-align:left;margin-left:36.95pt;margin-top:159.1pt;width:123.85pt;height:63.15pt;z-index:251665408;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" stroked="f">
                <v:textbox style="mso-fit-shape-to-text:t">
                  <w:txbxContent>
                    <w:p w14:paraId="567DF188" w14:textId="77777777" w:rsidR="00C341E9" w:rsidRDefault="00C341E9" w:rsidP="00C341E9">
                      <w:pPr>
                        <w:pStyle w:val="Governor"/>
                        <w:spacing w:after="0"/>
                        <w:rPr>
                          <w:sz w:val="16"/>
                        </w:rPr>
                      </w:pPr>
                    </w:p>
                    <w:p w14:paraId="38A7D6EF" w14:textId="24E7E0F7" w:rsidR="00C341E9" w:rsidRDefault="00BC09D6" w:rsidP="00C341E9">
                      <w:pPr>
                        <w:pStyle w:val="Governor"/>
                        <w:spacing w:after="0"/>
                        <w:rPr>
                          <w:sz w:val="16"/>
                        </w:rPr>
                      </w:pPr>
                      <w:r>
                        <w:rPr>
                          <w:sz w:val="16"/>
                        </w:rPr>
                        <w:t>CHARLES D. BAKER</w:t>
                      </w:r>
                    </w:p>
                    <w:p w14:paraId="19ED5137" w14:textId="77777777" w:rsidR="00C341E9" w:rsidRDefault="00C341E9" w:rsidP="00C341E9">
                      <w:pPr>
                        <w:pStyle w:val="Governor"/>
                      </w:pPr>
                      <w:r>
                        <w:t>Governor</w:t>
                      </w:r>
                    </w:p>
                    <w:p w14:paraId="40515BE9" w14:textId="764743B5" w:rsidR="00C341E9" w:rsidRDefault="00C341E9" w:rsidP="00C341E9">
                      <w:pPr>
                        <w:pStyle w:val="Governor"/>
                        <w:spacing w:after="0"/>
                        <w:rPr>
                          <w:sz w:val="16"/>
                        </w:rPr>
                      </w:pPr>
                      <w:r>
                        <w:rPr>
                          <w:sz w:val="16"/>
                        </w:rPr>
                        <w:t>K</w:t>
                      </w:r>
                      <w:r w:rsidR="00BC09D6">
                        <w:rPr>
                          <w:sz w:val="16"/>
                        </w:rPr>
                        <w:t>ARYN POLITO</w:t>
                      </w:r>
                    </w:p>
                    <w:p w14:paraId="0C3FC494" w14:textId="77777777" w:rsidR="00C341E9" w:rsidRDefault="00C341E9" w:rsidP="00C341E9">
                      <w:pPr>
                        <w:pStyle w:val="Governor"/>
                      </w:pPr>
                      <w:r>
                        <w:t>Lieutenant Governor</w:t>
                      </w:r>
                    </w:p>
                    <w:p w14:paraId="59B88D05" w14:textId="016E585D" w:rsidR="009A26BE" w:rsidRDefault="009A26BE" w:rsidP="009A325D">
                      <w:pPr>
                        <w:pStyle w:val="Governor"/>
                        <w:spacing w:after="0"/>
                        <w:jc w:val="left"/>
                      </w:pPr>
                    </w:p>
                  </w:txbxContent>
                </v:textbox>
                <w10:wrap anchorx="page" anchory="page"/>
              </v:shape>
            </w:pict>
          </mc:Fallback>
        </mc:AlternateContent>
      </w:r>
    </w:p>
    <w:p w14:paraId="46D1CFAD" w14:textId="77777777" w:rsidR="009A26BE" w:rsidRPr="009A26BE" w:rsidRDefault="009A26BE" w:rsidP="009A26BE">
      <w:pPr>
        <w:rPr>
          <w:rFonts w:ascii="Calibri" w:hAnsi="Calibri" w:cs="Arial"/>
          <w:b/>
          <w:sz w:val="48"/>
          <w:szCs w:val="48"/>
        </w:rPr>
      </w:pPr>
    </w:p>
    <w:p w14:paraId="7A190A2B" w14:textId="77777777" w:rsidR="009A26BE" w:rsidRPr="009A26BE" w:rsidRDefault="009A26BE" w:rsidP="009A26BE">
      <w:pPr>
        <w:framePr w:w="1927" w:hSpace="180" w:wrap="auto" w:vAnchor="text" w:hAnchor="page" w:x="940" w:y="-951"/>
        <w:rPr>
          <w:rFonts w:ascii="LinePrinter" w:hAnsi="LinePrinter"/>
        </w:rPr>
      </w:pPr>
    </w:p>
    <w:p w14:paraId="2DA80A29" w14:textId="77777777" w:rsidR="009A26BE" w:rsidRPr="009A26BE" w:rsidRDefault="009A26BE" w:rsidP="009A26BE"/>
    <w:p w14:paraId="229A8829" w14:textId="77777777" w:rsidR="009A26BE" w:rsidRPr="009A26BE" w:rsidRDefault="009A26BE" w:rsidP="009A26BE"/>
    <w:p w14:paraId="1D664864" w14:textId="77777777" w:rsidR="009A26BE" w:rsidRPr="009A26BE" w:rsidRDefault="009A26BE" w:rsidP="009A26BE">
      <w:pPr>
        <w:rPr>
          <w:szCs w:val="24"/>
        </w:rPr>
      </w:pPr>
    </w:p>
    <w:p w14:paraId="61F27CC3" w14:textId="77777777" w:rsidR="009A26BE" w:rsidRPr="009A26BE" w:rsidRDefault="009A26BE" w:rsidP="009A26BE">
      <w:pPr>
        <w:rPr>
          <w:szCs w:val="24"/>
        </w:rPr>
      </w:pPr>
    </w:p>
    <w:p w14:paraId="2EA93B27" w14:textId="77777777" w:rsidR="009A26BE" w:rsidRPr="009A26BE" w:rsidRDefault="009A26BE" w:rsidP="009A26BE">
      <w:pPr>
        <w:rPr>
          <w:szCs w:val="24"/>
        </w:rPr>
      </w:pPr>
    </w:p>
    <w:p w14:paraId="2D4F19BE" w14:textId="77777777" w:rsidR="009A26BE" w:rsidRPr="009A26BE" w:rsidRDefault="009A26BE" w:rsidP="009A26BE">
      <w:pPr>
        <w:rPr>
          <w:szCs w:val="24"/>
        </w:rPr>
      </w:pPr>
      <w:r w:rsidRPr="009A26BE">
        <w:rPr>
          <w:szCs w:val="24"/>
        </w:rPr>
        <w:t>Steven T. James</w:t>
      </w:r>
    </w:p>
    <w:p w14:paraId="4E9B47F1" w14:textId="77777777" w:rsidR="009A26BE" w:rsidRPr="009A26BE" w:rsidRDefault="009A26BE" w:rsidP="009A26BE">
      <w:pPr>
        <w:rPr>
          <w:szCs w:val="24"/>
        </w:rPr>
      </w:pPr>
      <w:r w:rsidRPr="009A26BE">
        <w:rPr>
          <w:szCs w:val="24"/>
        </w:rPr>
        <w:t>House Clerk</w:t>
      </w:r>
    </w:p>
    <w:p w14:paraId="3623D20D" w14:textId="77777777" w:rsidR="009A26BE" w:rsidRPr="009A26BE" w:rsidRDefault="009A26BE" w:rsidP="009A26BE">
      <w:pPr>
        <w:rPr>
          <w:szCs w:val="24"/>
        </w:rPr>
      </w:pPr>
      <w:r w:rsidRPr="009A26BE">
        <w:rPr>
          <w:szCs w:val="24"/>
        </w:rPr>
        <w:t>State House Room 145</w:t>
      </w:r>
    </w:p>
    <w:p w14:paraId="173E0CF9" w14:textId="77777777" w:rsidR="009A26BE" w:rsidRPr="009A26BE" w:rsidRDefault="009A26BE" w:rsidP="009A26BE">
      <w:pPr>
        <w:rPr>
          <w:szCs w:val="24"/>
        </w:rPr>
      </w:pPr>
      <w:r w:rsidRPr="009A26BE">
        <w:rPr>
          <w:szCs w:val="24"/>
        </w:rPr>
        <w:t>Boston, MA 02133</w:t>
      </w:r>
    </w:p>
    <w:p w14:paraId="4284748A" w14:textId="77777777" w:rsidR="009A26BE" w:rsidRPr="009A26BE" w:rsidRDefault="009A26BE" w:rsidP="009A26BE">
      <w:pPr>
        <w:rPr>
          <w:szCs w:val="24"/>
        </w:rPr>
      </w:pPr>
    </w:p>
    <w:p w14:paraId="6E77A1EE" w14:textId="77777777" w:rsidR="009A26BE" w:rsidRPr="009A26BE" w:rsidRDefault="009A26BE" w:rsidP="009A26BE">
      <w:pPr>
        <w:rPr>
          <w:szCs w:val="24"/>
        </w:rPr>
      </w:pPr>
      <w:r w:rsidRPr="009A26BE">
        <w:rPr>
          <w:szCs w:val="24"/>
        </w:rPr>
        <w:t>William F. Welch</w:t>
      </w:r>
    </w:p>
    <w:p w14:paraId="7E8C1274" w14:textId="77777777" w:rsidR="009A26BE" w:rsidRPr="009A26BE" w:rsidRDefault="009A26BE" w:rsidP="009A26BE">
      <w:pPr>
        <w:rPr>
          <w:szCs w:val="24"/>
        </w:rPr>
      </w:pPr>
      <w:r w:rsidRPr="009A26BE">
        <w:rPr>
          <w:szCs w:val="24"/>
        </w:rPr>
        <w:t>Senate Clerk</w:t>
      </w:r>
    </w:p>
    <w:p w14:paraId="5EACFB07" w14:textId="77777777" w:rsidR="009A26BE" w:rsidRPr="009A26BE" w:rsidRDefault="009A26BE" w:rsidP="009A26BE">
      <w:pPr>
        <w:rPr>
          <w:szCs w:val="24"/>
        </w:rPr>
      </w:pPr>
      <w:r w:rsidRPr="009A26BE">
        <w:rPr>
          <w:szCs w:val="24"/>
        </w:rPr>
        <w:t>State House Room 335</w:t>
      </w:r>
    </w:p>
    <w:p w14:paraId="2D27245E" w14:textId="77777777" w:rsidR="009A26BE" w:rsidRPr="009A26BE" w:rsidRDefault="009A26BE" w:rsidP="009A26BE">
      <w:pPr>
        <w:rPr>
          <w:szCs w:val="24"/>
        </w:rPr>
      </w:pPr>
      <w:r w:rsidRPr="009A26BE">
        <w:rPr>
          <w:szCs w:val="24"/>
        </w:rPr>
        <w:t>Boston, MA 02133</w:t>
      </w:r>
    </w:p>
    <w:p w14:paraId="51AB0868" w14:textId="77777777" w:rsidR="009A26BE" w:rsidRPr="009A26BE" w:rsidRDefault="009A26BE" w:rsidP="009A26BE">
      <w:pPr>
        <w:rPr>
          <w:szCs w:val="24"/>
        </w:rPr>
      </w:pPr>
    </w:p>
    <w:p w14:paraId="296E6AF4" w14:textId="6FB1757C" w:rsidR="009A26BE" w:rsidRPr="009A26BE" w:rsidRDefault="00BC09D6" w:rsidP="009A26BE">
      <w:pPr>
        <w:rPr>
          <w:szCs w:val="24"/>
        </w:rPr>
      </w:pPr>
      <w:r>
        <w:rPr>
          <w:szCs w:val="24"/>
        </w:rPr>
        <w:t>December</w:t>
      </w:r>
      <w:r w:rsidR="00274591">
        <w:rPr>
          <w:szCs w:val="24"/>
        </w:rPr>
        <w:t xml:space="preserve"> 1</w:t>
      </w:r>
      <w:r>
        <w:rPr>
          <w:szCs w:val="24"/>
        </w:rPr>
        <w:t>3</w:t>
      </w:r>
      <w:r w:rsidR="00EA12E2">
        <w:rPr>
          <w:szCs w:val="24"/>
        </w:rPr>
        <w:t>, 202</w:t>
      </w:r>
      <w:r>
        <w:rPr>
          <w:szCs w:val="24"/>
        </w:rPr>
        <w:t>2</w:t>
      </w:r>
    </w:p>
    <w:p w14:paraId="0C09DF12" w14:textId="77777777" w:rsidR="009A26BE" w:rsidRPr="009A26BE" w:rsidRDefault="009A26BE" w:rsidP="009A26BE">
      <w:pPr>
        <w:rPr>
          <w:szCs w:val="24"/>
        </w:rPr>
      </w:pPr>
    </w:p>
    <w:p w14:paraId="71BF7381" w14:textId="77777777" w:rsidR="009A26BE" w:rsidRPr="009A26BE" w:rsidRDefault="009A26BE" w:rsidP="009A26BE">
      <w:pPr>
        <w:rPr>
          <w:szCs w:val="24"/>
        </w:rPr>
      </w:pPr>
      <w:r w:rsidRPr="009A26BE">
        <w:rPr>
          <w:szCs w:val="24"/>
        </w:rPr>
        <w:t>Dear Mr. Clerk,</w:t>
      </w:r>
    </w:p>
    <w:p w14:paraId="58BEFE05" w14:textId="77777777" w:rsidR="009A26BE" w:rsidRPr="009A26BE" w:rsidRDefault="009A26BE" w:rsidP="009A26BE">
      <w:pPr>
        <w:rPr>
          <w:szCs w:val="24"/>
        </w:rPr>
      </w:pPr>
    </w:p>
    <w:p w14:paraId="3223DDDC" w14:textId="3439F73C" w:rsidR="009A26BE" w:rsidRPr="00E23F64" w:rsidRDefault="009A26BE" w:rsidP="00E23F64">
      <w:pPr>
        <w:rPr>
          <w:i/>
          <w:iCs/>
          <w:szCs w:val="24"/>
          <w:lang w:val="en"/>
        </w:rPr>
      </w:pPr>
      <w:r w:rsidRPr="009A26BE">
        <w:rPr>
          <w:szCs w:val="24"/>
          <w:lang w:val="en"/>
        </w:rPr>
        <w:t xml:space="preserve">Pursuant to </w:t>
      </w:r>
      <w:r w:rsidR="0072213B">
        <w:rPr>
          <w:szCs w:val="24"/>
          <w:lang w:val="en"/>
        </w:rPr>
        <w:t>Section 224 of Chapter 111 of the Massachusetts General Laws</w:t>
      </w:r>
      <w:r w:rsidR="00107445">
        <w:rPr>
          <w:szCs w:val="24"/>
          <w:lang w:val="en"/>
        </w:rPr>
        <w:t xml:space="preserve">, </w:t>
      </w:r>
      <w:r w:rsidRPr="009A26BE">
        <w:rPr>
          <w:szCs w:val="24"/>
          <w:lang w:val="en"/>
        </w:rPr>
        <w:t xml:space="preserve">please find enclosed a report from the Department of Public Health titled </w:t>
      </w:r>
      <w:r w:rsidR="00107445" w:rsidRPr="00107445">
        <w:rPr>
          <w:i/>
          <w:iCs/>
          <w:szCs w:val="24"/>
          <w:lang w:val="en"/>
        </w:rPr>
        <w:t>“</w:t>
      </w:r>
      <w:r w:rsidR="00E23F64" w:rsidRPr="00E23F64">
        <w:rPr>
          <w:i/>
          <w:iCs/>
          <w:szCs w:val="24"/>
          <w:lang w:val="en"/>
        </w:rPr>
        <w:t>Massachusetts Commission on Falls Prevention</w:t>
      </w:r>
      <w:r w:rsidR="00E23F64">
        <w:rPr>
          <w:i/>
          <w:iCs/>
          <w:szCs w:val="24"/>
          <w:lang w:val="en"/>
        </w:rPr>
        <w:t xml:space="preserve"> </w:t>
      </w:r>
      <w:r w:rsidR="00E23F64" w:rsidRPr="00E23F64">
        <w:rPr>
          <w:i/>
          <w:iCs/>
          <w:szCs w:val="24"/>
          <w:lang w:val="en"/>
        </w:rPr>
        <w:t>Phase 4 Report: Strengthening Systems and</w:t>
      </w:r>
      <w:r w:rsidR="00E23F64">
        <w:rPr>
          <w:i/>
          <w:iCs/>
          <w:szCs w:val="24"/>
          <w:lang w:val="en"/>
        </w:rPr>
        <w:t xml:space="preserve"> </w:t>
      </w:r>
      <w:r w:rsidR="00E23F64" w:rsidRPr="00E23F64">
        <w:rPr>
          <w:i/>
          <w:iCs/>
          <w:szCs w:val="24"/>
          <w:lang w:val="en"/>
        </w:rPr>
        <w:t>Building Local Capacity to Address the Devastating Impact of Older Adult Falls</w:t>
      </w:r>
      <w:r w:rsidR="009234A4">
        <w:rPr>
          <w:i/>
          <w:iCs/>
          <w:szCs w:val="24"/>
          <w:lang w:val="en"/>
        </w:rPr>
        <w:t>.</w:t>
      </w:r>
      <w:r w:rsidRPr="00107445">
        <w:rPr>
          <w:i/>
          <w:iCs/>
          <w:szCs w:val="24"/>
          <w:lang w:val="en"/>
        </w:rPr>
        <w:t>”</w:t>
      </w:r>
    </w:p>
    <w:p w14:paraId="250304CF" w14:textId="77777777" w:rsidR="009A26BE" w:rsidRPr="009A26BE" w:rsidRDefault="009A26BE" w:rsidP="009A26BE">
      <w:pPr>
        <w:rPr>
          <w:szCs w:val="24"/>
        </w:rPr>
      </w:pPr>
    </w:p>
    <w:p w14:paraId="7FDC4267" w14:textId="77777777" w:rsidR="009A26BE" w:rsidRPr="009A26BE" w:rsidRDefault="009A26BE" w:rsidP="009A26BE">
      <w:pPr>
        <w:rPr>
          <w:szCs w:val="24"/>
        </w:rPr>
      </w:pPr>
      <w:r w:rsidRPr="009A26BE">
        <w:rPr>
          <w:szCs w:val="24"/>
        </w:rPr>
        <w:t>Sincerely,</w:t>
      </w:r>
    </w:p>
    <w:p w14:paraId="3FEC5504" w14:textId="77777777" w:rsidR="009A26BE" w:rsidRPr="009A26BE" w:rsidRDefault="009A26BE" w:rsidP="009A26BE">
      <w:pPr>
        <w:rPr>
          <w:szCs w:val="24"/>
        </w:rPr>
      </w:pPr>
    </w:p>
    <w:p w14:paraId="68864DFF" w14:textId="77777777" w:rsidR="009A26BE" w:rsidRPr="009A26BE" w:rsidRDefault="009A26BE" w:rsidP="009A26BE">
      <w:pPr>
        <w:rPr>
          <w:szCs w:val="24"/>
        </w:rPr>
      </w:pPr>
    </w:p>
    <w:p w14:paraId="036B1DC9" w14:textId="77777777" w:rsidR="009A26BE" w:rsidRPr="009A26BE" w:rsidRDefault="009A26BE" w:rsidP="009A26BE">
      <w:pPr>
        <w:rPr>
          <w:szCs w:val="24"/>
        </w:rPr>
      </w:pPr>
    </w:p>
    <w:p w14:paraId="3F625BF2" w14:textId="39236BCC" w:rsidR="009A26BE" w:rsidRPr="009A26BE" w:rsidRDefault="009826EE" w:rsidP="009A26BE">
      <w:pPr>
        <w:rPr>
          <w:szCs w:val="24"/>
        </w:rPr>
      </w:pPr>
      <w:r>
        <w:rPr>
          <w:szCs w:val="24"/>
        </w:rPr>
        <w:t>Margret</w:t>
      </w:r>
      <w:r w:rsidR="00F555B4">
        <w:rPr>
          <w:szCs w:val="24"/>
        </w:rPr>
        <w:t xml:space="preserve"> R. Cooke</w:t>
      </w:r>
    </w:p>
    <w:p w14:paraId="3B6E2809" w14:textId="77777777" w:rsidR="009A26BE" w:rsidRPr="009A26BE" w:rsidRDefault="009A26BE" w:rsidP="009A26BE">
      <w:pPr>
        <w:rPr>
          <w:szCs w:val="24"/>
        </w:rPr>
      </w:pPr>
      <w:r w:rsidRPr="009A26BE">
        <w:rPr>
          <w:szCs w:val="24"/>
        </w:rPr>
        <w:t>Commissioner</w:t>
      </w:r>
    </w:p>
    <w:p w14:paraId="0C02A1F0" w14:textId="77777777" w:rsidR="009A26BE" w:rsidRPr="009A26BE" w:rsidRDefault="009A26BE" w:rsidP="009A26BE">
      <w:pPr>
        <w:spacing w:after="200" w:line="276" w:lineRule="auto"/>
        <w:rPr>
          <w:rFonts w:asciiTheme="minorHAnsi" w:eastAsiaTheme="minorHAnsi" w:hAnsiTheme="minorHAnsi" w:cstheme="minorBidi"/>
          <w:sz w:val="22"/>
          <w:szCs w:val="22"/>
        </w:rPr>
      </w:pPr>
      <w:r w:rsidRPr="009A26BE">
        <w:rPr>
          <w:szCs w:val="24"/>
        </w:rPr>
        <w:t>Department of Public Health</w:t>
      </w:r>
    </w:p>
    <w:p w14:paraId="5C0B1E4C" w14:textId="77777777" w:rsidR="00CB2550" w:rsidRDefault="00CB2550" w:rsidP="009A26BE">
      <w:pPr>
        <w:rPr>
          <w:szCs w:val="24"/>
        </w:rPr>
        <w:sectPr w:rsidR="00CB2550" w:rsidSect="00501D4E">
          <w:footerReference w:type="default" r:id="rId12"/>
          <w:pgSz w:w="12240" w:h="15840"/>
          <w:pgMar w:top="1440" w:right="1440" w:bottom="1440" w:left="1440" w:header="720" w:footer="720" w:gutter="0"/>
          <w:cols w:space="720"/>
          <w:titlePg/>
          <w:rtlGutter/>
          <w:docGrid w:linePitch="360"/>
        </w:sectPr>
      </w:pPr>
    </w:p>
    <w:p w14:paraId="31962699" w14:textId="77777777" w:rsidR="00503991" w:rsidRDefault="00503991" w:rsidP="009A26BE">
      <w:pPr>
        <w:rPr>
          <w:szCs w:val="24"/>
        </w:rPr>
        <w:sectPr w:rsidR="00503991" w:rsidSect="00501D4E">
          <w:footerReference w:type="first" r:id="rId13"/>
          <w:pgSz w:w="12240" w:h="15840"/>
          <w:pgMar w:top="1440" w:right="1440" w:bottom="1440" w:left="1440" w:header="720" w:footer="720" w:gutter="0"/>
          <w:cols w:space="720"/>
          <w:titlePg/>
          <w:rtlGutter/>
          <w:docGrid w:linePitch="360"/>
        </w:sectPr>
      </w:pPr>
    </w:p>
    <w:p w14:paraId="68537F04" w14:textId="4AFAD350" w:rsidR="003C28E1" w:rsidRDefault="000C4297" w:rsidP="006D0EA7">
      <w:pPr>
        <w:rPr>
          <w:rFonts w:ascii="Calibri" w:hAnsi="Calibri" w:cs="Arial"/>
          <w:b/>
          <w:sz w:val="28"/>
          <w:szCs w:val="28"/>
        </w:rPr>
        <w:sectPr w:rsidR="003C28E1" w:rsidSect="00501D4E">
          <w:footerReference w:type="first" r:id="rId14"/>
          <w:pgSz w:w="12240" w:h="15840"/>
          <w:pgMar w:top="1440" w:right="1440" w:bottom="1440" w:left="1440" w:header="720" w:footer="720" w:gutter="0"/>
          <w:cols w:space="720"/>
          <w:titlePg/>
          <w:rtlGutter/>
          <w:docGrid w:linePitch="360"/>
        </w:sectPr>
      </w:pPr>
      <w:r>
        <w:rPr>
          <w:noProof/>
        </w:rPr>
        <w:lastRenderedPageBreak/>
        <w:drawing>
          <wp:anchor distT="0" distB="0" distL="114300" distR="114300" simplePos="0" relativeHeight="251679744" behindDoc="0" locked="0" layoutInCell="1" hidden="0" allowOverlap="1" wp14:anchorId="39FACA6C" wp14:editId="68A78295">
            <wp:simplePos x="0" y="0"/>
            <wp:positionH relativeFrom="column">
              <wp:posOffset>-914400</wp:posOffset>
            </wp:positionH>
            <wp:positionV relativeFrom="paragraph">
              <wp:posOffset>-588010</wp:posOffset>
            </wp:positionV>
            <wp:extent cx="7730490" cy="1591945"/>
            <wp:effectExtent l="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7730490" cy="1591945"/>
                    </a:xfrm>
                    <a:prstGeom prst="rect">
                      <a:avLst/>
                    </a:prstGeom>
                    <a:ln/>
                  </pic:spPr>
                </pic:pic>
              </a:graphicData>
            </a:graphic>
          </wp:anchor>
        </w:drawing>
      </w:r>
      <w:r>
        <w:rPr>
          <w:noProof/>
        </w:rPr>
        <w:drawing>
          <wp:anchor distT="0" distB="0" distL="114300" distR="114300" simplePos="0" relativeHeight="251680768" behindDoc="0" locked="0" layoutInCell="1" hidden="0" allowOverlap="1" wp14:anchorId="26C30C2A" wp14:editId="057806BF">
            <wp:simplePos x="0" y="0"/>
            <wp:positionH relativeFrom="column">
              <wp:posOffset>-879475</wp:posOffset>
            </wp:positionH>
            <wp:positionV relativeFrom="paragraph">
              <wp:posOffset>1241425</wp:posOffset>
            </wp:positionV>
            <wp:extent cx="7622540" cy="7334250"/>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7622540" cy="7334250"/>
                    </a:xfrm>
                    <a:prstGeom prst="rect">
                      <a:avLst/>
                    </a:prstGeom>
                    <a:ln/>
                  </pic:spPr>
                </pic:pic>
              </a:graphicData>
            </a:graphic>
          </wp:anchor>
        </w:drawing>
      </w:r>
      <w:r>
        <w:rPr>
          <w:noProof/>
        </w:rPr>
        <mc:AlternateContent>
          <mc:Choice Requires="wps">
            <w:drawing>
              <wp:anchor distT="45720" distB="45720" distL="114300" distR="114300" simplePos="0" relativeHeight="251681792" behindDoc="0" locked="0" layoutInCell="1" hidden="0" allowOverlap="1" wp14:anchorId="268CE6EB" wp14:editId="5BFC9F4C">
                <wp:simplePos x="0" y="0"/>
                <wp:positionH relativeFrom="margin">
                  <wp:posOffset>137160</wp:posOffset>
                </wp:positionH>
                <wp:positionV relativeFrom="paragraph">
                  <wp:posOffset>1545136</wp:posOffset>
                </wp:positionV>
                <wp:extent cx="5570220" cy="5724525"/>
                <wp:effectExtent l="0" t="0" r="0" b="9525"/>
                <wp:wrapSquare wrapText="bothSides" distT="45720" distB="45720" distL="114300" distR="114300"/>
                <wp:docPr id="5" name="Rectangle 5"/>
                <wp:cNvGraphicFramePr/>
                <a:graphic xmlns:a="http://schemas.openxmlformats.org/drawingml/2006/main">
                  <a:graphicData uri="http://schemas.microsoft.com/office/word/2010/wordprocessingShape">
                    <wps:wsp>
                      <wps:cNvSpPr/>
                      <wps:spPr>
                        <a:xfrm>
                          <a:off x="0" y="0"/>
                          <a:ext cx="5570220" cy="5724525"/>
                        </a:xfrm>
                        <a:prstGeom prst="rect">
                          <a:avLst/>
                        </a:prstGeom>
                        <a:solidFill>
                          <a:srgbClr val="FFFFFF"/>
                        </a:solidFill>
                        <a:ln w="9525" cap="flat" cmpd="sng">
                          <a:noFill/>
                          <a:prstDash val="solid"/>
                          <a:miter lim="800000"/>
                          <a:headEnd type="none" w="sm" len="sm"/>
                          <a:tailEnd type="none" w="sm" len="sm"/>
                        </a:ln>
                      </wps:spPr>
                      <wps:txbx>
                        <w:txbxContent>
                          <w:p w14:paraId="2BAF1E57" w14:textId="77777777" w:rsidR="000C4297" w:rsidRPr="004F0CD2" w:rsidRDefault="000C4297" w:rsidP="000C4297">
                            <w:pPr>
                              <w:pStyle w:val="Title"/>
                            </w:pPr>
                            <w:r w:rsidRPr="004F0CD2">
                              <w:t>Massachusetts Commission on Falls Prevention</w:t>
                            </w:r>
                          </w:p>
                          <w:p w14:paraId="782BBD01" w14:textId="77777777" w:rsidR="000C4297" w:rsidRDefault="000C4297" w:rsidP="000C4297">
                            <w:pPr>
                              <w:spacing w:line="800" w:lineRule="exact"/>
                              <w:jc w:val="center"/>
                              <w:rPr>
                                <w:rFonts w:ascii="Adobe Garamond Pro Bold" w:hAnsi="Adobe Garamond Pro Bold"/>
                                <w:b/>
                                <w:color w:val="043064"/>
                                <w:sz w:val="72"/>
                                <w:szCs w:val="72"/>
                              </w:rPr>
                            </w:pPr>
                          </w:p>
                          <w:p w14:paraId="40FEC18E" w14:textId="77777777" w:rsidR="000C4297" w:rsidRPr="00897311" w:rsidRDefault="000C4297" w:rsidP="000C4297">
                            <w:pPr>
                              <w:spacing w:line="800" w:lineRule="exact"/>
                              <w:jc w:val="center"/>
                              <w:rPr>
                                <w:rFonts w:ascii="Adobe Garamond Pro Bold" w:hAnsi="Adobe Garamond Pro Bold"/>
                                <w:b/>
                                <w:color w:val="043064"/>
                                <w:sz w:val="72"/>
                                <w:szCs w:val="72"/>
                              </w:rPr>
                            </w:pPr>
                            <w:r w:rsidRPr="00897311">
                              <w:rPr>
                                <w:rFonts w:ascii="Adobe Garamond Pro Bold" w:hAnsi="Adobe Garamond Pro Bold"/>
                                <w:b/>
                                <w:color w:val="043064"/>
                                <w:sz w:val="72"/>
                                <w:szCs w:val="72"/>
                              </w:rPr>
                              <w:t xml:space="preserve">Phase 4 Report: </w:t>
                            </w:r>
                          </w:p>
                          <w:p w14:paraId="08543789" w14:textId="77777777" w:rsidR="000C4297" w:rsidRPr="00897311" w:rsidRDefault="000C4297" w:rsidP="000C4297">
                            <w:pPr>
                              <w:spacing w:line="800" w:lineRule="exact"/>
                              <w:jc w:val="center"/>
                              <w:rPr>
                                <w:rFonts w:ascii="Adobe Garamond Pro Bold" w:hAnsi="Adobe Garamond Pro Bold"/>
                                <w:b/>
                                <w:color w:val="043064"/>
                                <w:sz w:val="72"/>
                                <w:szCs w:val="72"/>
                              </w:rPr>
                            </w:pPr>
                            <w:r w:rsidRPr="00897311">
                              <w:rPr>
                                <w:rFonts w:ascii="Adobe Garamond Pro Bold" w:hAnsi="Adobe Garamond Pro Bold"/>
                                <w:b/>
                                <w:color w:val="043064"/>
                                <w:sz w:val="72"/>
                                <w:szCs w:val="72"/>
                              </w:rPr>
                              <w:t>Strengthening Systems and</w:t>
                            </w:r>
                          </w:p>
                          <w:p w14:paraId="21E3392B" w14:textId="77777777" w:rsidR="000C4297" w:rsidRPr="00897311" w:rsidRDefault="000C4297" w:rsidP="000C4297">
                            <w:pPr>
                              <w:spacing w:line="800" w:lineRule="exact"/>
                              <w:jc w:val="center"/>
                              <w:rPr>
                                <w:rFonts w:ascii="Adobe Garamond Pro Bold" w:hAnsi="Adobe Garamond Pro Bold"/>
                                <w:b/>
                                <w:color w:val="043064"/>
                                <w:sz w:val="72"/>
                                <w:szCs w:val="72"/>
                              </w:rPr>
                            </w:pPr>
                            <w:r w:rsidRPr="00897311">
                              <w:rPr>
                                <w:rFonts w:ascii="Adobe Garamond Pro Bold" w:hAnsi="Adobe Garamond Pro Bold"/>
                                <w:b/>
                                <w:color w:val="043064"/>
                                <w:sz w:val="72"/>
                                <w:szCs w:val="72"/>
                              </w:rPr>
                              <w:t xml:space="preserve">Building Local Capacity to </w:t>
                            </w:r>
                          </w:p>
                          <w:p w14:paraId="2514FB84" w14:textId="77777777" w:rsidR="000C4297" w:rsidRDefault="000C4297" w:rsidP="000C4297">
                            <w:pPr>
                              <w:spacing w:line="800" w:lineRule="exact"/>
                              <w:jc w:val="center"/>
                              <w:rPr>
                                <w:rFonts w:ascii="Adobe Garamond Pro Bold" w:hAnsi="Adobe Garamond Pro Bold"/>
                                <w:b/>
                                <w:color w:val="043064"/>
                                <w:sz w:val="72"/>
                                <w:szCs w:val="72"/>
                              </w:rPr>
                            </w:pPr>
                            <w:r w:rsidRPr="00897311">
                              <w:rPr>
                                <w:rFonts w:ascii="Adobe Garamond Pro Bold" w:hAnsi="Adobe Garamond Pro Bold"/>
                                <w:b/>
                                <w:color w:val="043064"/>
                                <w:sz w:val="72"/>
                                <w:szCs w:val="72"/>
                              </w:rPr>
                              <w:t>Address the Devastating Impact of Older Adult Falls</w:t>
                            </w:r>
                          </w:p>
                          <w:p w14:paraId="3101C913" w14:textId="77777777" w:rsidR="000C4297" w:rsidRDefault="000C4297" w:rsidP="000C4297">
                            <w:pPr>
                              <w:spacing w:line="800" w:lineRule="exact"/>
                              <w:jc w:val="center"/>
                              <w:rPr>
                                <w:rFonts w:ascii="Adobe Garamond Pro Bold" w:hAnsi="Adobe Garamond Pro Bold"/>
                                <w:b/>
                                <w:color w:val="043064"/>
                                <w:sz w:val="72"/>
                                <w:szCs w:val="72"/>
                              </w:rPr>
                            </w:pPr>
                          </w:p>
                          <w:p w14:paraId="2C8BBABD" w14:textId="77777777" w:rsidR="000C4297" w:rsidRPr="00897311" w:rsidRDefault="000C4297" w:rsidP="000C4297">
                            <w:pPr>
                              <w:spacing w:line="80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December 2022</w:t>
                            </w:r>
                          </w:p>
                          <w:p w14:paraId="0787C087" w14:textId="77777777" w:rsidR="000C4297" w:rsidRDefault="000C4297" w:rsidP="000C4297">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68CE6EB" id="Rectangle 5" o:spid="_x0000_s1028" style="position:absolute;margin-left:10.8pt;margin-top:121.65pt;width:438.6pt;height:450.7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" stroked="f">
                <v:stroke startarrowwidth="narrow" startarrowlength="short" endarrowwidth="narrow" endarrowlength="short"/>
                <v:textbox inset="2.53958mm,1.2694mm,2.53958mm,1.2694mm">
                  <w:txbxContent>
                    <w:p w14:paraId="2BAF1E57" w14:textId="77777777" w:rsidR="000C4297" w:rsidRPr="004F0CD2" w:rsidRDefault="000C4297" w:rsidP="000C4297">
                      <w:pPr>
                        <w:pStyle w:val="Title"/>
                      </w:pPr>
                      <w:r w:rsidRPr="004F0CD2">
                        <w:t>Massachusetts Commission on Falls Prevention</w:t>
                      </w:r>
                    </w:p>
                    <w:p w14:paraId="782BBD01" w14:textId="77777777" w:rsidR="000C4297" w:rsidRDefault="000C4297" w:rsidP="000C4297">
                      <w:pPr>
                        <w:spacing w:line="800" w:lineRule="exact"/>
                        <w:jc w:val="center"/>
                        <w:rPr>
                          <w:rFonts w:ascii="Adobe Garamond Pro Bold" w:hAnsi="Adobe Garamond Pro Bold"/>
                          <w:b/>
                          <w:color w:val="043064"/>
                          <w:sz w:val="72"/>
                          <w:szCs w:val="72"/>
                        </w:rPr>
                      </w:pPr>
                    </w:p>
                    <w:p w14:paraId="40FEC18E" w14:textId="77777777" w:rsidR="000C4297" w:rsidRPr="00897311" w:rsidRDefault="000C4297" w:rsidP="000C4297">
                      <w:pPr>
                        <w:spacing w:line="800" w:lineRule="exact"/>
                        <w:jc w:val="center"/>
                        <w:rPr>
                          <w:rFonts w:ascii="Adobe Garamond Pro Bold" w:hAnsi="Adobe Garamond Pro Bold"/>
                          <w:b/>
                          <w:color w:val="043064"/>
                          <w:sz w:val="72"/>
                          <w:szCs w:val="72"/>
                        </w:rPr>
                      </w:pPr>
                      <w:r w:rsidRPr="00897311">
                        <w:rPr>
                          <w:rFonts w:ascii="Adobe Garamond Pro Bold" w:hAnsi="Adobe Garamond Pro Bold"/>
                          <w:b/>
                          <w:color w:val="043064"/>
                          <w:sz w:val="72"/>
                          <w:szCs w:val="72"/>
                        </w:rPr>
                        <w:t xml:space="preserve">Phase 4 Report: </w:t>
                      </w:r>
                    </w:p>
                    <w:p w14:paraId="08543789" w14:textId="77777777" w:rsidR="000C4297" w:rsidRPr="00897311" w:rsidRDefault="000C4297" w:rsidP="000C4297">
                      <w:pPr>
                        <w:spacing w:line="800" w:lineRule="exact"/>
                        <w:jc w:val="center"/>
                        <w:rPr>
                          <w:rFonts w:ascii="Adobe Garamond Pro Bold" w:hAnsi="Adobe Garamond Pro Bold"/>
                          <w:b/>
                          <w:color w:val="043064"/>
                          <w:sz w:val="72"/>
                          <w:szCs w:val="72"/>
                        </w:rPr>
                      </w:pPr>
                      <w:r w:rsidRPr="00897311">
                        <w:rPr>
                          <w:rFonts w:ascii="Adobe Garamond Pro Bold" w:hAnsi="Adobe Garamond Pro Bold"/>
                          <w:b/>
                          <w:color w:val="043064"/>
                          <w:sz w:val="72"/>
                          <w:szCs w:val="72"/>
                        </w:rPr>
                        <w:t>Strengthening Systems and</w:t>
                      </w:r>
                    </w:p>
                    <w:p w14:paraId="21E3392B" w14:textId="77777777" w:rsidR="000C4297" w:rsidRPr="00897311" w:rsidRDefault="000C4297" w:rsidP="000C4297">
                      <w:pPr>
                        <w:spacing w:line="800" w:lineRule="exact"/>
                        <w:jc w:val="center"/>
                        <w:rPr>
                          <w:rFonts w:ascii="Adobe Garamond Pro Bold" w:hAnsi="Adobe Garamond Pro Bold"/>
                          <w:b/>
                          <w:color w:val="043064"/>
                          <w:sz w:val="72"/>
                          <w:szCs w:val="72"/>
                        </w:rPr>
                      </w:pPr>
                      <w:r w:rsidRPr="00897311">
                        <w:rPr>
                          <w:rFonts w:ascii="Adobe Garamond Pro Bold" w:hAnsi="Adobe Garamond Pro Bold"/>
                          <w:b/>
                          <w:color w:val="043064"/>
                          <w:sz w:val="72"/>
                          <w:szCs w:val="72"/>
                        </w:rPr>
                        <w:t xml:space="preserve">Building Local Capacity to </w:t>
                      </w:r>
                    </w:p>
                    <w:p w14:paraId="2514FB84" w14:textId="77777777" w:rsidR="000C4297" w:rsidRDefault="000C4297" w:rsidP="000C4297">
                      <w:pPr>
                        <w:spacing w:line="800" w:lineRule="exact"/>
                        <w:jc w:val="center"/>
                        <w:rPr>
                          <w:rFonts w:ascii="Adobe Garamond Pro Bold" w:hAnsi="Adobe Garamond Pro Bold"/>
                          <w:b/>
                          <w:color w:val="043064"/>
                          <w:sz w:val="72"/>
                          <w:szCs w:val="72"/>
                        </w:rPr>
                      </w:pPr>
                      <w:r w:rsidRPr="00897311">
                        <w:rPr>
                          <w:rFonts w:ascii="Adobe Garamond Pro Bold" w:hAnsi="Adobe Garamond Pro Bold"/>
                          <w:b/>
                          <w:color w:val="043064"/>
                          <w:sz w:val="72"/>
                          <w:szCs w:val="72"/>
                        </w:rPr>
                        <w:t>Address the Devastating Impact of Older Adult Falls</w:t>
                      </w:r>
                    </w:p>
                    <w:p w14:paraId="3101C913" w14:textId="77777777" w:rsidR="000C4297" w:rsidRDefault="000C4297" w:rsidP="000C4297">
                      <w:pPr>
                        <w:spacing w:line="800" w:lineRule="exact"/>
                        <w:jc w:val="center"/>
                        <w:rPr>
                          <w:rFonts w:ascii="Adobe Garamond Pro Bold" w:hAnsi="Adobe Garamond Pro Bold"/>
                          <w:b/>
                          <w:color w:val="043064"/>
                          <w:sz w:val="72"/>
                          <w:szCs w:val="72"/>
                        </w:rPr>
                      </w:pPr>
                    </w:p>
                    <w:p w14:paraId="2C8BBABD" w14:textId="77777777" w:rsidR="000C4297" w:rsidRPr="00897311" w:rsidRDefault="000C4297" w:rsidP="000C4297">
                      <w:pPr>
                        <w:spacing w:line="800" w:lineRule="exact"/>
                        <w:jc w:val="center"/>
                        <w:rPr>
                          <w:rFonts w:ascii="Adobe Garamond Pro Bold" w:hAnsi="Adobe Garamond Pro Bold"/>
                          <w:b/>
                          <w:color w:val="043064"/>
                          <w:sz w:val="72"/>
                          <w:szCs w:val="72"/>
                        </w:rPr>
                      </w:pPr>
                      <w:r>
                        <w:rPr>
                          <w:rFonts w:ascii="Adobe Garamond Pro Bold" w:hAnsi="Adobe Garamond Pro Bold"/>
                          <w:b/>
                          <w:color w:val="043064"/>
                          <w:sz w:val="72"/>
                          <w:szCs w:val="72"/>
                        </w:rPr>
                        <w:t>December 2022</w:t>
                      </w:r>
                    </w:p>
                    <w:p w14:paraId="0787C087" w14:textId="77777777" w:rsidR="000C4297" w:rsidRDefault="000C4297" w:rsidP="000C4297">
                      <w:pPr>
                        <w:spacing w:line="258" w:lineRule="auto"/>
                        <w:textDirection w:val="btLr"/>
                      </w:pPr>
                    </w:p>
                  </w:txbxContent>
                </v:textbox>
                <w10:wrap type="square" anchorx="margin"/>
              </v:rect>
            </w:pict>
          </mc:Fallback>
        </mc:AlternateContent>
      </w:r>
    </w:p>
    <w:p w14:paraId="2772C291" w14:textId="77777777" w:rsidR="00B44008" w:rsidRDefault="00B44008">
      <w:pPr>
        <w:spacing w:after="200" w:line="276" w:lineRule="auto"/>
        <w:rPr>
          <w:rFonts w:ascii="Calibri" w:hAnsi="Calibri" w:cs="Arial"/>
          <w:b/>
          <w:sz w:val="28"/>
          <w:szCs w:val="28"/>
        </w:rPr>
      </w:pPr>
      <w:r>
        <w:rPr>
          <w:rFonts w:ascii="Calibri" w:hAnsi="Calibri" w:cs="Arial"/>
          <w:b/>
          <w:sz w:val="28"/>
          <w:szCs w:val="28"/>
        </w:rPr>
        <w:lastRenderedPageBreak/>
        <w:br w:type="page"/>
      </w:r>
    </w:p>
    <w:p w14:paraId="6009E3C4" w14:textId="332505A5" w:rsidR="00CB2550" w:rsidRDefault="00CB2550" w:rsidP="000C4297">
      <w:pPr>
        <w:rPr>
          <w:rFonts w:ascii="Calibri" w:hAnsi="Calibri" w:cs="Arial"/>
          <w:b/>
          <w:sz w:val="28"/>
          <w:szCs w:val="28"/>
        </w:rPr>
        <w:sectPr w:rsidR="00CB2550" w:rsidSect="00501D4E">
          <w:footerReference w:type="first" r:id="rId17"/>
          <w:pgSz w:w="12240" w:h="15840"/>
          <w:pgMar w:top="1440" w:right="1440" w:bottom="1440" w:left="1440" w:header="720" w:footer="720" w:gutter="0"/>
          <w:cols w:space="720"/>
          <w:titlePg/>
          <w:rtlGutter/>
          <w:docGrid w:linePitch="360"/>
        </w:sectPr>
      </w:pPr>
    </w:p>
    <w:p w14:paraId="75BAEC7A" w14:textId="77777777" w:rsidR="004E35F3" w:rsidRDefault="004E35F3" w:rsidP="004E35F3">
      <w:pPr>
        <w:pStyle w:val="Heading1"/>
      </w:pPr>
      <w:bookmarkStart w:id="0" w:name="_Toc134177580"/>
      <w:bookmarkStart w:id="1" w:name="_Toc134178544"/>
      <w:bookmarkStart w:id="2" w:name="_Toc134178760"/>
      <w:r w:rsidRPr="00E226D7">
        <w:lastRenderedPageBreak/>
        <w:t>Legislative Mandate</w:t>
      </w:r>
      <w:bookmarkEnd w:id="0"/>
      <w:bookmarkEnd w:id="1"/>
      <w:bookmarkEnd w:id="2"/>
    </w:p>
    <w:p w14:paraId="1F0EEA9A" w14:textId="77777777" w:rsidR="004E35F3" w:rsidRPr="00E226D7" w:rsidRDefault="004E35F3" w:rsidP="004E35F3"/>
    <w:p w14:paraId="1A4AC72D" w14:textId="77777777" w:rsidR="004E35F3" w:rsidRPr="00E226D7" w:rsidRDefault="004E35F3" w:rsidP="004E35F3">
      <w:pPr>
        <w:rPr>
          <w:rFonts w:ascii="Arial" w:hAnsi="Arial" w:cs="Arial"/>
          <w:szCs w:val="24"/>
        </w:rPr>
      </w:pPr>
      <w:r w:rsidRPr="00E226D7">
        <w:rPr>
          <w:rFonts w:ascii="Arial" w:hAnsi="Arial" w:cs="Arial"/>
          <w:szCs w:val="24"/>
        </w:rPr>
        <w:t xml:space="preserve">Pursuant to Massachusetts General Law Chapter 111, Section 224: </w:t>
      </w:r>
    </w:p>
    <w:p w14:paraId="41C7C9C9" w14:textId="77777777" w:rsidR="004E35F3" w:rsidRPr="00E226D7" w:rsidRDefault="004E35F3" w:rsidP="004E35F3">
      <w:pPr>
        <w:ind w:left="1440"/>
        <w:rPr>
          <w:rFonts w:ascii="Arial" w:hAnsi="Arial" w:cs="Arial"/>
          <w:iCs/>
          <w:szCs w:val="24"/>
        </w:rPr>
      </w:pPr>
    </w:p>
    <w:p w14:paraId="289505F4" w14:textId="77777777" w:rsidR="004E35F3" w:rsidRPr="00E226D7" w:rsidRDefault="004E35F3" w:rsidP="004E35F3">
      <w:pPr>
        <w:ind w:left="1440"/>
        <w:rPr>
          <w:rFonts w:ascii="Arial" w:hAnsi="Arial" w:cs="Arial"/>
          <w:iCs/>
          <w:szCs w:val="24"/>
        </w:rPr>
      </w:pPr>
      <w:r w:rsidRPr="00E226D7">
        <w:rPr>
          <w:rFonts w:ascii="Arial" w:hAnsi="Arial" w:cs="Arial"/>
          <w:iCs/>
          <w:szCs w:val="24"/>
        </w:rPr>
        <w:t>The commission on falls prevention shall make an investigation and comprehensive study of the effects of falls on older adults and the potential for reducing the number of falls by older adults. The commission shall monitor the effects of falls by older adults on health care costs, the potential for reducing the number of falls by older adults and the most effective strategies for reducing falls and health care costs associated with falls</w:t>
      </w:r>
    </w:p>
    <w:p w14:paraId="781224A0" w14:textId="77777777" w:rsidR="004E35F3" w:rsidRPr="00E226D7" w:rsidRDefault="004E35F3" w:rsidP="004E35F3">
      <w:pPr>
        <w:ind w:left="1440"/>
        <w:rPr>
          <w:rFonts w:ascii="Arial" w:hAnsi="Arial" w:cs="Arial"/>
          <w:iCs/>
          <w:szCs w:val="24"/>
        </w:rPr>
      </w:pPr>
      <w:r w:rsidRPr="00E226D7">
        <w:rPr>
          <w:rFonts w:ascii="Arial" w:hAnsi="Arial" w:cs="Arial"/>
          <w:iCs/>
          <w:szCs w:val="24"/>
        </w:rPr>
        <w:t>.</w:t>
      </w:r>
    </w:p>
    <w:p w14:paraId="6B13F6CC" w14:textId="77777777" w:rsidR="004E35F3" w:rsidRPr="00E226D7" w:rsidRDefault="004E35F3" w:rsidP="004E35F3">
      <w:pPr>
        <w:rPr>
          <w:rFonts w:ascii="Arial" w:hAnsi="Arial" w:cs="Arial"/>
          <w:szCs w:val="24"/>
        </w:rPr>
      </w:pPr>
      <w:r w:rsidRPr="00E226D7">
        <w:rPr>
          <w:rFonts w:ascii="Arial" w:hAnsi="Arial" w:cs="Arial"/>
          <w:szCs w:val="24"/>
        </w:rPr>
        <w:t>The statute further requires that the Commission submit:</w:t>
      </w:r>
    </w:p>
    <w:p w14:paraId="77EFE6DE" w14:textId="77777777" w:rsidR="004E35F3" w:rsidRPr="00E226D7" w:rsidRDefault="004E35F3" w:rsidP="004E35F3">
      <w:pPr>
        <w:ind w:left="1440"/>
        <w:rPr>
          <w:rFonts w:ascii="Arial" w:hAnsi="Arial" w:cs="Arial"/>
          <w:szCs w:val="24"/>
        </w:rPr>
      </w:pPr>
    </w:p>
    <w:p w14:paraId="4978CF1B" w14:textId="77777777" w:rsidR="004E35F3" w:rsidRPr="00E226D7" w:rsidRDefault="004E35F3" w:rsidP="004E35F3">
      <w:pPr>
        <w:ind w:left="1440"/>
        <w:rPr>
          <w:rFonts w:ascii="Arial" w:hAnsi="Arial" w:cs="Arial"/>
          <w:szCs w:val="24"/>
        </w:rPr>
      </w:pPr>
      <w:r w:rsidRPr="00E226D7">
        <w:rPr>
          <w:rFonts w:ascii="Arial" w:hAnsi="Arial" w:cs="Arial"/>
          <w:szCs w:val="24"/>
        </w:rPr>
        <w:t>biennially, a report that includes findings from the commission's review along with recommendations and any suggested legislation to implement those recommendations. The report shall include recommendations for:</w:t>
      </w:r>
    </w:p>
    <w:p w14:paraId="3AAE0D69" w14:textId="77777777" w:rsidR="004E35F3" w:rsidRPr="00E226D7" w:rsidRDefault="004E35F3" w:rsidP="004E35F3">
      <w:pPr>
        <w:ind w:left="1440"/>
        <w:rPr>
          <w:rFonts w:ascii="Arial" w:hAnsi="Arial" w:cs="Arial"/>
          <w:szCs w:val="24"/>
        </w:rPr>
      </w:pPr>
    </w:p>
    <w:p w14:paraId="42453D60" w14:textId="77777777" w:rsidR="004E35F3" w:rsidRPr="00E226D7" w:rsidRDefault="004E35F3" w:rsidP="00BC53CF">
      <w:pPr>
        <w:pStyle w:val="ListParagraph"/>
        <w:numPr>
          <w:ilvl w:val="0"/>
          <w:numId w:val="37"/>
        </w:numPr>
      </w:pPr>
      <w:r w:rsidRPr="00E226D7">
        <w:t>intervention approaches, including physical activity, medication assessment and reduction of medication when possible, vision enhancement and home-modification strategies;</w:t>
      </w:r>
    </w:p>
    <w:p w14:paraId="7550699B" w14:textId="77777777" w:rsidR="004E35F3" w:rsidRPr="00E226D7" w:rsidRDefault="004E35F3" w:rsidP="007F0C6C"/>
    <w:p w14:paraId="28F0686E" w14:textId="77777777" w:rsidR="004E35F3" w:rsidRPr="00E226D7" w:rsidRDefault="004E35F3" w:rsidP="00BC53CF">
      <w:pPr>
        <w:pStyle w:val="ListParagraph"/>
        <w:numPr>
          <w:ilvl w:val="0"/>
          <w:numId w:val="37"/>
        </w:numPr>
      </w:pPr>
      <w:r w:rsidRPr="00E226D7">
        <w:t>strategies that promote collaboration between the medical community, including physicians, long-term care providers and pharmacists to reduce the rate of falls among their patients;</w:t>
      </w:r>
    </w:p>
    <w:p w14:paraId="29E30706" w14:textId="77777777" w:rsidR="004E35F3" w:rsidRPr="00E226D7" w:rsidRDefault="004E35F3" w:rsidP="004E35F3">
      <w:pPr>
        <w:rPr>
          <w:rFonts w:ascii="Arial" w:hAnsi="Arial" w:cs="Arial"/>
          <w:szCs w:val="24"/>
        </w:rPr>
      </w:pPr>
    </w:p>
    <w:p w14:paraId="05913A77" w14:textId="77777777" w:rsidR="004E35F3" w:rsidRPr="00E226D7" w:rsidRDefault="004E35F3" w:rsidP="00BC53CF">
      <w:pPr>
        <w:pStyle w:val="ListParagraph"/>
        <w:numPr>
          <w:ilvl w:val="0"/>
          <w:numId w:val="37"/>
        </w:numPr>
      </w:pPr>
      <w:r w:rsidRPr="00E226D7">
        <w:t>programs that are targeted to fall victims who are at a high risk for second falls and that are designed to maximize independence and quality of life for older adults, particularly those older adults with functional limitations;</w:t>
      </w:r>
    </w:p>
    <w:p w14:paraId="2F7C8D12" w14:textId="77777777" w:rsidR="004E35F3" w:rsidRPr="00E226D7" w:rsidRDefault="004E35F3" w:rsidP="004E35F3">
      <w:pPr>
        <w:rPr>
          <w:rFonts w:ascii="Arial" w:hAnsi="Arial" w:cs="Arial"/>
          <w:szCs w:val="24"/>
        </w:rPr>
      </w:pPr>
    </w:p>
    <w:p w14:paraId="583CBAF6" w14:textId="77777777" w:rsidR="004E35F3" w:rsidRPr="00E226D7" w:rsidRDefault="004E35F3" w:rsidP="00BC53CF">
      <w:pPr>
        <w:pStyle w:val="ListParagraph"/>
        <w:numPr>
          <w:ilvl w:val="0"/>
          <w:numId w:val="37"/>
        </w:numPr>
      </w:pPr>
      <w:r w:rsidRPr="00E226D7">
        <w:t>programs that encourage partnerships to prevent falls among older adults and prevent or reduce injuries when falls occur; and</w:t>
      </w:r>
    </w:p>
    <w:p w14:paraId="2CDD5DE3" w14:textId="77777777" w:rsidR="004E35F3" w:rsidRPr="00E226D7" w:rsidRDefault="004E35F3" w:rsidP="004E35F3">
      <w:pPr>
        <w:rPr>
          <w:rFonts w:ascii="Arial" w:hAnsi="Arial" w:cs="Arial"/>
          <w:szCs w:val="24"/>
        </w:rPr>
      </w:pPr>
    </w:p>
    <w:p w14:paraId="4367A43B" w14:textId="77777777" w:rsidR="004E35F3" w:rsidRPr="00E226D7" w:rsidRDefault="004E35F3" w:rsidP="00BC53CF">
      <w:pPr>
        <w:pStyle w:val="ListParagraph"/>
        <w:numPr>
          <w:ilvl w:val="0"/>
          <w:numId w:val="37"/>
        </w:numPr>
      </w:pPr>
      <w:r w:rsidRPr="00E226D7">
        <w:t>programs to encourage long-term care providers to implement falls- prevention strategies which use specific interventions to help all patients avoid the risks for falling in an effort to reduce hospitalizations and prolong a high quality of life.</w:t>
      </w:r>
    </w:p>
    <w:p w14:paraId="7A14524F" w14:textId="77777777" w:rsidR="004E35F3" w:rsidRPr="00E226D7" w:rsidRDefault="004E35F3" w:rsidP="004E35F3">
      <w:pPr>
        <w:ind w:left="1440"/>
        <w:rPr>
          <w:rFonts w:ascii="Arial" w:hAnsi="Arial" w:cs="Arial"/>
          <w:szCs w:val="24"/>
        </w:rPr>
      </w:pPr>
    </w:p>
    <w:p w14:paraId="78A68998" w14:textId="77777777" w:rsidR="004E35F3" w:rsidRPr="00E226D7" w:rsidRDefault="004E35F3" w:rsidP="004E35F3">
      <w:pPr>
        <w:rPr>
          <w:rFonts w:ascii="Arial" w:hAnsi="Arial" w:cs="Arial"/>
          <w:szCs w:val="24"/>
        </w:rPr>
      </w:pPr>
      <w:r w:rsidRPr="00E226D7">
        <w:rPr>
          <w:rFonts w:ascii="Arial" w:hAnsi="Arial" w:cs="Arial"/>
          <w:szCs w:val="24"/>
        </w:rPr>
        <w:t>The Commission respectfully submits the below report in compliance with these requirements.</w:t>
      </w:r>
    </w:p>
    <w:p w14:paraId="40C81D35" w14:textId="77777777" w:rsidR="00773587" w:rsidRDefault="00773587">
      <w:pPr>
        <w:spacing w:after="200" w:line="276" w:lineRule="auto"/>
        <w:sectPr w:rsidR="00773587">
          <w:headerReference w:type="default" r:id="rId18"/>
          <w:footnotePr>
            <w:numFmt w:val="lowerLetter"/>
          </w:footnotePr>
          <w:pgSz w:w="12240" w:h="15840"/>
          <w:pgMar w:top="1440" w:right="1440" w:bottom="1440" w:left="1440" w:header="720" w:footer="720" w:gutter="0"/>
          <w:cols w:space="720"/>
          <w:docGrid w:linePitch="360"/>
        </w:sectPr>
      </w:pPr>
    </w:p>
    <w:p w14:paraId="3A70D8CF" w14:textId="77777777" w:rsidR="00773587" w:rsidRDefault="00773587">
      <w:pPr>
        <w:spacing w:after="200" w:line="276" w:lineRule="auto"/>
        <w:sectPr w:rsidR="00773587" w:rsidSect="00773587">
          <w:footnotePr>
            <w:numFmt w:val="lowerLetter"/>
          </w:footnotePr>
          <w:pgSz w:w="12240" w:h="15840"/>
          <w:pgMar w:top="1440" w:right="1440" w:bottom="1440" w:left="1440" w:header="720" w:footer="720" w:gutter="0"/>
          <w:cols w:space="720"/>
          <w:titlePg/>
          <w:docGrid w:linePitch="360"/>
        </w:sectPr>
      </w:pPr>
    </w:p>
    <w:p w14:paraId="39042BA9" w14:textId="4CA558E9" w:rsidR="004E35F3" w:rsidRDefault="007E37B4" w:rsidP="007E37B4">
      <w:pPr>
        <w:pStyle w:val="Heading1"/>
      </w:pPr>
      <w:r>
        <w:lastRenderedPageBreak/>
        <w:t>Table of Contents</w:t>
      </w:r>
    </w:p>
    <w:p w14:paraId="7E50D295" w14:textId="77777777" w:rsidR="007E37B4" w:rsidRPr="007E37B4" w:rsidRDefault="007E37B4" w:rsidP="007E37B4"/>
    <w:p w14:paraId="15656F97" w14:textId="7A276C51" w:rsidR="0027417C" w:rsidRDefault="002B0D33">
      <w:pPr>
        <w:pStyle w:val="TOC1"/>
        <w:tabs>
          <w:tab w:val="right" w:leader="dot" w:pos="9350"/>
        </w:tabs>
        <w:rPr>
          <w:rFonts w:cstheme="minorBidi"/>
          <w:noProof/>
        </w:rPr>
      </w:pPr>
      <w:r>
        <w:rPr>
          <w:b/>
        </w:rPr>
        <w:fldChar w:fldCharType="begin"/>
      </w:r>
      <w:r>
        <w:rPr>
          <w:b/>
        </w:rPr>
        <w:instrText xml:space="preserve"> TOC \b body \* MERGEFORMAT </w:instrText>
      </w:r>
      <w:r>
        <w:rPr>
          <w:b/>
        </w:rPr>
        <w:fldChar w:fldCharType="separate"/>
      </w:r>
      <w:r w:rsidR="0027417C">
        <w:rPr>
          <w:noProof/>
        </w:rPr>
        <w:t>Executive Summary</w:t>
      </w:r>
      <w:r w:rsidR="0027417C">
        <w:rPr>
          <w:noProof/>
        </w:rPr>
        <w:tab/>
      </w:r>
      <w:r w:rsidR="0027417C">
        <w:rPr>
          <w:noProof/>
        </w:rPr>
        <w:fldChar w:fldCharType="begin"/>
      </w:r>
      <w:r w:rsidR="0027417C">
        <w:rPr>
          <w:noProof/>
        </w:rPr>
        <w:instrText xml:space="preserve"> PAGEREF _Toc134178886 \h </w:instrText>
      </w:r>
      <w:r w:rsidR="0027417C">
        <w:rPr>
          <w:noProof/>
        </w:rPr>
      </w:r>
      <w:r w:rsidR="0027417C">
        <w:rPr>
          <w:noProof/>
        </w:rPr>
        <w:fldChar w:fldCharType="separate"/>
      </w:r>
      <w:r w:rsidR="0027417C">
        <w:rPr>
          <w:noProof/>
        </w:rPr>
        <w:t>3</w:t>
      </w:r>
      <w:r w:rsidR="0027417C">
        <w:rPr>
          <w:noProof/>
        </w:rPr>
        <w:fldChar w:fldCharType="end"/>
      </w:r>
    </w:p>
    <w:p w14:paraId="6F76A528" w14:textId="3ACEE48C" w:rsidR="0027417C" w:rsidRDefault="0027417C">
      <w:pPr>
        <w:pStyle w:val="TOC1"/>
        <w:tabs>
          <w:tab w:val="right" w:leader="dot" w:pos="9350"/>
        </w:tabs>
        <w:rPr>
          <w:rFonts w:cstheme="minorBidi"/>
          <w:noProof/>
        </w:rPr>
      </w:pPr>
      <w:r>
        <w:rPr>
          <w:noProof/>
        </w:rPr>
        <w:t>Introduction</w:t>
      </w:r>
      <w:r>
        <w:rPr>
          <w:noProof/>
        </w:rPr>
        <w:tab/>
      </w:r>
      <w:r>
        <w:rPr>
          <w:noProof/>
        </w:rPr>
        <w:fldChar w:fldCharType="begin"/>
      </w:r>
      <w:r>
        <w:rPr>
          <w:noProof/>
        </w:rPr>
        <w:instrText xml:space="preserve"> PAGEREF _Toc134178887 \h </w:instrText>
      </w:r>
      <w:r>
        <w:rPr>
          <w:noProof/>
        </w:rPr>
      </w:r>
      <w:r>
        <w:rPr>
          <w:noProof/>
        </w:rPr>
        <w:fldChar w:fldCharType="separate"/>
      </w:r>
      <w:r>
        <w:rPr>
          <w:noProof/>
        </w:rPr>
        <w:t>4</w:t>
      </w:r>
      <w:r>
        <w:rPr>
          <w:noProof/>
        </w:rPr>
        <w:fldChar w:fldCharType="end"/>
      </w:r>
    </w:p>
    <w:p w14:paraId="35AADD4D" w14:textId="72AECDB0" w:rsidR="0027417C" w:rsidRDefault="0027417C">
      <w:pPr>
        <w:pStyle w:val="TOC1"/>
        <w:tabs>
          <w:tab w:val="right" w:leader="dot" w:pos="9350"/>
        </w:tabs>
        <w:rPr>
          <w:rFonts w:cstheme="minorBidi"/>
          <w:noProof/>
        </w:rPr>
      </w:pPr>
      <w:r>
        <w:rPr>
          <w:noProof/>
        </w:rPr>
        <w:t>The Devastating Impact of Older Adult Falls</w:t>
      </w:r>
      <w:r>
        <w:rPr>
          <w:noProof/>
        </w:rPr>
        <w:tab/>
      </w:r>
      <w:r>
        <w:rPr>
          <w:noProof/>
        </w:rPr>
        <w:fldChar w:fldCharType="begin"/>
      </w:r>
      <w:r>
        <w:rPr>
          <w:noProof/>
        </w:rPr>
        <w:instrText xml:space="preserve"> PAGEREF _Toc134178888 \h </w:instrText>
      </w:r>
      <w:r>
        <w:rPr>
          <w:noProof/>
        </w:rPr>
      </w:r>
      <w:r>
        <w:rPr>
          <w:noProof/>
        </w:rPr>
        <w:fldChar w:fldCharType="separate"/>
      </w:r>
      <w:r>
        <w:rPr>
          <w:noProof/>
        </w:rPr>
        <w:t>5</w:t>
      </w:r>
      <w:r>
        <w:rPr>
          <w:noProof/>
        </w:rPr>
        <w:fldChar w:fldCharType="end"/>
      </w:r>
    </w:p>
    <w:p w14:paraId="76F8B0DB" w14:textId="769CF795" w:rsidR="0027417C" w:rsidRDefault="0027417C">
      <w:pPr>
        <w:pStyle w:val="TOC1"/>
        <w:tabs>
          <w:tab w:val="right" w:leader="dot" w:pos="9350"/>
        </w:tabs>
        <w:rPr>
          <w:rFonts w:cstheme="minorBidi"/>
          <w:noProof/>
        </w:rPr>
      </w:pPr>
      <w:r>
        <w:rPr>
          <w:noProof/>
        </w:rPr>
        <w:t>Focusing Locally to Prevent Falls</w:t>
      </w:r>
      <w:r>
        <w:rPr>
          <w:noProof/>
        </w:rPr>
        <w:tab/>
      </w:r>
      <w:r>
        <w:rPr>
          <w:noProof/>
        </w:rPr>
        <w:fldChar w:fldCharType="begin"/>
      </w:r>
      <w:r>
        <w:rPr>
          <w:noProof/>
        </w:rPr>
        <w:instrText xml:space="preserve"> PAGEREF _Toc134178889 \h </w:instrText>
      </w:r>
      <w:r>
        <w:rPr>
          <w:noProof/>
        </w:rPr>
      </w:r>
      <w:r>
        <w:rPr>
          <w:noProof/>
        </w:rPr>
        <w:fldChar w:fldCharType="separate"/>
      </w:r>
      <w:r>
        <w:rPr>
          <w:noProof/>
        </w:rPr>
        <w:t>6</w:t>
      </w:r>
      <w:r>
        <w:rPr>
          <w:noProof/>
        </w:rPr>
        <w:fldChar w:fldCharType="end"/>
      </w:r>
    </w:p>
    <w:p w14:paraId="3DA5B240" w14:textId="76D77FB6" w:rsidR="0027417C" w:rsidRDefault="0027417C">
      <w:pPr>
        <w:pStyle w:val="TOC1"/>
        <w:tabs>
          <w:tab w:val="right" w:leader="dot" w:pos="9350"/>
        </w:tabs>
        <w:rPr>
          <w:rFonts w:cstheme="minorBidi"/>
          <w:noProof/>
        </w:rPr>
      </w:pPr>
      <w:r>
        <w:rPr>
          <w:noProof/>
        </w:rPr>
        <w:t>Appendix A: Commission on Falls Prevention Membership</w:t>
      </w:r>
      <w:r>
        <w:rPr>
          <w:noProof/>
        </w:rPr>
        <w:tab/>
      </w:r>
      <w:r>
        <w:rPr>
          <w:noProof/>
        </w:rPr>
        <w:fldChar w:fldCharType="begin"/>
      </w:r>
      <w:r>
        <w:rPr>
          <w:noProof/>
        </w:rPr>
        <w:instrText xml:space="preserve"> PAGEREF _Toc134178890 \h </w:instrText>
      </w:r>
      <w:r>
        <w:rPr>
          <w:noProof/>
        </w:rPr>
      </w:r>
      <w:r>
        <w:rPr>
          <w:noProof/>
        </w:rPr>
        <w:fldChar w:fldCharType="separate"/>
      </w:r>
      <w:r>
        <w:rPr>
          <w:noProof/>
        </w:rPr>
        <w:t>13</w:t>
      </w:r>
      <w:r>
        <w:rPr>
          <w:noProof/>
        </w:rPr>
        <w:fldChar w:fldCharType="end"/>
      </w:r>
    </w:p>
    <w:p w14:paraId="18B42249" w14:textId="134377E9" w:rsidR="0027417C" w:rsidRDefault="0027417C">
      <w:pPr>
        <w:pStyle w:val="TOC1"/>
        <w:tabs>
          <w:tab w:val="right" w:leader="dot" w:pos="9350"/>
        </w:tabs>
        <w:rPr>
          <w:rFonts w:cstheme="minorBidi"/>
          <w:noProof/>
        </w:rPr>
      </w:pPr>
      <w:r>
        <w:rPr>
          <w:noProof/>
        </w:rPr>
        <w:t>Appendix B: Elements of Public Health Infrastructure Relevant to Local Falls Prevention Services</w:t>
      </w:r>
      <w:r>
        <w:rPr>
          <w:noProof/>
        </w:rPr>
        <w:tab/>
      </w:r>
      <w:r>
        <w:rPr>
          <w:noProof/>
        </w:rPr>
        <w:fldChar w:fldCharType="begin"/>
      </w:r>
      <w:r>
        <w:rPr>
          <w:noProof/>
        </w:rPr>
        <w:instrText xml:space="preserve"> PAGEREF _Toc134178891 \h </w:instrText>
      </w:r>
      <w:r>
        <w:rPr>
          <w:noProof/>
        </w:rPr>
      </w:r>
      <w:r>
        <w:rPr>
          <w:noProof/>
        </w:rPr>
        <w:fldChar w:fldCharType="separate"/>
      </w:r>
      <w:r>
        <w:rPr>
          <w:noProof/>
        </w:rPr>
        <w:t>15</w:t>
      </w:r>
      <w:r>
        <w:rPr>
          <w:noProof/>
        </w:rPr>
        <w:fldChar w:fldCharType="end"/>
      </w:r>
    </w:p>
    <w:p w14:paraId="5194069C" w14:textId="0A600078" w:rsidR="0027417C" w:rsidRDefault="0027417C">
      <w:pPr>
        <w:pStyle w:val="TOC1"/>
        <w:tabs>
          <w:tab w:val="right" w:leader="dot" w:pos="9350"/>
        </w:tabs>
        <w:rPr>
          <w:rFonts w:cstheme="minorBidi"/>
          <w:noProof/>
        </w:rPr>
      </w:pPr>
      <w:r>
        <w:rPr>
          <w:noProof/>
        </w:rPr>
        <w:t>Appendix C: Commission Key Informants on Local Public Health Infrastructure</w:t>
      </w:r>
      <w:r>
        <w:rPr>
          <w:noProof/>
        </w:rPr>
        <w:tab/>
      </w:r>
      <w:r>
        <w:rPr>
          <w:noProof/>
        </w:rPr>
        <w:fldChar w:fldCharType="begin"/>
      </w:r>
      <w:r>
        <w:rPr>
          <w:noProof/>
        </w:rPr>
        <w:instrText xml:space="preserve"> PAGEREF _Toc134178892 \h </w:instrText>
      </w:r>
      <w:r>
        <w:rPr>
          <w:noProof/>
        </w:rPr>
      </w:r>
      <w:r>
        <w:rPr>
          <w:noProof/>
        </w:rPr>
        <w:fldChar w:fldCharType="separate"/>
      </w:r>
      <w:r>
        <w:rPr>
          <w:noProof/>
        </w:rPr>
        <w:t>17</w:t>
      </w:r>
      <w:r>
        <w:rPr>
          <w:noProof/>
        </w:rPr>
        <w:fldChar w:fldCharType="end"/>
      </w:r>
    </w:p>
    <w:p w14:paraId="36CE8270" w14:textId="7DDDA337" w:rsidR="0027417C" w:rsidRDefault="0027417C">
      <w:pPr>
        <w:pStyle w:val="TOC1"/>
        <w:tabs>
          <w:tab w:val="right" w:leader="dot" w:pos="9350"/>
        </w:tabs>
        <w:rPr>
          <w:rFonts w:cstheme="minorBidi"/>
          <w:noProof/>
        </w:rPr>
      </w:pPr>
      <w:r>
        <w:rPr>
          <w:noProof/>
        </w:rPr>
        <w:t>References</w:t>
      </w:r>
      <w:r>
        <w:rPr>
          <w:noProof/>
        </w:rPr>
        <w:tab/>
      </w:r>
      <w:r>
        <w:rPr>
          <w:noProof/>
        </w:rPr>
        <w:fldChar w:fldCharType="begin"/>
      </w:r>
      <w:r>
        <w:rPr>
          <w:noProof/>
        </w:rPr>
        <w:instrText xml:space="preserve"> PAGEREF _Toc134178893 \h </w:instrText>
      </w:r>
      <w:r>
        <w:rPr>
          <w:noProof/>
        </w:rPr>
      </w:r>
      <w:r>
        <w:rPr>
          <w:noProof/>
        </w:rPr>
        <w:fldChar w:fldCharType="separate"/>
      </w:r>
      <w:r>
        <w:rPr>
          <w:noProof/>
        </w:rPr>
        <w:t>19</w:t>
      </w:r>
      <w:r>
        <w:rPr>
          <w:noProof/>
        </w:rPr>
        <w:fldChar w:fldCharType="end"/>
      </w:r>
    </w:p>
    <w:p w14:paraId="03E2C688" w14:textId="68D3F796" w:rsidR="00B60C0B" w:rsidRPr="009306C6" w:rsidRDefault="002B0D33" w:rsidP="009306C6">
      <w:pPr>
        <w:pStyle w:val="Heading1"/>
      </w:pPr>
      <w:r>
        <w:rPr>
          <w:rFonts w:asciiTheme="minorHAnsi" w:eastAsiaTheme="minorEastAsia" w:hAnsiTheme="minorHAnsi" w:cs="Times New Roman"/>
          <w:b w:val="0"/>
          <w:sz w:val="22"/>
          <w:szCs w:val="22"/>
        </w:rPr>
        <w:fldChar w:fldCharType="end"/>
      </w:r>
      <w:r w:rsidR="00F51F22">
        <w:br w:type="page"/>
      </w:r>
      <w:bookmarkStart w:id="3" w:name="_Toc134177581"/>
      <w:bookmarkStart w:id="4" w:name="_Toc134178545"/>
      <w:bookmarkStart w:id="5" w:name="_Toc134178761"/>
      <w:r w:rsidR="00B60C0B" w:rsidRPr="009306C6">
        <w:lastRenderedPageBreak/>
        <w:t>Acknowledgments</w:t>
      </w:r>
      <w:bookmarkEnd w:id="3"/>
      <w:bookmarkEnd w:id="4"/>
      <w:bookmarkEnd w:id="5"/>
    </w:p>
    <w:p w14:paraId="1A45C7B5" w14:textId="77777777" w:rsidR="00E226D7" w:rsidRPr="00E226D7" w:rsidRDefault="00E226D7" w:rsidP="00E226D7"/>
    <w:p w14:paraId="2DE702E2" w14:textId="77777777" w:rsidR="00B60C0B" w:rsidRPr="00E775D3" w:rsidRDefault="00B60C0B" w:rsidP="00B60C0B">
      <w:pPr>
        <w:rPr>
          <w:rFonts w:ascii="Arial" w:hAnsi="Arial" w:cs="Arial"/>
          <w:szCs w:val="24"/>
        </w:rPr>
      </w:pPr>
      <w:r w:rsidRPr="00E775D3">
        <w:rPr>
          <w:rFonts w:ascii="Arial" w:hAnsi="Arial" w:cs="Arial"/>
          <w:szCs w:val="24"/>
        </w:rPr>
        <w:t xml:space="preserve">This report was prepared by Beth Hume, Alexandria Papadimoulis, Max Rasbold-Gabbard, Sam Riley, and Bekah Thomas. Special thanks to Joanne Moore and Annette Peele for their guidance in shaping the report. Additional thanks to all Commission members for their thoughtful input and to our key informants for their insights. </w:t>
      </w:r>
    </w:p>
    <w:p w14:paraId="126669C7" w14:textId="2AB43B4D" w:rsidR="00B60C0B" w:rsidRDefault="00B60C0B" w:rsidP="00B60C0B">
      <w:pPr>
        <w:spacing w:line="259" w:lineRule="auto"/>
        <w:rPr>
          <w:rFonts w:asciiTheme="majorHAnsi" w:eastAsiaTheme="majorEastAsia" w:hAnsiTheme="majorHAnsi" w:cstheme="majorBidi"/>
          <w:color w:val="365F91" w:themeColor="accent1" w:themeShade="BF"/>
          <w:sz w:val="32"/>
          <w:szCs w:val="32"/>
        </w:rPr>
      </w:pPr>
    </w:p>
    <w:p w14:paraId="2BD9FD9C" w14:textId="77777777" w:rsidR="00E8593B" w:rsidRDefault="00E8593B" w:rsidP="009306C6">
      <w:pPr>
        <w:pStyle w:val="Heading1"/>
        <w:sectPr w:rsidR="00E8593B">
          <w:footerReference w:type="default" r:id="rId19"/>
          <w:footnotePr>
            <w:numFmt w:val="lowerLetter"/>
          </w:footnotePr>
          <w:pgSz w:w="12240" w:h="15840"/>
          <w:pgMar w:top="1440" w:right="1440" w:bottom="1440" w:left="1440" w:header="720" w:footer="720" w:gutter="0"/>
          <w:cols w:space="720"/>
          <w:docGrid w:linePitch="360"/>
        </w:sectPr>
      </w:pPr>
    </w:p>
    <w:p w14:paraId="67E5EA71" w14:textId="5F53C5D9" w:rsidR="00B60C0B" w:rsidRDefault="00B60C0B" w:rsidP="009306C6">
      <w:pPr>
        <w:pStyle w:val="Heading1"/>
      </w:pPr>
      <w:bookmarkStart w:id="6" w:name="_Toc134177582"/>
      <w:bookmarkStart w:id="7" w:name="_Toc134178546"/>
      <w:bookmarkStart w:id="8" w:name="_Toc134178762"/>
      <w:bookmarkStart w:id="9" w:name="_Toc134178886"/>
      <w:bookmarkStart w:id="10" w:name="body"/>
      <w:r w:rsidRPr="00E226D7">
        <w:lastRenderedPageBreak/>
        <w:t>Executive Summary</w:t>
      </w:r>
      <w:bookmarkEnd w:id="6"/>
      <w:bookmarkEnd w:id="7"/>
      <w:bookmarkEnd w:id="8"/>
      <w:bookmarkEnd w:id="9"/>
    </w:p>
    <w:p w14:paraId="68186BE8" w14:textId="77777777" w:rsidR="00E226D7" w:rsidRPr="00E226D7" w:rsidRDefault="00E226D7" w:rsidP="00E226D7"/>
    <w:p w14:paraId="7A5FE08A" w14:textId="77777777" w:rsidR="00B60C0B" w:rsidRPr="00E226D7" w:rsidRDefault="00B60C0B" w:rsidP="00B60C0B">
      <w:pPr>
        <w:rPr>
          <w:rFonts w:ascii="Arial" w:hAnsi="Arial" w:cs="Arial"/>
          <w:szCs w:val="24"/>
        </w:rPr>
      </w:pPr>
      <w:r w:rsidRPr="00E226D7">
        <w:rPr>
          <w:rFonts w:ascii="Arial" w:hAnsi="Arial" w:cs="Arial"/>
          <w:szCs w:val="24"/>
        </w:rPr>
        <w:t>Falls and fall-related injuries are a growing public health problem that affect Massachusetts’ older residents and the systems of care that support them. From 2010-2020 the rate of fall-related deaths in Massachusetts increased by 61%. The urgency of making systemic changes to address older adult falls is underscored by the growing share of the Massachusetts population age 65 and older, which will increase to 22% by 2030, up from about 14% in 2010. Without investment in falls prevention services, the rate of fall-related fatalities will continue to grow alongside the older adult population.</w:t>
      </w:r>
    </w:p>
    <w:p w14:paraId="0FB92D60" w14:textId="77777777" w:rsidR="00E226D7" w:rsidRDefault="00E226D7" w:rsidP="00B60C0B">
      <w:pPr>
        <w:rPr>
          <w:rFonts w:ascii="Arial" w:hAnsi="Arial" w:cs="Arial"/>
          <w:szCs w:val="24"/>
        </w:rPr>
      </w:pPr>
    </w:p>
    <w:p w14:paraId="4B361920" w14:textId="2D64D12B" w:rsidR="00B60C0B" w:rsidRDefault="00B60C0B" w:rsidP="00B60C0B">
      <w:pPr>
        <w:rPr>
          <w:rFonts w:ascii="Arial" w:hAnsi="Arial" w:cs="Arial"/>
          <w:szCs w:val="24"/>
        </w:rPr>
      </w:pPr>
      <w:r w:rsidRPr="00E226D7">
        <w:rPr>
          <w:rFonts w:ascii="Arial" w:hAnsi="Arial" w:cs="Arial"/>
          <w:szCs w:val="24"/>
        </w:rPr>
        <w:t>The Massachusetts Commission of Falls Prevention issues this report with the following recommendations to strengthen local capacity for falls prevention efforts, integrate age-friendly strategies into statewide planning efforts, and improve data collection around non-fatal falls:</w:t>
      </w:r>
    </w:p>
    <w:p w14:paraId="79CFA11D" w14:textId="77777777" w:rsidR="00E226D7" w:rsidRPr="00E226D7" w:rsidRDefault="00E226D7" w:rsidP="00B60C0B">
      <w:pPr>
        <w:rPr>
          <w:rFonts w:ascii="Arial" w:hAnsi="Arial" w:cs="Arial"/>
          <w:szCs w:val="24"/>
        </w:rPr>
      </w:pPr>
    </w:p>
    <w:p w14:paraId="756EB85D" w14:textId="77777777" w:rsidR="00B60C0B" w:rsidRPr="00E226D7" w:rsidRDefault="00B60C0B" w:rsidP="00CE3E1D">
      <w:pPr>
        <w:pStyle w:val="ListParagraph"/>
        <w:rPr>
          <w:b/>
          <w:bCs/>
        </w:rPr>
      </w:pPr>
      <w:r w:rsidRPr="00E226D7">
        <w:t xml:space="preserve">The Commission recommends that the Commonwealth allocate resources to support regional approaches to implementation of evidence-based falls prevention practices by local boards of health and partner agencies. </w:t>
      </w:r>
    </w:p>
    <w:p w14:paraId="33A3BC86" w14:textId="77777777" w:rsidR="00B60C0B" w:rsidRPr="00E226D7" w:rsidRDefault="00B60C0B" w:rsidP="00CE3E1D">
      <w:pPr>
        <w:pStyle w:val="ListParagraph"/>
        <w:rPr>
          <w:b/>
          <w:bCs/>
        </w:rPr>
      </w:pPr>
      <w:r w:rsidRPr="00E226D7">
        <w:t>The Commission recommends that the Commonwealth support the development of a pilot program that pairs home safety assessments—including fall risk assessments supported by occupational therapists—with subsidized home modifications to mitigate injury risk.</w:t>
      </w:r>
    </w:p>
    <w:p w14:paraId="2B843A85" w14:textId="77777777" w:rsidR="00B60C0B" w:rsidRPr="00E226D7" w:rsidRDefault="00B60C0B" w:rsidP="00CE3E1D">
      <w:pPr>
        <w:pStyle w:val="ListParagraph"/>
        <w:rPr>
          <w:b/>
          <w:bCs/>
        </w:rPr>
      </w:pPr>
      <w:r w:rsidRPr="00E226D7">
        <w:t>The Commission recommends that the Commonwealth catalog local, regional, and statewide planning processes that affect older adult falls hazards; embed falls prevention considerations and age-friendly strategies into those efforts; and collaborate with stakeholders to assure falls are specifically and explicitly addressed through state-promoted assessments and planning processes.</w:t>
      </w:r>
    </w:p>
    <w:p w14:paraId="0AC5D1FE" w14:textId="77777777" w:rsidR="00B60C0B" w:rsidRPr="00BF3795" w:rsidRDefault="00B60C0B" w:rsidP="00CE3E1D">
      <w:pPr>
        <w:pStyle w:val="ListParagraph"/>
        <w:rPr>
          <w:b/>
          <w:bCs/>
        </w:rPr>
      </w:pPr>
      <w:r w:rsidRPr="00E226D7">
        <w:t>The Commission recommends that the Commonwealth work with stakeholders to develop and implement strategies that improve the completion of relevant injury codes, where feasible. Specific strategies could include providing guidance to hospitals and medical coders around coding of activity and location of injury; providing hospitals and coders with feedback on the quality and completeness of data coming from their institution; and developing a scheme for reimbursing providers for using such codes.</w:t>
      </w:r>
      <w:r w:rsidRPr="00BF3795">
        <w:br w:type="page"/>
      </w:r>
    </w:p>
    <w:p w14:paraId="6215B04C" w14:textId="060BE1A2" w:rsidR="00B60C0B" w:rsidRDefault="00B60C0B" w:rsidP="004617B3">
      <w:pPr>
        <w:pStyle w:val="Heading1"/>
      </w:pPr>
      <w:bookmarkStart w:id="11" w:name="_Toc134178547"/>
      <w:bookmarkStart w:id="12" w:name="_Toc134178763"/>
      <w:bookmarkStart w:id="13" w:name="_Toc134178887"/>
      <w:r w:rsidRPr="00E226D7">
        <w:lastRenderedPageBreak/>
        <w:t>Introduction</w:t>
      </w:r>
      <w:bookmarkEnd w:id="11"/>
      <w:bookmarkEnd w:id="12"/>
      <w:bookmarkEnd w:id="13"/>
      <w:r w:rsidRPr="00E226D7">
        <w:t xml:space="preserve"> </w:t>
      </w:r>
    </w:p>
    <w:p w14:paraId="10DBB3A9" w14:textId="77777777" w:rsidR="00E226D7" w:rsidRPr="00E226D7" w:rsidRDefault="00E226D7" w:rsidP="00E226D7"/>
    <w:p w14:paraId="75194832" w14:textId="77777777" w:rsidR="00B60C0B" w:rsidRPr="00E226D7" w:rsidRDefault="00B60C0B" w:rsidP="00B60C0B">
      <w:pPr>
        <w:rPr>
          <w:rFonts w:ascii="Arial" w:hAnsi="Arial" w:cs="Arial"/>
          <w:szCs w:val="24"/>
        </w:rPr>
      </w:pPr>
      <w:r w:rsidRPr="00E226D7">
        <w:rPr>
          <w:rFonts w:ascii="Arial" w:hAnsi="Arial" w:cs="Arial"/>
          <w:szCs w:val="24"/>
        </w:rPr>
        <w:t>Falls and fall-related injuries are a major and growing public health problem that affect Massachusetts’ older residents and the systems of care that support them. From 2010-2020 the rate of fall-related deaths increased by 61% (77.7 per 100,000 in 2020).</w:t>
      </w:r>
      <w:r w:rsidRPr="00E226D7">
        <w:rPr>
          <w:rFonts w:ascii="Arial" w:hAnsi="Arial" w:cs="Arial"/>
          <w:szCs w:val="24"/>
        </w:rPr>
        <w:fldChar w:fldCharType="begin"/>
      </w:r>
      <w:r w:rsidRPr="00E226D7">
        <w:rPr>
          <w:rFonts w:ascii="Arial" w:hAnsi="Arial" w:cs="Arial"/>
          <w:szCs w:val="24"/>
        </w:rPr>
        <w:instrText xml:space="preserve"> ADDIN ZOTERO_ITEM CSL_CITATION {"citationID":"ti7nAEdM","properties":{"formattedCitation":"\\super 1\\nosupersub{}","plainCitation":"1","noteIndex":0},"citationItems":[{"id":410,"uris":["http://zotero.org/groups/2444171/items/NH4UZM4I"],"uri":["http://zotero.org/groups/2444171/items/NH4UZM4I"],"itemData":{"id":410,"type":"article","title":"2010-2020 Death Files","author":[{"literal":"Registry of Vital Records and Statistics, Massachusetts Department of Public Health"}]}}],"schema":"https://github.com/citation-style-language/schema/raw/master/csl-citation.json"} </w:instrText>
      </w:r>
      <w:r w:rsidRPr="00E226D7">
        <w:rPr>
          <w:rFonts w:ascii="Arial" w:hAnsi="Arial" w:cs="Arial"/>
          <w:szCs w:val="24"/>
        </w:rPr>
        <w:fldChar w:fldCharType="separate"/>
      </w:r>
      <w:r w:rsidRPr="00E226D7">
        <w:rPr>
          <w:rFonts w:ascii="Arial" w:hAnsi="Arial" w:cs="Arial"/>
          <w:szCs w:val="24"/>
          <w:vertAlign w:val="superscript"/>
        </w:rPr>
        <w:t>1</w:t>
      </w:r>
      <w:r w:rsidRPr="00E226D7">
        <w:rPr>
          <w:rFonts w:ascii="Arial" w:hAnsi="Arial" w:cs="Arial"/>
          <w:szCs w:val="24"/>
        </w:rPr>
        <w:fldChar w:fldCharType="end"/>
      </w:r>
      <w:r w:rsidRPr="00E226D7">
        <w:rPr>
          <w:rFonts w:ascii="Arial" w:hAnsi="Arial" w:cs="Arial"/>
          <w:szCs w:val="24"/>
        </w:rPr>
        <w:t xml:space="preserve"> For older adults—those age 65 and over—falls happen in the home, in public, or in care facilities, and can have serious consequences, like broken bones, head injuries, and death.</w:t>
      </w:r>
      <w:r w:rsidRPr="00E226D7">
        <w:rPr>
          <w:rFonts w:ascii="Arial" w:hAnsi="Arial" w:cs="Arial"/>
          <w:szCs w:val="24"/>
        </w:rPr>
        <w:fldChar w:fldCharType="begin"/>
      </w:r>
      <w:r w:rsidRPr="00E226D7">
        <w:rPr>
          <w:rFonts w:ascii="Arial" w:hAnsi="Arial" w:cs="Arial"/>
          <w:szCs w:val="24"/>
        </w:rPr>
        <w:instrText xml:space="preserve"> ADDIN ZOTERO_ITEM CSL_CITATION {"citationID":"WfcgOAxx","properties":{"formattedCitation":"\\super 2,3\\nosupersub{}","plainCitation":"2,3","noteIndex":0},"citationItems":[{"id":383,"uris":["http://zotero.org/groups/2444171/items/D29PE2VQ"],"uri":["http://zotero.org/groups/2444171/items/D29PE2VQ"],"itemData":{"id":383,"type":"article-journal","abstract":"OBJECTIVE: Falls are a well-known source of morbidity and mortality in the elderly. Fall-related injury severity in this group, however, is less clear, particularly as it relates to type of fall. Our purpose is to explore the relationship between mechanism of fall and both pattern and severity of injury in geriatric patients as compared with a younger cohort.\nMETHODS: Our trauma registry was queried for all patients evaluated by the trauma service over a 412-year period (1994-1998). Two cohorts were formed on the basis of age greater than 65 or less than or equal to 65 years and compared as to mechanism, Injury Severity Score (ISS), Abbreviated Injury Scale score, and mortality.\nRESULTS: Over the study period, 1,512 patients were evaluated, 333 greater than 65 years and 1,179 less than or equal to 65 years of age. Falls were the injury mechanism in 48% of the older group and 7% of the younger group (p &lt; 0.05). Falls in the older group constituted 65% of patients with ISS &gt;15, with 32% of all falls resulting in serious injury (ISS &gt;15). In contrast, falls in the younger group constituted only 11% of ISS &gt;15 patients, with falls causing serious injury only 15% of the time (both p &lt; 0.05). Notably, same-level falls resulted in serious injury 30% of the time in the older group versus 4% in the younger group (p &lt; 0.05), and were responsible for an ISS &gt;15 30-fold more in the older group (31% vs. &lt;1%; p &lt; 0.05). Abbreviated Injury Scale evaluation revealed more frequent head/neck (47% vs. 22%), chest (23% vs. 9%), and pelvic/extremity (27% vs. 15%) injuries in the older group for all falls (all p &lt; 0.05). The mean ISS for same-level falls in the older group was twice that for the younger group (9.28 vs. 4.64, p &lt; 0.05), whereas there was no difference in mean ISS between multilevel and same-level falls within the older group itself (10.12 vs. 9.28, p &gt; 0.05). The fall-related death rate was higher in the older group (7% vs. 4%), with falls seven times more likely to be the cause of death compared with the younger group (55% vs. 7.5%) (both p &lt; 0.05). Same-level falls as a cause of death was 10 times more common in the elderly (25% vs. 2.5%, p &lt; 0.05).\nCONCLUSION: Falls among the elderly, including same-level falls, are a common source of both high injury severity and mortality, much more so than in younger patients. A different pattern of injury between older and younger fall patients also exists.","container-title":"The Journal of Trauma","DOI":"10.1097/00005373-200101000-00021","ISSN":"0022-5282","issue":"1","journalAbbreviation":"J Trauma","language":"eng","note":"PMID: 11231681","page":"116-119","source":"PubMed","title":"Geriatric falls: injury severity is high and disproportionate to mechanism","title-short":"Geriatric falls","volume":"50","author":[{"family":"Sterling","given":"D. A."},{"family":"O'Connor","given":"J. A."},{"family":"Bonadies","given":"J."}],"issued":{"date-parts":[["2001",1]]}}},{"id":385,"uris":["http://zotero.org/groups/2444171/items/J93JYSWH"],"uri":["http://zotero.org/groups/2444171/items/J93JYSWH"],"itemData":{"id":385,"type":"article-journal","abstract":"Fall injuries and related healthcare use among older adults are increasing in the United States. This study examined chronic illnesses, sensory and memory problems, and injury characteristics that were associated with ED visits and hospitalizations among older adults who received medical attention for fall injuries within a 91-day reference period.","container-title":"BMC Geriatrics","DOI":"10.1186/s12877-019-1329-2","ISSN":"1471-2318","issue":"1","journalAbbreviation":"BMC Geriatrics","page":"303","source":"BioMed Central","title":"Fall-related emergency department visits and hospitalizations among community-dwelling older adults: examination of health problems and injury characteristics","title-short":"Fall-related emergency department visits and hospitalizations among community-dwelling older adults","URL":"https://doi.org/10.1186/s12877-019-1329-2","volume":"19","author":[{"family":"Choi","given":"Namkee G."},{"family":"Choi","given":"Bryan Y."},{"family":"DiNitto","given":"Diana M."},{"family":"Marti","given":"C. Nathan"},{"family":"Kunik","given":"Mark E."}],"accessed":{"date-parts":[["2022",3,6]]},"issued":{"date-parts":[["2019",11,11]]}}}],"schema":"https://github.com/citation-style-language/schema/raw/master/csl-citation.json"} </w:instrText>
      </w:r>
      <w:r w:rsidRPr="00E226D7">
        <w:rPr>
          <w:rFonts w:ascii="Arial" w:hAnsi="Arial" w:cs="Arial"/>
          <w:szCs w:val="24"/>
        </w:rPr>
        <w:fldChar w:fldCharType="separate"/>
      </w:r>
      <w:r w:rsidRPr="00E226D7">
        <w:rPr>
          <w:rFonts w:ascii="Arial" w:hAnsi="Arial" w:cs="Arial"/>
          <w:szCs w:val="24"/>
          <w:vertAlign w:val="superscript"/>
        </w:rPr>
        <w:t>2,3</w:t>
      </w:r>
      <w:r w:rsidRPr="00E226D7">
        <w:rPr>
          <w:rFonts w:ascii="Arial" w:hAnsi="Arial" w:cs="Arial"/>
          <w:szCs w:val="24"/>
        </w:rPr>
        <w:fldChar w:fldCharType="end"/>
      </w:r>
      <w:r w:rsidRPr="00E226D7">
        <w:rPr>
          <w:rFonts w:ascii="Arial" w:hAnsi="Arial" w:cs="Arial"/>
          <w:szCs w:val="24"/>
        </w:rPr>
        <w:t xml:space="preserve"> After a fall, older adults can become afraid of falling again, leading to a decrease in everyday activities, which can lead to declines in physical strength and mental health; those outcomes can even further increase the risk for a fall.</w:t>
      </w:r>
      <w:r w:rsidRPr="00E226D7">
        <w:rPr>
          <w:rFonts w:ascii="Arial" w:hAnsi="Arial" w:cs="Arial"/>
          <w:szCs w:val="24"/>
        </w:rPr>
        <w:fldChar w:fldCharType="begin"/>
      </w:r>
      <w:r w:rsidRPr="00E226D7">
        <w:rPr>
          <w:rFonts w:ascii="Arial" w:hAnsi="Arial" w:cs="Arial"/>
          <w:szCs w:val="24"/>
        </w:rPr>
        <w:instrText xml:space="preserve"> ADDIN ZOTERO_ITEM CSL_CITATION {"citationID":"Itpxwaug","properties":{"formattedCitation":"\\super 4\\nosupersub{}","plainCitation":"4","noteIndex":0},"citationItems":[{"id":388,"uris":["http://zotero.org/groups/2444171/items/QKWB2MG8"],"uri":["http://zotero.org/groups/2444171/items/QKWB2MG8"],"itemData":{"id":388,"type":"article-journal","abstract":"OBJECTIVES: To identify the characteristics of elderly persons who develop a fear of falling after experiencing a fall and to investigate the association of this fear with changes in health status over time.\nDESIGN: A prospective study of falls over a 2-year period (1991-92). Falls were ascertained using bimonthly postcards plus telephone interview with a standardized (World Health Organisation) questionnaire for circumstances, fear of falling and consequences of each reported fall. Each participant underwent a physical exam and subjective health assessment each year form 1990 to 1993.\nSETTING: New-Mexico Aging Process Study, USA.\nSUBJECTS: 487 elderly subjects (&gt; 60 years) living independently in the community.\nMAIN OUTCOME MEASURES: Fear of falling after experiencing a fall.\nRESULTS: 70 (32%) of 219 subjects who experienced a fall during the 2 year study period reported a fear of falling. Women were more likely than men to report fear of falling (74% vs 26%). Fallers who were afraid of falling again had significantly ore balance (31.9% vs 12.8%) and gait disorders (31.9% vs 7.4%) at entry in the study in 1990. Among sex, age, mental status, balance and gait abnormalities, economic resource and physical health, logistic regression analysis show gait abnormalities and poor self-perception of physical health, cognitive status and economic resources to be significantly associated with fear of falling. Subjects who reported a fear of falling experienced a greater increase in balance (P = 0.08), gait (P &lt; 0.01) and cognitive disorders (P = 0.09) over time, resulting in a decrease in mobility level.\nCONCLUSION: The study indicated that about one-third of elderly people develop a fear of falling after an incident fall and this issue should be specifically addressed in any rehabilitation programme.","container-title":"Age and Ageing","DOI":"10.1093/ageing/26.3.189","ISSN":"0002-0729","issue":"3","journalAbbreviation":"Age Ageing","language":"eng","note":"PMID: 9223714","page":"189-193","source":"PubMed","title":"Fear of falling and restriction of mobility in elderly fallers","volume":"26","author":[{"family":"Vellas","given":"B. J."},{"family":"Wayne","given":"S. J."},{"family":"Romero","given":"L. J."},{"family":"Baumgartner","given":"R. N."},{"family":"Garry","given":"P. J."}],"issued":{"date-parts":[["1997",5]]}}}],"schema":"https://github.com/citation-style-language/schema/raw/master/csl-citation.json"} </w:instrText>
      </w:r>
      <w:r w:rsidRPr="00E226D7">
        <w:rPr>
          <w:rFonts w:ascii="Arial" w:hAnsi="Arial" w:cs="Arial"/>
          <w:szCs w:val="24"/>
        </w:rPr>
        <w:fldChar w:fldCharType="separate"/>
      </w:r>
      <w:r w:rsidRPr="00E226D7">
        <w:rPr>
          <w:rFonts w:ascii="Arial" w:hAnsi="Arial" w:cs="Arial"/>
          <w:szCs w:val="24"/>
          <w:vertAlign w:val="superscript"/>
        </w:rPr>
        <w:t>4</w:t>
      </w:r>
      <w:r w:rsidRPr="00E226D7">
        <w:rPr>
          <w:rFonts w:ascii="Arial" w:hAnsi="Arial" w:cs="Arial"/>
          <w:szCs w:val="24"/>
        </w:rPr>
        <w:fldChar w:fldCharType="end"/>
      </w:r>
    </w:p>
    <w:p w14:paraId="0FACF9CF" w14:textId="77777777" w:rsidR="003D49A3" w:rsidRDefault="003D49A3" w:rsidP="00B60C0B">
      <w:pPr>
        <w:rPr>
          <w:rFonts w:ascii="Arial" w:hAnsi="Arial" w:cs="Arial"/>
          <w:szCs w:val="24"/>
        </w:rPr>
      </w:pPr>
    </w:p>
    <w:p w14:paraId="65F39847" w14:textId="78DCABCC" w:rsidR="00B60C0B" w:rsidRDefault="00B60C0B" w:rsidP="00B60C0B">
      <w:pPr>
        <w:rPr>
          <w:rFonts w:ascii="Arial" w:hAnsi="Arial" w:cs="Arial"/>
          <w:szCs w:val="24"/>
        </w:rPr>
      </w:pPr>
      <w:r w:rsidRPr="00E226D7">
        <w:rPr>
          <w:rFonts w:ascii="Arial" w:hAnsi="Arial" w:cs="Arial"/>
          <w:noProof/>
          <w:szCs w:val="24"/>
        </w:rPr>
        <mc:AlternateContent>
          <mc:Choice Requires="wps">
            <w:drawing>
              <wp:anchor distT="45720" distB="45720" distL="114300" distR="114300" simplePos="0" relativeHeight="251671552" behindDoc="0" locked="0" layoutInCell="1" allowOverlap="1" wp14:anchorId="7F528ADB" wp14:editId="16972B74">
                <wp:simplePos x="0" y="0"/>
                <wp:positionH relativeFrom="margin">
                  <wp:posOffset>3724275</wp:posOffset>
                </wp:positionH>
                <wp:positionV relativeFrom="paragraph">
                  <wp:posOffset>567055</wp:posOffset>
                </wp:positionV>
                <wp:extent cx="2186305" cy="3952875"/>
                <wp:effectExtent l="0" t="0" r="2349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305" cy="3952875"/>
                        </a:xfrm>
                        <a:prstGeom prst="rect">
                          <a:avLst/>
                        </a:prstGeom>
                        <a:solidFill>
                          <a:srgbClr val="FFFFFF"/>
                        </a:solidFill>
                        <a:ln w="9525">
                          <a:solidFill>
                            <a:srgbClr val="000000"/>
                          </a:solidFill>
                          <a:miter lim="800000"/>
                          <a:headEnd/>
                          <a:tailEnd/>
                        </a:ln>
                      </wps:spPr>
                      <wps:txbx>
                        <w:txbxContent>
                          <w:p w14:paraId="701C5F38" w14:textId="67E9560F" w:rsidR="00B60C0B" w:rsidRDefault="00B60C0B" w:rsidP="00B60C0B">
                            <w:pPr>
                              <w:rPr>
                                <w:rFonts w:ascii="Arial" w:hAnsi="Arial" w:cs="Arial"/>
                                <w:b/>
                                <w:bCs/>
                                <w:szCs w:val="24"/>
                              </w:rPr>
                            </w:pPr>
                            <w:r w:rsidRPr="005574DC">
                              <w:rPr>
                                <w:rFonts w:ascii="Arial" w:hAnsi="Arial" w:cs="Arial"/>
                                <w:b/>
                                <w:bCs/>
                                <w:szCs w:val="24"/>
                              </w:rPr>
                              <w:t>About the Massachusetts Commission on Falls Prevention</w:t>
                            </w:r>
                          </w:p>
                          <w:p w14:paraId="7D976393" w14:textId="77777777" w:rsidR="005574DC" w:rsidRPr="005574DC" w:rsidRDefault="005574DC" w:rsidP="00B60C0B">
                            <w:pPr>
                              <w:rPr>
                                <w:rFonts w:ascii="Arial" w:hAnsi="Arial" w:cs="Arial"/>
                                <w:b/>
                                <w:bCs/>
                                <w:szCs w:val="24"/>
                              </w:rPr>
                            </w:pPr>
                          </w:p>
                          <w:p w14:paraId="0B7DD471" w14:textId="77777777" w:rsidR="00B60C0B" w:rsidRPr="005574DC" w:rsidRDefault="00B60C0B" w:rsidP="00B60C0B">
                            <w:pPr>
                              <w:rPr>
                                <w:rFonts w:ascii="Arial" w:hAnsi="Arial" w:cs="Arial"/>
                                <w:szCs w:val="24"/>
                              </w:rPr>
                            </w:pPr>
                            <w:r w:rsidRPr="005574DC">
                              <w:rPr>
                                <w:rFonts w:ascii="Arial" w:hAnsi="Arial" w:cs="Arial"/>
                                <w:szCs w:val="24"/>
                              </w:rPr>
                              <w:t xml:space="preserve">Formed in 2011, the Massachusetts Commission on Falls Prevention is a </w:t>
                            </w:r>
                            <w:hyperlink r:id="rId20" w:history="1">
                              <w:r w:rsidRPr="005574DC">
                                <w:rPr>
                                  <w:rStyle w:val="Hyperlink"/>
                                  <w:rFonts w:ascii="Arial" w:hAnsi="Arial" w:cs="Arial"/>
                                  <w:szCs w:val="24"/>
                                </w:rPr>
                                <w:t>statutory body</w:t>
                              </w:r>
                            </w:hyperlink>
                            <w:r w:rsidRPr="005574DC">
                              <w:rPr>
                                <w:rFonts w:ascii="Arial" w:hAnsi="Arial" w:cs="Arial"/>
                                <w:szCs w:val="24"/>
                              </w:rPr>
                              <w:t xml:space="preserve"> charged with investigating the serious public health issue of older adult falls in Massachusetts and recommending best strategies to reduce falls, fall-related injuries, and the health care costs associated with them. The Commission meets regularly to study issues related to its charge, develop recommendations, and draft reports, which are issued every two years.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528ADB" id="Text Box 2" o:spid="_x0000_s1029" type="#_x0000_t202" style="position:absolute;margin-left:293.25pt;margin-top:44.65pt;width:172.15pt;height:311.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">
                <v:textbox>
                  <w:txbxContent>
                    <w:p w14:paraId="701C5F38" w14:textId="67E9560F" w:rsidR="00B60C0B" w:rsidRDefault="00B60C0B" w:rsidP="00B60C0B">
                      <w:pPr>
                        <w:rPr>
                          <w:rFonts w:ascii="Arial" w:hAnsi="Arial" w:cs="Arial"/>
                          <w:b/>
                          <w:bCs/>
                          <w:szCs w:val="24"/>
                        </w:rPr>
                      </w:pPr>
                      <w:r w:rsidRPr="005574DC">
                        <w:rPr>
                          <w:rFonts w:ascii="Arial" w:hAnsi="Arial" w:cs="Arial"/>
                          <w:b/>
                          <w:bCs/>
                          <w:szCs w:val="24"/>
                        </w:rPr>
                        <w:t>About the Massachusetts Commission on Falls Prevention</w:t>
                      </w:r>
                    </w:p>
                    <w:p w14:paraId="7D976393" w14:textId="77777777" w:rsidR="005574DC" w:rsidRPr="005574DC" w:rsidRDefault="005574DC" w:rsidP="00B60C0B">
                      <w:pPr>
                        <w:rPr>
                          <w:rFonts w:ascii="Arial" w:hAnsi="Arial" w:cs="Arial"/>
                          <w:b/>
                          <w:bCs/>
                          <w:szCs w:val="24"/>
                        </w:rPr>
                      </w:pPr>
                    </w:p>
                    <w:p w14:paraId="0B7DD471" w14:textId="77777777" w:rsidR="00B60C0B" w:rsidRPr="005574DC" w:rsidRDefault="00B60C0B" w:rsidP="00B60C0B">
                      <w:pPr>
                        <w:rPr>
                          <w:rFonts w:ascii="Arial" w:hAnsi="Arial" w:cs="Arial"/>
                          <w:szCs w:val="24"/>
                        </w:rPr>
                      </w:pPr>
                      <w:r w:rsidRPr="005574DC">
                        <w:rPr>
                          <w:rFonts w:ascii="Arial" w:hAnsi="Arial" w:cs="Arial"/>
                          <w:szCs w:val="24"/>
                        </w:rPr>
                        <w:t xml:space="preserve">Formed in 2011, the Massachusetts Commission on Falls Prevention is a </w:t>
                      </w:r>
                      <w:hyperlink r:id="rId21" w:history="1">
                        <w:r w:rsidRPr="005574DC">
                          <w:rPr>
                            <w:rStyle w:val="Hyperlink"/>
                            <w:rFonts w:ascii="Arial" w:hAnsi="Arial" w:cs="Arial"/>
                            <w:szCs w:val="24"/>
                          </w:rPr>
                          <w:t>statutory body</w:t>
                        </w:r>
                      </w:hyperlink>
                      <w:r w:rsidRPr="005574DC">
                        <w:rPr>
                          <w:rFonts w:ascii="Arial" w:hAnsi="Arial" w:cs="Arial"/>
                          <w:szCs w:val="24"/>
                        </w:rPr>
                        <w:t xml:space="preserve"> charged with investigating the serious public health issue of older adult falls in Massachusetts and recommending best strategies to reduce falls, fall-related injuries, and the health care costs associated with them. The Commission meets regularly to study issues related to its charge, develop recommendations, and draft reports, which are issued every two years. </w:t>
                      </w:r>
                    </w:p>
                  </w:txbxContent>
                </v:textbox>
                <w10:wrap type="square" anchorx="margin"/>
              </v:shape>
            </w:pict>
          </mc:Fallback>
        </mc:AlternateContent>
      </w:r>
      <w:r w:rsidRPr="00E226D7">
        <w:rPr>
          <w:rFonts w:ascii="Arial" w:hAnsi="Arial" w:cs="Arial"/>
          <w:szCs w:val="24"/>
        </w:rPr>
        <w:t xml:space="preserve">Despite the imposing threat they present, falls and fall-related injuries are largely preventable and are not an inevitable part of aging. A broad range of interventions can protect against a wide array of risk factors linked to falls. For example: </w:t>
      </w:r>
    </w:p>
    <w:p w14:paraId="44B7A985" w14:textId="77777777" w:rsidR="00CE3E1D" w:rsidRDefault="00CE3E1D" w:rsidP="00B60C0B">
      <w:pPr>
        <w:rPr>
          <w:rFonts w:ascii="Arial" w:hAnsi="Arial" w:cs="Arial"/>
          <w:szCs w:val="24"/>
        </w:rPr>
      </w:pPr>
    </w:p>
    <w:p w14:paraId="4D25CE35" w14:textId="77777777" w:rsidR="00B60C0B" w:rsidRPr="00E226D7" w:rsidRDefault="00B60C0B" w:rsidP="00BC53CF">
      <w:pPr>
        <w:pStyle w:val="ListParagraph"/>
        <w:numPr>
          <w:ilvl w:val="0"/>
          <w:numId w:val="17"/>
        </w:numPr>
      </w:pPr>
      <w:r w:rsidRPr="00E226D7">
        <w:t>Evidence-based exercise classes can help older adults build and maintain strength.</w:t>
      </w:r>
    </w:p>
    <w:p w14:paraId="3E64AF1B" w14:textId="77777777" w:rsidR="00B60C0B" w:rsidRPr="00E226D7" w:rsidRDefault="00B60C0B" w:rsidP="00BC53CF">
      <w:pPr>
        <w:pStyle w:val="ListParagraph"/>
        <w:numPr>
          <w:ilvl w:val="0"/>
          <w:numId w:val="17"/>
        </w:numPr>
      </w:pPr>
      <w:r w:rsidRPr="00E226D7">
        <w:t>Proper vision care can help people see their environment and better maintain their balance.</w:t>
      </w:r>
    </w:p>
    <w:p w14:paraId="379E6F35" w14:textId="77777777" w:rsidR="00B60C0B" w:rsidRPr="00E226D7" w:rsidRDefault="00B60C0B" w:rsidP="00BC53CF">
      <w:pPr>
        <w:pStyle w:val="ListParagraph"/>
        <w:numPr>
          <w:ilvl w:val="0"/>
          <w:numId w:val="17"/>
        </w:numPr>
      </w:pPr>
      <w:r w:rsidRPr="00E226D7">
        <w:t>Medication management can help adults safely use or avoid drugs that may cause dizziness, blood pressure issues, and cognition issues that can increase fall risk.</w:t>
      </w:r>
    </w:p>
    <w:p w14:paraId="541D1A45" w14:textId="77777777" w:rsidR="00B60C0B" w:rsidRPr="00E226D7" w:rsidRDefault="00B60C0B" w:rsidP="00BC53CF">
      <w:pPr>
        <w:pStyle w:val="ListParagraph"/>
        <w:numPr>
          <w:ilvl w:val="0"/>
          <w:numId w:val="17"/>
        </w:numPr>
      </w:pPr>
      <w:r w:rsidRPr="00E226D7">
        <w:t>Home modifications, like installing grab bars in bathrooms or removing tripping hazards, can making it safer for people to move around where they live.</w:t>
      </w:r>
    </w:p>
    <w:p w14:paraId="7B85B6FC" w14:textId="54EF2942" w:rsidR="00B60C0B" w:rsidRDefault="00B60C0B" w:rsidP="00BC53CF">
      <w:pPr>
        <w:pStyle w:val="ListParagraph"/>
        <w:numPr>
          <w:ilvl w:val="0"/>
          <w:numId w:val="17"/>
        </w:numPr>
      </w:pPr>
      <w:r w:rsidRPr="00E226D7">
        <w:t>Age-friendly local and regional planning and development can make it easier and safer for people to get around in their communities.</w:t>
      </w:r>
      <w:r w:rsidRPr="00E226D7">
        <w:fldChar w:fldCharType="begin"/>
      </w:r>
      <w:r w:rsidRPr="00E226D7">
        <w:instrText xml:space="preserve"> ADDIN ZOTERO_ITEM CSL_CITATION {"citationID":"NNx9IF60","properties":{"formattedCitation":"\\super 5\\nosupersub{}","plainCitation":"5","noteIndex":0},"citationItems":[{"id":412,"uris":["http://zotero.org/groups/2444171/items/P5ZJU23V"],"uri":["http://zotero.org/groups/2444171/items/P5ZJU23V"],"itemData":{"id":412,"type":"report","event-place":"Atlanta, Georgia","language":"en","number":"3rd ed.","page":"216","publisher":"Centers for Disease Control and Prevention, National Center for Injury Prevention and Control","publisher-place":"Atlanta, Georgia","source":"Zotero","title":"A CDC Compendium of Effective Fall Interventions: What Works for Community-Dwelling Older Adults","author":[{"family":"Stevens","given":"Judy A."},{"family":"Burns","given":"Elizabeth"}],"issued":{"date-parts":[["2015"]]}}}],"schema":"https://github.com/citation-style-language/schema/raw/master/csl-citation.json"} </w:instrText>
      </w:r>
      <w:r w:rsidRPr="00E226D7">
        <w:fldChar w:fldCharType="separate"/>
      </w:r>
      <w:r w:rsidRPr="00E226D7">
        <w:rPr>
          <w:vertAlign w:val="superscript"/>
        </w:rPr>
        <w:t>5</w:t>
      </w:r>
      <w:r w:rsidRPr="00E226D7">
        <w:fldChar w:fldCharType="end"/>
      </w:r>
    </w:p>
    <w:p w14:paraId="760EAFED" w14:textId="77777777" w:rsidR="00CE3E1D" w:rsidRDefault="00CE3E1D" w:rsidP="00CE3E1D"/>
    <w:p w14:paraId="53C9CD4B" w14:textId="77777777" w:rsidR="00B60C0B" w:rsidRPr="00E226D7" w:rsidRDefault="00B60C0B" w:rsidP="00B60C0B">
      <w:pPr>
        <w:rPr>
          <w:rFonts w:ascii="Arial" w:hAnsi="Arial" w:cs="Arial"/>
          <w:szCs w:val="24"/>
        </w:rPr>
      </w:pPr>
      <w:r w:rsidRPr="00E226D7">
        <w:rPr>
          <w:rFonts w:ascii="Arial" w:hAnsi="Arial" w:cs="Arial"/>
          <w:szCs w:val="24"/>
        </w:rPr>
        <w:t xml:space="preserve">The risks of falls and how to prevent them is well-worn territory in the landscape of public health literature. Yet fully confronting the issue of older adult falls in Massachusetts requires overcoming significant barriers. </w:t>
      </w:r>
    </w:p>
    <w:p w14:paraId="25EA554B" w14:textId="77777777" w:rsidR="00ED68A5" w:rsidRDefault="00ED68A5" w:rsidP="00B60C0B">
      <w:pPr>
        <w:rPr>
          <w:rFonts w:ascii="Arial" w:hAnsi="Arial" w:cs="Arial"/>
          <w:szCs w:val="24"/>
        </w:rPr>
      </w:pPr>
    </w:p>
    <w:p w14:paraId="7FD597E0" w14:textId="44DE7990" w:rsidR="00B60C0B" w:rsidRDefault="00B60C0B" w:rsidP="00B60C0B">
      <w:pPr>
        <w:rPr>
          <w:rFonts w:ascii="Arial" w:hAnsi="Arial" w:cs="Arial"/>
          <w:szCs w:val="24"/>
        </w:rPr>
      </w:pPr>
      <w:r w:rsidRPr="00E226D7">
        <w:rPr>
          <w:rFonts w:ascii="Arial" w:hAnsi="Arial" w:cs="Arial"/>
          <w:szCs w:val="24"/>
        </w:rPr>
        <w:t xml:space="preserve">The state’s fragmented local public health system has left local boards of health (LBOHs) overburdened and underequipped to support, coordinate, or gather data about falls prevention activities. Additionally, the Commonwealth lacks a statewide mechanism to provide older adults with in-home modifications that can reduce fall risks and save lives. Furthermore, some of the methods by which data on falls are collected make it difficult to know which environments—at home, for example, or out in the community—are most closely linked to non-fatal falls. Using the Healthy People 2030 Framework for </w:t>
      </w:r>
      <w:r w:rsidRPr="00E226D7">
        <w:rPr>
          <w:rFonts w:ascii="Arial" w:hAnsi="Arial" w:cs="Arial"/>
          <w:szCs w:val="24"/>
        </w:rPr>
        <w:lastRenderedPageBreak/>
        <w:t>Local Public Health Infrastructure, the Falls Commission explored opportunities for strengthening local prevention activities and improving data collection to better support and protect Massachusetts’ growing older adult population.</w:t>
      </w:r>
      <w:r w:rsidRPr="00E226D7">
        <w:rPr>
          <w:rFonts w:ascii="Arial" w:hAnsi="Arial" w:cs="Arial"/>
          <w:szCs w:val="24"/>
        </w:rPr>
        <w:fldChar w:fldCharType="begin"/>
      </w:r>
      <w:r w:rsidRPr="00E226D7">
        <w:rPr>
          <w:rFonts w:ascii="Arial" w:hAnsi="Arial" w:cs="Arial"/>
          <w:szCs w:val="24"/>
        </w:rPr>
        <w:instrText xml:space="preserve"> ADDIN ZOTERO_ITEM CSL_CITATION {"citationID":"IReL9Ltc","properties":{"formattedCitation":"\\super 6\\nosupersub{}","plainCitation":"6","noteIndex":0},"citationItems":[{"id":322,"uris":["http://zotero.org/groups/2444171/items/FLLXEKQ4"],"uri":["http://zotero.org/groups/2444171/items/FLLXEKQ4"],"itemData":{"id":322,"type":"webpage","container-title":"Healthy People 2030","title":"Public Health Infrastructure","URL":"https://health.gov/healthypeople/objectives-and-data/browse-objectives/public-health-infrastructure","accessed":{"date-parts":[["2022",1,25]]}}}],"schema":"https://github.com/citation-style-language/schema/raw/master/csl-citation.json"} </w:instrText>
      </w:r>
      <w:r w:rsidRPr="00E226D7">
        <w:rPr>
          <w:rFonts w:ascii="Arial" w:hAnsi="Arial" w:cs="Arial"/>
          <w:szCs w:val="24"/>
        </w:rPr>
        <w:fldChar w:fldCharType="separate"/>
      </w:r>
      <w:r w:rsidRPr="00E226D7">
        <w:rPr>
          <w:rFonts w:ascii="Arial" w:hAnsi="Arial" w:cs="Arial"/>
          <w:szCs w:val="24"/>
          <w:vertAlign w:val="superscript"/>
        </w:rPr>
        <w:t>6</w:t>
      </w:r>
      <w:r w:rsidRPr="00E226D7">
        <w:rPr>
          <w:rFonts w:ascii="Arial" w:hAnsi="Arial" w:cs="Arial"/>
          <w:szCs w:val="24"/>
        </w:rPr>
        <w:fldChar w:fldCharType="end"/>
      </w:r>
    </w:p>
    <w:p w14:paraId="1B5657CE" w14:textId="6D78E823" w:rsidR="004617B3" w:rsidRDefault="004617B3" w:rsidP="00B60C0B">
      <w:pPr>
        <w:rPr>
          <w:rFonts w:ascii="Arial" w:hAnsi="Arial" w:cs="Arial"/>
          <w:szCs w:val="24"/>
        </w:rPr>
      </w:pPr>
    </w:p>
    <w:p w14:paraId="526E698B" w14:textId="77777777" w:rsidR="005574DC" w:rsidRPr="00E226D7" w:rsidRDefault="005574DC" w:rsidP="00B60C0B">
      <w:pPr>
        <w:rPr>
          <w:rFonts w:ascii="Arial" w:hAnsi="Arial" w:cs="Arial"/>
          <w:szCs w:val="24"/>
        </w:rPr>
      </w:pPr>
    </w:p>
    <w:p w14:paraId="40306037" w14:textId="77777777" w:rsidR="00B60C0B" w:rsidRPr="00E226D7" w:rsidRDefault="00B60C0B" w:rsidP="004617B3">
      <w:pPr>
        <w:pStyle w:val="Heading1"/>
      </w:pPr>
      <w:bookmarkStart w:id="14" w:name="_Toc134178548"/>
      <w:bookmarkStart w:id="15" w:name="_Toc134178764"/>
      <w:bookmarkStart w:id="16" w:name="_Toc134178888"/>
      <w:r w:rsidRPr="00E226D7">
        <w:t>The Devastating Impact of Older Adult Falls</w:t>
      </w:r>
      <w:bookmarkEnd w:id="14"/>
      <w:bookmarkEnd w:id="15"/>
      <w:bookmarkEnd w:id="16"/>
    </w:p>
    <w:p w14:paraId="5311D082" w14:textId="77777777" w:rsidR="005574DC" w:rsidRDefault="005574DC" w:rsidP="00B60C0B">
      <w:pPr>
        <w:rPr>
          <w:rFonts w:ascii="Arial" w:hAnsi="Arial" w:cs="Arial"/>
          <w:szCs w:val="24"/>
        </w:rPr>
      </w:pPr>
    </w:p>
    <w:p w14:paraId="1AE7F0EE" w14:textId="3D8FDCAE" w:rsidR="00B60C0B" w:rsidRPr="00E226D7" w:rsidRDefault="00B60C0B" w:rsidP="00B60C0B">
      <w:pPr>
        <w:rPr>
          <w:rFonts w:ascii="Arial" w:hAnsi="Arial" w:cs="Arial"/>
          <w:szCs w:val="24"/>
        </w:rPr>
      </w:pPr>
      <w:r w:rsidRPr="00E226D7">
        <w:rPr>
          <w:rFonts w:ascii="Arial" w:hAnsi="Arial" w:cs="Arial"/>
          <w:noProof/>
          <w:szCs w:val="24"/>
        </w:rPr>
        <mc:AlternateContent>
          <mc:Choice Requires="wpg">
            <w:drawing>
              <wp:anchor distT="0" distB="0" distL="114300" distR="114300" simplePos="0" relativeHeight="251672576" behindDoc="0" locked="0" layoutInCell="1" allowOverlap="1" wp14:anchorId="22FE8EC3" wp14:editId="406AAF39">
                <wp:simplePos x="0" y="0"/>
                <wp:positionH relativeFrom="column">
                  <wp:posOffset>2798445</wp:posOffset>
                </wp:positionH>
                <wp:positionV relativeFrom="paragraph">
                  <wp:posOffset>686435</wp:posOffset>
                </wp:positionV>
                <wp:extent cx="3357245" cy="2742565"/>
                <wp:effectExtent l="0" t="0" r="0" b="635"/>
                <wp:wrapSquare wrapText="bothSides"/>
                <wp:docPr id="2" name="Group 2"/>
                <wp:cNvGraphicFramePr/>
                <a:graphic xmlns:a="http://schemas.openxmlformats.org/drawingml/2006/main">
                  <a:graphicData uri="http://schemas.microsoft.com/office/word/2010/wordprocessingGroup">
                    <wpg:wgp>
                      <wpg:cNvGrpSpPr/>
                      <wpg:grpSpPr>
                        <a:xfrm>
                          <a:off x="0" y="0"/>
                          <a:ext cx="3357245" cy="2742565"/>
                          <a:chOff x="0" y="-1"/>
                          <a:chExt cx="3357245" cy="2742624"/>
                        </a:xfrm>
                      </wpg:grpSpPr>
                      <wpg:graphicFrame>
                        <wpg:cNvPr id="3" name="Chart 3"/>
                        <wpg:cNvFrPr/>
                        <wpg:xfrm>
                          <a:off x="0" y="404553"/>
                          <a:ext cx="3221990" cy="2338070"/>
                        </wpg:xfrm>
                        <a:graphic>
                          <a:graphicData uri="http://schemas.openxmlformats.org/drawingml/2006/chart">
                            <c:chart xmlns:c="http://schemas.openxmlformats.org/drawingml/2006/chart" xmlns:r="http://schemas.openxmlformats.org/officeDocument/2006/relationships" r:id="rId22"/>
                          </a:graphicData>
                        </a:graphic>
                      </wpg:graphicFrame>
                      <wps:wsp>
                        <wps:cNvPr id="4" name="Text Box 4"/>
                        <wps:cNvSpPr txBox="1"/>
                        <wps:spPr>
                          <a:xfrm>
                            <a:off x="0" y="-1"/>
                            <a:ext cx="3357245" cy="368828"/>
                          </a:xfrm>
                          <a:prstGeom prst="rect">
                            <a:avLst/>
                          </a:prstGeom>
                          <a:solidFill>
                            <a:prstClr val="white"/>
                          </a:solidFill>
                          <a:ln>
                            <a:noFill/>
                          </a:ln>
                        </wps:spPr>
                        <wps:txbx>
                          <w:txbxContent>
                            <w:p w14:paraId="74F23BAC" w14:textId="77777777" w:rsidR="00B60C0B" w:rsidRPr="00906771" w:rsidRDefault="00B60C0B" w:rsidP="00B60C0B">
                              <w:pPr>
                                <w:pStyle w:val="Caption"/>
                                <w:rPr>
                                  <w:b/>
                                  <w:bCs/>
                                  <w:noProof/>
                                  <w:color w:val="000000" w:themeColor="text1"/>
                                  <w:sz w:val="20"/>
                                  <w:szCs w:val="20"/>
                                </w:rPr>
                              </w:pPr>
                              <w:r w:rsidRPr="00906771">
                                <w:rPr>
                                  <w:b/>
                                  <w:bCs/>
                                  <w:color w:val="000000" w:themeColor="text1"/>
                                  <w:sz w:val="20"/>
                                  <w:szCs w:val="20"/>
                                </w:rPr>
                                <w:t xml:space="preserve">Figure </w:t>
                              </w:r>
                              <w:r w:rsidRPr="00906771">
                                <w:rPr>
                                  <w:b/>
                                  <w:bCs/>
                                  <w:color w:val="000000" w:themeColor="text1"/>
                                  <w:sz w:val="20"/>
                                  <w:szCs w:val="20"/>
                                </w:rPr>
                                <w:fldChar w:fldCharType="begin"/>
                              </w:r>
                              <w:r w:rsidRPr="00906771">
                                <w:rPr>
                                  <w:b/>
                                  <w:bCs/>
                                  <w:color w:val="000000" w:themeColor="text1"/>
                                  <w:sz w:val="20"/>
                                  <w:szCs w:val="20"/>
                                </w:rPr>
                                <w:instrText xml:space="preserve"> SEQ Figure \* ARABIC </w:instrText>
                              </w:r>
                              <w:r w:rsidRPr="00906771">
                                <w:rPr>
                                  <w:b/>
                                  <w:bCs/>
                                  <w:color w:val="000000" w:themeColor="text1"/>
                                  <w:sz w:val="20"/>
                                  <w:szCs w:val="20"/>
                                </w:rPr>
                                <w:fldChar w:fldCharType="separate"/>
                              </w:r>
                              <w:r w:rsidRPr="00906771">
                                <w:rPr>
                                  <w:b/>
                                  <w:bCs/>
                                  <w:noProof/>
                                  <w:color w:val="000000" w:themeColor="text1"/>
                                  <w:sz w:val="20"/>
                                  <w:szCs w:val="20"/>
                                </w:rPr>
                                <w:t>1</w:t>
                              </w:r>
                              <w:r w:rsidRPr="00906771">
                                <w:rPr>
                                  <w:b/>
                                  <w:bCs/>
                                  <w:color w:val="000000" w:themeColor="text1"/>
                                  <w:sz w:val="20"/>
                                  <w:szCs w:val="20"/>
                                </w:rPr>
                                <w:fldChar w:fldCharType="end"/>
                              </w:r>
                              <w:r w:rsidRPr="00906771">
                                <w:rPr>
                                  <w:b/>
                                  <w:bCs/>
                                  <w:color w:val="000000" w:themeColor="text1"/>
                                  <w:sz w:val="20"/>
                                  <w:szCs w:val="20"/>
                                </w:rPr>
                                <w:t>: Rate of Fall Deaths among Massachusetts Residents by Age Group, Ages 65 and Older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FE8EC3" id="Group 2" o:spid="_x0000_s1030" style="position:absolute;margin-left:220.35pt;margin-top:54.05pt;width:264.35pt;height:215.95pt;z-index:251672576;mso-width-relative:margin;mso-height-relative:margin" coordorigin="" coordsize="33572,27426"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3" o:spid="_x0000_s1031" type="#_x0000_t75" style="position:absolute;left:-60;top:3962;width:32368;height:235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">
                  <v:imagedata r:id="rId23" o:title=""/>
                  <o:lock v:ext="edit" aspectratio="f"/>
                </v:shape>
                <v:shape id="Text Box 4" o:spid="_x0000_s1032" type="#_x0000_t202" style="position:absolute;width:33572;height:3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wgAAANoAAAAPAAAAZHJzL2Rvd25yZXYueG1sRI9Pi8Iw&#10;FMTvC36H8AQvi6aK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A+khShwgAAANoAAAAPAAAA&#10;AAAAAAAAAAAAAAcCAABkcnMvZG93bnJldi54bWxQSwUGAAAAAAMAAwC3AAAA9gIAAAAA&#10;" stroked="f">
                  <v:textbox inset="0,0,0,0">
                    <w:txbxContent>
                      <w:p w14:paraId="74F23BAC" w14:textId="77777777" w:rsidR="00B60C0B" w:rsidRPr="00906771" w:rsidRDefault="00B60C0B" w:rsidP="00B60C0B">
                        <w:pPr>
                          <w:pStyle w:val="Caption"/>
                          <w:rPr>
                            <w:b/>
                            <w:bCs/>
                            <w:noProof/>
                            <w:color w:val="000000" w:themeColor="text1"/>
                            <w:sz w:val="20"/>
                            <w:szCs w:val="20"/>
                          </w:rPr>
                        </w:pPr>
                        <w:r w:rsidRPr="00906771">
                          <w:rPr>
                            <w:b/>
                            <w:bCs/>
                            <w:color w:val="000000" w:themeColor="text1"/>
                            <w:sz w:val="20"/>
                            <w:szCs w:val="20"/>
                          </w:rPr>
                          <w:t xml:space="preserve">Figure </w:t>
                        </w:r>
                        <w:r w:rsidRPr="00906771">
                          <w:rPr>
                            <w:b/>
                            <w:bCs/>
                            <w:color w:val="000000" w:themeColor="text1"/>
                            <w:sz w:val="20"/>
                            <w:szCs w:val="20"/>
                          </w:rPr>
                          <w:fldChar w:fldCharType="begin"/>
                        </w:r>
                        <w:r w:rsidRPr="00906771">
                          <w:rPr>
                            <w:b/>
                            <w:bCs/>
                            <w:color w:val="000000" w:themeColor="text1"/>
                            <w:sz w:val="20"/>
                            <w:szCs w:val="20"/>
                          </w:rPr>
                          <w:instrText xml:space="preserve"> SEQ Figure \* ARABIC </w:instrText>
                        </w:r>
                        <w:r w:rsidRPr="00906771">
                          <w:rPr>
                            <w:b/>
                            <w:bCs/>
                            <w:color w:val="000000" w:themeColor="text1"/>
                            <w:sz w:val="20"/>
                            <w:szCs w:val="20"/>
                          </w:rPr>
                          <w:fldChar w:fldCharType="separate"/>
                        </w:r>
                        <w:r w:rsidRPr="00906771">
                          <w:rPr>
                            <w:b/>
                            <w:bCs/>
                            <w:noProof/>
                            <w:color w:val="000000" w:themeColor="text1"/>
                            <w:sz w:val="20"/>
                            <w:szCs w:val="20"/>
                          </w:rPr>
                          <w:t>1</w:t>
                        </w:r>
                        <w:r w:rsidRPr="00906771">
                          <w:rPr>
                            <w:b/>
                            <w:bCs/>
                            <w:color w:val="000000" w:themeColor="text1"/>
                            <w:sz w:val="20"/>
                            <w:szCs w:val="20"/>
                          </w:rPr>
                          <w:fldChar w:fldCharType="end"/>
                        </w:r>
                        <w:r w:rsidRPr="00906771">
                          <w:rPr>
                            <w:b/>
                            <w:bCs/>
                            <w:color w:val="000000" w:themeColor="text1"/>
                            <w:sz w:val="20"/>
                            <w:szCs w:val="20"/>
                          </w:rPr>
                          <w:t>: Rate of Fall Deaths among Massachusetts Residents by Age Group, Ages 65 and Older</w:t>
                        </w:r>
                      </w:p>
                    </w:txbxContent>
                  </v:textbox>
                </v:shape>
                <w10:wrap type="square"/>
              </v:group>
            </w:pict>
          </mc:Fallback>
        </mc:AlternateContent>
      </w:r>
      <w:r w:rsidRPr="00E226D7">
        <w:rPr>
          <w:rFonts w:ascii="Arial" w:hAnsi="Arial" w:cs="Arial"/>
          <w:szCs w:val="24"/>
        </w:rPr>
        <w:t>Unintentional falls among older adults are a leading cause of fatal and nonfatal injury in the U.S. and Massachusetts (MA).</w:t>
      </w:r>
      <w:r w:rsidRPr="00E226D7">
        <w:rPr>
          <w:rFonts w:ascii="Arial" w:hAnsi="Arial" w:cs="Arial"/>
          <w:szCs w:val="24"/>
        </w:rPr>
        <w:fldChar w:fldCharType="begin"/>
      </w:r>
      <w:r w:rsidRPr="00E226D7">
        <w:rPr>
          <w:rFonts w:ascii="Arial" w:hAnsi="Arial" w:cs="Arial"/>
          <w:szCs w:val="24"/>
        </w:rPr>
        <w:instrText xml:space="preserve"> ADDIN ZOTERO_ITEM CSL_CITATION {"citationID":"OR8nvBO1","properties":{"formattedCitation":"\\super 7\\nosupersub{}","plainCitation":"7","noteIndex":0},"citationItems":[{"id":24,"uris":["http://zotero.org/groups/2444171/items/WBXLRFI3"],"uri":["http://zotero.org/groups/2444171/items/WBXLRFI3"],"itemData":{"id":24,"type":"webpage","abstract":"WISQARS (Web-based Injury Statistics Query and Reporting System) is an interactive database system that provides customized reports of injury-related data.","language":"en-us","note":"source: www.cdc.gov","title":"Web-basd Injury Statistics Query and Reporting System (WISQARS)","URL":"https://www.cdc.gov/injury/wisqars/index.html","author":[{"literal":"Centers for Disease Control and Prevention, National Center for Injury Prevention and Control"}],"accessed":{"date-parts":[["2020",7,2]]},"issued":{"date-parts":[["2022",5,18]]}}}],"schema":"https://github.com/citation-style-language/schema/raw/master/csl-citation.json"} </w:instrText>
      </w:r>
      <w:r w:rsidRPr="00E226D7">
        <w:rPr>
          <w:rFonts w:ascii="Arial" w:hAnsi="Arial" w:cs="Arial"/>
          <w:szCs w:val="24"/>
        </w:rPr>
        <w:fldChar w:fldCharType="separate"/>
      </w:r>
      <w:r w:rsidRPr="00E226D7">
        <w:rPr>
          <w:rFonts w:ascii="Arial" w:hAnsi="Arial" w:cs="Arial"/>
          <w:szCs w:val="24"/>
          <w:vertAlign w:val="superscript"/>
        </w:rPr>
        <w:t>7</w:t>
      </w:r>
      <w:r w:rsidRPr="00E226D7">
        <w:rPr>
          <w:rFonts w:ascii="Arial" w:hAnsi="Arial" w:cs="Arial"/>
          <w:szCs w:val="24"/>
        </w:rPr>
        <w:fldChar w:fldCharType="end"/>
      </w:r>
      <w:r w:rsidRPr="00E226D7">
        <w:rPr>
          <w:rFonts w:ascii="Arial" w:hAnsi="Arial" w:cs="Arial"/>
          <w:szCs w:val="24"/>
        </w:rPr>
        <w:t xml:space="preserve"> In Massachusetts in particular, the rate of these injuries is skyrocketing. The rate of fall deaths for older adults in MA increased 61%, from 48.1 per 100,000 in 2010 to 77.7 per 100,000 in 2020.</w:t>
      </w:r>
      <w:r w:rsidRPr="00E226D7">
        <w:rPr>
          <w:rFonts w:ascii="Arial" w:hAnsi="Arial" w:cs="Arial"/>
          <w:szCs w:val="24"/>
        </w:rPr>
        <w:fldChar w:fldCharType="begin"/>
      </w:r>
      <w:r w:rsidRPr="00E226D7">
        <w:rPr>
          <w:rFonts w:ascii="Arial" w:hAnsi="Arial" w:cs="Arial"/>
          <w:szCs w:val="24"/>
        </w:rPr>
        <w:instrText xml:space="preserve"> ADDIN ZOTERO_ITEM CSL_CITATION {"citationID":"PUz5Tu6E","properties":{"formattedCitation":"\\super 1\\nosupersub{}","plainCitation":"1","noteIndex":0},"citationItems":[{"id":410,"uris":["http://zotero.org/groups/2444171/items/NH4UZM4I"],"uri":["http://zotero.org/groups/2444171/items/NH4UZM4I"],"itemData":{"id":410,"type":"article","title":"2010-2020 Death Files","author":[{"literal":"Registry of Vital Records and Statistics, Massachusetts Department of Public Health"}]}}],"schema":"https://github.com/citation-style-language/schema/raw/master/csl-citation.json"} </w:instrText>
      </w:r>
      <w:r w:rsidRPr="00E226D7">
        <w:rPr>
          <w:rFonts w:ascii="Arial" w:hAnsi="Arial" w:cs="Arial"/>
          <w:szCs w:val="24"/>
        </w:rPr>
        <w:fldChar w:fldCharType="separate"/>
      </w:r>
      <w:r w:rsidRPr="00E226D7">
        <w:rPr>
          <w:rFonts w:ascii="Arial" w:hAnsi="Arial" w:cs="Arial"/>
          <w:szCs w:val="24"/>
          <w:vertAlign w:val="superscript"/>
        </w:rPr>
        <w:t>1</w:t>
      </w:r>
      <w:r w:rsidRPr="00E226D7">
        <w:rPr>
          <w:rFonts w:ascii="Arial" w:hAnsi="Arial" w:cs="Arial"/>
          <w:szCs w:val="24"/>
        </w:rPr>
        <w:fldChar w:fldCharType="end"/>
      </w:r>
      <w:r w:rsidRPr="00E226D7">
        <w:rPr>
          <w:rFonts w:ascii="Arial" w:hAnsi="Arial" w:cs="Arial"/>
          <w:szCs w:val="24"/>
        </w:rPr>
        <w:t xml:space="preserve"> </w:t>
      </w:r>
    </w:p>
    <w:p w14:paraId="70D65BEB" w14:textId="77777777" w:rsidR="00D50072" w:rsidRDefault="00D50072" w:rsidP="00B60C0B">
      <w:pPr>
        <w:rPr>
          <w:rFonts w:ascii="Arial" w:hAnsi="Arial" w:cs="Arial"/>
          <w:szCs w:val="24"/>
        </w:rPr>
      </w:pPr>
    </w:p>
    <w:p w14:paraId="4F1290DC" w14:textId="32B1FA26" w:rsidR="00B60C0B" w:rsidRPr="00E226D7" w:rsidRDefault="00B60C0B" w:rsidP="00B60C0B">
      <w:pPr>
        <w:rPr>
          <w:rFonts w:ascii="Arial" w:hAnsi="Arial" w:cs="Arial"/>
          <w:szCs w:val="24"/>
        </w:rPr>
      </w:pPr>
      <w:r w:rsidRPr="00E226D7">
        <w:rPr>
          <w:rFonts w:ascii="Arial" w:hAnsi="Arial" w:cs="Arial"/>
          <w:szCs w:val="24"/>
        </w:rPr>
        <w:t>Fall death rates in MA increased most dramatically among those ages 85 and older, with rates for that group increasing 111%, from 159.8 per 100,000 to 337.7 per 100,000 from 2010 to 2020. (See Figure 1).</w:t>
      </w:r>
      <w:r w:rsidRPr="00E226D7">
        <w:rPr>
          <w:rFonts w:ascii="Arial" w:hAnsi="Arial" w:cs="Arial"/>
          <w:szCs w:val="24"/>
        </w:rPr>
        <w:fldChar w:fldCharType="begin"/>
      </w:r>
      <w:r w:rsidRPr="00E226D7">
        <w:rPr>
          <w:rFonts w:ascii="Arial" w:hAnsi="Arial" w:cs="Arial"/>
          <w:szCs w:val="24"/>
        </w:rPr>
        <w:instrText xml:space="preserve"> ADDIN ZOTERO_ITEM CSL_CITATION {"citationID":"wjm0JYux","properties":{"formattedCitation":"\\super 1\\nosupersub{}","plainCitation":"1","noteIndex":0},"citationItems":[{"id":410,"uris":["http://zotero.org/groups/2444171/items/NH4UZM4I"],"uri":["http://zotero.org/groups/2444171/items/NH4UZM4I"],"itemData":{"id":410,"type":"article","title":"2010-2020 Death Files","author":[{"literal":"Registry of Vital Records and Statistics, Massachusetts Department of Public Health"}]}}],"schema":"https://github.com/citation-style-language/schema/raw/master/csl-citation.json"} </w:instrText>
      </w:r>
      <w:r w:rsidRPr="00E226D7">
        <w:rPr>
          <w:rFonts w:ascii="Arial" w:hAnsi="Arial" w:cs="Arial"/>
          <w:szCs w:val="24"/>
        </w:rPr>
        <w:fldChar w:fldCharType="separate"/>
      </w:r>
      <w:r w:rsidRPr="00E226D7">
        <w:rPr>
          <w:rFonts w:ascii="Arial" w:hAnsi="Arial" w:cs="Arial"/>
          <w:szCs w:val="24"/>
          <w:vertAlign w:val="superscript"/>
        </w:rPr>
        <w:t>1</w:t>
      </w:r>
      <w:r w:rsidRPr="00E226D7">
        <w:rPr>
          <w:rFonts w:ascii="Arial" w:hAnsi="Arial" w:cs="Arial"/>
          <w:szCs w:val="24"/>
        </w:rPr>
        <w:fldChar w:fldCharType="end"/>
      </w:r>
      <w:r w:rsidRPr="00E226D7">
        <w:rPr>
          <w:rFonts w:ascii="Arial" w:hAnsi="Arial" w:cs="Arial"/>
          <w:szCs w:val="24"/>
        </w:rPr>
        <w:t xml:space="preserve"> Among fall death rates in MA, American Indian/Alaska Native, non-Hispanic residents had the highest rate (99.4 per 100,000)</w:t>
      </w:r>
      <w:r w:rsidRPr="00E226D7">
        <w:rPr>
          <w:rStyle w:val="FootnoteReference"/>
          <w:rFonts w:ascii="Arial" w:hAnsi="Arial" w:cs="Arial"/>
          <w:szCs w:val="24"/>
        </w:rPr>
        <w:footnoteReference w:id="1"/>
      </w:r>
      <w:r w:rsidRPr="00E226D7">
        <w:rPr>
          <w:rFonts w:ascii="Arial" w:hAnsi="Arial" w:cs="Arial"/>
          <w:szCs w:val="24"/>
        </w:rPr>
        <w:t xml:space="preserve"> followed by White, non-Hispanic, (71.7 per 100,000,) and Asian, Non-Hispanic residents (56.8 per 100,000). Males had a higher rate of fall deaths than females in MA (83.5 per 100,000 and 73.2 per 100,000 respectively). Inequities in fall deaths rates between MA counties exist, with a range of 48.3 per 100,000 in Franklin County compared to 74.8 per 100,000 in Berkshire County.</w:t>
      </w:r>
    </w:p>
    <w:p w14:paraId="61C79D33" w14:textId="77777777" w:rsidR="00D50072" w:rsidRDefault="00D50072" w:rsidP="00B60C0B">
      <w:pPr>
        <w:rPr>
          <w:rFonts w:ascii="Arial" w:hAnsi="Arial" w:cs="Arial"/>
          <w:szCs w:val="24"/>
        </w:rPr>
      </w:pPr>
    </w:p>
    <w:p w14:paraId="164C1CD2" w14:textId="6A914316" w:rsidR="00B60C0B" w:rsidRPr="00E226D7" w:rsidRDefault="00B60C0B" w:rsidP="00B60C0B">
      <w:pPr>
        <w:rPr>
          <w:rFonts w:ascii="Arial" w:hAnsi="Arial" w:cs="Arial"/>
          <w:szCs w:val="24"/>
        </w:rPr>
      </w:pPr>
      <w:r w:rsidRPr="00E226D7">
        <w:rPr>
          <w:rFonts w:ascii="Arial" w:hAnsi="Arial" w:cs="Arial"/>
          <w:szCs w:val="24"/>
        </w:rPr>
        <w:t>Beyond the physical toll of falls, the financial costs associated with fall-related injuries sustained by older adults are substantial. Projected lifetime costs associated with fatal fall injuries in 2019 among Massachusetts residents ages 65 and older are estimated at $2.43 billion.</w:t>
      </w:r>
      <w:r w:rsidRPr="00E226D7">
        <w:rPr>
          <w:rFonts w:ascii="Arial" w:hAnsi="Arial" w:cs="Arial"/>
          <w:szCs w:val="24"/>
        </w:rPr>
        <w:fldChar w:fldCharType="begin"/>
      </w:r>
      <w:r w:rsidRPr="00E226D7">
        <w:rPr>
          <w:rFonts w:ascii="Arial" w:hAnsi="Arial" w:cs="Arial"/>
          <w:szCs w:val="24"/>
        </w:rPr>
        <w:instrText xml:space="preserve"> ADDIN ZOTERO_ITEM CSL_CITATION {"citationID":"2ksJmzm9","properties":{"formattedCitation":"\\super 7\\nosupersub{}","plainCitation":"7","noteIndex":0},"citationItems":[{"id":24,"uris":["http://zotero.org/groups/2444171/items/WBXLRFI3"],"uri":["http://zotero.org/groups/2444171/items/WBXLRFI3"],"itemData":{"id":24,"type":"webpage","abstract":"WISQARS (Web-based Injury Statistics Query and Reporting System) is an interactive database system that provides customized reports of injury-related data.","language":"en-us","note":"source: www.cdc.gov","title":"Web-basd Injury Statistics Query and Reporting System (WISQARS)","URL":"https://www.cdc.gov/injury/wisqars/index.html","author":[{"literal":"Centers for Disease Control and Prevention, National Center for Injury Prevention and Control"}],"accessed":{"date-parts":[["2020",7,2]]},"issued":{"date-parts":[["2022",5,18]]}}}],"schema":"https://github.com/citation-style-language/schema/raw/master/csl-citation.json"} </w:instrText>
      </w:r>
      <w:r w:rsidRPr="00E226D7">
        <w:rPr>
          <w:rFonts w:ascii="Arial" w:hAnsi="Arial" w:cs="Arial"/>
          <w:szCs w:val="24"/>
        </w:rPr>
        <w:fldChar w:fldCharType="separate"/>
      </w:r>
      <w:r w:rsidRPr="00E226D7">
        <w:rPr>
          <w:rFonts w:ascii="Arial" w:hAnsi="Arial" w:cs="Arial"/>
          <w:szCs w:val="24"/>
          <w:vertAlign w:val="superscript"/>
        </w:rPr>
        <w:t>7</w:t>
      </w:r>
      <w:r w:rsidRPr="00E226D7">
        <w:rPr>
          <w:rFonts w:ascii="Arial" w:hAnsi="Arial" w:cs="Arial"/>
          <w:szCs w:val="24"/>
        </w:rPr>
        <w:fldChar w:fldCharType="end"/>
      </w:r>
      <w:r w:rsidRPr="00E226D7">
        <w:rPr>
          <w:rFonts w:ascii="Arial" w:hAnsi="Arial" w:cs="Arial"/>
          <w:szCs w:val="24"/>
        </w:rPr>
        <w:t xml:space="preserve"> Fall-related injury hospital charges for older adults submitted in FY2019 were approximately $864.4 million.</w:t>
      </w:r>
      <w:r w:rsidRPr="00E226D7">
        <w:rPr>
          <w:rFonts w:ascii="Arial" w:hAnsi="Arial" w:cs="Arial"/>
          <w:szCs w:val="24"/>
        </w:rPr>
        <w:fldChar w:fldCharType="begin"/>
      </w:r>
      <w:r w:rsidRPr="00E226D7">
        <w:rPr>
          <w:rFonts w:ascii="Arial" w:hAnsi="Arial" w:cs="Arial"/>
          <w:szCs w:val="24"/>
        </w:rPr>
        <w:instrText xml:space="preserve"> ADDIN ZOTERO_ITEM CSL_CITATION {"citationID":"MV2etwMF","properties":{"formattedCitation":"\\super 9\\nosupersub{}","plainCitation":"9","noteIndex":0},"citationItems":[{"id":344,"uris":["http://zotero.org/groups/2444171/items/LNAEZNKE"],"uri":["http://zotero.org/groups/2444171/items/LNAEZNKE"],"itemData":{"id":344,"type":"webpage","title":"Case Mix Data","URL":"https://www.chiamass.gov/case-mix-data/","author":[{"literal":"Center for Health Information and Analysis"}],"accessed":{"date-parts":[["2022",2,16]]}}}],"schema":"https://github.com/citation-style-language/schema/raw/master/csl-citation.json"} </w:instrText>
      </w:r>
      <w:r w:rsidRPr="00E226D7">
        <w:rPr>
          <w:rFonts w:ascii="Arial" w:hAnsi="Arial" w:cs="Arial"/>
          <w:szCs w:val="24"/>
        </w:rPr>
        <w:fldChar w:fldCharType="separate"/>
      </w:r>
      <w:r w:rsidRPr="00E226D7">
        <w:rPr>
          <w:rFonts w:ascii="Arial" w:hAnsi="Arial" w:cs="Arial"/>
          <w:szCs w:val="24"/>
          <w:vertAlign w:val="superscript"/>
        </w:rPr>
        <w:t>9</w:t>
      </w:r>
      <w:r w:rsidRPr="00E226D7">
        <w:rPr>
          <w:rFonts w:ascii="Arial" w:hAnsi="Arial" w:cs="Arial"/>
          <w:szCs w:val="24"/>
        </w:rPr>
        <w:fldChar w:fldCharType="end"/>
      </w:r>
    </w:p>
    <w:p w14:paraId="455C81E1" w14:textId="77777777" w:rsidR="00D50072" w:rsidRDefault="00D50072" w:rsidP="00B60C0B">
      <w:pPr>
        <w:rPr>
          <w:rFonts w:ascii="Arial" w:hAnsi="Arial" w:cs="Arial"/>
          <w:szCs w:val="24"/>
        </w:rPr>
      </w:pPr>
    </w:p>
    <w:p w14:paraId="00FA500D" w14:textId="41E6912F" w:rsidR="00B60C0B" w:rsidRDefault="00B60C0B" w:rsidP="00B60C0B">
      <w:pPr>
        <w:rPr>
          <w:rFonts w:ascii="Arial" w:hAnsi="Arial" w:cs="Arial"/>
          <w:szCs w:val="24"/>
        </w:rPr>
      </w:pPr>
      <w:r w:rsidRPr="00E226D7">
        <w:rPr>
          <w:rFonts w:ascii="Arial" w:hAnsi="Arial" w:cs="Arial"/>
          <w:szCs w:val="24"/>
        </w:rPr>
        <w:t>The urgency of making systemic changes to address older adult falls is underscored by the rapid growth of the Massachusetts population that is age 65 and older. Population projections suggest that the proportion of Massachusetts residents who are older adults will grow from about 14% in 2010 to 22% by 2030.</w:t>
      </w:r>
      <w:r w:rsidRPr="00E226D7">
        <w:rPr>
          <w:rFonts w:ascii="Arial" w:hAnsi="Arial" w:cs="Arial"/>
          <w:szCs w:val="24"/>
        </w:rPr>
        <w:fldChar w:fldCharType="begin"/>
      </w:r>
      <w:r w:rsidRPr="00E226D7">
        <w:rPr>
          <w:rFonts w:ascii="Arial" w:hAnsi="Arial" w:cs="Arial"/>
          <w:szCs w:val="24"/>
        </w:rPr>
        <w:instrText xml:space="preserve"> ADDIN ZOTERO_ITEM CSL_CITATION {"citationID":"PwslFWI9","properties":{"formattedCitation":"\\super 10,11\\nosupersub{}","plainCitation":"10,11","noteIndex":0},"citationItems":[{"id":397,"uris":["http://zotero.org/groups/2444171/items/NXLGC5MF"],"uri":["http://zotero.org/groups/2444171/items/NXLGC5MF"],"itemData":{"id":397,"type":"webpage","container-title":"UMass Donahue Institute","title":"Massachusetts Population Projections","URL":"http://www.pep.donahue-institute.org/#","accessed":{"date-parts":[["2022",3,7]]}}},{"id":396,"uris":["http://zotero.org/groups/2444171/items/62ZB2XNY"],"uri":["http://zotero.org/groups/2444171/items/62ZB2XNY"],"itemData":{"id":396,"type":"article","title":"2019: American Community Survey 1-Year Estimates Detailed Tables, Table S0101: Age and Sex","URL":"https://data.census.gov/cedsci/table?g=0400000US25&amp;tid=ACSST1Y2019.S0101","author":[{"literal":"U.S. Census Bureau"}],"accessed":{"date-parts":[["2021",12,3]]}}}],"schema":"https://github.com/citation-style-language/schema/raw/master/csl-citation.json"} </w:instrText>
      </w:r>
      <w:r w:rsidRPr="00E226D7">
        <w:rPr>
          <w:rFonts w:ascii="Arial" w:hAnsi="Arial" w:cs="Arial"/>
          <w:szCs w:val="24"/>
        </w:rPr>
        <w:fldChar w:fldCharType="separate"/>
      </w:r>
      <w:r w:rsidRPr="00E226D7">
        <w:rPr>
          <w:rFonts w:ascii="Arial" w:hAnsi="Arial" w:cs="Arial"/>
          <w:szCs w:val="24"/>
          <w:vertAlign w:val="superscript"/>
        </w:rPr>
        <w:t>10,11</w:t>
      </w:r>
      <w:r w:rsidRPr="00E226D7">
        <w:rPr>
          <w:rFonts w:ascii="Arial" w:hAnsi="Arial" w:cs="Arial"/>
          <w:szCs w:val="24"/>
        </w:rPr>
        <w:fldChar w:fldCharType="end"/>
      </w:r>
      <w:r w:rsidRPr="00E226D7">
        <w:rPr>
          <w:rFonts w:ascii="Arial" w:hAnsi="Arial" w:cs="Arial"/>
          <w:szCs w:val="24"/>
        </w:rPr>
        <w:t xml:space="preserve"> Without significant and dedicated focus on falls prevention services, the rate of fall-related fatalities will continue to rise alongside the older adult population. </w:t>
      </w:r>
    </w:p>
    <w:p w14:paraId="135B5CAC" w14:textId="77777777" w:rsidR="004617B3" w:rsidRPr="00E226D7" w:rsidRDefault="004617B3" w:rsidP="00B60C0B">
      <w:pPr>
        <w:rPr>
          <w:rFonts w:ascii="Arial" w:hAnsi="Arial" w:cs="Arial"/>
          <w:szCs w:val="24"/>
        </w:rPr>
      </w:pPr>
    </w:p>
    <w:p w14:paraId="1DDDB933" w14:textId="08EF6B5C" w:rsidR="00B60C0B" w:rsidRPr="00E226D7" w:rsidRDefault="00B60C0B" w:rsidP="004617B3">
      <w:pPr>
        <w:pStyle w:val="Heading1"/>
      </w:pPr>
      <w:bookmarkStart w:id="17" w:name="_Toc134178549"/>
      <w:bookmarkStart w:id="18" w:name="_Toc134178765"/>
      <w:bookmarkStart w:id="19" w:name="_Toc134178889"/>
      <w:r w:rsidRPr="00E226D7">
        <w:lastRenderedPageBreak/>
        <w:t>Focusing Locally to Prevent Falls</w:t>
      </w:r>
      <w:bookmarkEnd w:id="17"/>
      <w:bookmarkEnd w:id="18"/>
      <w:bookmarkEnd w:id="19"/>
    </w:p>
    <w:p w14:paraId="17688BC6" w14:textId="77777777" w:rsidR="00D50072" w:rsidRDefault="00D50072" w:rsidP="00B60C0B">
      <w:pPr>
        <w:rPr>
          <w:rFonts w:ascii="Arial" w:hAnsi="Arial" w:cs="Arial"/>
          <w:szCs w:val="24"/>
        </w:rPr>
      </w:pPr>
    </w:p>
    <w:p w14:paraId="0BA7A6EB" w14:textId="2E7432F1" w:rsidR="00D50072" w:rsidRPr="00E226D7" w:rsidRDefault="00B60C0B" w:rsidP="00B60C0B">
      <w:pPr>
        <w:rPr>
          <w:rFonts w:ascii="Arial" w:hAnsi="Arial" w:cs="Arial"/>
          <w:szCs w:val="24"/>
        </w:rPr>
      </w:pPr>
      <w:r w:rsidRPr="00E226D7">
        <w:rPr>
          <w:rFonts w:ascii="Arial" w:hAnsi="Arial" w:cs="Arial"/>
          <w:szCs w:val="24"/>
        </w:rPr>
        <w:t xml:space="preserve">Since issuing its 2020 report, the Commission has identified numerous challenges around falls prevention service delivery to older adults, especially during the COVID-19 pandemic. </w:t>
      </w:r>
      <w:r w:rsidRPr="00E226D7">
        <w:rPr>
          <w:rFonts w:ascii="Arial" w:hAnsi="Arial" w:cs="Arial"/>
          <w:color w:val="000000" w:themeColor="text1"/>
          <w:szCs w:val="24"/>
        </w:rPr>
        <w:t xml:space="preserve">The Commission has previously observed that </w:t>
      </w:r>
      <w:r w:rsidRPr="00E226D7">
        <w:rPr>
          <w:rFonts w:ascii="Arial" w:hAnsi="Arial" w:cs="Arial"/>
          <w:szCs w:val="24"/>
        </w:rPr>
        <w:t>Massachusetts has a vast network of organizations that offer evidence-based programs designed to serve older adults.</w:t>
      </w:r>
      <w:r w:rsidRPr="00E226D7">
        <w:rPr>
          <w:rFonts w:ascii="Arial" w:hAnsi="Arial" w:cs="Arial"/>
          <w:color w:val="2B579A"/>
          <w:szCs w:val="24"/>
          <w:shd w:val="clear" w:color="auto" w:fill="E6E6E6"/>
        </w:rPr>
        <w:fldChar w:fldCharType="begin"/>
      </w:r>
      <w:r w:rsidRPr="00E226D7">
        <w:rPr>
          <w:rFonts w:ascii="Arial" w:hAnsi="Arial" w:cs="Arial"/>
          <w:szCs w:val="24"/>
        </w:rPr>
        <w:instrText xml:space="preserve"> ADDIN ZOTERO_ITEM CSL_CITATION {"citationID":"tQ5mti9x","properties":{"formattedCitation":"\\super 12\\nosupersub{}","plainCitation":"12","noteIndex":0},"citationItems":[{"id":320,"uris":["http://zotero.org/groups/2444171/items/NXKL5TWM"],"uri":["http://zotero.org/groups/2444171/items/NXKL5TWM"],"itemData":{"id":320,"type":"report","event-place":"Boston, MA","publisher":"Massachusetts Department of Public Health","publisher-place":"Boston, MA","title":"Massachusetts Commission on Falls Prevention Phase 3 Report: Improving Integration of Falls Risk Assessment and Referral in Health Care Practices","URL":"https://www.mass.gov/doc/phase-3-report-improving-integration-of-falls-risk-assessment-and-referral-in-health-care-0/download","author":[{"literal":"Massachusetts Commission on Falls Prevention"}],"accessed":{"date-parts":[["2022",1,23]]},"issued":{"date-parts":[["2020",11]]}}}],"schema":"https://github.com/citation-style-language/schema/raw/master/csl-citation.json"} </w:instrText>
      </w:r>
      <w:r w:rsidRPr="00E226D7">
        <w:rPr>
          <w:rFonts w:ascii="Arial" w:hAnsi="Arial" w:cs="Arial"/>
          <w:color w:val="2B579A"/>
          <w:szCs w:val="24"/>
          <w:shd w:val="clear" w:color="auto" w:fill="E6E6E6"/>
        </w:rPr>
        <w:fldChar w:fldCharType="separate"/>
      </w:r>
      <w:r w:rsidRPr="00E226D7">
        <w:rPr>
          <w:rFonts w:ascii="Arial" w:hAnsi="Arial" w:cs="Arial"/>
          <w:szCs w:val="24"/>
          <w:vertAlign w:val="superscript"/>
        </w:rPr>
        <w:t>12</w:t>
      </w:r>
      <w:r w:rsidRPr="00E226D7">
        <w:rPr>
          <w:rFonts w:ascii="Arial" w:hAnsi="Arial" w:cs="Arial"/>
          <w:color w:val="2B579A"/>
          <w:szCs w:val="24"/>
          <w:shd w:val="clear" w:color="auto" w:fill="E6E6E6"/>
        </w:rPr>
        <w:fldChar w:fldCharType="end"/>
      </w:r>
      <w:r w:rsidRPr="00E226D7">
        <w:rPr>
          <w:rFonts w:ascii="Arial" w:hAnsi="Arial" w:cs="Arial"/>
          <w:color w:val="2B579A"/>
          <w:szCs w:val="24"/>
          <w:shd w:val="clear" w:color="auto" w:fill="E6E6E6"/>
        </w:rPr>
        <w:t xml:space="preserve"> </w:t>
      </w:r>
      <w:r w:rsidRPr="00E226D7">
        <w:rPr>
          <w:rFonts w:ascii="Arial" w:hAnsi="Arial" w:cs="Arial"/>
          <w:szCs w:val="24"/>
        </w:rPr>
        <w:t>However, at the beginning of 2020, referrals, screenings, and programs were not widely accessible. With the arrival of the COVID-19 pandemic, the availability of these interventions was further limited by public health orders that restricted public gatherings and in-person services. Even as it limited access to services, the pandemic has brought considerable public attention to the functions and capacity of the local public health system overall, its assets, and needs. With that attention has come widespread interest in strengthening local public health infrastructure through systemic changes and investment. In the last year, increased funding has become available to address local needs. For example:</w:t>
      </w:r>
    </w:p>
    <w:p w14:paraId="2279D90C" w14:textId="77777777" w:rsidR="00B60C0B" w:rsidRPr="00BC53CF" w:rsidRDefault="00B60C0B" w:rsidP="00BC53CF">
      <w:pPr>
        <w:pStyle w:val="ListParagraph"/>
      </w:pPr>
      <w:r w:rsidRPr="00BC53CF">
        <w:t>The Administration for Community Living under the U.S. Department of Health and Human Services has provided grants aimed at building expertise around aging and disability in the public health workforce.</w:t>
      </w:r>
      <w:r w:rsidRPr="00BC53CF">
        <w:fldChar w:fldCharType="begin"/>
      </w:r>
      <w:r w:rsidRPr="00BC53CF">
        <w:instrText xml:space="preserve"> ADDIN ZOTERO_ITEM CSL_CITATION {"citationID":"fhtcUICb","properties":{"formattedCitation":"\\super 13\\nosupersub{}","plainCitation":"13","noteIndex":0},"citationItems":[{"id":392,"uris":["http://zotero.org/groups/2444171/items/YAEVSB8U"],"uri":["http://zotero.org/groups/2444171/items/YAEVSB8U"],"itemData":{"id":392,"type":"webpage","language":"en","title":"ACL Investing $150 Million to Expand the Public Health Workforce to Respond to the Needs of People with Disabilities and Older Adults | ACL Administration for Community Living","URL":"https://acl.gov/news-and-events/announcements/acl-investing-150-million-expand-public-health-workforce-respond","accessed":{"date-parts":[["2022",3,7]]}}}],"schema":"https://github.com/citation-style-language/schema/raw/master/csl-citation.json"} </w:instrText>
      </w:r>
      <w:r w:rsidRPr="00BC53CF">
        <w:fldChar w:fldCharType="separate"/>
      </w:r>
      <w:r w:rsidRPr="00BC53CF">
        <w:t>13</w:t>
      </w:r>
      <w:r w:rsidRPr="00BC53CF">
        <w:fldChar w:fldCharType="end"/>
      </w:r>
    </w:p>
    <w:p w14:paraId="378866E5" w14:textId="77777777" w:rsidR="00B60C0B" w:rsidRPr="00BC53CF" w:rsidRDefault="00B60C0B" w:rsidP="00BC53CF">
      <w:pPr>
        <w:pStyle w:val="ListParagraph"/>
      </w:pPr>
      <w:r w:rsidRPr="00BC53CF">
        <w:t>The federal Bipartisan Infrastructure Law contains provisions that support municipalities in building healthy streets and improving transit access.</w:t>
      </w:r>
      <w:r w:rsidRPr="00BC53CF">
        <w:fldChar w:fldCharType="begin"/>
      </w:r>
      <w:r w:rsidRPr="00BC53CF">
        <w:instrText xml:space="preserve"> ADDIN ZOTERO_ITEM CSL_CITATION {"citationID":"9KNKS2yy","properties":{"formattedCitation":"\\super 14\\nosupersub{}","plainCitation":"14","noteIndex":0},"citationItems":[{"id":391,"uris":["http://zotero.org/groups/2444171/items/ILBMQJLK"],"uri":["http://zotero.org/groups/2444171/items/ILBMQJLK"],"itemData":{"id":391,"type":"webpage","abstract":"Congress pass­ed the Bipartisan Infrastructure Law (Infrastructure Investment and Jobs Act), a once-in-a-generation investment in our nation’s","container-title":"The White House","language":"en-US","title":"President Biden's Bipartisan Infrastructure Law","URL":"https://www.whitehouse.gov/bipartisan-infrastructure-law/","accessed":{"date-parts":[["2022",3,7]]}}}],"schema":"https://github.com/citation-style-language/schema/raw/master/csl-citation.json"} </w:instrText>
      </w:r>
      <w:r w:rsidRPr="00BC53CF">
        <w:fldChar w:fldCharType="separate"/>
      </w:r>
      <w:r w:rsidRPr="00BC53CF">
        <w:t>14</w:t>
      </w:r>
      <w:r w:rsidRPr="00BC53CF">
        <w:fldChar w:fldCharType="end"/>
      </w:r>
    </w:p>
    <w:p w14:paraId="06E02840" w14:textId="5E666D90" w:rsidR="00B60C0B" w:rsidRPr="00BC53CF" w:rsidRDefault="00B60C0B" w:rsidP="00BC53CF">
      <w:pPr>
        <w:pStyle w:val="ListParagraph"/>
      </w:pPr>
      <w:r w:rsidRPr="00BC53CF">
        <w:t>The Commonwealth’s allocation of funds from the federal American Rescue Plan Act provides professional development for local health officials, improves local data collection and sharing, and encourages collaboration between local boards of health.</w:t>
      </w:r>
      <w:r w:rsidRPr="00BC53CF">
        <w:fldChar w:fldCharType="begin"/>
      </w:r>
      <w:r w:rsidRPr="00BC53CF">
        <w:instrText xml:space="preserve"> ADDIN ZOTERO_ITEM CSL_CITATION {"citationID":"cUQ3COLP","properties":{"formattedCitation":"\\super 15\\nosupersub{}","plainCitation":"15","noteIndex":0},"citationItems":[{"id":394,"uris":["http://zotero.org/groups/2444171/items/F53IM5LV"],"uri":["http://zotero.org/groups/2444171/items/F53IM5LV"],"itemData":{"id":394,"type":"webpage","container-title":"Mass.gov","language":"en","title":"Governor Baker Signs $4 Billion Federal COVID-19 Relief Funding Spending Bill","URL":"https://www.mass.gov/news/governor-baker-signs-4-billion-federal-covid-19-relief-funding-spending-bill","accessed":{"date-parts":[["2022",3,7]]}}}],"schema":"https://github.com/citation-style-language/schema/raw/master/csl-citation.json"} </w:instrText>
      </w:r>
      <w:r w:rsidRPr="00BC53CF">
        <w:fldChar w:fldCharType="separate"/>
      </w:r>
      <w:r w:rsidRPr="00BC53CF">
        <w:t>15</w:t>
      </w:r>
      <w:r w:rsidRPr="00BC53CF">
        <w:fldChar w:fldCharType="end"/>
      </w:r>
      <w:r w:rsidRPr="00BC53CF">
        <w:t xml:space="preserve"> </w:t>
      </w:r>
    </w:p>
    <w:p w14:paraId="6074D68C" w14:textId="77777777" w:rsidR="00B60C0B" w:rsidRPr="00E226D7" w:rsidRDefault="00B60C0B" w:rsidP="00B60C0B">
      <w:pPr>
        <w:rPr>
          <w:rFonts w:ascii="Arial" w:hAnsi="Arial" w:cs="Arial"/>
          <w:szCs w:val="24"/>
        </w:rPr>
      </w:pPr>
      <w:r w:rsidRPr="00E226D7">
        <w:rPr>
          <w:rFonts w:ascii="Arial" w:hAnsi="Arial" w:cs="Arial"/>
          <w:szCs w:val="24"/>
        </w:rPr>
        <w:t>Public health experts and scholars have highlighted the role of public health infrastructure as a critical component in efforts to address this growing problem. In its Healthy People 2030 framework, the Centers for Disease Control and Prevention note that “[p]ublic health infrastructure provides the necessary foundation for all public health services [and] includes a capable and qualified workforce, up-to-date data and information systems, and agencies that can assess and respond to public health needs.”</w:t>
      </w:r>
      <w:r w:rsidRPr="00E226D7">
        <w:rPr>
          <w:rFonts w:ascii="Arial" w:hAnsi="Arial" w:cs="Arial"/>
          <w:color w:val="2B579A"/>
          <w:szCs w:val="24"/>
        </w:rPr>
        <w:fldChar w:fldCharType="begin"/>
      </w:r>
      <w:r w:rsidRPr="00E226D7">
        <w:rPr>
          <w:rFonts w:ascii="Arial" w:hAnsi="Arial" w:cs="Arial"/>
          <w:szCs w:val="24"/>
        </w:rPr>
        <w:instrText xml:space="preserve"> ADDIN ZOTERO_ITEM CSL_CITATION {"citationID":"JSYJiS1P","properties":{"formattedCitation":"\\super 6\\nosupersub{}","plainCitation":"6","noteIndex":0},"citationItems":[{"id":322,"uris":["http://zotero.org/groups/2444171/items/FLLXEKQ4"],"uri":["http://zotero.org/groups/2444171/items/FLLXEKQ4"],"itemData":{"id":322,"type":"webpage","container-title":"Healthy People 2030","title":"Public Health Infrastructure","URL":"https://health.gov/healthypeople/objectives-and-data/browse-objectives/public-health-infrastructure","accessed":{"date-parts":[["2022",1,25]]}}}],"schema":"https://github.com/citation-style-language/schema/raw/master/csl-citation.json"} </w:instrText>
      </w:r>
      <w:r w:rsidRPr="00E226D7">
        <w:rPr>
          <w:rFonts w:ascii="Arial" w:hAnsi="Arial" w:cs="Arial"/>
          <w:color w:val="2B579A"/>
          <w:szCs w:val="24"/>
        </w:rPr>
        <w:fldChar w:fldCharType="separate"/>
      </w:r>
      <w:r w:rsidRPr="00E226D7">
        <w:rPr>
          <w:rFonts w:ascii="Arial" w:hAnsi="Arial" w:cs="Arial"/>
          <w:szCs w:val="24"/>
          <w:vertAlign w:val="superscript"/>
        </w:rPr>
        <w:t>6</w:t>
      </w:r>
      <w:r w:rsidRPr="00E226D7">
        <w:rPr>
          <w:rFonts w:ascii="Arial" w:hAnsi="Arial" w:cs="Arial"/>
          <w:color w:val="2B579A"/>
          <w:szCs w:val="24"/>
        </w:rPr>
        <w:fldChar w:fldCharType="end"/>
      </w:r>
      <w:r w:rsidRPr="00E226D7">
        <w:rPr>
          <w:rFonts w:ascii="Arial" w:hAnsi="Arial" w:cs="Arial"/>
          <w:szCs w:val="24"/>
        </w:rPr>
        <w:t xml:space="preserve"> Scholarship on falls prevention argues that the Healthy People framework for local public health infrastructure encompasses not only local boards of health, but also Area Agencies on Aging/Aging Services Access Points, health care providers, first responders, and other community organizations.</w:t>
      </w:r>
      <w:r w:rsidRPr="00E226D7">
        <w:rPr>
          <w:rFonts w:ascii="Arial" w:hAnsi="Arial" w:cs="Arial"/>
          <w:color w:val="2B579A"/>
          <w:szCs w:val="24"/>
        </w:rPr>
        <w:fldChar w:fldCharType="begin"/>
      </w:r>
      <w:r w:rsidRPr="00E226D7">
        <w:rPr>
          <w:rFonts w:ascii="Arial" w:hAnsi="Arial" w:cs="Arial"/>
          <w:szCs w:val="24"/>
        </w:rPr>
        <w:instrText xml:space="preserve"> ADDIN ZOTERO_ITEM CSL_CITATION {"citationID":"AYxW2K9u","properties":{"formattedCitation":"\\super 6,16\\nosupersub{}","plainCitation":"6,16","noteIndex":0},"citationItems":[{"id":322,"uris":["http://zotero.org/groups/2444171/items/FLLXEKQ4"],"uri":["http://zotero.org/groups/2444171/items/FLLXEKQ4"],"itemData":{"id":322,"type":"webpage","container-title":"Healthy People 2030","title":"Public Health Infrastructure","URL":"https://health.gov/healthypeople/objectives-and-data/browse-objectives/public-health-infrastructure","accessed":{"date-parts":[["2022",1,25]]}}},{"id":247,"uris":["http://zotero.org/groups/2444171/items/2K4Q6ZHD"],"uri":["http://zotero.org/groups/2444171/items/2K4Q6ZHD"],"itemData":{"id":247,"type":"article-journal","abstract":"Unintentional falls are the leading cause of both fatal and nonfatal injuries among Americans 65 years of age and older and place an enormous burden on the health care system. As the population continues to age, preventing falls will be increasingly important for reducing morbidity, mortality, and medical costs. Evidence-based fall prevention interventions for older adults exist, but widespread adoption of these interventions is needed. Local health departments, Area Agencies on Aging, first responders, and health care professionals can all play important roles in implementing fall prevention programs. This article presents a conceptual model for local delivery of fall prevention programs for community-dwelling older adults. This model can serve as a guide for translating existing fall prevention research into practice.","container-title":"The Gerontologist","DOI":"10.1093/geront/gnaa121","ISSN":"0016-9013","issue":"6","journalAbbreviation":"The Gerontologist","page":"819-825","source":"Silverchair","title":"Improving Local Service Delivery to Prevent Falls in Community-Dwelling Older Adults: Translating Research to Practice","title-short":"Improving Local Service Delivery to Prevent Falls in Community-Dwelling Older Adults","URL":"https://doi.org/10.1093/geront/gnaa121","volume":"61","author":[{"family":"Gagen","given":"Travis M"},{"family":"Bulzacchelli","given":"Maria T"}],"accessed":{"date-parts":[["2021",12,2]]},"issued":{"date-parts":[["2021",9,1]]}}}],"schema":"https://github.com/citation-style-language/schema/raw/master/csl-citation.json"} </w:instrText>
      </w:r>
      <w:r w:rsidRPr="00E226D7">
        <w:rPr>
          <w:rFonts w:ascii="Arial" w:hAnsi="Arial" w:cs="Arial"/>
          <w:color w:val="2B579A"/>
          <w:szCs w:val="24"/>
        </w:rPr>
        <w:fldChar w:fldCharType="separate"/>
      </w:r>
      <w:r w:rsidRPr="00E226D7">
        <w:rPr>
          <w:rFonts w:ascii="Arial" w:hAnsi="Arial" w:cs="Arial"/>
          <w:szCs w:val="24"/>
          <w:vertAlign w:val="superscript"/>
        </w:rPr>
        <w:t>6,16</w:t>
      </w:r>
      <w:r w:rsidRPr="00E226D7">
        <w:rPr>
          <w:rFonts w:ascii="Arial" w:hAnsi="Arial" w:cs="Arial"/>
          <w:color w:val="2B579A"/>
          <w:szCs w:val="24"/>
        </w:rPr>
        <w:fldChar w:fldCharType="end"/>
      </w:r>
      <w:r w:rsidRPr="00E226D7">
        <w:rPr>
          <w:rFonts w:ascii="Arial" w:hAnsi="Arial" w:cs="Arial"/>
          <w:szCs w:val="24"/>
        </w:rPr>
        <w:t xml:space="preserve"> In reviewing this framework, the Commission considered which entities provided local public health services related to falls prevention, including screening, referrals, provision of evidence-based programs, professional development, surveillance, and advocacy. Commission members identified over 30 organizations and organization types that engage in such activities (See Appendix B: Elements of Public Health Infrastructure Relevant to Local Falls Prevention Services).</w:t>
      </w:r>
    </w:p>
    <w:p w14:paraId="4313AA1A" w14:textId="77777777" w:rsidR="005F4062" w:rsidRDefault="005F4062" w:rsidP="00B60C0B">
      <w:pPr>
        <w:rPr>
          <w:rFonts w:ascii="Arial" w:hAnsi="Arial" w:cs="Arial"/>
          <w:szCs w:val="24"/>
        </w:rPr>
      </w:pPr>
    </w:p>
    <w:p w14:paraId="7D5794A5" w14:textId="431CCDE5" w:rsidR="00B60C0B" w:rsidRPr="00E226D7" w:rsidRDefault="00B60C0B" w:rsidP="00B60C0B">
      <w:pPr>
        <w:rPr>
          <w:rFonts w:ascii="Arial" w:hAnsi="Arial" w:cs="Arial"/>
          <w:szCs w:val="24"/>
        </w:rPr>
      </w:pPr>
      <w:r w:rsidRPr="00E226D7">
        <w:rPr>
          <w:rFonts w:ascii="Arial" w:hAnsi="Arial" w:cs="Arial"/>
          <w:szCs w:val="24"/>
        </w:rPr>
        <w:t xml:space="preserve">The Commission engaged stakeholders and experts from across the array of organization types identified (See Appendix C: Commission Key Informants on Local Public Health Infrastructure). Organization representatives expressed high confidence in </w:t>
      </w:r>
      <w:r w:rsidRPr="00E226D7">
        <w:rPr>
          <w:rFonts w:ascii="Arial" w:hAnsi="Arial" w:cs="Arial"/>
          <w:szCs w:val="24"/>
        </w:rPr>
        <w:lastRenderedPageBreak/>
        <w:t xml:space="preserve">the current evidence-based interventions around older adult falls, which include </w:t>
      </w:r>
      <w:r w:rsidRPr="00E226D7">
        <w:rPr>
          <w:rFonts w:ascii="Arial" w:hAnsi="Arial" w:cs="Arial"/>
          <w:color w:val="000000" w:themeColor="text1"/>
          <w:szCs w:val="24"/>
        </w:rPr>
        <w:t>exercise, nutrition, medication reviews, and home safety modifications.</w:t>
      </w:r>
      <w:r w:rsidRPr="00E226D7">
        <w:rPr>
          <w:rFonts w:ascii="Arial" w:hAnsi="Arial" w:cs="Arial"/>
          <w:color w:val="000000" w:themeColor="text1"/>
          <w:szCs w:val="24"/>
          <w:shd w:val="clear" w:color="auto" w:fill="E6E6E6"/>
        </w:rPr>
        <w:fldChar w:fldCharType="begin"/>
      </w:r>
      <w:r w:rsidRPr="00E226D7">
        <w:rPr>
          <w:rFonts w:ascii="Arial" w:hAnsi="Arial" w:cs="Arial"/>
          <w:color w:val="000000" w:themeColor="text1"/>
          <w:szCs w:val="24"/>
        </w:rPr>
        <w:instrText xml:space="preserve"> ADDIN ZOTERO_ITEM CSL_CITATION {"citationID":"sf50aNw4","properties":{"formattedCitation":"\\super 16\\nosupersub{}","plainCitation":"16","noteIndex":0},"citationItems":[{"id":247,"uris":["http://zotero.org/groups/2444171/items/2K4Q6ZHD"],"uri":["http://zotero.org/groups/2444171/items/2K4Q6ZHD"],"itemData":{"id":247,"type":"article-journal","abstract":"Unintentional falls are the leading cause of both fatal and nonfatal injuries among Americans 65 years of age and older and place an enormous burden on the health care system. As the population continues to age, preventing falls will be increasingly important for reducing morbidity, mortality, and medical costs. Evidence-based fall prevention interventions for older adults exist, but widespread adoption of these interventions is needed. Local health departments, Area Agencies on Aging, first responders, and health care professionals can all play important roles in implementing fall prevention programs. This article presents a conceptual model for local delivery of fall prevention programs for community-dwelling older adults. This model can serve as a guide for translating existing fall prevention research into practice.","container-title":"The Gerontologist","DOI":"10.1093/geront/gnaa121","ISSN":"0016-9013","issue":"6","journalAbbreviation":"The Gerontologist","page":"819-825","source":"Silverchair","title":"Improving Local Service Delivery to Prevent Falls in Community-Dwelling Older Adults: Translating Research to Practice","title-short":"Improving Local Service Delivery to Prevent Falls in Community-Dwelling Older Adults","URL":"https://doi.org/10.1093/geront/gnaa121","volume":"61","author":[{"family":"Gagen","given":"Travis M"},{"family":"Bulzacchelli","given":"Maria T"}],"accessed":{"date-parts":[["2021",12,2]]},"issued":{"date-parts":[["2021",9,1]]}}}],"schema":"https://github.com/citation-style-language/schema/raw/master/csl-citation.json"} </w:instrText>
      </w:r>
      <w:r w:rsidRPr="00E226D7">
        <w:rPr>
          <w:rFonts w:ascii="Arial" w:hAnsi="Arial" w:cs="Arial"/>
          <w:color w:val="000000" w:themeColor="text1"/>
          <w:szCs w:val="24"/>
          <w:shd w:val="clear" w:color="auto" w:fill="E6E6E6"/>
        </w:rPr>
        <w:fldChar w:fldCharType="separate"/>
      </w:r>
      <w:r w:rsidRPr="00E226D7">
        <w:rPr>
          <w:rFonts w:ascii="Arial" w:hAnsi="Arial" w:cs="Arial"/>
          <w:szCs w:val="24"/>
          <w:vertAlign w:val="superscript"/>
        </w:rPr>
        <w:t>16</w:t>
      </w:r>
      <w:r w:rsidRPr="00E226D7">
        <w:rPr>
          <w:rFonts w:ascii="Arial" w:hAnsi="Arial" w:cs="Arial"/>
          <w:color w:val="000000" w:themeColor="text1"/>
          <w:szCs w:val="24"/>
          <w:shd w:val="clear" w:color="auto" w:fill="E6E6E6"/>
        </w:rPr>
        <w:fldChar w:fldCharType="end"/>
      </w:r>
      <w:r w:rsidRPr="00E226D7">
        <w:rPr>
          <w:rFonts w:ascii="Arial" w:hAnsi="Arial" w:cs="Arial"/>
          <w:color w:val="000000" w:themeColor="text1"/>
          <w:szCs w:val="24"/>
        </w:rPr>
        <w:t xml:space="preserve"> </w:t>
      </w:r>
    </w:p>
    <w:p w14:paraId="23EE6B57" w14:textId="77777777" w:rsidR="00B60C0B" w:rsidRPr="00E226D7" w:rsidRDefault="00B60C0B" w:rsidP="00B60C0B">
      <w:pPr>
        <w:rPr>
          <w:rFonts w:ascii="Arial" w:hAnsi="Arial" w:cs="Arial"/>
          <w:szCs w:val="24"/>
        </w:rPr>
      </w:pPr>
      <w:r w:rsidRPr="00E226D7">
        <w:rPr>
          <w:rFonts w:ascii="Arial" w:hAnsi="Arial" w:cs="Arial"/>
          <w:szCs w:val="24"/>
        </w:rPr>
        <w:t>In its work on the topic, the Commission has identified the following issues and related recommendations as central to reversing the upwards trend in older adult falls.</w:t>
      </w:r>
    </w:p>
    <w:p w14:paraId="0C98A394" w14:textId="64716E1A" w:rsidR="00B60C0B" w:rsidRDefault="00B60C0B" w:rsidP="00B60C0B">
      <w:pPr>
        <w:rPr>
          <w:rFonts w:ascii="Arial" w:hAnsi="Arial" w:cs="Arial"/>
          <w:szCs w:val="24"/>
        </w:rPr>
      </w:pPr>
    </w:p>
    <w:p w14:paraId="6E99C04C" w14:textId="77777777" w:rsidR="005F4062" w:rsidRPr="00E226D7" w:rsidRDefault="005F4062" w:rsidP="00B60C0B">
      <w:pPr>
        <w:rPr>
          <w:rFonts w:ascii="Arial" w:hAnsi="Arial" w:cs="Arial"/>
          <w:szCs w:val="24"/>
        </w:rPr>
      </w:pPr>
    </w:p>
    <w:p w14:paraId="56C8165E" w14:textId="77777777" w:rsidR="00B60C0B" w:rsidRPr="00E226D7" w:rsidRDefault="00B60C0B" w:rsidP="00B60C0B">
      <w:pPr>
        <w:pStyle w:val="Issue"/>
        <w:rPr>
          <w:rFonts w:ascii="Arial" w:hAnsi="Arial" w:cs="Arial"/>
        </w:rPr>
      </w:pPr>
      <w:r w:rsidRPr="00E226D7">
        <w:rPr>
          <w:rFonts w:ascii="Arial" w:hAnsi="Arial" w:cs="Arial"/>
        </w:rPr>
        <w:t>Issue 1: The capacity of local boards of health and partner organizations is limited by funding, staffing, and statutory obligations.</w:t>
      </w:r>
    </w:p>
    <w:p w14:paraId="550EF76D" w14:textId="77777777" w:rsidR="00B60C0B" w:rsidRPr="00E226D7" w:rsidRDefault="00B60C0B" w:rsidP="00B60C0B">
      <w:pPr>
        <w:rPr>
          <w:rFonts w:ascii="Arial" w:hAnsi="Arial" w:cs="Arial"/>
          <w:szCs w:val="24"/>
        </w:rPr>
      </w:pPr>
      <w:r w:rsidRPr="00E226D7">
        <w:rPr>
          <w:rFonts w:ascii="Arial" w:hAnsi="Arial" w:cs="Arial"/>
          <w:szCs w:val="24"/>
        </w:rPr>
        <w:t>As municipal agencies that are deeply involved throughout communities, local boards of health (LBOHs) appear to be situated in an ideal position to support and implement community-based falls prevention activities. However, LBOHs face a host of challenges that make it difficult to pursue such work.</w:t>
      </w:r>
    </w:p>
    <w:p w14:paraId="54BD5052" w14:textId="77777777" w:rsidR="00710261" w:rsidRDefault="00710261" w:rsidP="00B60C0B">
      <w:pPr>
        <w:rPr>
          <w:rFonts w:ascii="Arial" w:hAnsi="Arial" w:cs="Arial"/>
          <w:szCs w:val="24"/>
        </w:rPr>
      </w:pPr>
    </w:p>
    <w:p w14:paraId="3A37044A" w14:textId="2C8C9B53" w:rsidR="00B60C0B" w:rsidRDefault="00B60C0B" w:rsidP="00B60C0B">
      <w:pPr>
        <w:rPr>
          <w:rFonts w:ascii="Arial" w:hAnsi="Arial" w:cs="Arial"/>
          <w:szCs w:val="24"/>
        </w:rPr>
      </w:pPr>
      <w:r w:rsidRPr="00E226D7">
        <w:rPr>
          <w:rFonts w:ascii="Arial" w:hAnsi="Arial" w:cs="Arial"/>
          <w:szCs w:val="24"/>
        </w:rPr>
        <w:t xml:space="preserve">The statutory obligations of LBOHs are manifold. Among many other responsibilities, LBOHs: </w:t>
      </w:r>
    </w:p>
    <w:p w14:paraId="292F9120" w14:textId="77777777" w:rsidR="00CE3E1D" w:rsidRPr="00E226D7" w:rsidRDefault="00CE3E1D" w:rsidP="00B60C0B">
      <w:pPr>
        <w:rPr>
          <w:rFonts w:ascii="Arial" w:hAnsi="Arial" w:cs="Arial"/>
          <w:szCs w:val="24"/>
        </w:rPr>
      </w:pPr>
    </w:p>
    <w:p w14:paraId="6BAC4FBD" w14:textId="77777777" w:rsidR="00B60C0B" w:rsidRPr="00E226D7" w:rsidRDefault="00B60C0B" w:rsidP="00BC53CF">
      <w:pPr>
        <w:pStyle w:val="ListParagraph"/>
        <w:numPr>
          <w:ilvl w:val="0"/>
          <w:numId w:val="32"/>
        </w:numPr>
      </w:pPr>
      <w:r w:rsidRPr="00E226D7">
        <w:t>Investigate and report on cases of infectious diseases and outbreaks of foodborne illnesses</w:t>
      </w:r>
    </w:p>
    <w:p w14:paraId="4C7C0317" w14:textId="77777777" w:rsidR="00B60C0B" w:rsidRPr="00E226D7" w:rsidRDefault="00B60C0B" w:rsidP="00BC53CF">
      <w:pPr>
        <w:pStyle w:val="ListParagraph"/>
        <w:numPr>
          <w:ilvl w:val="0"/>
          <w:numId w:val="32"/>
        </w:numPr>
      </w:pPr>
      <w:r w:rsidRPr="00E226D7">
        <w:t>Inspect and permit restaurants, camps, pools, septic systems, and beaches</w:t>
      </w:r>
    </w:p>
    <w:p w14:paraId="4C8F65E4" w14:textId="77777777" w:rsidR="00B60C0B" w:rsidRPr="00E226D7" w:rsidRDefault="00B60C0B" w:rsidP="00BC53CF">
      <w:pPr>
        <w:pStyle w:val="ListParagraph"/>
        <w:numPr>
          <w:ilvl w:val="0"/>
          <w:numId w:val="32"/>
        </w:numPr>
      </w:pPr>
      <w:r w:rsidRPr="00E226D7">
        <w:t>Respond to complaints about unsanitary residential properties</w:t>
      </w:r>
    </w:p>
    <w:p w14:paraId="3444C22E" w14:textId="77777777" w:rsidR="00B60C0B" w:rsidRPr="00E226D7" w:rsidRDefault="00B60C0B" w:rsidP="00BC53CF">
      <w:pPr>
        <w:pStyle w:val="ListParagraph"/>
        <w:numPr>
          <w:ilvl w:val="0"/>
          <w:numId w:val="32"/>
        </w:numPr>
      </w:pPr>
      <w:r w:rsidRPr="00E226D7">
        <w:t>Provide information on radon and lead exposure</w:t>
      </w:r>
    </w:p>
    <w:p w14:paraId="4CDA3D32" w14:textId="77777777" w:rsidR="00B60C0B" w:rsidRPr="00E226D7" w:rsidRDefault="00B60C0B" w:rsidP="00BC53CF">
      <w:pPr>
        <w:pStyle w:val="ListParagraph"/>
        <w:numPr>
          <w:ilvl w:val="0"/>
          <w:numId w:val="32"/>
        </w:numPr>
      </w:pPr>
      <w:r w:rsidRPr="00E226D7">
        <w:t>Conduct disaster planning</w:t>
      </w:r>
    </w:p>
    <w:p w14:paraId="6B6A82E0" w14:textId="77777777" w:rsidR="00B60C0B" w:rsidRPr="00E226D7" w:rsidRDefault="00B60C0B" w:rsidP="00BC53CF">
      <w:pPr>
        <w:pStyle w:val="ListParagraph"/>
        <w:numPr>
          <w:ilvl w:val="0"/>
          <w:numId w:val="32"/>
        </w:numPr>
      </w:pPr>
      <w:r w:rsidRPr="00E226D7">
        <w:t>Track animal-borne diseases</w:t>
      </w:r>
    </w:p>
    <w:p w14:paraId="702BB1CD" w14:textId="20DF4787" w:rsidR="00B60C0B" w:rsidRDefault="00B60C0B" w:rsidP="00BC53CF">
      <w:pPr>
        <w:pStyle w:val="ListParagraph"/>
        <w:numPr>
          <w:ilvl w:val="0"/>
          <w:numId w:val="32"/>
        </w:numPr>
      </w:pPr>
      <w:r w:rsidRPr="00E226D7">
        <w:t>Safeguard wells</w:t>
      </w:r>
    </w:p>
    <w:p w14:paraId="30C7C3C9" w14:textId="77777777" w:rsidR="00CE3E1D" w:rsidRPr="00E226D7" w:rsidRDefault="00CE3E1D" w:rsidP="00CE3E1D"/>
    <w:p w14:paraId="5750EB00" w14:textId="77777777" w:rsidR="00B60C0B" w:rsidRPr="00E226D7" w:rsidRDefault="00B60C0B" w:rsidP="00B60C0B">
      <w:pPr>
        <w:rPr>
          <w:rFonts w:ascii="Arial" w:hAnsi="Arial" w:cs="Arial"/>
          <w:szCs w:val="24"/>
        </w:rPr>
      </w:pPr>
      <w:r w:rsidRPr="00E226D7">
        <w:rPr>
          <w:rFonts w:ascii="Arial" w:hAnsi="Arial" w:cs="Arial"/>
          <w:szCs w:val="24"/>
        </w:rPr>
        <w:t>These local public health duties are carried out by 351 individual local boards of health, one for each of Massachusetts’ municipalities. As municipal agencies are largely funded by local tax revenue, LBOHs have highly variable access to funding and staff, making it difficult for many of these agencies to meet their obligations. Because of the overwhelming burden facing under-resourced agencies, many LBOHs have little or no available capacity to undertake falls prevention activities and similar programs that are not mandatory.</w:t>
      </w:r>
      <w:r w:rsidRPr="00E226D7">
        <w:rPr>
          <w:rFonts w:ascii="Arial" w:hAnsi="Arial" w:cs="Arial"/>
          <w:color w:val="2B579A"/>
          <w:szCs w:val="24"/>
        </w:rPr>
        <w:fldChar w:fldCharType="begin"/>
      </w:r>
      <w:r w:rsidRPr="00E226D7">
        <w:rPr>
          <w:rFonts w:ascii="Arial" w:hAnsi="Arial" w:cs="Arial"/>
          <w:szCs w:val="24"/>
        </w:rPr>
        <w:instrText xml:space="preserve"> ADDIN ZOTERO_ITEM CSL_CITATION {"citationID":"VRGzu7UJ","properties":{"formattedCitation":"\\super 17\\nosupersub{}","plainCitation":"17","noteIndex":0},"citationItems":[{"id":174,"uris":["http://zotero.org/groups/2444171/items/VR7L7FWS"],"uri":["http://zotero.org/groups/2444171/items/VR7L7FWS"],"itemData":{"id":174,"type":"report","title":"Blueprint for Public Health Excellence: Recommendations for Improved Effectiveness and Efficiency of Local Public Health Protections","author":[{"literal":"Special Commission on Local and Regional Public Health"}],"issued":{"date-parts":[["2019",6]]}}}],"schema":"https://github.com/citation-style-language/schema/raw/master/csl-citation.json"} </w:instrText>
      </w:r>
      <w:r w:rsidRPr="00E226D7">
        <w:rPr>
          <w:rFonts w:ascii="Arial" w:hAnsi="Arial" w:cs="Arial"/>
          <w:color w:val="2B579A"/>
          <w:szCs w:val="24"/>
        </w:rPr>
        <w:fldChar w:fldCharType="separate"/>
      </w:r>
      <w:r w:rsidRPr="00E226D7">
        <w:rPr>
          <w:rFonts w:ascii="Arial" w:hAnsi="Arial" w:cs="Arial"/>
          <w:szCs w:val="24"/>
          <w:vertAlign w:val="superscript"/>
        </w:rPr>
        <w:t>17</w:t>
      </w:r>
      <w:r w:rsidRPr="00E226D7">
        <w:rPr>
          <w:rFonts w:ascii="Arial" w:hAnsi="Arial" w:cs="Arial"/>
          <w:color w:val="2B579A"/>
          <w:szCs w:val="24"/>
        </w:rPr>
        <w:fldChar w:fldCharType="end"/>
      </w:r>
      <w:r w:rsidRPr="00E226D7">
        <w:rPr>
          <w:rFonts w:ascii="Arial" w:hAnsi="Arial" w:cs="Arial"/>
          <w:szCs w:val="24"/>
        </w:rPr>
        <w:t xml:space="preserve"> </w:t>
      </w:r>
    </w:p>
    <w:p w14:paraId="2DE419DD" w14:textId="77777777" w:rsidR="00710261" w:rsidRDefault="00710261" w:rsidP="00B60C0B">
      <w:pPr>
        <w:rPr>
          <w:rFonts w:ascii="Arial" w:hAnsi="Arial" w:cs="Arial"/>
          <w:szCs w:val="24"/>
        </w:rPr>
      </w:pPr>
    </w:p>
    <w:p w14:paraId="56543DA2" w14:textId="7DBF45C2" w:rsidR="00B60C0B" w:rsidRPr="00E226D7" w:rsidRDefault="00B60C0B" w:rsidP="00B60C0B">
      <w:pPr>
        <w:rPr>
          <w:rFonts w:ascii="Arial" w:hAnsi="Arial" w:cs="Arial"/>
          <w:szCs w:val="24"/>
        </w:rPr>
      </w:pPr>
      <w:r w:rsidRPr="00E226D7">
        <w:rPr>
          <w:rFonts w:ascii="Arial" w:hAnsi="Arial" w:cs="Arial"/>
          <w:szCs w:val="24"/>
        </w:rPr>
        <w:t>One hundred and seventeen municipalities participate in a public health district or shared service arrangement, approaches that allow LBOHs to centralize some services.</w:t>
      </w:r>
      <w:r w:rsidRPr="00E226D7">
        <w:rPr>
          <w:rFonts w:ascii="Arial" w:hAnsi="Arial" w:cs="Arial"/>
          <w:color w:val="2B579A"/>
          <w:szCs w:val="24"/>
        </w:rPr>
        <w:fldChar w:fldCharType="begin"/>
      </w:r>
      <w:r w:rsidRPr="00E226D7">
        <w:rPr>
          <w:rFonts w:ascii="Arial" w:hAnsi="Arial" w:cs="Arial"/>
          <w:szCs w:val="24"/>
        </w:rPr>
        <w:instrText xml:space="preserve"> ADDIN ZOTERO_ITEM CSL_CITATION {"citationID":"2yNZg0H3","properties":{"formattedCitation":"\\super 18\\nosupersub{}","plainCitation":"18","noteIndex":0},"citationItems":[{"id":366,"uris":["http://zotero.org/groups/2444171/items/V33GL4HI"],"uri":["http://zotero.org/groups/2444171/items/V33GL4HI"],"itemData":{"id":366,"type":"webpage","abstract":"Resources for cross-jurisdictional sharing of public health services and a description of the public health districts in Massachusetts","container-title":"Mass.gov","language":"en","title":"Public health shared services","URL":"https://www.mass.gov/service-details/public-health-shared-services","accessed":{"date-parts":[["2022",2,18]]}}}],"schema":"https://github.com/citation-style-language/schema/raw/master/csl-citation.json"} </w:instrText>
      </w:r>
      <w:r w:rsidRPr="00E226D7">
        <w:rPr>
          <w:rFonts w:ascii="Arial" w:hAnsi="Arial" w:cs="Arial"/>
          <w:color w:val="2B579A"/>
          <w:szCs w:val="24"/>
        </w:rPr>
        <w:fldChar w:fldCharType="separate"/>
      </w:r>
      <w:r w:rsidRPr="00E226D7">
        <w:rPr>
          <w:rFonts w:ascii="Arial" w:hAnsi="Arial" w:cs="Arial"/>
          <w:szCs w:val="24"/>
          <w:vertAlign w:val="superscript"/>
        </w:rPr>
        <w:t>18</w:t>
      </w:r>
      <w:r w:rsidRPr="00E226D7">
        <w:rPr>
          <w:rFonts w:ascii="Arial" w:hAnsi="Arial" w:cs="Arial"/>
          <w:color w:val="2B579A"/>
          <w:szCs w:val="24"/>
        </w:rPr>
        <w:fldChar w:fldCharType="end"/>
      </w:r>
      <w:r w:rsidRPr="00E226D7">
        <w:rPr>
          <w:rFonts w:ascii="Arial" w:hAnsi="Arial" w:cs="Arial"/>
          <w:szCs w:val="24"/>
        </w:rPr>
        <w:t xml:space="preserve"> In some instances, LBOHs collaborate to tackle specific public health issues, like air quality or hazardous waste management. Other approaches involve communities within a region sharing public health services, like public health nursing services, inspectional services, or animal control services.</w:t>
      </w:r>
      <w:r w:rsidRPr="00E226D7">
        <w:rPr>
          <w:rFonts w:ascii="Arial" w:hAnsi="Arial" w:cs="Arial"/>
          <w:szCs w:val="24"/>
        </w:rPr>
        <w:fldChar w:fldCharType="begin"/>
      </w:r>
      <w:r w:rsidRPr="00E226D7">
        <w:rPr>
          <w:rFonts w:ascii="Arial" w:hAnsi="Arial" w:cs="Arial"/>
          <w:szCs w:val="24"/>
        </w:rPr>
        <w:instrText xml:space="preserve"> ADDIN ZOTERO_ITEM CSL_CITATION {"citationID":"JRfBlaai","properties":{"formattedCitation":"\\super 19\\nosupersub{}","plainCitation":"19","noteIndex":0},"citationItems":[{"id":405,"uris":["http://zotero.org/groups/2444171/items/BGGKVNAT"],"uri":["http://zotero.org/groups/2444171/items/BGGKVNAT"],"itemData":{"id":405,"type":"webpage","abstract":"The Massachusetts Department of Public Health (DPH), Office of Local and Regional Health (OLRH), launched the Massachusetts Municipal Public Health Shared Services grant program in January 2020 with funding from the FY2020 state budget.","container-title":"Mass.gov","language":"en","title":"State Action for Public Health Excellence (SAPHE) Program","URL":"https://www.mass.gov/info-details/state-action-for-public-health-excellence-saphe-program","accessed":{"date-parts":[["2022",3,16]]}}}],"schema":"https://github.com/citation-style-language/schema/raw/master/csl-citation.json"} </w:instrText>
      </w:r>
      <w:r w:rsidRPr="00E226D7">
        <w:rPr>
          <w:rFonts w:ascii="Arial" w:hAnsi="Arial" w:cs="Arial"/>
          <w:szCs w:val="24"/>
        </w:rPr>
        <w:fldChar w:fldCharType="separate"/>
      </w:r>
      <w:r w:rsidRPr="00E226D7">
        <w:rPr>
          <w:rFonts w:ascii="Arial" w:hAnsi="Arial" w:cs="Arial"/>
          <w:szCs w:val="24"/>
          <w:vertAlign w:val="superscript"/>
        </w:rPr>
        <w:t>19</w:t>
      </w:r>
      <w:r w:rsidRPr="00E226D7">
        <w:rPr>
          <w:rFonts w:ascii="Arial" w:hAnsi="Arial" w:cs="Arial"/>
          <w:szCs w:val="24"/>
        </w:rPr>
        <w:fldChar w:fldCharType="end"/>
      </w:r>
      <w:r w:rsidRPr="00E226D7">
        <w:rPr>
          <w:rFonts w:ascii="Arial" w:hAnsi="Arial" w:cs="Arial"/>
          <w:szCs w:val="24"/>
        </w:rPr>
        <w:t xml:space="preserve"> These cross-jurisdictional arrangements generally have more capacity than individual LBOHs to administer voluntary programs. However, like their municipal counterparts, these collective </w:t>
      </w:r>
      <w:r w:rsidRPr="00E226D7">
        <w:rPr>
          <w:rFonts w:ascii="Arial" w:hAnsi="Arial" w:cs="Arial"/>
          <w:szCs w:val="24"/>
        </w:rPr>
        <w:lastRenderedPageBreak/>
        <w:t xml:space="preserve">arrangements face limitations and inconsistencies in funding and remain unprepared to address the impending challenges of addressing older adult falls. </w:t>
      </w:r>
    </w:p>
    <w:p w14:paraId="6315D6D0" w14:textId="77777777" w:rsidR="00710261" w:rsidRDefault="00710261" w:rsidP="00B60C0B">
      <w:pPr>
        <w:rPr>
          <w:rFonts w:ascii="Arial" w:hAnsi="Arial" w:cs="Arial"/>
          <w:szCs w:val="24"/>
        </w:rPr>
      </w:pPr>
    </w:p>
    <w:p w14:paraId="78CD597F" w14:textId="22C10CD4" w:rsidR="00B60C0B" w:rsidRPr="00E226D7" w:rsidRDefault="00B60C0B" w:rsidP="00B60C0B">
      <w:pPr>
        <w:rPr>
          <w:rFonts w:ascii="Arial" w:hAnsi="Arial" w:cs="Arial"/>
          <w:szCs w:val="24"/>
        </w:rPr>
      </w:pPr>
      <w:r w:rsidRPr="00E226D7">
        <w:rPr>
          <w:rFonts w:ascii="Arial" w:hAnsi="Arial" w:cs="Arial"/>
          <w:szCs w:val="24"/>
        </w:rPr>
        <w:t>The challenges in capacity for fall-related work are further ameliorated in some communities by the responsibility for activities being shared across a wider range of organizations than a sole LBOH. Through initiatives like the Community Emergency Medical Services (CEMS) program, EMS providers in a given community can offer high-value, low-risk prevention services like falls screenings and simple home modifications.</w:t>
      </w:r>
      <w:r w:rsidRPr="00E226D7">
        <w:rPr>
          <w:rFonts w:ascii="Arial" w:hAnsi="Arial" w:cs="Arial"/>
          <w:color w:val="2B579A"/>
          <w:szCs w:val="24"/>
        </w:rPr>
        <w:fldChar w:fldCharType="begin"/>
      </w:r>
      <w:r w:rsidRPr="00E226D7">
        <w:rPr>
          <w:rFonts w:ascii="Arial" w:hAnsi="Arial" w:cs="Arial"/>
          <w:szCs w:val="24"/>
        </w:rPr>
        <w:instrText xml:space="preserve"> ADDIN ZOTERO_ITEM CSL_CITATION {"citationID":"TgQ9YuA5","properties":{"formattedCitation":"\\super 20\\nosupersub{}","plainCitation":"20","noteIndex":0},"citationItems":[{"id":365,"uris":["http://zotero.org/groups/2444171/items/5CXF2BFQ"],"uri":["http://zotero.org/groups/2444171/items/5CXF2BFQ"],"itemData":{"id":365,"type":"legislation","title":"105 Mass. Code Regs. 173.060 (2021)"}}],"schema":"https://github.com/citation-style-language/schema/raw/master/csl-citation.json"} </w:instrText>
      </w:r>
      <w:r w:rsidRPr="00E226D7">
        <w:rPr>
          <w:rFonts w:ascii="Arial" w:hAnsi="Arial" w:cs="Arial"/>
          <w:color w:val="2B579A"/>
          <w:szCs w:val="24"/>
        </w:rPr>
        <w:fldChar w:fldCharType="separate"/>
      </w:r>
      <w:r w:rsidRPr="00E226D7">
        <w:rPr>
          <w:rFonts w:ascii="Arial" w:hAnsi="Arial" w:cs="Arial"/>
          <w:szCs w:val="24"/>
          <w:vertAlign w:val="superscript"/>
        </w:rPr>
        <w:t>20</w:t>
      </w:r>
      <w:r w:rsidRPr="00E226D7">
        <w:rPr>
          <w:rFonts w:ascii="Arial" w:hAnsi="Arial" w:cs="Arial"/>
          <w:color w:val="2B579A"/>
          <w:szCs w:val="24"/>
        </w:rPr>
        <w:fldChar w:fldCharType="end"/>
      </w:r>
      <w:r w:rsidRPr="00E226D7">
        <w:rPr>
          <w:rFonts w:ascii="Arial" w:hAnsi="Arial" w:cs="Arial"/>
          <w:szCs w:val="24"/>
        </w:rPr>
        <w:t xml:space="preserve"> Area Agencies on Aging and Aging Service Access Points, other community-based organizations like YMCAs and senior centers, and hospitals all frequently offer falls prevention screenings, evidence-based programs like Matter of Balance and Tai Chi, and referrals to those programs. Still, as with local boards of health, the availability of fall-related programming through these and similar agencies is dependent on their capacity and funding, which similarly varies across the state. </w:t>
      </w:r>
    </w:p>
    <w:p w14:paraId="1A623C6B" w14:textId="77777777" w:rsidR="00710261" w:rsidRDefault="00710261" w:rsidP="00B60C0B">
      <w:pPr>
        <w:rPr>
          <w:rFonts w:ascii="Arial" w:hAnsi="Arial" w:cs="Arial"/>
          <w:szCs w:val="24"/>
        </w:rPr>
      </w:pPr>
    </w:p>
    <w:p w14:paraId="78EF61AF" w14:textId="57DED36F" w:rsidR="00B60C0B" w:rsidRPr="00E226D7" w:rsidRDefault="00B60C0B" w:rsidP="00B60C0B">
      <w:pPr>
        <w:rPr>
          <w:rFonts w:ascii="Arial" w:hAnsi="Arial" w:cs="Arial"/>
          <w:szCs w:val="24"/>
        </w:rPr>
      </w:pPr>
      <w:r w:rsidRPr="00E226D7">
        <w:rPr>
          <w:rFonts w:ascii="Arial" w:hAnsi="Arial" w:cs="Arial"/>
          <w:szCs w:val="24"/>
        </w:rPr>
        <w:t xml:space="preserve">Finally, workforce shortages—particularly among community health workers, home health aides, and case managers—restrict the ability of organizations to implement falls prevention activities. This issue has received extensive attention by the </w:t>
      </w:r>
      <w:hyperlink r:id="rId24">
        <w:r w:rsidRPr="00E226D7">
          <w:rPr>
            <w:rStyle w:val="Hyperlink"/>
            <w:rFonts w:ascii="Arial" w:hAnsi="Arial" w:cs="Arial"/>
            <w:szCs w:val="24"/>
          </w:rPr>
          <w:t>Special Commission on Local and Regional Public Health</w:t>
        </w:r>
      </w:hyperlink>
      <w:r w:rsidRPr="00E226D7">
        <w:rPr>
          <w:rFonts w:ascii="Arial" w:hAnsi="Arial" w:cs="Arial"/>
          <w:szCs w:val="24"/>
        </w:rPr>
        <w:t>, which noted that workforce challenges in local boards of health are particularly vexing:</w:t>
      </w:r>
    </w:p>
    <w:p w14:paraId="39DF9001" w14:textId="77777777" w:rsidR="00710261" w:rsidRDefault="00710261" w:rsidP="00B60C0B">
      <w:pPr>
        <w:rPr>
          <w:rFonts w:ascii="Arial" w:hAnsi="Arial" w:cs="Arial"/>
          <w:szCs w:val="24"/>
        </w:rPr>
      </w:pPr>
    </w:p>
    <w:p w14:paraId="12835CDB" w14:textId="45B48859" w:rsidR="00B60C0B" w:rsidRPr="00E226D7" w:rsidRDefault="00B60C0B" w:rsidP="00B60C0B">
      <w:pPr>
        <w:rPr>
          <w:rFonts w:ascii="Arial" w:hAnsi="Arial" w:cs="Arial"/>
          <w:szCs w:val="24"/>
        </w:rPr>
      </w:pPr>
      <w:r w:rsidRPr="00E226D7">
        <w:rPr>
          <w:rFonts w:ascii="Arial" w:hAnsi="Arial" w:cs="Arial"/>
          <w:szCs w:val="24"/>
        </w:rPr>
        <w:t>“The local public health workforce is a grab bag of trained and experienced staff, untrained and inexperienced staff, contractors, volunteers, and board members who, regardless of professional background, may fill in as needed…. The personnel crisis tends to be even worse in small towns and rural areas, hamstrung by small budgets, geographic isolation, and a lack of infrastructure.”</w:t>
      </w:r>
      <w:r w:rsidRPr="00E226D7">
        <w:rPr>
          <w:rFonts w:ascii="Arial" w:hAnsi="Arial" w:cs="Arial"/>
          <w:color w:val="2B579A"/>
          <w:szCs w:val="24"/>
        </w:rPr>
        <w:fldChar w:fldCharType="begin"/>
      </w:r>
      <w:r w:rsidRPr="00E226D7">
        <w:rPr>
          <w:rFonts w:ascii="Arial" w:hAnsi="Arial" w:cs="Arial"/>
          <w:szCs w:val="24"/>
        </w:rPr>
        <w:instrText xml:space="preserve"> ADDIN ZOTERO_ITEM CSL_CITATION {"citationID":"0xEAOMz7","properties":{"formattedCitation":"\\super 17\\nosupersub{}","plainCitation":"17","noteIndex":0},"citationItems":[{"id":174,"uris":["http://zotero.org/groups/2444171/items/VR7L7FWS"],"uri":["http://zotero.org/groups/2444171/items/VR7L7FWS"],"itemData":{"id":174,"type":"report","title":"Blueprint for Public Health Excellence: Recommendations for Improved Effectiveness and Efficiency of Local Public Health Protections","author":[{"literal":"Special Commission on Local and Regional Public Health"}],"issued":{"date-parts":[["2019",6]]}}}],"schema":"https://github.com/citation-style-language/schema/raw/master/csl-citation.json"} </w:instrText>
      </w:r>
      <w:r w:rsidRPr="00E226D7">
        <w:rPr>
          <w:rFonts w:ascii="Arial" w:hAnsi="Arial" w:cs="Arial"/>
          <w:color w:val="2B579A"/>
          <w:szCs w:val="24"/>
        </w:rPr>
        <w:fldChar w:fldCharType="separate"/>
      </w:r>
      <w:r w:rsidRPr="00E226D7">
        <w:rPr>
          <w:rFonts w:ascii="Arial" w:hAnsi="Arial" w:cs="Arial"/>
          <w:szCs w:val="24"/>
          <w:vertAlign w:val="superscript"/>
        </w:rPr>
        <w:t>17</w:t>
      </w:r>
      <w:r w:rsidRPr="00E226D7">
        <w:rPr>
          <w:rFonts w:ascii="Arial" w:hAnsi="Arial" w:cs="Arial"/>
          <w:color w:val="2B579A"/>
          <w:szCs w:val="24"/>
        </w:rPr>
        <w:fldChar w:fldCharType="end"/>
      </w:r>
    </w:p>
    <w:p w14:paraId="4A946D57" w14:textId="77777777" w:rsidR="00710261" w:rsidRDefault="00710261" w:rsidP="00B60C0B">
      <w:pPr>
        <w:rPr>
          <w:rFonts w:ascii="Arial" w:hAnsi="Arial" w:cs="Arial"/>
          <w:szCs w:val="24"/>
        </w:rPr>
      </w:pPr>
    </w:p>
    <w:p w14:paraId="548DEEC9" w14:textId="50A44FC1" w:rsidR="00B60C0B" w:rsidRPr="00E226D7" w:rsidRDefault="00B60C0B" w:rsidP="00B60C0B">
      <w:pPr>
        <w:rPr>
          <w:rFonts w:ascii="Arial" w:hAnsi="Arial" w:cs="Arial"/>
          <w:szCs w:val="24"/>
        </w:rPr>
      </w:pPr>
      <w:r w:rsidRPr="00E226D7">
        <w:rPr>
          <w:rFonts w:ascii="Arial" w:hAnsi="Arial" w:cs="Arial"/>
          <w:szCs w:val="24"/>
        </w:rPr>
        <w:t>The early stages of the COVID-19 pandemic have exacerbated staffing shortages throughout public health infrastructure and allied health professions, with personal care attendants and home health aides being particularly affected by the risk of exposure and limited public transportation.</w:t>
      </w:r>
      <w:r w:rsidRPr="00E226D7">
        <w:rPr>
          <w:rFonts w:ascii="Arial" w:hAnsi="Arial" w:cs="Arial"/>
          <w:color w:val="2B579A"/>
          <w:szCs w:val="24"/>
        </w:rPr>
        <w:fldChar w:fldCharType="begin"/>
      </w:r>
      <w:r w:rsidRPr="00E226D7">
        <w:rPr>
          <w:rFonts w:ascii="Arial" w:hAnsi="Arial" w:cs="Arial"/>
          <w:szCs w:val="24"/>
        </w:rPr>
        <w:instrText xml:space="preserve"> ADDIN ZOTERO_ITEM CSL_CITATION {"citationID":"fBvogfHa","properties":{"formattedCitation":"\\super 21,22\\nosupersub{}","plainCitation":"21,22","noteIndex":0},"citationItems":[{"id":332,"uris":["http://zotero.org/groups/2444171/items/KEFY5N2W"],"uri":["http://zotero.org/groups/2444171/items/KEFY5N2W"],"itemData":{"id":332,"type":"report","publisher":"Havard Kennedy School","title":"COVID-19 and the Changing Massachusetts Healthcare Workforce","author":[{"family":"Taube","given":"Stephanie"},{"family":"Lispon","given":"Rachel"}],"issued":{"date-parts":[["2021",9]]}}},{"id":334,"uris":["http://zotero.org/groups/2444171/items/S8GF34VK"],"uri":["http://zotero.org/groups/2444171/items/S8GF34VK"],"itemData":{"id":334,"type":"report","title":"The Impact of COVID-19 on Home Health and Home Care in Massachusetts","URL":"https://betsylehmancenterma.gov/assets/uploads/HomeCare_Report.pdf","author":[{"literal":"Betsy Lehman Center for Patient Safety"}],"accessed":{"date-parts":[["2022",1,25]]},"issued":{"date-parts":[["2020",12]]}}}],"schema":"https://github.com/citation-style-language/schema/raw/master/csl-citation.json"} </w:instrText>
      </w:r>
      <w:r w:rsidRPr="00E226D7">
        <w:rPr>
          <w:rFonts w:ascii="Arial" w:hAnsi="Arial" w:cs="Arial"/>
          <w:color w:val="2B579A"/>
          <w:szCs w:val="24"/>
        </w:rPr>
        <w:fldChar w:fldCharType="separate"/>
      </w:r>
      <w:r w:rsidRPr="00E226D7">
        <w:rPr>
          <w:rFonts w:ascii="Arial" w:hAnsi="Arial" w:cs="Arial"/>
          <w:szCs w:val="24"/>
          <w:vertAlign w:val="superscript"/>
        </w:rPr>
        <w:t>21,22</w:t>
      </w:r>
      <w:r w:rsidRPr="00E226D7">
        <w:rPr>
          <w:rFonts w:ascii="Arial" w:hAnsi="Arial" w:cs="Arial"/>
          <w:color w:val="2B579A"/>
          <w:szCs w:val="24"/>
        </w:rPr>
        <w:fldChar w:fldCharType="end"/>
      </w:r>
    </w:p>
    <w:p w14:paraId="3F1D8B66" w14:textId="77777777" w:rsidR="00710261" w:rsidRDefault="00710261" w:rsidP="00B60C0B">
      <w:pPr>
        <w:rPr>
          <w:rFonts w:ascii="Arial" w:hAnsi="Arial" w:cs="Arial"/>
          <w:szCs w:val="24"/>
        </w:rPr>
      </w:pPr>
    </w:p>
    <w:p w14:paraId="640E7BD2" w14:textId="6B79A8EF" w:rsidR="00B60C0B" w:rsidRDefault="00B60C0B" w:rsidP="00B60C0B">
      <w:pPr>
        <w:rPr>
          <w:rFonts w:ascii="Arial" w:hAnsi="Arial" w:cs="Arial"/>
          <w:szCs w:val="24"/>
        </w:rPr>
      </w:pPr>
      <w:r w:rsidRPr="00E226D7">
        <w:rPr>
          <w:rFonts w:ascii="Arial" w:hAnsi="Arial" w:cs="Arial"/>
          <w:szCs w:val="24"/>
        </w:rPr>
        <w:t xml:space="preserve">Ultimately, a robust, locally-informed approach to falls prevention requires improved financial support for LBOHs and community-based organizations to support collaboration both within and across municipalities. LBOHs that can both work with partners in their municipalities and harness the economy of regional cooperation will be better positioned to improve the availability, effectiveness, and efficiency of falls prevention activities: education of residents about fall risk factors; coordination or provision of direct services to older adults; and collaboration with planning entities, public works departments, and other stakeholders to improve the built environment. </w:t>
      </w:r>
    </w:p>
    <w:p w14:paraId="3552D3B5" w14:textId="77777777" w:rsidR="00710261" w:rsidRPr="00E226D7" w:rsidRDefault="00710261" w:rsidP="00B60C0B">
      <w:pPr>
        <w:rPr>
          <w:rFonts w:ascii="Arial" w:hAnsi="Arial" w:cs="Arial"/>
          <w:szCs w:val="24"/>
        </w:rPr>
      </w:pPr>
    </w:p>
    <w:p w14:paraId="1AB10939" w14:textId="77777777" w:rsidR="00B60C0B" w:rsidRPr="00E226D7" w:rsidRDefault="00B60C0B" w:rsidP="00B60C0B">
      <w:pPr>
        <w:pStyle w:val="RecommendationBox"/>
        <w:rPr>
          <w:rFonts w:ascii="Arial" w:hAnsi="Arial" w:cs="Arial"/>
        </w:rPr>
      </w:pPr>
      <w:r w:rsidRPr="00E226D7">
        <w:rPr>
          <w:rFonts w:ascii="Arial" w:hAnsi="Arial" w:cs="Arial"/>
        </w:rPr>
        <w:t xml:space="preserve">The Commission recommends that the Commonwealth allocate resources to support regional approaches to implementation of evidence-based falls prevention practices by local boards of health and partner agencies. </w:t>
      </w:r>
    </w:p>
    <w:p w14:paraId="14BB92B2" w14:textId="77777777" w:rsidR="00B60C0B" w:rsidRPr="00E226D7" w:rsidRDefault="00B60C0B" w:rsidP="00B60C0B">
      <w:pPr>
        <w:rPr>
          <w:rFonts w:ascii="Arial" w:hAnsi="Arial" w:cs="Arial"/>
          <w:szCs w:val="24"/>
        </w:rPr>
        <w:sectPr w:rsidR="00B60C0B" w:rsidRPr="00E226D7" w:rsidSect="007F0C6C">
          <w:footerReference w:type="default" r:id="rId25"/>
          <w:footnotePr>
            <w:numFmt w:val="lowerLetter"/>
          </w:footnotePr>
          <w:pgSz w:w="12240" w:h="15840"/>
          <w:pgMar w:top="1440" w:right="1440" w:bottom="1440" w:left="1440" w:header="720" w:footer="720" w:gutter="0"/>
          <w:pgNumType w:start="3"/>
          <w:cols w:space="720"/>
          <w:docGrid w:linePitch="360"/>
        </w:sectPr>
      </w:pPr>
    </w:p>
    <w:p w14:paraId="7AF778F9" w14:textId="77777777" w:rsidR="00B60C0B" w:rsidRPr="00E226D7" w:rsidRDefault="00B60C0B" w:rsidP="00B60C0B">
      <w:pPr>
        <w:pStyle w:val="Issue"/>
        <w:rPr>
          <w:rFonts w:ascii="Arial" w:hAnsi="Arial" w:cs="Arial"/>
        </w:rPr>
      </w:pPr>
      <w:r w:rsidRPr="00E226D7">
        <w:rPr>
          <w:rFonts w:ascii="Arial" w:hAnsi="Arial" w:cs="Arial"/>
        </w:rPr>
        <w:lastRenderedPageBreak/>
        <w:t>Issue 2: An effective systemic approach to falls prevention requires sustained, long-term investments in the built environment.</w:t>
      </w:r>
    </w:p>
    <w:p w14:paraId="02E8DF26" w14:textId="77777777" w:rsidR="00B60C0B" w:rsidRPr="00E226D7" w:rsidRDefault="00B60C0B" w:rsidP="00B60C0B">
      <w:pPr>
        <w:rPr>
          <w:rFonts w:ascii="Arial" w:hAnsi="Arial" w:cs="Arial"/>
          <w:szCs w:val="24"/>
        </w:rPr>
      </w:pPr>
      <w:r w:rsidRPr="00E226D7">
        <w:rPr>
          <w:rFonts w:ascii="Arial" w:hAnsi="Arial" w:cs="Arial"/>
          <w:szCs w:val="24"/>
        </w:rPr>
        <w:t>The built environment plays a major role in the occurrence of older adult falls. Fall risks are influenced both by how homes and public spaces are designed and used.</w:t>
      </w:r>
    </w:p>
    <w:p w14:paraId="7AD8B609" w14:textId="77777777" w:rsidR="00CA5B1E" w:rsidRDefault="00CA5B1E" w:rsidP="00B60C0B">
      <w:pPr>
        <w:rPr>
          <w:rFonts w:ascii="Arial" w:hAnsi="Arial" w:cs="Arial"/>
          <w:szCs w:val="24"/>
        </w:rPr>
      </w:pPr>
    </w:p>
    <w:p w14:paraId="3AC55D7E" w14:textId="62E4B3F5" w:rsidR="00B60C0B" w:rsidRPr="00E226D7" w:rsidRDefault="00B60C0B" w:rsidP="00B60C0B">
      <w:pPr>
        <w:rPr>
          <w:rFonts w:ascii="Arial" w:hAnsi="Arial" w:cs="Arial"/>
          <w:szCs w:val="24"/>
        </w:rPr>
      </w:pPr>
      <w:r w:rsidRPr="00E226D7">
        <w:rPr>
          <w:rFonts w:ascii="Arial" w:hAnsi="Arial" w:cs="Arial"/>
          <w:szCs w:val="24"/>
        </w:rPr>
        <w:t>Sixty percent of fatal falls occur in the home.</w:t>
      </w:r>
      <w:r w:rsidRPr="00E226D7">
        <w:rPr>
          <w:rFonts w:ascii="Arial" w:hAnsi="Arial" w:cs="Arial"/>
          <w:szCs w:val="24"/>
        </w:rPr>
        <w:fldChar w:fldCharType="begin"/>
      </w:r>
      <w:r w:rsidRPr="00E226D7">
        <w:rPr>
          <w:rFonts w:ascii="Arial" w:hAnsi="Arial" w:cs="Arial"/>
          <w:szCs w:val="24"/>
        </w:rPr>
        <w:instrText xml:space="preserve"> ADDIN ZOTERO_ITEM CSL_CITATION {"citationID":"SS4bTUxv","properties":{"formattedCitation":"\\super 8\\nosupersub{}","plainCitation":"8","noteIndex":0},"citationItems":[{"id":409,"uris":["http://zotero.org/groups/2444171/items/GC3HP7E6"],"uri":["http://zotero.org/groups/2444171/items/GC3HP7E6"],"itemData":{"id":409,"type":"article","title":"2020 Death File","author":[{"literal":"Registry of Vital Records and Statistics, Massachusetts Department of Public Health"}]}}],"schema":"https://github.com/citation-style-language/schema/raw/master/csl-citation.json"} </w:instrText>
      </w:r>
      <w:r w:rsidRPr="00E226D7">
        <w:rPr>
          <w:rFonts w:ascii="Arial" w:hAnsi="Arial" w:cs="Arial"/>
          <w:szCs w:val="24"/>
        </w:rPr>
        <w:fldChar w:fldCharType="separate"/>
      </w:r>
      <w:r w:rsidRPr="00E226D7">
        <w:rPr>
          <w:rFonts w:ascii="Arial" w:hAnsi="Arial" w:cs="Arial"/>
          <w:szCs w:val="24"/>
          <w:vertAlign w:val="superscript"/>
        </w:rPr>
        <w:t>8</w:t>
      </w:r>
      <w:r w:rsidRPr="00E226D7">
        <w:rPr>
          <w:rFonts w:ascii="Arial" w:hAnsi="Arial" w:cs="Arial"/>
          <w:szCs w:val="24"/>
        </w:rPr>
        <w:fldChar w:fldCharType="end"/>
      </w:r>
      <w:r w:rsidRPr="00E226D7">
        <w:rPr>
          <w:rFonts w:ascii="Arial" w:hAnsi="Arial" w:cs="Arial"/>
          <w:szCs w:val="24"/>
        </w:rPr>
        <w:t xml:space="preserve"> When older adults fall, the injury is frequently attributable to the interaction between factors in the environment—such as tripping hazards or a lack of grab bars—and other factors like dizziness from medications or reduced physical strength. Strong evidence supports home modifications that address environmental factors as an effective approach to preventing falls.</w:t>
      </w:r>
      <w:r w:rsidRPr="00E226D7">
        <w:rPr>
          <w:rFonts w:ascii="Arial" w:hAnsi="Arial" w:cs="Arial"/>
          <w:color w:val="2B579A"/>
          <w:szCs w:val="24"/>
        </w:rPr>
        <w:fldChar w:fldCharType="begin"/>
      </w:r>
      <w:r w:rsidRPr="00E226D7">
        <w:rPr>
          <w:rFonts w:ascii="Arial" w:hAnsi="Arial" w:cs="Arial"/>
          <w:szCs w:val="24"/>
        </w:rPr>
        <w:instrText xml:space="preserve"> ADDIN ZOTERO_ITEM CSL_CITATION {"citationID":"ZNlbEgfY","properties":{"formattedCitation":"\\super 23\\nosupersub{}","plainCitation":"23","noteIndex":0},"citationItems":[{"id":326,"uris":["http://zotero.org/groups/2444171/items/4F3MUUTM"],"uri":["http://zotero.org/groups/2444171/items/4F3MUUTM"],"itemData":{"id":326,"type":"article-journal","container-title":"Cochrane Database of Systematic Reviews","DOI":"10.1002/14651858.CD007146.pub3","ISSN":"1465-1858","issue":"9","language":"en","note":"publisher: John Wiley &amp; Sons, Ltd","source":"www-cochranelibrary-com.silk.library.umass.edu","title":"Interventions for preventing falls in older people living in the community","URL":"https://www-cochranelibrary-com.silk.library.umass.edu/cdsr/doi/10.1002/14651858.CD007146.pub3/full","author":[{"family":"Gillespie","given":"Lesley D."},{"family":"Robertson","given":"M. Clare"},{"family":"Gillespie","given":"William J."},{"family":"Sherrington","given":"Catherine"},{"family":"Gates","given":"Simon"},{"family":"Clemson","given":"Lindy"},{"family":"Lamb","given":"Sarah E."}],"accessed":{"date-parts":[["2022",1,25]]},"issued":{"date-parts":[["2012"]]}}}],"schema":"https://github.com/citation-style-language/schema/raw/master/csl-citation.json"} </w:instrText>
      </w:r>
      <w:r w:rsidRPr="00E226D7">
        <w:rPr>
          <w:rFonts w:ascii="Arial" w:hAnsi="Arial" w:cs="Arial"/>
          <w:color w:val="2B579A"/>
          <w:szCs w:val="24"/>
        </w:rPr>
        <w:fldChar w:fldCharType="separate"/>
      </w:r>
      <w:r w:rsidRPr="00E226D7">
        <w:rPr>
          <w:rFonts w:ascii="Arial" w:hAnsi="Arial" w:cs="Arial"/>
          <w:szCs w:val="24"/>
          <w:vertAlign w:val="superscript"/>
        </w:rPr>
        <w:t>23</w:t>
      </w:r>
      <w:r w:rsidRPr="00E226D7">
        <w:rPr>
          <w:rFonts w:ascii="Arial" w:hAnsi="Arial" w:cs="Arial"/>
          <w:color w:val="2B579A"/>
          <w:szCs w:val="24"/>
        </w:rPr>
        <w:fldChar w:fldCharType="end"/>
      </w:r>
      <w:r w:rsidRPr="00E226D7">
        <w:rPr>
          <w:rFonts w:ascii="Arial" w:hAnsi="Arial" w:cs="Arial"/>
          <w:szCs w:val="24"/>
        </w:rPr>
        <w:t xml:space="preserve"> Although some minimal modifications can be accomplished in some communities through interventions like the Community Emergency Medical Services program, there is no statewide program that can support residents in making a wider range of home modifications to reduce injury risk.</w:t>
      </w:r>
    </w:p>
    <w:p w14:paraId="4CFEEF7B" w14:textId="77777777" w:rsidR="00CA5B1E" w:rsidRDefault="00CA5B1E" w:rsidP="00B60C0B">
      <w:pPr>
        <w:rPr>
          <w:rFonts w:ascii="Arial" w:hAnsi="Arial" w:cs="Arial"/>
          <w:szCs w:val="24"/>
        </w:rPr>
      </w:pPr>
    </w:p>
    <w:p w14:paraId="40A07674" w14:textId="6B361467" w:rsidR="00B60C0B" w:rsidRDefault="00B60C0B" w:rsidP="00B60C0B">
      <w:pPr>
        <w:rPr>
          <w:rFonts w:ascii="Arial" w:hAnsi="Arial" w:cs="Arial"/>
          <w:color w:val="2B579A"/>
          <w:szCs w:val="24"/>
          <w:shd w:val="clear" w:color="auto" w:fill="E6E6E6"/>
        </w:rPr>
      </w:pPr>
      <w:r w:rsidRPr="00E226D7">
        <w:rPr>
          <w:rFonts w:ascii="Arial" w:hAnsi="Arial" w:cs="Arial"/>
          <w:szCs w:val="24"/>
        </w:rPr>
        <w:t>In the energy conservation space, the MassSAVE program offers a promising model of a similar intervention. Through contractors, MassSAVE provides homeowners and landlords with no-cost home energy assessments. Homeowners are provided with simple energy-saving modifications during the assessment; they also become eligible to receive certain no-cost energy-saving products, rebates towards the purchase of energy-efficient appliances, and loans towards more expensive energy-saving home modifications. A comparable program aimed at addressing in-home injury risks—including fall risks—could greatly reduce the impact of older adult falls by removing hazards and serving as a point of referral to connect older adults with evidence-based programs in their communities. The program would engage occupational therapists around assessments for home modifications, coordinate and subsidize construction or installation services by third-party contractors, follow up with residents to ensure that modifications were performed correctly, and refer residents to other evidence-based programs as needed.</w:t>
      </w:r>
      <w:r w:rsidRPr="00E226D7">
        <w:rPr>
          <w:rFonts w:ascii="Arial" w:hAnsi="Arial" w:cs="Arial"/>
          <w:szCs w:val="24"/>
        </w:rPr>
        <w:fldChar w:fldCharType="begin"/>
      </w:r>
      <w:r w:rsidRPr="00E226D7">
        <w:rPr>
          <w:rFonts w:ascii="Arial" w:hAnsi="Arial" w:cs="Arial"/>
          <w:szCs w:val="24"/>
        </w:rPr>
        <w:instrText xml:space="preserve"> ADDIN ZOTERO_ITEM CSL_CITATION {"citationID":"vEF7JauP","properties":{"formattedCitation":"\\super 24\\nosupersub{}","plainCitation":"24","noteIndex":0},"citationItems":[{"id":414,"uris":["http://zotero.org/groups/2444171/items/M9ZISQR5"],"uri":["http://zotero.org/groups/2444171/items/M9ZISQR5"],"itemData":{"id":414,"type":"article-journal","abstract":"OBJECTIVES: To assess the effectiveness of an environmental falls prevention intervention delivered by qualified occupational therapists or unqualified trained assessors. DESIGN: A pilot three-armed randomized controlled trial. SETTING: Airedale National Health Service Trust catchment, North and West Yorkshire, England. PARTICIPANTS: Two hundred thirty-eight community-dwelling adults aged 70 and older with a history of falls in the previous year. INTERVENTION: Assessment and modification of the home environment of people at greater risk of falls. MEASUREMENTS: Fear of falling was the primary outcome measure, and an analysis of covariance was conducted on the area under the curve at 12 months. As a secondary outcome, falls were analysed using negative binomial regression. Quality of life and independence in activities of daily living (ADLs) were also measured. RESULTS: The intervention had no effect on fear of falling (P=.63). The occupational therapy group had significantly fewer falls than controls 12 months after the assessment (incidence rate ratio (IRR)=0.54, 95% confidence interval (CI)=0.36–0.83, P=.005). There was no significant effect on falls in the trained assessor group (IRR=0.78, 95% CI=0.51–1.21, P=.34). CONCLUSION: Environmental assessment had no effect on fear of falling. Environmental assessment prescribed by an occupational therapist significantly reduced the number of falls in high-risk individuals whereas that prescribed by a trained assessor did not. Further research in other settings is needed to confirm this, to explore the mechanisms, and to estimate cost-effectiveness.","container-title":"Journal of the American Geriatrics Society","DOI":"10.1111/j.1532-5415.2010.03221.x","ISSN":"1532-5415","issue":"1","language":"en","note":"_eprint: https://agsjournals.onlinelibrary.wiley.com/doi/pdf/10.1111/j.1532-5415.2010.03221.x","page":"26-33","source":"Wiley Online Library","title":"Environmental Assessment and Modification to Prevent Falls in Older People","URL":"http://onlinelibrary.wiley.com/doi/abs/10.1111/j.1532-5415.2010.03221.x","volume":"59","author":[{"family":"Pighills","given":"Alison C."},{"family":"Torgerson","given":"David J."},{"family":"Sheldon","given":"Trevor A."},{"family":"Drummond","given":"Avril E."},{"family":"Bland","given":"J. Martin"}],"accessed":{"date-parts":[["2022",5,18]]},"issued":{"date-parts":[["2011"]]}}}],"schema":"https://github.com/citation-style-language/schema/raw/master/csl-citation.json"} </w:instrText>
      </w:r>
      <w:r w:rsidRPr="00E226D7">
        <w:rPr>
          <w:rFonts w:ascii="Arial" w:hAnsi="Arial" w:cs="Arial"/>
          <w:szCs w:val="24"/>
        </w:rPr>
        <w:fldChar w:fldCharType="separate"/>
      </w:r>
      <w:r w:rsidRPr="00E226D7">
        <w:rPr>
          <w:rFonts w:ascii="Arial" w:hAnsi="Arial" w:cs="Arial"/>
          <w:szCs w:val="24"/>
          <w:vertAlign w:val="superscript"/>
        </w:rPr>
        <w:t>24</w:t>
      </w:r>
      <w:r w:rsidRPr="00E226D7">
        <w:rPr>
          <w:rFonts w:ascii="Arial" w:hAnsi="Arial" w:cs="Arial"/>
          <w:szCs w:val="24"/>
        </w:rPr>
        <w:fldChar w:fldCharType="end"/>
      </w:r>
      <w:r w:rsidRPr="00E226D7">
        <w:rPr>
          <w:rFonts w:ascii="Arial" w:hAnsi="Arial" w:cs="Arial"/>
          <w:szCs w:val="24"/>
        </w:rPr>
        <w:t xml:space="preserve"> The economic benefit from such an intervention is significant: recent research estimates that “community-dwelling older adults who fall in a given year will have average health care costs $1,500–$2,500 higher than those who do not fall.” In contrast, research on interventions that have provided home modifications as a falls prevention strategy suggests that typically, home modifications—like installing raised toilet seats or grab bars—cost less than $500 on average, including the cost of equipment and installation.</w:t>
      </w:r>
      <w:r w:rsidRPr="00E226D7">
        <w:rPr>
          <w:rFonts w:ascii="Arial" w:hAnsi="Arial" w:cs="Arial"/>
          <w:color w:val="2B579A"/>
          <w:szCs w:val="24"/>
          <w:shd w:val="clear" w:color="auto" w:fill="E6E6E6"/>
        </w:rPr>
        <w:fldChar w:fldCharType="begin"/>
      </w:r>
      <w:r w:rsidRPr="00E226D7">
        <w:rPr>
          <w:rFonts w:ascii="Arial" w:hAnsi="Arial" w:cs="Arial"/>
          <w:szCs w:val="24"/>
        </w:rPr>
        <w:instrText xml:space="preserve"> ADDIN ZOTERO_ITEM CSL_CITATION {"citationID":"qhTyxa1o","properties":{"formattedCitation":"\\super 25\\nosupersub{}","plainCitation":"25","noteIndex":0},"citationItems":[{"id":374,"uris":["http://zotero.org/groups/2444171/items/8958VVID"],"uri":["http://zotero.org/groups/2444171/items/8958VVID"],"itemData":{"id":374,"type":"article-journal","abstract":"Evaluating cost effectiveness of interventions for aging in place is essential for adoption in service settings. We present the cost effectiveness of Advancing Better Living for Elders (ABLE), previously shown in a randomized trial to reduce functional difficulties and mortality in 319 community-dwelling elders. ABLE involved occupational and physical therapy sessions and home modifications to address client-identified functional difficulties, performance goals, and home safety. Incremental cost-effectiveness ratio (ICER), expressed as additional cost to bring about one additional year of life, was calculated. Two models were then developed to account for potential cost differences in implementing ABLE. Probabilistic sensitivity analyses were conducted to account for variations in model parameters. By two years, there were 30 deaths (9: ABLE; 21: control). Additional costs for 1 additional year of life was $13,179 for Model 1 and $14,800 for Model 2. Investment in ABLE may be worthwhile depending on society's willingness to pay.","container-title":"Journal of Aging Research","DOI":"10.1155/2012/680265","ISSN":"2090-2204","journalAbbreviation":"J Aging Res","note":"PMID: 21876812\nPMCID: PMC3157760","page":"680265","source":"PubMed Central","title":"Cost Effectiveness of a Home-Based Intervention That Helps Functionally Vulnerable Older Adults Age in Place at Home","URL":"https://www.ncbi.nlm.nih.gov/pmc/articles/PMC3157760/","volume":"2012","author":[{"family":"Jutkowitz","given":"Eric"},{"family":"Gitlin","given":"Laura N."},{"family":"Pizzi","given":"Laura T."},{"family":"Lee","given":"Edward"},{"family":"Dennis","given":"Marie P."}],"accessed":{"date-parts":[["2022",2,18]]},"issued":{"date-parts":[["2012"]]}}}],"schema":"https://github.com/citation-style-language/schema/raw/master/csl-citation.json"} </w:instrText>
      </w:r>
      <w:r w:rsidRPr="00E226D7">
        <w:rPr>
          <w:rFonts w:ascii="Arial" w:hAnsi="Arial" w:cs="Arial"/>
          <w:color w:val="2B579A"/>
          <w:szCs w:val="24"/>
          <w:shd w:val="clear" w:color="auto" w:fill="E6E6E6"/>
        </w:rPr>
        <w:fldChar w:fldCharType="separate"/>
      </w:r>
      <w:r w:rsidRPr="00E226D7">
        <w:rPr>
          <w:rFonts w:ascii="Arial" w:hAnsi="Arial" w:cs="Arial"/>
          <w:szCs w:val="24"/>
          <w:vertAlign w:val="superscript"/>
        </w:rPr>
        <w:t>25</w:t>
      </w:r>
      <w:r w:rsidRPr="00E226D7">
        <w:rPr>
          <w:rFonts w:ascii="Arial" w:hAnsi="Arial" w:cs="Arial"/>
          <w:color w:val="2B579A"/>
          <w:szCs w:val="24"/>
          <w:shd w:val="clear" w:color="auto" w:fill="E6E6E6"/>
        </w:rPr>
        <w:fldChar w:fldCharType="end"/>
      </w:r>
      <w:r w:rsidRPr="00E226D7">
        <w:rPr>
          <w:rFonts w:ascii="Arial" w:hAnsi="Arial" w:cs="Arial"/>
          <w:szCs w:val="24"/>
        </w:rPr>
        <w:t xml:space="preserve"> In addition to state funding, funding sources to support such a program could include federal grants aimed at reducing older adult falls and creating healthy housing, or expansion of the state’s Home and Community Based Services Medicaid waiver to include reimbursement for home modifications.</w:t>
      </w:r>
      <w:r w:rsidRPr="00E226D7">
        <w:rPr>
          <w:rFonts w:ascii="Arial" w:hAnsi="Arial" w:cs="Arial"/>
          <w:color w:val="2B579A"/>
          <w:szCs w:val="24"/>
          <w:shd w:val="clear" w:color="auto" w:fill="E6E6E6"/>
        </w:rPr>
        <w:t xml:space="preserve"> </w:t>
      </w:r>
    </w:p>
    <w:p w14:paraId="14B9A1A4" w14:textId="77777777" w:rsidR="00CA5B1E" w:rsidRPr="00E226D7" w:rsidRDefault="00CA5B1E" w:rsidP="00B60C0B">
      <w:pPr>
        <w:rPr>
          <w:rFonts w:ascii="Arial" w:hAnsi="Arial" w:cs="Arial"/>
          <w:szCs w:val="24"/>
        </w:rPr>
      </w:pPr>
    </w:p>
    <w:p w14:paraId="66ED1C27" w14:textId="77777777" w:rsidR="00B60C0B" w:rsidRPr="00E226D7" w:rsidRDefault="00B60C0B" w:rsidP="00B60C0B">
      <w:pPr>
        <w:pStyle w:val="RecommendationBox"/>
        <w:rPr>
          <w:rFonts w:ascii="Arial" w:hAnsi="Arial" w:cs="Arial"/>
        </w:rPr>
      </w:pPr>
      <w:bookmarkStart w:id="20" w:name="_Hlk112311515"/>
      <w:r w:rsidRPr="00E226D7">
        <w:rPr>
          <w:rFonts w:ascii="Arial" w:hAnsi="Arial" w:cs="Arial"/>
        </w:rPr>
        <w:t>The Commission recommends that the Commonwealth support the development of a pilot program that pairs home safety assessments—including fall risk assessments supported by occupational therapists—with subsidized home modifications to mitigate injury risk.</w:t>
      </w:r>
      <w:bookmarkEnd w:id="20"/>
    </w:p>
    <w:p w14:paraId="71DF91D3" w14:textId="77777777" w:rsidR="00CA5B1E" w:rsidRDefault="00CA5B1E" w:rsidP="00B60C0B">
      <w:pPr>
        <w:rPr>
          <w:rFonts w:ascii="Arial" w:hAnsi="Arial" w:cs="Arial"/>
          <w:szCs w:val="24"/>
        </w:rPr>
      </w:pPr>
    </w:p>
    <w:p w14:paraId="6DF408D3" w14:textId="307ACB8C" w:rsidR="00B60C0B" w:rsidRDefault="00B60C0B" w:rsidP="00B60C0B">
      <w:pPr>
        <w:rPr>
          <w:rFonts w:ascii="Arial" w:hAnsi="Arial" w:cs="Arial"/>
          <w:szCs w:val="24"/>
        </w:rPr>
      </w:pPr>
      <w:r w:rsidRPr="00E226D7">
        <w:rPr>
          <w:rFonts w:ascii="Arial" w:hAnsi="Arial" w:cs="Arial"/>
          <w:szCs w:val="24"/>
        </w:rPr>
        <w:lastRenderedPageBreak/>
        <w:t>Evidence also suggests that the built environment around a community—sidewalks, roads, and other public spaces—influences perceived fall risk and creates barriers to physical activity, which may, in turn, further increase fall risk.</w:t>
      </w:r>
      <w:r w:rsidRPr="00E226D7">
        <w:rPr>
          <w:rFonts w:ascii="Arial" w:hAnsi="Arial" w:cs="Arial"/>
          <w:color w:val="2B579A"/>
          <w:szCs w:val="24"/>
        </w:rPr>
        <w:fldChar w:fldCharType="begin"/>
      </w:r>
      <w:r w:rsidRPr="00E226D7">
        <w:rPr>
          <w:rFonts w:ascii="Arial" w:hAnsi="Arial" w:cs="Arial"/>
          <w:szCs w:val="24"/>
        </w:rPr>
        <w:instrText xml:space="preserve"> ADDIN ZOTERO_ITEM CSL_CITATION {"citationID":"zUERbMXC","properties":{"formattedCitation":"\\super 26,27\\nosupersub{}","plainCitation":"26,27","noteIndex":0},"citationItems":[{"id":337,"uris":["http://zotero.org/groups/2444171/items/NB75GH6G"],"uri":["http://zotero.org/groups/2444171/items/NB75GH6G"],"itemData":{"id":337,"type":"article-journal","abstract":"To explore the experience of older adults in their neighborhood in relation to perceived fall risk, fear of falling (FOF), and resources/strategies for fall prevention.Fourteen older adults, 65 years of age and older from 3 urban senior centers, participated in this qualitative study. The semistructured interview guidelines and background questionnaire were developed by the researchers based on the literature and an existing measure of walkability. Both tools were refined based on pilot interviews with seniors. Collaizzi’s phenomenological method was used for data analysis.Five themes emerged from the data: (a) The built environment contributes to perceived fall risk and FOF, (b) personal strategies used to adapt to perceived neighborhood fall risks-behavioral approaches, (c) resources for physical activity and safety, (d) barriers to physical activity and exercise, and (e) neighborhood features as a motivator.Urban-dwelling seniors perceive that neighborhood features contribute to or mitigate fall risk and FOF. Behavioral strategies are used by seniors to prevent outdoor falls. The findings can help clinicians develop targeted fall prevention interventions for well elders and help urban planners to design and retrofit urban environments to reduce fall risk.","container-title":"The Gerontologist","DOI":"10.1093/geront/gnu019","ISSN":"0016-9013","issue":"4","journalAbbreviation":"The Gerontologist","page":"575-583","source":"Silverchair","title":"The Neighborhood Environment: Perceived Fall Risk, Resources, and Strategies for Fall Prevention","title-short":"The Neighborhood Environment","URL":"https://doi.org/10.1093/geront/gnu019","volume":"55","author":[{"family":"Chippendale","given":"Tracy"},{"family":"Boltz","given":"Marie"}],"accessed":{"date-parts":[["2022",1,26]]},"issued":{"date-parts":[["2015",8,1]]}}},{"id":335,"uris":["http://zotero.org/groups/2444171/items/B8H4HADR"],"uri":["http://zotero.org/groups/2444171/items/B8H4HADR"],"itemData":{"id":335,"type":"article-journal","abstract":"PURPOSE: To gain better understanding of how the built environment impacts neighborhood-based physical activity among midlife and older adults with mobility disabilities.\nDESIGN AND METHODS: We conducted in-depth interviews with 35 adults over age 50, which used an assistive device and lived in King County, Washington, U.S. In addition, participants wore global positioning systems (GPS) devices for 3 days prior to the interview. The GPS maps were used as prompts during the interviews. Open coding of the 35 interviews using latent content analysis resulted in key themes and subthemes that achieved consensus between coders. Two investigators independently coded the text of each interview.\nRESULTS: Participants were on average of 67 years of age (range: 50-86) and predominantly used canes (57%), walkers (57%), or wheelchairs (46%). Key themes pertained to curb ramp availability and condition, sidewalk availability and condition, hills, aesthetics, lighting, ramp availability, weather, presence and features of crosswalks, availability of resting places and shelter on streets, paved or smooth walking paths, safety, and traffic on roads.\nIMPLICATIONS: A variety of built environment barriers and facilitators to neighborhood-based activity exist for midlife and older adults with mobility disabilities. Preparing our neighborhood environments for an aging population that uses assistive devices will be important to foster independence and health.","container-title":"The Gerontologist","DOI":"10.1093/geront/gns119","ISSN":"1758-5341","issue":"2","journalAbbreviation":"Gerontologist","language":"eng","note":"PMID: 23010096\nPMCID: PMC3605937","page":"268-279","source":"PubMed","title":"Outdoor built environment barriers and facilitators to activity among midlife and older adults with mobility disabilities","volume":"53","author":[{"family":"Rosenberg","given":"Dori E."},{"family":"Huang","given":"Deborah L."},{"family":"Simonovich","given":"Shannon D."},{"family":"Belza","given":"Basia"}],"issued":{"date-parts":[["2013",4]]}}}],"schema":"https://github.com/citation-style-language/schema/raw/master/csl-citation.json"} </w:instrText>
      </w:r>
      <w:r w:rsidRPr="00E226D7">
        <w:rPr>
          <w:rFonts w:ascii="Arial" w:hAnsi="Arial" w:cs="Arial"/>
          <w:color w:val="2B579A"/>
          <w:szCs w:val="24"/>
        </w:rPr>
        <w:fldChar w:fldCharType="separate"/>
      </w:r>
      <w:r w:rsidRPr="00E226D7">
        <w:rPr>
          <w:rFonts w:ascii="Arial" w:hAnsi="Arial" w:cs="Arial"/>
          <w:szCs w:val="24"/>
          <w:vertAlign w:val="superscript"/>
        </w:rPr>
        <w:t>26,27</w:t>
      </w:r>
      <w:r w:rsidRPr="00E226D7">
        <w:rPr>
          <w:rFonts w:ascii="Arial" w:hAnsi="Arial" w:cs="Arial"/>
          <w:color w:val="2B579A"/>
          <w:szCs w:val="24"/>
        </w:rPr>
        <w:fldChar w:fldCharType="end"/>
      </w:r>
      <w:r w:rsidRPr="00E226D7">
        <w:rPr>
          <w:rFonts w:ascii="Arial" w:hAnsi="Arial" w:cs="Arial"/>
          <w:szCs w:val="24"/>
        </w:rPr>
        <w:t xml:space="preserve"> In this way, older adult falls risk may be reduced through land-use planning, like creating multi-use zones that facilitate walkable communities; infrastructure development, like building transportation systems and safe pedestrian networks that can reduce reliance on cars and improve access to community resources; and public works operations and maintenance, like thorough and timely clearing of snow and ice from sidewalks. Integrating falls prevention considerations into these processes requires surveying the processes in play and collaborating with stakeholders to make sure that relevant issues are brought to the fore. These processes include:</w:t>
      </w:r>
    </w:p>
    <w:p w14:paraId="10031530" w14:textId="77777777" w:rsidR="0004188A" w:rsidRDefault="0004188A" w:rsidP="00B60C0B">
      <w:pPr>
        <w:rPr>
          <w:rFonts w:ascii="Arial" w:hAnsi="Arial" w:cs="Arial"/>
          <w:szCs w:val="24"/>
        </w:rPr>
      </w:pPr>
    </w:p>
    <w:p w14:paraId="315DE01B" w14:textId="4603849B" w:rsidR="0004188A" w:rsidRPr="00E226D7" w:rsidRDefault="0004188A" w:rsidP="00B60C0B">
      <w:pPr>
        <w:rPr>
          <w:rFonts w:ascii="Arial" w:hAnsi="Arial" w:cs="Arial"/>
          <w:szCs w:val="24"/>
        </w:rPr>
        <w:sectPr w:rsidR="0004188A" w:rsidRPr="00E226D7">
          <w:footnotePr>
            <w:numFmt w:val="lowerLetter"/>
          </w:footnotePr>
          <w:pgSz w:w="12240" w:h="15840"/>
          <w:pgMar w:top="1440" w:right="1440" w:bottom="1440" w:left="1440" w:header="720" w:footer="720" w:gutter="0"/>
          <w:cols w:space="720"/>
          <w:docGrid w:linePitch="360"/>
        </w:sectPr>
      </w:pPr>
    </w:p>
    <w:p w14:paraId="796B40C6" w14:textId="77777777" w:rsidR="00B60C0B" w:rsidRPr="00E226D7" w:rsidRDefault="00B60C0B" w:rsidP="00BC53CF">
      <w:pPr>
        <w:pStyle w:val="ListParagraph"/>
        <w:numPr>
          <w:ilvl w:val="0"/>
          <w:numId w:val="35"/>
        </w:numPr>
      </w:pPr>
      <w:r w:rsidRPr="00E226D7">
        <w:t>Age- and dementia-friendly community assessments</w:t>
      </w:r>
    </w:p>
    <w:p w14:paraId="22A0EB63" w14:textId="77777777" w:rsidR="00B60C0B" w:rsidRPr="00E226D7" w:rsidRDefault="00B60C0B" w:rsidP="00BC53CF">
      <w:pPr>
        <w:pStyle w:val="ListParagraph"/>
        <w:numPr>
          <w:ilvl w:val="0"/>
          <w:numId w:val="35"/>
        </w:numPr>
      </w:pPr>
      <w:r w:rsidRPr="00E226D7">
        <w:t>Community Health Assessments</w:t>
      </w:r>
    </w:p>
    <w:p w14:paraId="1272E765" w14:textId="77777777" w:rsidR="00B60C0B" w:rsidRPr="00E226D7" w:rsidRDefault="00B60C0B" w:rsidP="00BC53CF">
      <w:pPr>
        <w:pStyle w:val="ListParagraph"/>
        <w:numPr>
          <w:ilvl w:val="0"/>
          <w:numId w:val="35"/>
        </w:numPr>
      </w:pPr>
      <w:r w:rsidRPr="00E226D7">
        <w:t>Community Needs Assessments</w:t>
      </w:r>
    </w:p>
    <w:p w14:paraId="5D23CA88" w14:textId="77777777" w:rsidR="00B60C0B" w:rsidRPr="00E226D7" w:rsidRDefault="00B60C0B" w:rsidP="00BC53CF">
      <w:pPr>
        <w:pStyle w:val="ListParagraph"/>
        <w:numPr>
          <w:ilvl w:val="0"/>
          <w:numId w:val="35"/>
        </w:numPr>
      </w:pPr>
      <w:r w:rsidRPr="00E226D7">
        <w:t>Determinations of Need</w:t>
      </w:r>
    </w:p>
    <w:p w14:paraId="411DB021" w14:textId="77777777" w:rsidR="00B60C0B" w:rsidRPr="00E226D7" w:rsidRDefault="00B60C0B" w:rsidP="00BC53CF">
      <w:pPr>
        <w:pStyle w:val="ListParagraph"/>
        <w:numPr>
          <w:ilvl w:val="0"/>
          <w:numId w:val="35"/>
        </w:numPr>
      </w:pPr>
      <w:r w:rsidRPr="00E226D7">
        <w:t>Municipal and regional master plans</w:t>
      </w:r>
    </w:p>
    <w:p w14:paraId="2AFAAAF8" w14:textId="77777777" w:rsidR="00B60C0B" w:rsidRPr="00E226D7" w:rsidRDefault="00B60C0B" w:rsidP="00BC53CF">
      <w:pPr>
        <w:pStyle w:val="ListParagraph"/>
        <w:numPr>
          <w:ilvl w:val="0"/>
          <w:numId w:val="35"/>
        </w:numPr>
      </w:pPr>
      <w:r w:rsidRPr="00E226D7">
        <w:t xml:space="preserve">The State Highway Strategic Plan </w:t>
      </w:r>
    </w:p>
    <w:p w14:paraId="6D7DC2C9" w14:textId="77777777" w:rsidR="00B60C0B" w:rsidRPr="00E226D7" w:rsidRDefault="00B60C0B" w:rsidP="00BC53CF">
      <w:pPr>
        <w:pStyle w:val="ListParagraph"/>
        <w:numPr>
          <w:ilvl w:val="0"/>
          <w:numId w:val="35"/>
        </w:numPr>
      </w:pPr>
      <w:r w:rsidRPr="00E226D7">
        <w:t>The Statewide Pedestrian Transportation Plan</w:t>
      </w:r>
    </w:p>
    <w:p w14:paraId="0CA678EE" w14:textId="77777777" w:rsidR="00B60C0B" w:rsidRPr="00E226D7" w:rsidRDefault="00B60C0B" w:rsidP="00BC53CF">
      <w:pPr>
        <w:pStyle w:val="ListParagraph"/>
        <w:numPr>
          <w:ilvl w:val="0"/>
          <w:numId w:val="35"/>
        </w:numPr>
      </w:pPr>
      <w:r w:rsidRPr="00E226D7">
        <w:t>Racial Equity Municipal Action Plans</w:t>
      </w:r>
    </w:p>
    <w:p w14:paraId="697A091E" w14:textId="77777777" w:rsidR="00B60C0B" w:rsidRPr="00E226D7" w:rsidRDefault="00B60C0B" w:rsidP="00BC53CF">
      <w:pPr>
        <w:pStyle w:val="ListParagraph"/>
        <w:numPr>
          <w:ilvl w:val="0"/>
          <w:numId w:val="35"/>
        </w:numPr>
      </w:pPr>
      <w:r w:rsidRPr="00E226D7">
        <w:t>Walkability assessments</w:t>
      </w:r>
    </w:p>
    <w:p w14:paraId="09BCA8C1" w14:textId="77777777" w:rsidR="00B60C0B" w:rsidRPr="00E226D7" w:rsidRDefault="00B60C0B" w:rsidP="00B60C0B">
      <w:pPr>
        <w:rPr>
          <w:rFonts w:ascii="Arial" w:hAnsi="Arial" w:cs="Arial"/>
          <w:szCs w:val="24"/>
        </w:rPr>
        <w:sectPr w:rsidR="00B60C0B" w:rsidRPr="00E226D7" w:rsidSect="00471D56">
          <w:type w:val="continuous"/>
          <w:pgSz w:w="12240" w:h="15840"/>
          <w:pgMar w:top="1440" w:right="1440" w:bottom="1440" w:left="1440" w:header="720" w:footer="720" w:gutter="0"/>
          <w:cols w:num="2" w:space="720"/>
          <w:docGrid w:linePitch="360"/>
        </w:sectPr>
      </w:pPr>
    </w:p>
    <w:p w14:paraId="25A2BA53" w14:textId="77777777" w:rsidR="00B60C0B" w:rsidRPr="00E226D7" w:rsidRDefault="00B60C0B" w:rsidP="00B60C0B">
      <w:pPr>
        <w:rPr>
          <w:rFonts w:ascii="Arial" w:hAnsi="Arial" w:cs="Arial"/>
          <w:szCs w:val="24"/>
        </w:rPr>
      </w:pPr>
    </w:p>
    <w:p w14:paraId="6ED2BD31" w14:textId="77777777" w:rsidR="00B60C0B" w:rsidRPr="00E226D7" w:rsidRDefault="00B60C0B" w:rsidP="00B60C0B">
      <w:pPr>
        <w:pStyle w:val="RecommendationBox"/>
        <w:rPr>
          <w:rFonts w:ascii="Arial" w:hAnsi="Arial" w:cs="Arial"/>
        </w:rPr>
      </w:pPr>
      <w:bookmarkStart w:id="21" w:name="_Hlk112311541"/>
      <w:r w:rsidRPr="00E226D7">
        <w:rPr>
          <w:rFonts w:ascii="Arial" w:hAnsi="Arial" w:cs="Arial"/>
        </w:rPr>
        <w:t>The Commission recommends that the Commonwealth catalog local, regional, and statewide planning processes that affect older adult falls hazards; embed falls prevention considerations and age-friendly strategies into those efforts; and collaborate with stakeholders to assure falls are specifically and explicitly addressed through state-promoted assessments and planning processes.</w:t>
      </w:r>
    </w:p>
    <w:bookmarkEnd w:id="21"/>
    <w:p w14:paraId="25B1061A" w14:textId="28EA2EEF" w:rsidR="00B60C0B" w:rsidRDefault="00B60C0B" w:rsidP="00B60C0B">
      <w:pPr>
        <w:rPr>
          <w:rFonts w:ascii="Arial" w:hAnsi="Arial" w:cs="Arial"/>
          <w:szCs w:val="24"/>
        </w:rPr>
      </w:pPr>
    </w:p>
    <w:p w14:paraId="3B17543A" w14:textId="77777777" w:rsidR="00CA5B1E" w:rsidRPr="00E226D7" w:rsidRDefault="00CA5B1E" w:rsidP="00B60C0B">
      <w:pPr>
        <w:rPr>
          <w:rFonts w:ascii="Arial" w:hAnsi="Arial" w:cs="Arial"/>
          <w:szCs w:val="24"/>
        </w:rPr>
      </w:pPr>
    </w:p>
    <w:p w14:paraId="1343CC52" w14:textId="77777777" w:rsidR="00B60C0B" w:rsidRPr="00E226D7" w:rsidRDefault="00B60C0B" w:rsidP="00B60C0B">
      <w:pPr>
        <w:pStyle w:val="Issue"/>
        <w:rPr>
          <w:rFonts w:ascii="Arial" w:hAnsi="Arial" w:cs="Arial"/>
        </w:rPr>
      </w:pPr>
      <w:r w:rsidRPr="00E226D7">
        <w:rPr>
          <w:rFonts w:ascii="Arial" w:hAnsi="Arial" w:cs="Arial"/>
        </w:rPr>
        <w:t>Issue 3: Incomplete data on circumstances surrounding non-fatal falls constrain surveillance and prevention efforts.</w:t>
      </w:r>
    </w:p>
    <w:p w14:paraId="2B021419" w14:textId="77777777" w:rsidR="00B60C0B" w:rsidRPr="00E226D7" w:rsidRDefault="00B60C0B" w:rsidP="00B60C0B">
      <w:pPr>
        <w:rPr>
          <w:rFonts w:ascii="Arial" w:hAnsi="Arial" w:cs="Arial"/>
          <w:szCs w:val="24"/>
        </w:rPr>
      </w:pPr>
      <w:r w:rsidRPr="00E226D7">
        <w:rPr>
          <w:rFonts w:ascii="Arial" w:hAnsi="Arial" w:cs="Arial"/>
          <w:szCs w:val="24"/>
        </w:rPr>
        <w:t>Data on older adult falls and related health outcomes are collected in several ways.</w:t>
      </w:r>
      <w:r w:rsidRPr="00E226D7">
        <w:rPr>
          <w:rFonts w:ascii="Arial" w:hAnsi="Arial" w:cs="Arial"/>
          <w:color w:val="2B579A"/>
          <w:szCs w:val="24"/>
        </w:rPr>
        <w:fldChar w:fldCharType="begin"/>
      </w:r>
      <w:r w:rsidRPr="00E226D7">
        <w:rPr>
          <w:rFonts w:ascii="Arial" w:hAnsi="Arial" w:cs="Arial"/>
          <w:szCs w:val="24"/>
        </w:rPr>
        <w:instrText xml:space="preserve"> ADDIN ZOTERO_ITEM CSL_CITATION {"citationID":"0USh3DYD","properties":{"formattedCitation":"\\super 28\\nosupersub{}","plainCitation":"28","noteIndex":0},"citationItems":[{"id":211,"uris":["http://zotero.org/groups/2444171/items/88858L9X"],"uri":["http://zotero.org/groups/2444171/items/88858L9X"],"itemData":{"id":211,"type":"report","language":"en","page":"46","publisher":"Massachusetts Department of Public Health","source":"Zotero","title":"Massachusetts Commission on Falls Prevention Phase 1 Report: The Current Landscape","title-short":"Commission Phase 1 Report","URL":"https://www.mass.gov/doc/phase-1-report-the-current-landscape-2013/download","author":[{"family":"Kronenberg","given":"Kim"}],"accessed":{"date-parts":[["2021",10,25]]},"issued":{"date-parts":[["2013",9]]}}}],"schema":"https://github.com/citation-style-language/schema/raw/master/csl-citation.json"} </w:instrText>
      </w:r>
      <w:r w:rsidRPr="00E226D7">
        <w:rPr>
          <w:rFonts w:ascii="Arial" w:hAnsi="Arial" w:cs="Arial"/>
          <w:color w:val="2B579A"/>
          <w:szCs w:val="24"/>
        </w:rPr>
        <w:fldChar w:fldCharType="separate"/>
      </w:r>
      <w:r w:rsidRPr="00E226D7">
        <w:rPr>
          <w:rFonts w:ascii="Arial" w:hAnsi="Arial" w:cs="Arial"/>
          <w:szCs w:val="24"/>
          <w:vertAlign w:val="superscript"/>
        </w:rPr>
        <w:t>28</w:t>
      </w:r>
      <w:r w:rsidRPr="00E226D7">
        <w:rPr>
          <w:rFonts w:ascii="Arial" w:hAnsi="Arial" w:cs="Arial"/>
          <w:color w:val="2B579A"/>
          <w:szCs w:val="24"/>
        </w:rPr>
        <w:fldChar w:fldCharType="end"/>
      </w:r>
      <w:r w:rsidRPr="00E226D7">
        <w:rPr>
          <w:rFonts w:ascii="Arial" w:hAnsi="Arial" w:cs="Arial"/>
          <w:szCs w:val="24"/>
        </w:rPr>
        <w:t xml:space="preserve"> For non-fatal falls, a major source is statewide acute care hospital billing data, known as Case Mix data, which offer insights into hospitalizations, observations, and emergency department visits and associated charges.</w:t>
      </w:r>
      <w:r w:rsidRPr="00E226D7">
        <w:rPr>
          <w:rFonts w:ascii="Arial" w:hAnsi="Arial" w:cs="Arial"/>
          <w:color w:val="2B579A"/>
          <w:szCs w:val="24"/>
        </w:rPr>
        <w:fldChar w:fldCharType="begin"/>
      </w:r>
      <w:r w:rsidRPr="00E226D7">
        <w:rPr>
          <w:rFonts w:ascii="Arial" w:hAnsi="Arial" w:cs="Arial"/>
          <w:szCs w:val="24"/>
        </w:rPr>
        <w:instrText xml:space="preserve"> ADDIN ZOTERO_ITEM CSL_CITATION {"citationID":"qxboutav","properties":{"formattedCitation":"\\super 9\\nosupersub{}","plainCitation":"9","noteIndex":0},"citationItems":[{"id":344,"uris":["http://zotero.org/groups/2444171/items/LNAEZNKE"],"uri":["http://zotero.org/groups/2444171/items/LNAEZNKE"],"itemData":{"id":344,"type":"webpage","title":"Case Mix Data","URL":"https://www.chiamass.gov/case-mix-data/","author":[{"literal":"Center for Health Information and Analysis"}],"accessed":{"date-parts":[["2022",2,16]]}}}],"schema":"https://github.com/citation-style-language/schema/raw/master/csl-citation.json"} </w:instrText>
      </w:r>
      <w:r w:rsidRPr="00E226D7">
        <w:rPr>
          <w:rFonts w:ascii="Arial" w:hAnsi="Arial" w:cs="Arial"/>
          <w:color w:val="2B579A"/>
          <w:szCs w:val="24"/>
        </w:rPr>
        <w:fldChar w:fldCharType="separate"/>
      </w:r>
      <w:r w:rsidRPr="00E226D7">
        <w:rPr>
          <w:rFonts w:ascii="Arial" w:hAnsi="Arial" w:cs="Arial"/>
          <w:szCs w:val="24"/>
          <w:vertAlign w:val="superscript"/>
        </w:rPr>
        <w:t>9</w:t>
      </w:r>
      <w:r w:rsidRPr="00E226D7">
        <w:rPr>
          <w:rFonts w:ascii="Arial" w:hAnsi="Arial" w:cs="Arial"/>
          <w:color w:val="2B579A"/>
          <w:szCs w:val="24"/>
        </w:rPr>
        <w:fldChar w:fldCharType="end"/>
      </w:r>
      <w:r w:rsidRPr="00E226D7">
        <w:rPr>
          <w:rFonts w:ascii="Arial" w:hAnsi="Arial" w:cs="Arial"/>
          <w:szCs w:val="24"/>
        </w:rPr>
        <w:t xml:space="preserve"> Such information has long been instrumental to understanding the impact of injuries, including older adult falls.</w:t>
      </w:r>
      <w:r w:rsidRPr="00E226D7">
        <w:rPr>
          <w:rFonts w:ascii="Arial" w:hAnsi="Arial" w:cs="Arial"/>
          <w:color w:val="2B579A"/>
          <w:szCs w:val="24"/>
        </w:rPr>
        <w:fldChar w:fldCharType="begin"/>
      </w:r>
      <w:r w:rsidRPr="00E226D7">
        <w:rPr>
          <w:rFonts w:ascii="Arial" w:hAnsi="Arial" w:cs="Arial"/>
          <w:szCs w:val="24"/>
        </w:rPr>
        <w:instrText xml:space="preserve"> ADDIN ZOTERO_ITEM CSL_CITATION {"citationID":"pxOUm7lE","properties":{"formattedCitation":"\\super 29\\uc0\\u8211{}31\\nosupersub{}","plainCitation":"29–31","noteIndex":0},"citationItems":[{"id":350,"uris":["http://zotero.org/groups/2444171/items/UJFRPJ2U"],"uri":["http://zotero.org/groups/2444171/items/UJFRPJ2U"],"itemData":{"id":350,"type":"article-journal","abstract":"Current knowledge of the patterns of injury in the United States derive principally from mortality statistics that constitute less than 0.1% of all injuries reaching medical attention. There presently exists no national system for the surveillance of nonfatal injuries. To illustrate the usefulness and feasibility of conducting injury surveillance using E-coded hospital discharge data, we examined the surveillance data from the Massachusetts Statewide Childhood Injury Prevention Program. By using E-coded hospital discharge data, we increased the number of cases available for analysis by 40-fold over deaths, and we were able to describe the epidemiologic characteristics of the important causes of nonfatal childhood injuries. We therefore propose the development of a national injury surveillance system based on the Uniform Hospital Discharge Data Set coded by both the nature of the injury (N Code) and external cause (E Code).","container-title":"The Journal of Trauma","ISSN":"0022-5282","issue":"4","journalAbbreviation":"J Trauma","language":"eng","note":"PMID: 2325178","page":"470-473","source":"PubMed","title":"Injury surveillance using hospital discharge abstracts coded by external cause of injury (E code)","volume":"30","author":[{"family":"Guyer","given":"B."},{"family":"Berenholz","given":"G."},{"family":"Gallagher","given":"S. S."}],"issued":{"date-parts":[["1990",4]]}}},{"id":352,"uris":["http://zotero.org/groups/2444171/items/RLPH2GGH"],"uri":["http://zotero.org/groups/2444171/items/RLPH2GGH"],"itemData":{"id":352,"type":"article-journal","abstract":"OBJECTIVE: To evaluate the accuracy of external cause of injury codes (E codes) reported in computerized hospital discharge records.\nMETHODS: All civilian hospitals in Washington State submit computerized data for each hospital discharge to a file maintained by the Department of Health. In 1996, 32 hospitals accounted for 80% of the injury related discharges in this file; from these hospitals, we sampled 1,260 computerized records for injured patients in a stratified, but random, manner. An expert coder then visited the 32 study hospitals, reviewed the medical records that corresponded to each computerized record, and assigned an E code for that hospitalization. The computerized E code information was compared with codes provided by the expert reviewer.\nRESULTS: The incidence of hospitalization for injury based upon computerized hospital discharge data was very similar to that based upon chart review: incidence rate ratio 1.0 (95% confidence interval 1.00 to 1.02). Computerized hospital discharge data correctly ranked injuries in regard to both mechanism and intent. Overall agreement on coding was 87% for mechanism of injury, 95% for intent of injury, and 66% for the complete E code. The sensitivity of computerized hospital discharge data for identification of falls, motor vehicle traffic injuries, poisonings, and firearm injuries was 91% or better. The predictive value positive of coding for these four categories of injury ranged from 88% for motor vehicle traffic injuries to 94% for poisonings. The amount of agreement for intent coding ranged from 84% for firearm injuries to 99% for falls. Agreement on coding of the complete E code ranged from 57% for firearm injuries to 72% for poisonings.\nCONCLUSIONS: Computerized hospital discharge data can be used with confidence to determine how many injuries are treated in a hospital setting and the relative magnitude of various categories of injury. E codes reported in hospital discharge data are a reliable source of information on the types of information most often used for injury related analyses and priority setting. The detail codes (complete E codes) reported in hospital discharge codes are less reliable and must be used with caution.","container-title":"Injury Prevention: Journal of the International Society for Child and Adolescent Injury Prevention","DOI":"10.1136/ip.7.4.334","ISSN":"1353-8047","issue":"4","journalAbbreviation":"Inj Prev","language":"eng","note":"PMID: 11770664\nPMCID: PMC1730776","page":"334-338","source":"PubMed","title":"Accuracy of external cause of injury codes reported in Washington State hospital discharge records","volume":"7","author":[{"family":"LeMier","given":"M."},{"family":"Cummings","given":"P."},{"family":"West","given":"T. A."}],"issued":{"date-parts":[["2001",12]]}}},{"id":355,"uris":["http://zotero.org/groups/2444171/items/PGW3SPSL"],"uri":["http://zotero.org/groups/2444171/items/PGW3SPSL"],"itemData":{"id":355,"type":"article-journal","abstract":"OBJECTIVES: Injury surveillance in the pediatric emergency department (PED) has the potential to be an important part of program planning and clinical management. However, a lack of data has been identified as one of the critical limitations in the field of pediatric emergency services research. The aims of this article were to investigate how injury surveillance has been attempted in the PED and to develop an understanding of why E-coding has not met its full potential as an injury surveillance tool in this setting.\nMETHODS: We conducted a literature review for E-coding in the PED as well as for injury surveillance more generally in the PED. PubMed, PubMed Central, Google Scholar, CINAHL, EMBASE, and Academic Search Elite were used. Inclusion criteria were applied for each search.\nRESULTS: Two reports on E-coding in the PED met the criteria and were reviewed. Five articles on PED injury surveillance were reviewed. The most common mechanism of surveillance was a review of emergency department logs (n = 4). The second most common mechanism of surveillance was a physician-administered questionnaire (n = 2).\nCONCLUSIONS: Two of the 5 injury surveillance articles collected injury data from questionnaires completed by physicians, which is not a long-term, sustainable approach to injury surveillance. An ideal injury surveillance system for the PED should be designed with at least 3 main elements: minimal economic and resource burden, substantial practical uses, and measures to ensure data quality.","container-title":"Pediatric Emergency Care","DOI":"10.1097/PEC.0b013e31829839e2","ISSN":"1535-1815","issue":"7","journalAbbreviation":"Pediatr Emerg Care","language":"eng","note":"PMID: 23823257","page":"801-805","source":"PubMed","title":"Utilizing E-coded data for nonfatal injury surveillance in the pediatric emergency department setting: a literature review and recommendations","title-short":"Utilizing E-coded data for nonfatal injury surveillance in the pediatric emergency department setting","volume":"29","author":[{"family":"Ferguson","given":"Rennie W."},{"family":"Shields","given":"Wendy"},{"family":"Cookson","given":"Michael"},{"family":"Gielen","given":"Andrea C."}],"issued":{"date-parts":[["2013",7]]}}}],"schema":"https://github.com/citation-style-language/schema/raw/master/csl-citation.json"} </w:instrText>
      </w:r>
      <w:r w:rsidRPr="00E226D7">
        <w:rPr>
          <w:rFonts w:ascii="Arial" w:hAnsi="Arial" w:cs="Arial"/>
          <w:color w:val="2B579A"/>
          <w:szCs w:val="24"/>
        </w:rPr>
        <w:fldChar w:fldCharType="separate"/>
      </w:r>
      <w:r w:rsidRPr="00E226D7">
        <w:rPr>
          <w:rFonts w:ascii="Arial" w:hAnsi="Arial" w:cs="Arial"/>
          <w:szCs w:val="24"/>
          <w:vertAlign w:val="superscript"/>
        </w:rPr>
        <w:t>29–31</w:t>
      </w:r>
      <w:r w:rsidRPr="00E226D7">
        <w:rPr>
          <w:rFonts w:ascii="Arial" w:hAnsi="Arial" w:cs="Arial"/>
          <w:color w:val="2B579A"/>
          <w:szCs w:val="24"/>
        </w:rPr>
        <w:fldChar w:fldCharType="end"/>
      </w:r>
      <w:r w:rsidRPr="00E226D7">
        <w:rPr>
          <w:rFonts w:ascii="Arial" w:hAnsi="Arial" w:cs="Arial"/>
          <w:szCs w:val="24"/>
        </w:rPr>
        <w:t xml:space="preserve"> However, challenges around data collection prevent the public health community from realizing the full potential of these datasets.</w:t>
      </w:r>
    </w:p>
    <w:p w14:paraId="73AB530E" w14:textId="77777777" w:rsidR="00E02026" w:rsidRDefault="00E02026" w:rsidP="00B60C0B">
      <w:pPr>
        <w:rPr>
          <w:rFonts w:ascii="Arial" w:hAnsi="Arial" w:cs="Arial"/>
          <w:szCs w:val="24"/>
        </w:rPr>
      </w:pPr>
    </w:p>
    <w:p w14:paraId="09C9C04D" w14:textId="13DF2C18" w:rsidR="00B60C0B" w:rsidRPr="00E226D7" w:rsidRDefault="00B60C0B" w:rsidP="00B60C0B">
      <w:pPr>
        <w:rPr>
          <w:rFonts w:ascii="Arial" w:hAnsi="Arial" w:cs="Arial"/>
          <w:szCs w:val="24"/>
        </w:rPr>
      </w:pPr>
      <w:r w:rsidRPr="00E226D7">
        <w:rPr>
          <w:rFonts w:ascii="Arial" w:hAnsi="Arial" w:cs="Arial"/>
          <w:szCs w:val="24"/>
        </w:rPr>
        <w:t>Case Mix data include codes that detail the health condition for which a patient is treated and, sometimes, the circumstances that led to that health outcome. Conditions treated in health care settings in the U.S. are required to be coded using the International Classification of Diseases Tenth Revision-Clinical Modifications (ICD-10-CM).</w:t>
      </w:r>
      <w:r w:rsidRPr="00E226D7">
        <w:rPr>
          <w:rFonts w:ascii="Arial" w:hAnsi="Arial" w:cs="Arial"/>
          <w:color w:val="2B579A"/>
          <w:szCs w:val="24"/>
        </w:rPr>
        <w:fldChar w:fldCharType="begin"/>
      </w:r>
      <w:r w:rsidRPr="00E226D7">
        <w:rPr>
          <w:rFonts w:ascii="Arial" w:hAnsi="Arial" w:cs="Arial"/>
          <w:szCs w:val="24"/>
        </w:rPr>
        <w:instrText xml:space="preserve"> ADDIN ZOTERO_ITEM CSL_CITATION {"citationID":"HVfkkZZ4","properties":{"formattedCitation":"\\super 32,33\\nosupersub{}","plainCitation":"32,33","noteIndex":0},"citationItems":[{"id":346,"uris":["http://zotero.org/groups/2444171/items/RERPRIN8"],"uri":["http://zotero.org/groups/2444171/items/RERPRIN8"],"itemData":{"id":346,"type":"legislation","title":"Health Insurance Portability and Accountability Act § 262, 42 U.S.C. § 1320d-1 (2022)"}},{"id":347,"uris":["http://zotero.org/groups/2444171/items/8GEJ3WJY"],"uri":["http://zotero.org/groups/2444171/items/8GEJ3WJY"],"itemData":{"id":347,"type":"legislation","title":"45 C.F.R. § 162.1002(c) (2014)"}}],"schema":"https://github.com/citation-style-language/schema/raw/master/csl-citation.json"} </w:instrText>
      </w:r>
      <w:r w:rsidRPr="00E226D7">
        <w:rPr>
          <w:rFonts w:ascii="Arial" w:hAnsi="Arial" w:cs="Arial"/>
          <w:color w:val="2B579A"/>
          <w:szCs w:val="24"/>
        </w:rPr>
        <w:fldChar w:fldCharType="separate"/>
      </w:r>
      <w:r w:rsidRPr="00E226D7">
        <w:rPr>
          <w:rFonts w:ascii="Arial" w:hAnsi="Arial" w:cs="Arial"/>
          <w:szCs w:val="24"/>
          <w:vertAlign w:val="superscript"/>
        </w:rPr>
        <w:t>32,33</w:t>
      </w:r>
      <w:r w:rsidRPr="00E226D7">
        <w:rPr>
          <w:rFonts w:ascii="Arial" w:hAnsi="Arial" w:cs="Arial"/>
          <w:color w:val="2B579A"/>
          <w:szCs w:val="24"/>
        </w:rPr>
        <w:fldChar w:fldCharType="end"/>
      </w:r>
      <w:r w:rsidRPr="00E226D7">
        <w:rPr>
          <w:rFonts w:ascii="Arial" w:hAnsi="Arial" w:cs="Arial"/>
          <w:szCs w:val="24"/>
        </w:rPr>
        <w:t xml:space="preserve"> This coding scheme includes codes for a specific diagnosis (like a hip fracture). It also includes “external cause” codes to describe the cause and intent </w:t>
      </w:r>
      <w:r w:rsidRPr="00E226D7">
        <w:rPr>
          <w:rFonts w:ascii="Arial" w:hAnsi="Arial" w:cs="Arial"/>
          <w:szCs w:val="24"/>
        </w:rPr>
        <w:lastRenderedPageBreak/>
        <w:t>associated with an injury (like an unintentional fall), the location where the event occurred, and the activity the patient was engaged in when the event occurred.</w:t>
      </w:r>
      <w:r w:rsidRPr="00E226D7">
        <w:rPr>
          <w:rFonts w:ascii="Arial" w:hAnsi="Arial" w:cs="Arial"/>
          <w:color w:val="2B579A"/>
          <w:szCs w:val="24"/>
        </w:rPr>
        <w:fldChar w:fldCharType="begin"/>
      </w:r>
      <w:r w:rsidRPr="00E226D7">
        <w:rPr>
          <w:rFonts w:ascii="Arial" w:hAnsi="Arial" w:cs="Arial"/>
          <w:szCs w:val="24"/>
        </w:rPr>
        <w:instrText xml:space="preserve"> ADDIN ZOTERO_ITEM CSL_CITATION {"citationID":"THeGDlYQ","properties":{"formattedCitation":"\\super 34\\nosupersub{}","plainCitation":"34","noteIndex":0},"citationItems":[{"id":349,"uris":["http://zotero.org/groups/2444171/items/NDXH927P"],"uri":["http://zotero.org/groups/2444171/items/NDXH927P"],"itemData":{"id":349,"type":"article","title":"ICD-10-CM Official Guidelines for Coding and Reporting: FY 2022","URL":"https://ftp.cdc.gov/pub/Health_Statistics/NCHS/Publications/ICD10CM/2022/10cmguidelines-FY2022-7-2022-7-15-21-update-508.pdf","author":[{"literal":"Centers for Medicare and Medicaid Services"},{"literal":"National Center for Health Statistics"}],"accessed":{"date-parts":[["2022",2,16]]},"issued":{"date-parts":[["2021",7,16]]}}}],"schema":"https://github.com/citation-style-language/schema/raw/master/csl-citation.json"} </w:instrText>
      </w:r>
      <w:r w:rsidRPr="00E226D7">
        <w:rPr>
          <w:rFonts w:ascii="Arial" w:hAnsi="Arial" w:cs="Arial"/>
          <w:color w:val="2B579A"/>
          <w:szCs w:val="24"/>
        </w:rPr>
        <w:fldChar w:fldCharType="separate"/>
      </w:r>
      <w:r w:rsidRPr="00E226D7">
        <w:rPr>
          <w:rFonts w:ascii="Arial" w:hAnsi="Arial" w:cs="Arial"/>
          <w:szCs w:val="24"/>
          <w:vertAlign w:val="superscript"/>
        </w:rPr>
        <w:t>34</w:t>
      </w:r>
      <w:r w:rsidRPr="00E226D7">
        <w:rPr>
          <w:rFonts w:ascii="Arial" w:hAnsi="Arial" w:cs="Arial"/>
          <w:color w:val="2B579A"/>
          <w:szCs w:val="24"/>
        </w:rPr>
        <w:fldChar w:fldCharType="end"/>
      </w:r>
    </w:p>
    <w:p w14:paraId="77D6C3E9" w14:textId="77777777" w:rsidR="00E02026" w:rsidRDefault="00E02026" w:rsidP="00B60C0B">
      <w:pPr>
        <w:rPr>
          <w:rFonts w:ascii="Arial" w:hAnsi="Arial" w:cs="Arial"/>
          <w:szCs w:val="24"/>
        </w:rPr>
      </w:pPr>
    </w:p>
    <w:p w14:paraId="1BE30CD0" w14:textId="205F01DA" w:rsidR="00B60C0B" w:rsidRPr="00E226D7" w:rsidRDefault="00B60C0B" w:rsidP="00B60C0B">
      <w:pPr>
        <w:rPr>
          <w:rFonts w:ascii="Arial" w:hAnsi="Arial" w:cs="Arial"/>
          <w:szCs w:val="24"/>
        </w:rPr>
      </w:pPr>
      <w:r w:rsidRPr="00E226D7">
        <w:rPr>
          <w:rFonts w:ascii="Arial" w:hAnsi="Arial" w:cs="Arial"/>
          <w:szCs w:val="24"/>
        </w:rPr>
        <w:t>Although federal guidance encourages the reporting of external cause codes, there is no national requirement for providers to do so.</w:t>
      </w:r>
      <w:r w:rsidRPr="00E226D7">
        <w:rPr>
          <w:rFonts w:ascii="Arial" w:hAnsi="Arial" w:cs="Arial"/>
          <w:color w:val="2B579A"/>
          <w:szCs w:val="24"/>
        </w:rPr>
        <w:fldChar w:fldCharType="begin"/>
      </w:r>
      <w:r w:rsidRPr="00E226D7">
        <w:rPr>
          <w:rFonts w:ascii="Arial" w:hAnsi="Arial" w:cs="Arial"/>
          <w:szCs w:val="24"/>
        </w:rPr>
        <w:instrText xml:space="preserve"> ADDIN ZOTERO_ITEM CSL_CITATION {"citationID":"rTTyrmcZ","properties":{"formattedCitation":"\\super 34\\nosupersub{}","plainCitation":"34","noteIndex":0},"citationItems":[{"id":349,"uris":["http://zotero.org/groups/2444171/items/NDXH927P"],"uri":["http://zotero.org/groups/2444171/items/NDXH927P"],"itemData":{"id":349,"type":"article","title":"ICD-10-CM Official Guidelines for Coding and Reporting: FY 2022","URL":"https://ftp.cdc.gov/pub/Health_Statistics/NCHS/Publications/ICD10CM/2022/10cmguidelines-FY2022-7-2022-7-15-21-update-508.pdf","author":[{"literal":"Centers for Medicare and Medicaid Services"},{"literal":"National Center for Health Statistics"}],"accessed":{"date-parts":[["2022",2,16]]},"issued":{"date-parts":[["2021",7,16]]}}}],"schema":"https://github.com/citation-style-language/schema/raw/master/csl-citation.json"} </w:instrText>
      </w:r>
      <w:r w:rsidRPr="00E226D7">
        <w:rPr>
          <w:rFonts w:ascii="Arial" w:hAnsi="Arial" w:cs="Arial"/>
          <w:color w:val="2B579A"/>
          <w:szCs w:val="24"/>
        </w:rPr>
        <w:fldChar w:fldCharType="separate"/>
      </w:r>
      <w:r w:rsidRPr="00E226D7">
        <w:rPr>
          <w:rFonts w:ascii="Arial" w:hAnsi="Arial" w:cs="Arial"/>
          <w:szCs w:val="24"/>
          <w:vertAlign w:val="superscript"/>
        </w:rPr>
        <w:t>34</w:t>
      </w:r>
      <w:r w:rsidRPr="00E226D7">
        <w:rPr>
          <w:rFonts w:ascii="Arial" w:hAnsi="Arial" w:cs="Arial"/>
          <w:color w:val="2B579A"/>
          <w:szCs w:val="24"/>
        </w:rPr>
        <w:fldChar w:fldCharType="end"/>
      </w:r>
      <w:r w:rsidRPr="00E226D7">
        <w:rPr>
          <w:rFonts w:ascii="Arial" w:hAnsi="Arial" w:cs="Arial"/>
          <w:szCs w:val="24"/>
        </w:rPr>
        <w:t xml:space="preserve"> In the absence of a broader mandate, Massachusetts has implemented a number of state-level interventions to improve the collection of these data, including a 1994 requirement for hospitals in which a primary diagnosis code for an injury must be accompanied by an external cause-of-injury code, and the creation of dedicated fields in billing datasets to capture external cause codes. As a result, external codes indicated the cause of an injury in around 95% of billing data for injury-related hospitalizations and emergency department visits in Massachusetts.</w:t>
      </w:r>
      <w:r w:rsidRPr="00E226D7">
        <w:rPr>
          <w:rFonts w:ascii="Arial" w:hAnsi="Arial" w:cs="Arial"/>
          <w:color w:val="2B579A"/>
          <w:szCs w:val="24"/>
        </w:rPr>
        <w:fldChar w:fldCharType="begin"/>
      </w:r>
      <w:r w:rsidRPr="00E226D7">
        <w:rPr>
          <w:rFonts w:ascii="Arial" w:hAnsi="Arial" w:cs="Arial"/>
          <w:szCs w:val="24"/>
        </w:rPr>
        <w:instrText xml:space="preserve"> ADDIN ZOTERO_ITEM CSL_CITATION {"citationID":"A7ODOmqG","properties":{"formattedCitation":"\\super 35,36\\nosupersub{}","plainCitation":"35,36","noteIndex":0},"citationItems":[{"id":363,"uris":["http://zotero.org/groups/2444171/items/VZIR96KW"],"uri":["http://zotero.org/groups/2444171/items/VZIR96KW"],"itemData":{"id":363,"type":"report","publisher":"Agency for Healthcare Research and Quality","title":"Injuries and External Causes: Reporting of Causes on the HCUP State Emergency Department Databases (SEDD), 2016-2019","URL":"https://hcup-us.ahrq.gov/reports/ataglance/HCUPanalysisInjuryEDReporting.pdf","author":[{"literal":"Healthcare Cost and Utilization Project"}],"accessed":{"date-parts":[["2022",2,17]]},"issued":{"date-parts":[["2021",9,29]]}}},{"id":364,"uris":["http://zotero.org/groups/2444171/items/MLPLNUDJ"],"uri":["http://zotero.org/groups/2444171/items/MLPLNUDJ"],"itemData":{"id":364,"type":"report","publisher":"Agency for Healthcare Research and Quality","title":"Injuries and External Causes: Reporting of Causes on the HCUP State Inpatient Databases (SID), 2016-2019","URL":"https://hcup-us.ahrq.gov/reports/ataglance/HCUPanalysisInjuryReporting.pdf","author":[{"literal":"Healthcare Cost and Utilization Project"}],"accessed":{"date-parts":[["2022",2,17]]},"issued":{"date-parts":[["2021",9,29]]}}}],"schema":"https://github.com/citation-style-language/schema/raw/master/csl-citation.json"} </w:instrText>
      </w:r>
      <w:r w:rsidRPr="00E226D7">
        <w:rPr>
          <w:rFonts w:ascii="Arial" w:hAnsi="Arial" w:cs="Arial"/>
          <w:color w:val="2B579A"/>
          <w:szCs w:val="24"/>
        </w:rPr>
        <w:fldChar w:fldCharType="separate"/>
      </w:r>
      <w:r w:rsidRPr="00E226D7">
        <w:rPr>
          <w:rFonts w:ascii="Arial" w:hAnsi="Arial" w:cs="Arial"/>
          <w:szCs w:val="24"/>
          <w:vertAlign w:val="superscript"/>
        </w:rPr>
        <w:t>35,36</w:t>
      </w:r>
      <w:r w:rsidRPr="00E226D7">
        <w:rPr>
          <w:rFonts w:ascii="Arial" w:hAnsi="Arial" w:cs="Arial"/>
          <w:color w:val="2B579A"/>
          <w:szCs w:val="24"/>
        </w:rPr>
        <w:fldChar w:fldCharType="end"/>
      </w:r>
    </w:p>
    <w:p w14:paraId="68CD205A" w14:textId="77777777" w:rsidR="00E02026" w:rsidRDefault="00E02026" w:rsidP="00B60C0B">
      <w:pPr>
        <w:rPr>
          <w:rFonts w:ascii="Arial" w:hAnsi="Arial" w:cs="Arial"/>
          <w:szCs w:val="24"/>
        </w:rPr>
      </w:pPr>
    </w:p>
    <w:p w14:paraId="706F3BEF" w14:textId="0E9E4516" w:rsidR="00B60C0B" w:rsidRPr="00E226D7" w:rsidRDefault="00B60C0B" w:rsidP="00B60C0B">
      <w:pPr>
        <w:rPr>
          <w:rFonts w:ascii="Arial" w:hAnsi="Arial" w:cs="Arial"/>
          <w:szCs w:val="24"/>
        </w:rPr>
      </w:pPr>
      <w:r w:rsidRPr="00E226D7">
        <w:rPr>
          <w:rFonts w:ascii="Arial" w:hAnsi="Arial" w:cs="Arial"/>
          <w:szCs w:val="24"/>
        </w:rPr>
        <w:t>While the codes that indicate a cause of injury are almost always submitted, medical coders and health care providers are less consistent in their use of codes that indicate the location where an injury occurred and the activity a patient was engaged in when injured. Barriers to more robust use of these codes persist. The completion of external cause codes is not reimbursed by insurers. Furthermore, determining the appropriate values for location and activity codes can be complicated by the quality of history that patients recite to providers and what other information providers have about an incident. While coding for diagnoses must be based on documentation from the patient’s provider, coding for external causes may be based on any available documentation, assuming it does not contradict physician documentation.</w:t>
      </w:r>
      <w:r w:rsidRPr="00E226D7">
        <w:rPr>
          <w:rFonts w:ascii="Arial" w:hAnsi="Arial" w:cs="Arial"/>
          <w:color w:val="2B579A"/>
          <w:szCs w:val="24"/>
        </w:rPr>
        <w:fldChar w:fldCharType="begin"/>
      </w:r>
      <w:r w:rsidRPr="00E226D7">
        <w:rPr>
          <w:rFonts w:ascii="Arial" w:hAnsi="Arial" w:cs="Arial"/>
          <w:szCs w:val="24"/>
        </w:rPr>
        <w:instrText xml:space="preserve"> ADDIN ZOTERO_ITEM CSL_CITATION {"citationID":"ArpJbKRE","properties":{"formattedCitation":"\\super 34\\nosupersub{}","plainCitation":"34","noteIndex":0},"citationItems":[{"id":349,"uris":["http://zotero.org/groups/2444171/items/NDXH927P"],"uri":["http://zotero.org/groups/2444171/items/NDXH927P"],"itemData":{"id":349,"type":"article","title":"ICD-10-CM Official Guidelines for Coding and Reporting: FY 2022","URL":"https://ftp.cdc.gov/pub/Health_Statistics/NCHS/Publications/ICD10CM/2022/10cmguidelines-FY2022-7-2022-7-15-21-update-508.pdf","author":[{"literal":"Centers for Medicare and Medicaid Services"},{"literal":"National Center for Health Statistics"}],"accessed":{"date-parts":[["2022",2,16]]},"issued":{"date-parts":[["2021",7,16]]}}}],"schema":"https://github.com/citation-style-language/schema/raw/master/csl-citation.json"} </w:instrText>
      </w:r>
      <w:r w:rsidRPr="00E226D7">
        <w:rPr>
          <w:rFonts w:ascii="Arial" w:hAnsi="Arial" w:cs="Arial"/>
          <w:color w:val="2B579A"/>
          <w:szCs w:val="24"/>
        </w:rPr>
        <w:fldChar w:fldCharType="separate"/>
      </w:r>
      <w:r w:rsidRPr="00E226D7">
        <w:rPr>
          <w:rFonts w:ascii="Arial" w:hAnsi="Arial" w:cs="Arial"/>
          <w:szCs w:val="24"/>
          <w:vertAlign w:val="superscript"/>
        </w:rPr>
        <w:t>34</w:t>
      </w:r>
      <w:r w:rsidRPr="00E226D7">
        <w:rPr>
          <w:rFonts w:ascii="Arial" w:hAnsi="Arial" w:cs="Arial"/>
          <w:color w:val="2B579A"/>
          <w:szCs w:val="24"/>
        </w:rPr>
        <w:fldChar w:fldCharType="end"/>
      </w:r>
      <w:r w:rsidRPr="00E226D7">
        <w:rPr>
          <w:rFonts w:ascii="Arial" w:hAnsi="Arial" w:cs="Arial"/>
          <w:szCs w:val="24"/>
        </w:rPr>
        <w:t xml:space="preserve"> Some coders must balance the time involved in reviewing additional documentation with quota systems that demand they complete coding at a certain pace, further disincentivizing the submission of voluntary codes.</w:t>
      </w:r>
    </w:p>
    <w:p w14:paraId="399162E5" w14:textId="77777777" w:rsidR="00E02026" w:rsidRDefault="00E02026" w:rsidP="00B60C0B">
      <w:pPr>
        <w:rPr>
          <w:rFonts w:ascii="Arial" w:hAnsi="Arial" w:cs="Arial"/>
          <w:szCs w:val="24"/>
        </w:rPr>
      </w:pPr>
    </w:p>
    <w:p w14:paraId="765B3EC0" w14:textId="198BBC44" w:rsidR="00B60C0B" w:rsidRDefault="00B60C0B" w:rsidP="00B60C0B">
      <w:pPr>
        <w:rPr>
          <w:rFonts w:ascii="Arial" w:hAnsi="Arial" w:cs="Arial"/>
          <w:szCs w:val="24"/>
        </w:rPr>
      </w:pPr>
      <w:r w:rsidRPr="00E226D7">
        <w:rPr>
          <w:rFonts w:ascii="Arial" w:hAnsi="Arial" w:cs="Arial"/>
          <w:szCs w:val="24"/>
        </w:rPr>
        <w:t>Improving the completion rates for location and activity codes would help the public health community better understand the circumstances of older adult falls and design more appropriate falls prevention interventions that can, in turn, reduce disability and premature death from falls.</w:t>
      </w:r>
    </w:p>
    <w:p w14:paraId="20C244B6" w14:textId="77777777" w:rsidR="00E02026" w:rsidRPr="00E226D7" w:rsidRDefault="00E02026" w:rsidP="00B60C0B">
      <w:pPr>
        <w:rPr>
          <w:rFonts w:ascii="Arial" w:hAnsi="Arial" w:cs="Arial"/>
          <w:szCs w:val="24"/>
        </w:rPr>
      </w:pPr>
    </w:p>
    <w:p w14:paraId="25834091" w14:textId="77777777" w:rsidR="00B60C0B" w:rsidRPr="00E226D7" w:rsidRDefault="00B60C0B" w:rsidP="00B60C0B">
      <w:pPr>
        <w:pStyle w:val="RecommendationBox"/>
        <w:rPr>
          <w:rFonts w:ascii="Arial" w:hAnsi="Arial" w:cs="Arial"/>
          <w:strike/>
        </w:rPr>
      </w:pPr>
      <w:bookmarkStart w:id="22" w:name="_Hlk112311562"/>
      <w:r w:rsidRPr="00E226D7">
        <w:rPr>
          <w:rFonts w:ascii="Arial" w:hAnsi="Arial" w:cs="Arial"/>
        </w:rPr>
        <w:t>The Commission recommends that the Commonwealth work with stakeholders to develop and implement strategies that improve the completion of relevant injury codes, where feasible. Specific strategies could include providing guidance to hospitals and medical coders around coding of activity and location of injury; providing hospitals and coders with feedback on the quality and completeness of data coming from their institution;</w:t>
      </w:r>
      <w:r w:rsidRPr="00E226D7" w:rsidDel="00BF3795">
        <w:rPr>
          <w:rFonts w:ascii="Arial" w:hAnsi="Arial" w:cs="Arial"/>
        </w:rPr>
        <w:t xml:space="preserve"> </w:t>
      </w:r>
      <w:r w:rsidRPr="00E226D7">
        <w:rPr>
          <w:rFonts w:ascii="Arial" w:hAnsi="Arial" w:cs="Arial"/>
        </w:rPr>
        <w:t>and developing a scheme for reimbursing providers for using such codes.</w:t>
      </w:r>
    </w:p>
    <w:bookmarkEnd w:id="22"/>
    <w:p w14:paraId="0D8617D3" w14:textId="77777777" w:rsidR="00240D1C" w:rsidRDefault="00240D1C" w:rsidP="007472DD">
      <w:pPr>
        <w:tabs>
          <w:tab w:val="left" w:pos="5565"/>
        </w:tabs>
        <w:spacing w:after="200" w:line="276" w:lineRule="auto"/>
        <w:sectPr w:rsidR="00240D1C" w:rsidSect="00471D56">
          <w:type w:val="continuous"/>
          <w:pgSz w:w="12240" w:h="15840"/>
          <w:pgMar w:top="1440" w:right="1440" w:bottom="1440" w:left="1440" w:header="720" w:footer="720" w:gutter="0"/>
          <w:cols w:space="720"/>
          <w:docGrid w:linePitch="360"/>
        </w:sectPr>
      </w:pPr>
    </w:p>
    <w:p w14:paraId="2B6FEA5C" w14:textId="77777777" w:rsidR="007A2B18" w:rsidRDefault="007A2B18" w:rsidP="007472DD">
      <w:pPr>
        <w:tabs>
          <w:tab w:val="left" w:pos="5565"/>
        </w:tabs>
        <w:spacing w:after="200" w:line="276" w:lineRule="auto"/>
        <w:sectPr w:rsidR="007A2B18" w:rsidSect="007A2B18">
          <w:pgSz w:w="12240" w:h="15840"/>
          <w:pgMar w:top="1440" w:right="1440" w:bottom="1440" w:left="1440" w:header="720" w:footer="720" w:gutter="0"/>
          <w:cols w:space="720"/>
          <w:titlePg/>
          <w:docGrid w:linePitch="360"/>
        </w:sectPr>
      </w:pPr>
    </w:p>
    <w:p w14:paraId="207E4212" w14:textId="0244FB78" w:rsidR="00A22B38" w:rsidRDefault="007472DD" w:rsidP="007472DD">
      <w:pPr>
        <w:tabs>
          <w:tab w:val="left" w:pos="5565"/>
        </w:tabs>
        <w:spacing w:after="200" w:line="276" w:lineRule="auto"/>
        <w:rPr>
          <w:rFonts w:ascii="Arial" w:eastAsia="Calibri" w:hAnsi="Arial" w:cs="Arial"/>
          <w:b/>
          <w:szCs w:val="24"/>
        </w:rPr>
      </w:pPr>
      <w:r>
        <w:lastRenderedPageBreak/>
        <w:tab/>
      </w:r>
    </w:p>
    <w:p w14:paraId="28272270" w14:textId="4322936B" w:rsidR="00B60C0B" w:rsidRPr="00E226D7" w:rsidRDefault="00B60C0B" w:rsidP="009306C6">
      <w:pPr>
        <w:pStyle w:val="Heading1"/>
      </w:pPr>
      <w:bookmarkStart w:id="23" w:name="_Toc134178550"/>
      <w:bookmarkStart w:id="24" w:name="_Toc134178766"/>
      <w:bookmarkStart w:id="25" w:name="_Toc134178890"/>
      <w:r w:rsidRPr="00E226D7">
        <w:t>Appendix A: Commission on Falls Prevention Membership</w:t>
      </w:r>
      <w:bookmarkEnd w:id="23"/>
      <w:bookmarkEnd w:id="24"/>
      <w:bookmarkEnd w:id="25"/>
    </w:p>
    <w:p w14:paraId="0060ED05" w14:textId="77777777" w:rsidR="00B60C0B" w:rsidRPr="00E226D7" w:rsidRDefault="00B60C0B" w:rsidP="00B60C0B">
      <w:pPr>
        <w:rPr>
          <w:rFonts w:ascii="Arial" w:hAnsi="Arial" w:cs="Arial"/>
          <w:szCs w:val="24"/>
        </w:rPr>
      </w:pPr>
    </w:p>
    <w:p w14:paraId="2171937D" w14:textId="77777777" w:rsidR="00B60C0B" w:rsidRPr="00E226D7" w:rsidRDefault="00B60C0B" w:rsidP="00BC53CF">
      <w:pPr>
        <w:pStyle w:val="ListParagraph"/>
        <w:numPr>
          <w:ilvl w:val="0"/>
          <w:numId w:val="36"/>
        </w:numPr>
        <w:sectPr w:rsidR="00B60C0B" w:rsidRPr="00E226D7" w:rsidSect="00240D1C">
          <w:pgSz w:w="12240" w:h="15840"/>
          <w:pgMar w:top="1440" w:right="1440" w:bottom="1440" w:left="1440" w:header="720" w:footer="720" w:gutter="0"/>
          <w:cols w:space="720"/>
          <w:docGrid w:linePitch="360"/>
        </w:sectPr>
      </w:pPr>
    </w:p>
    <w:p w14:paraId="1D33DE82" w14:textId="77777777" w:rsidR="00B60C0B" w:rsidRPr="00E226D7" w:rsidRDefault="00B60C0B" w:rsidP="00BC53CF">
      <w:pPr>
        <w:pStyle w:val="ListParagraph"/>
        <w:numPr>
          <w:ilvl w:val="0"/>
          <w:numId w:val="36"/>
        </w:numPr>
        <w:rPr>
          <w:b/>
          <w:bCs/>
        </w:rPr>
      </w:pPr>
      <w:r w:rsidRPr="00E226D7">
        <w:rPr>
          <w:b/>
          <w:bCs/>
        </w:rPr>
        <w:t>Bekah Thomas, Chair</w:t>
      </w:r>
      <w:r w:rsidRPr="00E226D7">
        <w:rPr>
          <w:b/>
          <w:bCs/>
        </w:rPr>
        <w:br/>
      </w:r>
      <w:r w:rsidRPr="00E226D7">
        <w:t>Director, Injury Prevention and Control Program</w:t>
      </w:r>
      <w:r w:rsidRPr="00E226D7">
        <w:br/>
      </w:r>
      <w:r w:rsidRPr="00E226D7">
        <w:rPr>
          <w:i/>
          <w:iCs/>
        </w:rPr>
        <w:t>Massachusetts Department of Public Health</w:t>
      </w:r>
    </w:p>
    <w:p w14:paraId="17968BB4" w14:textId="77777777" w:rsidR="00B60C0B" w:rsidRPr="00E226D7" w:rsidRDefault="00B60C0B" w:rsidP="00BC53CF">
      <w:pPr>
        <w:pStyle w:val="ListParagraph"/>
        <w:numPr>
          <w:ilvl w:val="0"/>
          <w:numId w:val="36"/>
        </w:numPr>
        <w:rPr>
          <w:b/>
          <w:bCs/>
        </w:rPr>
      </w:pPr>
      <w:r w:rsidRPr="00E226D7">
        <w:rPr>
          <w:b/>
          <w:bCs/>
        </w:rPr>
        <w:t>Almas Dossa</w:t>
      </w:r>
      <w:r w:rsidRPr="00E226D7">
        <w:rPr>
          <w:b/>
          <w:bCs/>
        </w:rPr>
        <w:br/>
      </w:r>
      <w:r w:rsidRPr="00E226D7">
        <w:t>Assistant Director, Fee-For-Service programs, Home Health, Hospice and Therapy Services, MassHealth Office of Long Term Care Services &amp; Supports</w:t>
      </w:r>
      <w:r w:rsidRPr="00E226D7">
        <w:br/>
      </w:r>
      <w:r w:rsidRPr="00E226D7">
        <w:rPr>
          <w:i/>
          <w:iCs/>
        </w:rPr>
        <w:t>MassHealth</w:t>
      </w:r>
    </w:p>
    <w:p w14:paraId="3C112863" w14:textId="77777777" w:rsidR="00B60C0B" w:rsidRPr="00E226D7" w:rsidRDefault="00B60C0B" w:rsidP="00BC53CF">
      <w:pPr>
        <w:pStyle w:val="ListParagraph"/>
        <w:numPr>
          <w:ilvl w:val="0"/>
          <w:numId w:val="36"/>
        </w:numPr>
        <w:rPr>
          <w:b/>
          <w:bCs/>
        </w:rPr>
      </w:pPr>
      <w:r w:rsidRPr="00E226D7">
        <w:rPr>
          <w:b/>
          <w:bCs/>
        </w:rPr>
        <w:t>Brian Doherty</w:t>
      </w:r>
      <w:r w:rsidRPr="00E226D7">
        <w:rPr>
          <w:b/>
          <w:bCs/>
        </w:rPr>
        <w:br/>
      </w:r>
      <w:r w:rsidRPr="00E226D7">
        <w:t xml:space="preserve">President and CEO </w:t>
      </w:r>
      <w:r w:rsidRPr="00E226D7">
        <w:br/>
        <w:t>Massachusetts Assisted Living Association</w:t>
      </w:r>
    </w:p>
    <w:p w14:paraId="3D9EDB37" w14:textId="77777777" w:rsidR="00B60C0B" w:rsidRPr="00E226D7" w:rsidRDefault="00B60C0B" w:rsidP="00BC53CF">
      <w:pPr>
        <w:pStyle w:val="ListParagraph"/>
        <w:numPr>
          <w:ilvl w:val="0"/>
          <w:numId w:val="36"/>
        </w:numPr>
        <w:rPr>
          <w:b/>
          <w:bCs/>
        </w:rPr>
      </w:pPr>
      <w:r w:rsidRPr="00E226D7">
        <w:rPr>
          <w:b/>
          <w:bCs/>
        </w:rPr>
        <w:t>Ish Gupta</w:t>
      </w:r>
      <w:r w:rsidRPr="00E226D7">
        <w:rPr>
          <w:b/>
          <w:bCs/>
        </w:rPr>
        <w:br/>
      </w:r>
      <w:r w:rsidRPr="00E226D7">
        <w:t>Medical Director, Team Health Hospitalist, Saint Vincent Hospital</w:t>
      </w:r>
      <w:r w:rsidRPr="00E226D7">
        <w:br/>
      </w:r>
      <w:r w:rsidRPr="00E226D7">
        <w:rPr>
          <w:i/>
          <w:iCs/>
        </w:rPr>
        <w:t>Massachusetts Medical Society</w:t>
      </w:r>
    </w:p>
    <w:p w14:paraId="1E83BC2D" w14:textId="77777777" w:rsidR="00B60C0B" w:rsidRPr="00E226D7" w:rsidRDefault="00B60C0B" w:rsidP="00BC53CF">
      <w:pPr>
        <w:pStyle w:val="ListParagraph"/>
        <w:numPr>
          <w:ilvl w:val="0"/>
          <w:numId w:val="36"/>
        </w:numPr>
        <w:rPr>
          <w:b/>
          <w:bCs/>
        </w:rPr>
      </w:pPr>
      <w:r w:rsidRPr="00E226D7">
        <w:rPr>
          <w:b/>
          <w:bCs/>
        </w:rPr>
        <w:t>Melissa Jones</w:t>
      </w:r>
      <w:r w:rsidRPr="00E226D7">
        <w:rPr>
          <w:b/>
          <w:bCs/>
        </w:rPr>
        <w:br/>
      </w:r>
      <w:r w:rsidRPr="00E226D7">
        <w:t>Quality Coordinator, Beth Israel Lahey Health at Home</w:t>
      </w:r>
      <w:r w:rsidRPr="00E226D7">
        <w:br/>
      </w:r>
      <w:r w:rsidRPr="00E226D7">
        <w:rPr>
          <w:i/>
          <w:iCs/>
        </w:rPr>
        <w:t>American Physical Therapy Association of Massachusetts</w:t>
      </w:r>
    </w:p>
    <w:p w14:paraId="4F9ED4ED" w14:textId="77777777" w:rsidR="00B60C0B" w:rsidRPr="00E226D7" w:rsidRDefault="00B60C0B" w:rsidP="00BC53CF">
      <w:pPr>
        <w:pStyle w:val="ListParagraph"/>
        <w:numPr>
          <w:ilvl w:val="0"/>
          <w:numId w:val="36"/>
        </w:numPr>
        <w:rPr>
          <w:b/>
          <w:bCs/>
        </w:rPr>
      </w:pPr>
      <w:r w:rsidRPr="00E226D7">
        <w:rPr>
          <w:b/>
          <w:bCs/>
        </w:rPr>
        <w:t>Jennifer Kaldenberg</w:t>
      </w:r>
      <w:r w:rsidRPr="00E226D7">
        <w:rPr>
          <w:b/>
          <w:bCs/>
        </w:rPr>
        <w:br/>
      </w:r>
      <w:r w:rsidRPr="00E226D7">
        <w:t>Clinical Assistant Professor, BU, College of Health and Rehab. Sciences: Sargent College</w:t>
      </w:r>
      <w:r w:rsidRPr="00E226D7">
        <w:br/>
      </w:r>
      <w:r w:rsidRPr="00E226D7">
        <w:rPr>
          <w:i/>
          <w:iCs/>
        </w:rPr>
        <w:t>Massachusetts Association for Occupational Therapy</w:t>
      </w:r>
    </w:p>
    <w:p w14:paraId="6467871A" w14:textId="77777777" w:rsidR="00B60C0B" w:rsidRPr="00E226D7" w:rsidRDefault="00B60C0B" w:rsidP="00BC53CF">
      <w:pPr>
        <w:pStyle w:val="ListParagraph"/>
        <w:numPr>
          <w:ilvl w:val="0"/>
          <w:numId w:val="36"/>
        </w:numPr>
        <w:rPr>
          <w:b/>
          <w:bCs/>
        </w:rPr>
      </w:pPr>
      <w:r w:rsidRPr="00E226D7">
        <w:rPr>
          <w:b/>
          <w:bCs/>
        </w:rPr>
        <w:t>Helen Magliozzi</w:t>
      </w:r>
      <w:r w:rsidRPr="00E226D7">
        <w:rPr>
          <w:b/>
          <w:bCs/>
        </w:rPr>
        <w:br/>
      </w:r>
      <w:r w:rsidRPr="00E226D7">
        <w:t>Director of Regulatory Affairs</w:t>
      </w:r>
      <w:r w:rsidRPr="00E226D7">
        <w:br/>
      </w:r>
      <w:r w:rsidRPr="00E226D7">
        <w:rPr>
          <w:i/>
          <w:iCs/>
        </w:rPr>
        <w:t>Massachusetts Senior Care Association</w:t>
      </w:r>
    </w:p>
    <w:p w14:paraId="6AF6931E" w14:textId="16ECF2D3" w:rsidR="00B60C0B" w:rsidRPr="00E226D7" w:rsidRDefault="00B60C0B" w:rsidP="00BC53CF">
      <w:pPr>
        <w:pStyle w:val="ListParagraph"/>
        <w:numPr>
          <w:ilvl w:val="0"/>
          <w:numId w:val="36"/>
        </w:numPr>
      </w:pPr>
      <w:r w:rsidRPr="00E226D7">
        <w:rPr>
          <w:b/>
          <w:bCs/>
        </w:rPr>
        <w:t>Joanne Moore</w:t>
      </w:r>
      <w:r w:rsidRPr="00E226D7">
        <w:rPr>
          <w:b/>
          <w:bCs/>
        </w:rPr>
        <w:br/>
      </w:r>
      <w:r w:rsidRPr="00E226D7">
        <w:t>Director, Duxbury Senior Center</w:t>
      </w:r>
      <w:r w:rsidRPr="00E226D7">
        <w:br/>
        <w:t>Massachusetts Association of Councils on Aging</w:t>
      </w:r>
    </w:p>
    <w:p w14:paraId="3B52519C" w14:textId="77777777" w:rsidR="00B60C0B" w:rsidRPr="00E226D7" w:rsidRDefault="00B60C0B" w:rsidP="00BC53CF">
      <w:pPr>
        <w:pStyle w:val="ListParagraph"/>
        <w:numPr>
          <w:ilvl w:val="0"/>
          <w:numId w:val="36"/>
        </w:numPr>
        <w:rPr>
          <w:b/>
          <w:bCs/>
        </w:rPr>
      </w:pPr>
      <w:r w:rsidRPr="00E226D7">
        <w:rPr>
          <w:b/>
          <w:bCs/>
        </w:rPr>
        <w:t>Annette Peele</w:t>
      </w:r>
      <w:r w:rsidRPr="00E226D7">
        <w:rPr>
          <w:b/>
          <w:bCs/>
        </w:rPr>
        <w:br/>
      </w:r>
      <w:r w:rsidRPr="00E226D7">
        <w:t>Director of Community Programs</w:t>
      </w:r>
      <w:r w:rsidRPr="00E226D7">
        <w:br/>
        <w:t>Massachusetts Executive Office of Elder Affairs</w:t>
      </w:r>
    </w:p>
    <w:p w14:paraId="1D5A6089" w14:textId="77777777" w:rsidR="00B60C0B" w:rsidRPr="00E226D7" w:rsidRDefault="00B60C0B" w:rsidP="00BC53CF">
      <w:pPr>
        <w:pStyle w:val="ListParagraph"/>
        <w:numPr>
          <w:ilvl w:val="0"/>
          <w:numId w:val="36"/>
        </w:numPr>
        <w:rPr>
          <w:b/>
          <w:bCs/>
        </w:rPr>
      </w:pPr>
      <w:r w:rsidRPr="00E226D7">
        <w:rPr>
          <w:b/>
          <w:bCs/>
        </w:rPr>
        <w:t>Colleen Pierro</w:t>
      </w:r>
      <w:r w:rsidRPr="00E226D7">
        <w:rPr>
          <w:b/>
          <w:bCs/>
        </w:rPr>
        <w:br/>
      </w:r>
      <w:r w:rsidRPr="00E226D7">
        <w:t>Director of Regulatory and Clinical Affairs</w:t>
      </w:r>
      <w:r w:rsidRPr="00E226D7">
        <w:br/>
      </w:r>
      <w:r w:rsidRPr="00E226D7">
        <w:rPr>
          <w:i/>
          <w:iCs/>
        </w:rPr>
        <w:t>Home Care Alliance of Massachusetts</w:t>
      </w:r>
    </w:p>
    <w:p w14:paraId="4C5DD36D" w14:textId="77777777" w:rsidR="00B60C0B" w:rsidRPr="00E226D7" w:rsidRDefault="00B60C0B" w:rsidP="00BC53CF">
      <w:pPr>
        <w:pStyle w:val="ListParagraph"/>
        <w:numPr>
          <w:ilvl w:val="0"/>
          <w:numId w:val="36"/>
        </w:numPr>
        <w:rPr>
          <w:i/>
          <w:iCs/>
        </w:rPr>
      </w:pPr>
      <w:r w:rsidRPr="00E226D7">
        <w:rPr>
          <w:b/>
          <w:bCs/>
        </w:rPr>
        <w:t>Emily Shea</w:t>
      </w:r>
      <w:r w:rsidRPr="00E226D7">
        <w:rPr>
          <w:b/>
          <w:bCs/>
        </w:rPr>
        <w:br/>
      </w:r>
      <w:r w:rsidRPr="00E226D7">
        <w:t>Commissioner, Commission on Affairs of the Elderly, City of Boston</w:t>
      </w:r>
      <w:r w:rsidRPr="00E226D7">
        <w:br/>
      </w:r>
      <w:r w:rsidRPr="00E226D7">
        <w:rPr>
          <w:i/>
          <w:iCs/>
        </w:rPr>
        <w:t>Massachusetts Home Care</w:t>
      </w:r>
    </w:p>
    <w:p w14:paraId="70E6FB13" w14:textId="77777777" w:rsidR="00B60C0B" w:rsidRPr="00E226D7" w:rsidRDefault="00B60C0B" w:rsidP="00BC53CF">
      <w:pPr>
        <w:pStyle w:val="ListParagraph"/>
        <w:numPr>
          <w:ilvl w:val="0"/>
          <w:numId w:val="36"/>
        </w:numPr>
        <w:rPr>
          <w:b/>
          <w:bCs/>
        </w:rPr>
      </w:pPr>
      <w:r w:rsidRPr="00E226D7">
        <w:rPr>
          <w:b/>
          <w:bCs/>
        </w:rPr>
        <w:t>Mary Sullivan</w:t>
      </w:r>
      <w:r w:rsidRPr="00E226D7">
        <w:rPr>
          <w:b/>
          <w:bCs/>
        </w:rPr>
        <w:br/>
      </w:r>
      <w:r w:rsidRPr="00E226D7">
        <w:t>Pharmacy Manager, Senior Whole Health</w:t>
      </w:r>
      <w:r w:rsidRPr="00E226D7">
        <w:br/>
      </w:r>
      <w:r w:rsidRPr="00E226D7">
        <w:rPr>
          <w:i/>
          <w:iCs/>
        </w:rPr>
        <w:t>Massachusetts Pharmacists Association Foundation</w:t>
      </w:r>
    </w:p>
    <w:p w14:paraId="375A5788" w14:textId="05A55626" w:rsidR="00B60C0B" w:rsidRPr="00DC1F6C" w:rsidRDefault="00B60C0B" w:rsidP="00BC53CF">
      <w:pPr>
        <w:pStyle w:val="ListParagraph"/>
        <w:numPr>
          <w:ilvl w:val="0"/>
          <w:numId w:val="36"/>
        </w:numPr>
        <w:rPr>
          <w:b/>
          <w:bCs/>
        </w:rPr>
      </w:pPr>
      <w:r w:rsidRPr="00E226D7">
        <w:rPr>
          <w:b/>
          <w:bCs/>
        </w:rPr>
        <w:t>Deborah Washington</w:t>
      </w:r>
      <w:r w:rsidRPr="00E226D7">
        <w:rPr>
          <w:b/>
          <w:bCs/>
        </w:rPr>
        <w:br/>
      </w:r>
      <w:r w:rsidRPr="00E226D7">
        <w:t>Director of Diversity, Patient Care Services, MA General Hospital</w:t>
      </w:r>
      <w:r w:rsidRPr="00E226D7">
        <w:br/>
      </w:r>
      <w:r w:rsidRPr="00E226D7">
        <w:rPr>
          <w:i/>
          <w:iCs/>
        </w:rPr>
        <w:t>American Association of Retired Persons</w:t>
      </w:r>
    </w:p>
    <w:p w14:paraId="32E69EF0" w14:textId="5AB7F151" w:rsidR="00DC1F6C" w:rsidRDefault="00DC1F6C" w:rsidP="00DC1F6C">
      <w:pPr>
        <w:ind w:left="360"/>
        <w:rPr>
          <w:b/>
          <w:bCs/>
        </w:rPr>
      </w:pPr>
    </w:p>
    <w:p w14:paraId="5DB19CC5" w14:textId="01D82470" w:rsidR="00DC1F6C" w:rsidRDefault="00DC1F6C" w:rsidP="00DC1F6C">
      <w:pPr>
        <w:ind w:left="360"/>
        <w:rPr>
          <w:b/>
          <w:bCs/>
        </w:rPr>
      </w:pPr>
    </w:p>
    <w:p w14:paraId="5BFA7B42" w14:textId="33577104" w:rsidR="00DC1F6C" w:rsidRDefault="00DC1F6C" w:rsidP="00DC1F6C">
      <w:pPr>
        <w:ind w:left="360"/>
        <w:rPr>
          <w:b/>
          <w:bCs/>
        </w:rPr>
      </w:pPr>
    </w:p>
    <w:p w14:paraId="3C976F5C" w14:textId="77777777" w:rsidR="00DC1F6C" w:rsidRPr="00DC1F6C" w:rsidRDefault="00DC1F6C" w:rsidP="00DC1F6C">
      <w:pPr>
        <w:ind w:left="360"/>
        <w:rPr>
          <w:b/>
          <w:bCs/>
        </w:rPr>
      </w:pPr>
    </w:p>
    <w:p w14:paraId="1FDCC564" w14:textId="77777777" w:rsidR="00B60C0B" w:rsidRPr="00E226D7" w:rsidRDefault="00B60C0B" w:rsidP="00B60C0B">
      <w:pPr>
        <w:rPr>
          <w:rFonts w:ascii="Arial" w:hAnsi="Arial" w:cs="Arial"/>
          <w:szCs w:val="24"/>
        </w:rPr>
      </w:pPr>
    </w:p>
    <w:p w14:paraId="47A8EBFC" w14:textId="77777777" w:rsidR="008E1B92" w:rsidRDefault="008E1B92" w:rsidP="00B60C0B">
      <w:pPr>
        <w:rPr>
          <w:rFonts w:ascii="Arial" w:hAnsi="Arial" w:cs="Arial"/>
          <w:szCs w:val="24"/>
        </w:rPr>
      </w:pPr>
    </w:p>
    <w:p w14:paraId="4D0EB4ED" w14:textId="39A9F1AA" w:rsidR="008E1B92" w:rsidRDefault="008E1B92" w:rsidP="00B60C0B">
      <w:pPr>
        <w:rPr>
          <w:rFonts w:ascii="Arial" w:hAnsi="Arial" w:cs="Arial"/>
          <w:szCs w:val="24"/>
        </w:rPr>
        <w:sectPr w:rsidR="008E1B92" w:rsidSect="007B17D3">
          <w:type w:val="continuous"/>
          <w:pgSz w:w="12240" w:h="15840"/>
          <w:pgMar w:top="1440" w:right="1440" w:bottom="1440" w:left="1440" w:header="720" w:footer="720" w:gutter="0"/>
          <w:cols w:num="2" w:space="288"/>
          <w:docGrid w:linePitch="360"/>
        </w:sectPr>
      </w:pPr>
    </w:p>
    <w:p w14:paraId="738D3DA7" w14:textId="0B4E11D4" w:rsidR="00B60C0B" w:rsidRPr="00E226D7" w:rsidRDefault="00B60C0B" w:rsidP="00B60C0B">
      <w:pPr>
        <w:rPr>
          <w:rFonts w:ascii="Arial" w:hAnsi="Arial" w:cs="Arial"/>
          <w:szCs w:val="24"/>
        </w:rPr>
      </w:pPr>
    </w:p>
    <w:p w14:paraId="0E0550F4" w14:textId="77777777" w:rsidR="00195456" w:rsidRDefault="00195456" w:rsidP="00B60C0B">
      <w:pPr>
        <w:rPr>
          <w:rFonts w:ascii="Arial" w:hAnsi="Arial" w:cs="Arial"/>
          <w:szCs w:val="24"/>
        </w:rPr>
        <w:sectPr w:rsidR="00195456" w:rsidSect="008E1B92">
          <w:type w:val="continuous"/>
          <w:pgSz w:w="12240" w:h="15840"/>
          <w:pgMar w:top="1440" w:right="1440" w:bottom="1440" w:left="1440" w:header="720" w:footer="720" w:gutter="0"/>
          <w:cols w:space="288"/>
          <w:docGrid w:linePitch="360"/>
        </w:sectPr>
      </w:pPr>
    </w:p>
    <w:p w14:paraId="20B92536" w14:textId="3A669F98" w:rsidR="00B7723D" w:rsidRPr="00E226D7" w:rsidRDefault="00B7723D" w:rsidP="00B60C0B">
      <w:pPr>
        <w:rPr>
          <w:rFonts w:ascii="Arial" w:hAnsi="Arial" w:cs="Arial"/>
          <w:szCs w:val="24"/>
        </w:rPr>
        <w:sectPr w:rsidR="00B7723D" w:rsidRPr="00E226D7" w:rsidSect="007472DD">
          <w:pgSz w:w="12240" w:h="15840"/>
          <w:pgMar w:top="1440" w:right="1440" w:bottom="1440" w:left="1440" w:header="720" w:footer="720" w:gutter="0"/>
          <w:cols w:space="288"/>
          <w:titlePg/>
          <w:docGrid w:linePitch="360"/>
        </w:sectPr>
      </w:pPr>
    </w:p>
    <w:p w14:paraId="79D5471B" w14:textId="319523B3" w:rsidR="00B60C0B" w:rsidRPr="00E226D7" w:rsidRDefault="00B60C0B" w:rsidP="009306C6">
      <w:pPr>
        <w:pStyle w:val="Heading1"/>
      </w:pPr>
      <w:bookmarkStart w:id="26" w:name="_Toc134178551"/>
      <w:bookmarkStart w:id="27" w:name="_Toc134178767"/>
      <w:bookmarkStart w:id="28" w:name="_Toc134178891"/>
      <w:r w:rsidRPr="00E226D7">
        <w:lastRenderedPageBreak/>
        <w:t>Appendix B: Elements of Public Health Infrastructure Relevant to Local Falls Prevention Services</w:t>
      </w:r>
      <w:bookmarkEnd w:id="26"/>
      <w:bookmarkEnd w:id="27"/>
      <w:bookmarkEnd w:id="28"/>
    </w:p>
    <w:p w14:paraId="0615C362" w14:textId="77777777" w:rsidR="00B60C0B" w:rsidRPr="00E226D7" w:rsidRDefault="00B60C0B" w:rsidP="00B60C0B">
      <w:pPr>
        <w:rPr>
          <w:rFonts w:ascii="Arial" w:hAnsi="Arial" w:cs="Arial"/>
          <w:szCs w:val="24"/>
        </w:rPr>
      </w:pPr>
    </w:p>
    <w:tbl>
      <w:tblPr>
        <w:tblStyle w:val="GridTable5Dark-Accent1"/>
        <w:tblW w:w="14395" w:type="dxa"/>
        <w:jc w:val="center"/>
        <w:tblLook w:val="04A0" w:firstRow="1" w:lastRow="0" w:firstColumn="1" w:lastColumn="0" w:noHBand="0" w:noVBand="1"/>
      </w:tblPr>
      <w:tblGrid>
        <w:gridCol w:w="1724"/>
        <w:gridCol w:w="3428"/>
        <w:gridCol w:w="3187"/>
        <w:gridCol w:w="2645"/>
        <w:gridCol w:w="3411"/>
      </w:tblGrid>
      <w:tr w:rsidR="00B60C0B" w:rsidRPr="00E226D7" w14:paraId="5E7C94D0" w14:textId="77777777" w:rsidTr="00637DE0">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1568" w:type="dxa"/>
          </w:tcPr>
          <w:p w14:paraId="0BF541B9" w14:textId="77777777" w:rsidR="00B60C0B" w:rsidRPr="00E226D7" w:rsidRDefault="00B60C0B" w:rsidP="00637DE0">
            <w:pPr>
              <w:rPr>
                <w:rFonts w:ascii="Arial" w:hAnsi="Arial" w:cs="Arial"/>
                <w:szCs w:val="24"/>
              </w:rPr>
            </w:pPr>
            <w:r w:rsidRPr="00E226D7">
              <w:rPr>
                <w:rFonts w:ascii="Arial" w:hAnsi="Arial" w:cs="Arial"/>
                <w:szCs w:val="24"/>
              </w:rPr>
              <w:t>Types of Fall Prevention Services</w:t>
            </w:r>
          </w:p>
        </w:tc>
        <w:tc>
          <w:tcPr>
            <w:tcW w:w="6707" w:type="dxa"/>
            <w:gridSpan w:val="2"/>
          </w:tcPr>
          <w:p w14:paraId="5AE715BF" w14:textId="77777777" w:rsidR="00B60C0B" w:rsidRPr="00E226D7" w:rsidRDefault="00B60C0B" w:rsidP="00637DE0">
            <w:pP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E226D7">
              <w:rPr>
                <w:rFonts w:ascii="Arial" w:hAnsi="Arial" w:cs="Arial"/>
                <w:szCs w:val="24"/>
              </w:rPr>
              <w:t>Agencies Providing Services</w:t>
            </w:r>
          </w:p>
        </w:tc>
        <w:tc>
          <w:tcPr>
            <w:tcW w:w="2659" w:type="dxa"/>
          </w:tcPr>
          <w:p w14:paraId="6E3A1B6C" w14:textId="77777777" w:rsidR="00B60C0B" w:rsidRPr="00E226D7" w:rsidRDefault="00B60C0B" w:rsidP="00637DE0">
            <w:pP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E226D7">
              <w:rPr>
                <w:rFonts w:ascii="Arial" w:hAnsi="Arial" w:cs="Arial"/>
                <w:szCs w:val="24"/>
              </w:rPr>
              <w:t>Workforce Delivering Services</w:t>
            </w:r>
          </w:p>
        </w:tc>
        <w:tc>
          <w:tcPr>
            <w:tcW w:w="3461" w:type="dxa"/>
          </w:tcPr>
          <w:p w14:paraId="463AF2AC" w14:textId="77777777" w:rsidR="00B60C0B" w:rsidRPr="00E226D7" w:rsidRDefault="00B60C0B" w:rsidP="00637DE0">
            <w:pPr>
              <w:cnfStyle w:val="100000000000" w:firstRow="1" w:lastRow="0" w:firstColumn="0" w:lastColumn="0" w:oddVBand="0" w:evenVBand="0" w:oddHBand="0" w:evenHBand="0" w:firstRowFirstColumn="0" w:firstRowLastColumn="0" w:lastRowFirstColumn="0" w:lastRowLastColumn="0"/>
              <w:rPr>
                <w:rFonts w:ascii="Arial" w:hAnsi="Arial" w:cs="Arial"/>
                <w:szCs w:val="24"/>
              </w:rPr>
            </w:pPr>
            <w:r w:rsidRPr="00E226D7">
              <w:rPr>
                <w:rFonts w:ascii="Arial" w:hAnsi="Arial" w:cs="Arial"/>
                <w:szCs w:val="24"/>
              </w:rPr>
              <w:t>Indicators of Service Improvement</w:t>
            </w:r>
          </w:p>
        </w:tc>
      </w:tr>
      <w:tr w:rsidR="00B60C0B" w:rsidRPr="00E226D7" w14:paraId="38EABD6D" w14:textId="77777777" w:rsidTr="00637DE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568" w:type="dxa"/>
          </w:tcPr>
          <w:p w14:paraId="6C65D1B7" w14:textId="77777777" w:rsidR="00B60C0B" w:rsidRPr="00E226D7" w:rsidRDefault="00B60C0B" w:rsidP="00637DE0">
            <w:pPr>
              <w:rPr>
                <w:rFonts w:ascii="Arial" w:hAnsi="Arial" w:cs="Arial"/>
                <w:szCs w:val="24"/>
              </w:rPr>
            </w:pPr>
            <w:r w:rsidRPr="00E226D7">
              <w:rPr>
                <w:rFonts w:ascii="Arial" w:hAnsi="Arial" w:cs="Arial"/>
                <w:szCs w:val="24"/>
              </w:rPr>
              <w:t>Screening</w:t>
            </w:r>
          </w:p>
        </w:tc>
        <w:tc>
          <w:tcPr>
            <w:tcW w:w="3467" w:type="dxa"/>
          </w:tcPr>
          <w:p w14:paraId="192B57BD" w14:textId="77777777" w:rsidR="00B60C0B" w:rsidRPr="005310E8" w:rsidRDefault="00B60C0B" w:rsidP="00B60C0B">
            <w:pPr>
              <w:numPr>
                <w:ilvl w:val="0"/>
                <w:numId w:val="18"/>
              </w:numPr>
              <w:tabs>
                <w:tab w:val="clear" w:pos="720"/>
                <w:tab w:val="num" w:pos="340"/>
              </w:tabs>
              <w:ind w:left="340" w:hanging="27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Community-based Organizations (CBOs)</w:t>
            </w:r>
          </w:p>
          <w:p w14:paraId="2ED1A3AF" w14:textId="77777777" w:rsidR="00B60C0B" w:rsidRPr="005310E8" w:rsidRDefault="00B60C0B" w:rsidP="00B60C0B">
            <w:pPr>
              <w:numPr>
                <w:ilvl w:val="1"/>
                <w:numId w:val="18"/>
              </w:numPr>
              <w:tabs>
                <w:tab w:val="clear" w:pos="1440"/>
              </w:tabs>
              <w:ind w:left="751"/>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Gyms and YMCAs</w:t>
            </w:r>
          </w:p>
          <w:p w14:paraId="3B8148FD" w14:textId="77777777" w:rsidR="00B60C0B" w:rsidRPr="005310E8" w:rsidRDefault="00B60C0B" w:rsidP="00B60C0B">
            <w:pPr>
              <w:numPr>
                <w:ilvl w:val="1"/>
                <w:numId w:val="18"/>
              </w:numPr>
              <w:tabs>
                <w:tab w:val="clear" w:pos="1440"/>
              </w:tabs>
              <w:ind w:left="751"/>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Councils on Aging (COA)</w:t>
            </w:r>
          </w:p>
          <w:p w14:paraId="69D9F8A2" w14:textId="77777777" w:rsidR="00B60C0B" w:rsidRPr="005310E8" w:rsidRDefault="00B60C0B" w:rsidP="00B60C0B">
            <w:pPr>
              <w:numPr>
                <w:ilvl w:val="1"/>
                <w:numId w:val="18"/>
              </w:numPr>
              <w:tabs>
                <w:tab w:val="clear" w:pos="1440"/>
              </w:tabs>
              <w:ind w:left="751"/>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Senior Centers</w:t>
            </w:r>
          </w:p>
          <w:p w14:paraId="6A24602D" w14:textId="77777777" w:rsidR="00B60C0B" w:rsidRPr="005310E8" w:rsidRDefault="00B60C0B" w:rsidP="00B60C0B">
            <w:pPr>
              <w:numPr>
                <w:ilvl w:val="1"/>
                <w:numId w:val="18"/>
              </w:numPr>
              <w:tabs>
                <w:tab w:val="clear" w:pos="1440"/>
              </w:tabs>
              <w:ind w:left="751"/>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Area Agencies on Aging/Aging Services Access Points</w:t>
            </w:r>
          </w:p>
          <w:p w14:paraId="108A8BD2" w14:textId="77777777" w:rsidR="00B60C0B" w:rsidRPr="005310E8" w:rsidRDefault="00B60C0B" w:rsidP="00B60C0B">
            <w:pPr>
              <w:numPr>
                <w:ilvl w:val="0"/>
                <w:numId w:val="18"/>
              </w:numPr>
              <w:tabs>
                <w:tab w:val="clear" w:pos="720"/>
                <w:tab w:val="num" w:pos="340"/>
              </w:tabs>
              <w:ind w:left="340" w:hanging="27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Visiting Nurses Associations</w:t>
            </w:r>
          </w:p>
          <w:p w14:paraId="2E22B93A" w14:textId="77777777" w:rsidR="00B60C0B" w:rsidRPr="005310E8" w:rsidRDefault="00B60C0B" w:rsidP="00B60C0B">
            <w:pPr>
              <w:numPr>
                <w:ilvl w:val="0"/>
                <w:numId w:val="18"/>
              </w:numPr>
              <w:tabs>
                <w:tab w:val="clear" w:pos="720"/>
                <w:tab w:val="num" w:pos="340"/>
              </w:tabs>
              <w:ind w:left="340" w:hanging="27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Local Boards of Health (LBOHs)</w:t>
            </w:r>
          </w:p>
          <w:p w14:paraId="0528B9EB" w14:textId="77777777" w:rsidR="00B60C0B" w:rsidRPr="005310E8" w:rsidRDefault="00B60C0B" w:rsidP="00B60C0B">
            <w:pPr>
              <w:numPr>
                <w:ilvl w:val="0"/>
                <w:numId w:val="18"/>
              </w:numPr>
              <w:tabs>
                <w:tab w:val="clear" w:pos="720"/>
                <w:tab w:val="num" w:pos="340"/>
              </w:tabs>
              <w:ind w:left="340" w:hanging="27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Physician practices</w:t>
            </w:r>
          </w:p>
          <w:p w14:paraId="067129AB" w14:textId="77777777" w:rsidR="00B60C0B" w:rsidRPr="005310E8" w:rsidRDefault="00B60C0B" w:rsidP="00B60C0B">
            <w:pPr>
              <w:numPr>
                <w:ilvl w:val="0"/>
                <w:numId w:val="18"/>
              </w:numPr>
              <w:tabs>
                <w:tab w:val="clear" w:pos="720"/>
                <w:tab w:val="num" w:pos="340"/>
              </w:tabs>
              <w:ind w:left="340" w:hanging="27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Pharmacies</w:t>
            </w:r>
          </w:p>
          <w:p w14:paraId="3E582890" w14:textId="77777777" w:rsidR="00B60C0B" w:rsidRPr="005310E8" w:rsidRDefault="00B60C0B" w:rsidP="00B60C0B">
            <w:pPr>
              <w:numPr>
                <w:ilvl w:val="0"/>
                <w:numId w:val="18"/>
              </w:numPr>
              <w:tabs>
                <w:tab w:val="clear" w:pos="720"/>
                <w:tab w:val="num" w:pos="340"/>
              </w:tabs>
              <w:ind w:left="340" w:hanging="27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Pre-hospital provider agencies</w:t>
            </w:r>
          </w:p>
          <w:p w14:paraId="5718F2EE" w14:textId="77777777" w:rsidR="00B60C0B" w:rsidRPr="005310E8" w:rsidRDefault="00B60C0B" w:rsidP="00B60C0B">
            <w:pPr>
              <w:numPr>
                <w:ilvl w:val="0"/>
                <w:numId w:val="18"/>
              </w:numPr>
              <w:tabs>
                <w:tab w:val="clear" w:pos="720"/>
                <w:tab w:val="num" w:pos="340"/>
              </w:tabs>
              <w:ind w:left="340" w:hanging="27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Occupational therapy (OT) and physical therapy (PT) practices</w:t>
            </w:r>
          </w:p>
          <w:p w14:paraId="732C6D66" w14:textId="77777777" w:rsidR="00B60C0B" w:rsidRPr="005310E8" w:rsidRDefault="00B60C0B" w:rsidP="00B60C0B">
            <w:pPr>
              <w:numPr>
                <w:ilvl w:val="0"/>
                <w:numId w:val="18"/>
              </w:numPr>
              <w:tabs>
                <w:tab w:val="clear" w:pos="720"/>
                <w:tab w:val="num" w:pos="340"/>
              </w:tabs>
              <w:ind w:left="340" w:hanging="27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Optometry practices/agencies</w:t>
            </w:r>
          </w:p>
          <w:p w14:paraId="0A6DD333" w14:textId="77777777" w:rsidR="00B60C0B" w:rsidRPr="005310E8" w:rsidRDefault="00B60C0B" w:rsidP="00B60C0B">
            <w:pPr>
              <w:numPr>
                <w:ilvl w:val="0"/>
                <w:numId w:val="18"/>
              </w:numPr>
              <w:tabs>
                <w:tab w:val="clear" w:pos="720"/>
                <w:tab w:val="num" w:pos="340"/>
              </w:tabs>
              <w:ind w:left="340" w:hanging="27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Community health centers</w:t>
            </w:r>
          </w:p>
          <w:p w14:paraId="324C09CB" w14:textId="77777777" w:rsidR="00B60C0B" w:rsidRPr="005310E8" w:rsidRDefault="00B60C0B" w:rsidP="00B60C0B">
            <w:pPr>
              <w:numPr>
                <w:ilvl w:val="0"/>
                <w:numId w:val="18"/>
              </w:numPr>
              <w:tabs>
                <w:tab w:val="clear" w:pos="720"/>
                <w:tab w:val="num" w:pos="340"/>
              </w:tabs>
              <w:ind w:left="340" w:hanging="27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Adult day health programs</w:t>
            </w:r>
          </w:p>
          <w:p w14:paraId="2A20886A" w14:textId="77777777" w:rsidR="00B60C0B" w:rsidRPr="005310E8" w:rsidRDefault="00B60C0B" w:rsidP="00B60C0B">
            <w:pPr>
              <w:numPr>
                <w:ilvl w:val="0"/>
                <w:numId w:val="18"/>
              </w:numPr>
              <w:tabs>
                <w:tab w:val="clear" w:pos="720"/>
                <w:tab w:val="num" w:pos="340"/>
              </w:tabs>
              <w:ind w:left="340" w:hanging="27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 xml:space="preserve">Urgent Care Facilities </w:t>
            </w:r>
          </w:p>
        </w:tc>
        <w:tc>
          <w:tcPr>
            <w:tcW w:w="3240" w:type="dxa"/>
          </w:tcPr>
          <w:p w14:paraId="3D1E11EA" w14:textId="77777777" w:rsidR="00B60C0B" w:rsidRPr="005310E8" w:rsidRDefault="00B60C0B" w:rsidP="00B60C0B">
            <w:pPr>
              <w:numPr>
                <w:ilvl w:val="0"/>
                <w:numId w:val="18"/>
              </w:numPr>
              <w:tabs>
                <w:tab w:val="clear" w:pos="720"/>
                <w:tab w:val="num" w:pos="340"/>
              </w:tabs>
              <w:ind w:left="340" w:hanging="27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Assisted living residences</w:t>
            </w:r>
          </w:p>
          <w:p w14:paraId="45A21BD1" w14:textId="77777777" w:rsidR="00B60C0B" w:rsidRPr="005310E8" w:rsidRDefault="00B60C0B" w:rsidP="00B60C0B">
            <w:pPr>
              <w:numPr>
                <w:ilvl w:val="0"/>
                <w:numId w:val="18"/>
              </w:numPr>
              <w:tabs>
                <w:tab w:val="clear" w:pos="720"/>
                <w:tab w:val="num" w:pos="340"/>
              </w:tabs>
              <w:ind w:left="340" w:hanging="27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2"/>
                <w:szCs w:val="22"/>
              </w:rPr>
            </w:pPr>
            <w:r w:rsidRPr="005310E8">
              <w:rPr>
                <w:rFonts w:ascii="Arial" w:eastAsia="Calibri" w:hAnsi="Arial" w:cs="Arial"/>
                <w:sz w:val="22"/>
                <w:szCs w:val="22"/>
              </w:rPr>
              <w:t>DHDC Housing for Senior Disability Community</w:t>
            </w:r>
          </w:p>
          <w:p w14:paraId="77120AA6" w14:textId="77777777" w:rsidR="00B60C0B" w:rsidRPr="005310E8" w:rsidRDefault="00B60C0B" w:rsidP="00B60C0B">
            <w:pPr>
              <w:numPr>
                <w:ilvl w:val="0"/>
                <w:numId w:val="18"/>
              </w:numPr>
              <w:tabs>
                <w:tab w:val="clear" w:pos="720"/>
                <w:tab w:val="num" w:pos="340"/>
              </w:tabs>
              <w:ind w:left="340" w:hanging="27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sz w:val="22"/>
                <w:szCs w:val="22"/>
              </w:rPr>
            </w:pPr>
            <w:r w:rsidRPr="005310E8">
              <w:rPr>
                <w:rFonts w:ascii="Arial" w:eastAsia="Calibri" w:hAnsi="Arial" w:cs="Arial"/>
                <w:sz w:val="22"/>
                <w:szCs w:val="22"/>
              </w:rPr>
              <w:t>Independent living homes</w:t>
            </w:r>
          </w:p>
          <w:p w14:paraId="0A2F6776" w14:textId="77777777" w:rsidR="00B60C0B" w:rsidRPr="005310E8" w:rsidRDefault="00B60C0B" w:rsidP="00B60C0B">
            <w:pPr>
              <w:numPr>
                <w:ilvl w:val="0"/>
                <w:numId w:val="18"/>
              </w:numPr>
              <w:tabs>
                <w:tab w:val="clear" w:pos="720"/>
                <w:tab w:val="num" w:pos="340"/>
              </w:tabs>
              <w:ind w:left="340" w:hanging="27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eastAsia="Calibri" w:hAnsi="Arial" w:cs="Arial"/>
                <w:sz w:val="22"/>
                <w:szCs w:val="22"/>
              </w:rPr>
              <w:t>Continuing care retirement communities</w:t>
            </w:r>
          </w:p>
          <w:p w14:paraId="57A0D5BC" w14:textId="77777777" w:rsidR="00B60C0B" w:rsidRPr="005310E8" w:rsidRDefault="00B60C0B" w:rsidP="00B60C0B">
            <w:pPr>
              <w:numPr>
                <w:ilvl w:val="0"/>
                <w:numId w:val="19"/>
              </w:numPr>
              <w:tabs>
                <w:tab w:val="num" w:pos="3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eastAsia="Calibri" w:hAnsi="Arial" w:cs="Arial"/>
                <w:sz w:val="22"/>
                <w:szCs w:val="22"/>
              </w:rPr>
              <w:t>Community retirement homes</w:t>
            </w:r>
          </w:p>
        </w:tc>
        <w:tc>
          <w:tcPr>
            <w:tcW w:w="2659" w:type="dxa"/>
          </w:tcPr>
          <w:p w14:paraId="50346C28" w14:textId="77777777" w:rsidR="00B60C0B" w:rsidRPr="005310E8" w:rsidRDefault="00B60C0B" w:rsidP="00B60C0B">
            <w:pPr>
              <w:numPr>
                <w:ilvl w:val="0"/>
                <w:numId w:val="19"/>
              </w:numPr>
              <w:tabs>
                <w:tab w:val="num" w:pos="3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CBO staff</w:t>
            </w:r>
          </w:p>
          <w:p w14:paraId="062612BA" w14:textId="77777777" w:rsidR="00B60C0B" w:rsidRPr="005310E8" w:rsidRDefault="00B60C0B" w:rsidP="00B60C0B">
            <w:pPr>
              <w:numPr>
                <w:ilvl w:val="0"/>
                <w:numId w:val="19"/>
              </w:numPr>
              <w:tabs>
                <w:tab w:val="num" w:pos="3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Evidence-based program (EBP) providers</w:t>
            </w:r>
          </w:p>
          <w:p w14:paraId="7DA91506" w14:textId="77777777" w:rsidR="00B60C0B" w:rsidRPr="005310E8" w:rsidRDefault="00B60C0B" w:rsidP="00B60C0B">
            <w:pPr>
              <w:numPr>
                <w:ilvl w:val="0"/>
                <w:numId w:val="19"/>
              </w:numPr>
              <w:tabs>
                <w:tab w:val="num" w:pos="3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Certified Nursing Assistants (CNA)</w:t>
            </w:r>
          </w:p>
          <w:p w14:paraId="5A9894DE" w14:textId="77777777" w:rsidR="00B60C0B" w:rsidRPr="005310E8" w:rsidRDefault="00B60C0B" w:rsidP="00B60C0B">
            <w:pPr>
              <w:numPr>
                <w:ilvl w:val="0"/>
                <w:numId w:val="19"/>
              </w:numPr>
              <w:tabs>
                <w:tab w:val="num" w:pos="3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Community Health Workers (CHW)</w:t>
            </w:r>
          </w:p>
          <w:p w14:paraId="2A93F512" w14:textId="77777777" w:rsidR="00B60C0B" w:rsidRPr="005310E8" w:rsidRDefault="00B60C0B" w:rsidP="00B60C0B">
            <w:pPr>
              <w:numPr>
                <w:ilvl w:val="0"/>
                <w:numId w:val="19"/>
              </w:numPr>
              <w:tabs>
                <w:tab w:val="num" w:pos="3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Physicians</w:t>
            </w:r>
          </w:p>
          <w:p w14:paraId="092D8703" w14:textId="77777777" w:rsidR="00B60C0B" w:rsidRPr="005310E8" w:rsidRDefault="00B60C0B" w:rsidP="00B60C0B">
            <w:pPr>
              <w:numPr>
                <w:ilvl w:val="0"/>
                <w:numId w:val="19"/>
              </w:numPr>
              <w:tabs>
                <w:tab w:val="num" w:pos="3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Nurses</w:t>
            </w:r>
          </w:p>
          <w:p w14:paraId="32A13EE7" w14:textId="77777777" w:rsidR="00B60C0B" w:rsidRPr="005310E8" w:rsidRDefault="00B60C0B" w:rsidP="00B60C0B">
            <w:pPr>
              <w:numPr>
                <w:ilvl w:val="0"/>
                <w:numId w:val="19"/>
              </w:numPr>
              <w:tabs>
                <w:tab w:val="num" w:pos="3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Pharmacists</w:t>
            </w:r>
          </w:p>
          <w:p w14:paraId="6EF70253" w14:textId="77777777" w:rsidR="00B60C0B" w:rsidRPr="005310E8" w:rsidRDefault="00B60C0B" w:rsidP="00B60C0B">
            <w:pPr>
              <w:numPr>
                <w:ilvl w:val="0"/>
                <w:numId w:val="19"/>
              </w:numPr>
              <w:tabs>
                <w:tab w:val="num" w:pos="3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Pre-hospital providers</w:t>
            </w:r>
          </w:p>
          <w:p w14:paraId="15212543" w14:textId="77777777" w:rsidR="00B60C0B" w:rsidRPr="005310E8" w:rsidRDefault="00B60C0B" w:rsidP="00B60C0B">
            <w:pPr>
              <w:numPr>
                <w:ilvl w:val="0"/>
                <w:numId w:val="19"/>
              </w:numPr>
              <w:tabs>
                <w:tab w:val="num" w:pos="3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 xml:space="preserve">Optometrists </w:t>
            </w:r>
          </w:p>
          <w:p w14:paraId="339F3F9A" w14:textId="77777777" w:rsidR="00B60C0B" w:rsidRPr="005310E8" w:rsidRDefault="00B60C0B" w:rsidP="00B60C0B">
            <w:pPr>
              <w:numPr>
                <w:ilvl w:val="0"/>
                <w:numId w:val="19"/>
              </w:numPr>
              <w:tabs>
                <w:tab w:val="num" w:pos="3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 xml:space="preserve">Emergency Department (ED) physicians </w:t>
            </w:r>
          </w:p>
          <w:p w14:paraId="7F57BCA0" w14:textId="77777777" w:rsidR="00B60C0B" w:rsidRPr="005310E8" w:rsidRDefault="00B60C0B" w:rsidP="00B60C0B">
            <w:pPr>
              <w:numPr>
                <w:ilvl w:val="0"/>
                <w:numId w:val="19"/>
              </w:numPr>
              <w:tabs>
                <w:tab w:val="num" w:pos="3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Occupational therapists and physical therapists</w:t>
            </w:r>
          </w:p>
        </w:tc>
        <w:tc>
          <w:tcPr>
            <w:tcW w:w="3461" w:type="dxa"/>
          </w:tcPr>
          <w:p w14:paraId="63EC437A" w14:textId="77777777" w:rsidR="00B60C0B" w:rsidRPr="005310E8" w:rsidRDefault="00B60C0B" w:rsidP="00B60C0B">
            <w:pPr>
              <w:numPr>
                <w:ilvl w:val="0"/>
                <w:numId w:val="20"/>
              </w:numPr>
              <w:tabs>
                <w:tab w:val="num" w:pos="3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Number of screenings performed</w:t>
            </w:r>
          </w:p>
          <w:p w14:paraId="79E59B2C" w14:textId="77777777" w:rsidR="00B60C0B" w:rsidRPr="005310E8" w:rsidRDefault="00B60C0B" w:rsidP="00B60C0B">
            <w:pPr>
              <w:numPr>
                <w:ilvl w:val="0"/>
                <w:numId w:val="20"/>
              </w:numPr>
              <w:tabs>
                <w:tab w:val="num" w:pos="3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Number of cases of fall risks identified</w:t>
            </w:r>
          </w:p>
          <w:p w14:paraId="787EF0D9" w14:textId="77777777" w:rsidR="00B60C0B" w:rsidRPr="005310E8" w:rsidRDefault="00B60C0B" w:rsidP="00637DE0">
            <w:pPr>
              <w:tabs>
                <w:tab w:val="num" w:pos="340"/>
              </w:tabs>
              <w:ind w:left="270" w:hanging="27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B60C0B" w:rsidRPr="00E226D7" w14:paraId="3D7771C5" w14:textId="77777777" w:rsidTr="00637DE0">
        <w:trPr>
          <w:cantSplit/>
          <w:jc w:val="center"/>
        </w:trPr>
        <w:tc>
          <w:tcPr>
            <w:cnfStyle w:val="001000000000" w:firstRow="0" w:lastRow="0" w:firstColumn="1" w:lastColumn="0" w:oddVBand="0" w:evenVBand="0" w:oddHBand="0" w:evenHBand="0" w:firstRowFirstColumn="0" w:firstRowLastColumn="0" w:lastRowFirstColumn="0" w:lastRowLastColumn="0"/>
            <w:tcW w:w="1568" w:type="dxa"/>
          </w:tcPr>
          <w:p w14:paraId="2071DD89" w14:textId="77777777" w:rsidR="00B60C0B" w:rsidRPr="00E226D7" w:rsidRDefault="00B60C0B" w:rsidP="00637DE0">
            <w:pPr>
              <w:rPr>
                <w:rFonts w:ascii="Arial" w:hAnsi="Arial" w:cs="Arial"/>
                <w:szCs w:val="24"/>
              </w:rPr>
            </w:pPr>
            <w:r w:rsidRPr="00E226D7">
              <w:rPr>
                <w:rFonts w:ascii="Arial" w:hAnsi="Arial" w:cs="Arial"/>
                <w:szCs w:val="24"/>
              </w:rPr>
              <w:t>Referral and Reverse Referral</w:t>
            </w:r>
          </w:p>
        </w:tc>
        <w:tc>
          <w:tcPr>
            <w:tcW w:w="6707" w:type="dxa"/>
            <w:gridSpan w:val="2"/>
          </w:tcPr>
          <w:p w14:paraId="4B4C8991" w14:textId="77777777" w:rsidR="00B60C0B" w:rsidRPr="005310E8" w:rsidRDefault="00B60C0B" w:rsidP="00B60C0B">
            <w:pPr>
              <w:numPr>
                <w:ilvl w:val="0"/>
                <w:numId w:val="21"/>
              </w:numPr>
              <w:tabs>
                <w:tab w:val="num" w:pos="34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310E8">
              <w:rPr>
                <w:rFonts w:ascii="Arial" w:hAnsi="Arial" w:cs="Arial"/>
                <w:sz w:val="22"/>
                <w:szCs w:val="22"/>
              </w:rPr>
              <w:t>Hospitals</w:t>
            </w:r>
          </w:p>
          <w:p w14:paraId="52464D60" w14:textId="77777777" w:rsidR="00B60C0B" w:rsidRPr="005310E8" w:rsidRDefault="00B60C0B" w:rsidP="00B60C0B">
            <w:pPr>
              <w:numPr>
                <w:ilvl w:val="0"/>
                <w:numId w:val="21"/>
              </w:numPr>
              <w:tabs>
                <w:tab w:val="num" w:pos="34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310E8">
              <w:rPr>
                <w:rFonts w:ascii="Arial" w:hAnsi="Arial" w:cs="Arial"/>
                <w:sz w:val="22"/>
                <w:szCs w:val="22"/>
              </w:rPr>
              <w:t>Community health centers</w:t>
            </w:r>
          </w:p>
          <w:p w14:paraId="6E134393" w14:textId="77777777" w:rsidR="00B60C0B" w:rsidRPr="005310E8" w:rsidRDefault="00B60C0B" w:rsidP="00B60C0B">
            <w:pPr>
              <w:numPr>
                <w:ilvl w:val="0"/>
                <w:numId w:val="21"/>
              </w:numPr>
              <w:tabs>
                <w:tab w:val="num" w:pos="34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310E8">
              <w:rPr>
                <w:rFonts w:ascii="Arial" w:hAnsi="Arial" w:cs="Arial"/>
                <w:sz w:val="22"/>
                <w:szCs w:val="22"/>
              </w:rPr>
              <w:t>Home health agencies</w:t>
            </w:r>
          </w:p>
          <w:p w14:paraId="74144739" w14:textId="77777777" w:rsidR="00B60C0B" w:rsidRPr="005310E8" w:rsidRDefault="00B60C0B" w:rsidP="00B60C0B">
            <w:pPr>
              <w:numPr>
                <w:ilvl w:val="0"/>
                <w:numId w:val="21"/>
              </w:numPr>
              <w:tabs>
                <w:tab w:val="num" w:pos="34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310E8">
              <w:rPr>
                <w:rFonts w:ascii="Arial" w:hAnsi="Arial" w:cs="Arial"/>
                <w:sz w:val="22"/>
                <w:szCs w:val="22"/>
              </w:rPr>
              <w:t>Independent living agencies</w:t>
            </w:r>
          </w:p>
          <w:p w14:paraId="48FD5A68" w14:textId="77777777" w:rsidR="00B60C0B" w:rsidRPr="005310E8" w:rsidRDefault="00B60C0B" w:rsidP="00B60C0B">
            <w:pPr>
              <w:numPr>
                <w:ilvl w:val="0"/>
                <w:numId w:val="21"/>
              </w:numPr>
              <w:tabs>
                <w:tab w:val="num" w:pos="34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310E8">
              <w:rPr>
                <w:rFonts w:ascii="Arial" w:hAnsi="Arial" w:cs="Arial"/>
                <w:sz w:val="22"/>
                <w:szCs w:val="22"/>
              </w:rPr>
              <w:t>CBOs</w:t>
            </w:r>
          </w:p>
        </w:tc>
        <w:tc>
          <w:tcPr>
            <w:tcW w:w="2659" w:type="dxa"/>
          </w:tcPr>
          <w:p w14:paraId="3A8215A2" w14:textId="77777777" w:rsidR="00B60C0B" w:rsidRPr="005310E8" w:rsidRDefault="00B60C0B" w:rsidP="00B60C0B">
            <w:pPr>
              <w:numPr>
                <w:ilvl w:val="0"/>
                <w:numId w:val="22"/>
              </w:numPr>
              <w:tabs>
                <w:tab w:val="num" w:pos="34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310E8">
              <w:rPr>
                <w:rFonts w:ascii="Arial" w:hAnsi="Arial" w:cs="Arial"/>
                <w:sz w:val="22"/>
                <w:szCs w:val="22"/>
              </w:rPr>
              <w:t>Clinicians</w:t>
            </w:r>
          </w:p>
          <w:p w14:paraId="2B84B721" w14:textId="77777777" w:rsidR="00B60C0B" w:rsidRPr="005310E8" w:rsidRDefault="00B60C0B" w:rsidP="00B60C0B">
            <w:pPr>
              <w:numPr>
                <w:ilvl w:val="0"/>
                <w:numId w:val="22"/>
              </w:numPr>
              <w:tabs>
                <w:tab w:val="num" w:pos="34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310E8">
              <w:rPr>
                <w:rFonts w:ascii="Arial" w:hAnsi="Arial" w:cs="Arial"/>
                <w:sz w:val="22"/>
                <w:szCs w:val="22"/>
              </w:rPr>
              <w:t>CHWs</w:t>
            </w:r>
          </w:p>
          <w:p w14:paraId="1D722736" w14:textId="77777777" w:rsidR="00B60C0B" w:rsidRPr="005310E8" w:rsidRDefault="00B60C0B" w:rsidP="00B60C0B">
            <w:pPr>
              <w:numPr>
                <w:ilvl w:val="0"/>
                <w:numId w:val="22"/>
              </w:numPr>
              <w:tabs>
                <w:tab w:val="num" w:pos="34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310E8">
              <w:rPr>
                <w:rFonts w:ascii="Arial" w:hAnsi="Arial" w:cs="Arial"/>
                <w:sz w:val="22"/>
                <w:szCs w:val="22"/>
              </w:rPr>
              <w:t>CBO staff</w:t>
            </w:r>
          </w:p>
          <w:p w14:paraId="3F56FB43" w14:textId="77777777" w:rsidR="00B60C0B" w:rsidRPr="005310E8" w:rsidRDefault="00B60C0B" w:rsidP="00B60C0B">
            <w:pPr>
              <w:numPr>
                <w:ilvl w:val="0"/>
                <w:numId w:val="22"/>
              </w:numPr>
              <w:tabs>
                <w:tab w:val="num" w:pos="34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310E8">
              <w:rPr>
                <w:rFonts w:ascii="Arial" w:hAnsi="Arial" w:cs="Arial"/>
                <w:sz w:val="22"/>
                <w:szCs w:val="22"/>
              </w:rPr>
              <w:t>EBP providers</w:t>
            </w:r>
          </w:p>
          <w:p w14:paraId="06F21F79" w14:textId="77777777" w:rsidR="00B60C0B" w:rsidRPr="005310E8" w:rsidRDefault="00B60C0B" w:rsidP="00637DE0">
            <w:pPr>
              <w:tabs>
                <w:tab w:val="num" w:pos="340"/>
              </w:tabs>
              <w:ind w:left="270" w:hanging="27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3461" w:type="dxa"/>
          </w:tcPr>
          <w:p w14:paraId="11AE082D" w14:textId="77777777" w:rsidR="00B60C0B" w:rsidRPr="005310E8" w:rsidRDefault="00B60C0B" w:rsidP="00B60C0B">
            <w:pPr>
              <w:numPr>
                <w:ilvl w:val="0"/>
                <w:numId w:val="23"/>
              </w:numPr>
              <w:tabs>
                <w:tab w:val="num" w:pos="34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310E8">
              <w:rPr>
                <w:rFonts w:ascii="Arial" w:hAnsi="Arial" w:cs="Arial"/>
                <w:sz w:val="22"/>
                <w:szCs w:val="22"/>
              </w:rPr>
              <w:t>Number of referrals made to service/ program</w:t>
            </w:r>
          </w:p>
          <w:p w14:paraId="5C7C680F" w14:textId="77777777" w:rsidR="00B60C0B" w:rsidRPr="005310E8" w:rsidRDefault="00B60C0B" w:rsidP="00B60C0B">
            <w:pPr>
              <w:numPr>
                <w:ilvl w:val="0"/>
                <w:numId w:val="23"/>
              </w:numPr>
              <w:tabs>
                <w:tab w:val="num" w:pos="34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310E8">
              <w:rPr>
                <w:rFonts w:ascii="Arial" w:hAnsi="Arial" w:cs="Arial"/>
                <w:sz w:val="22"/>
                <w:szCs w:val="22"/>
              </w:rPr>
              <w:t>Number of referrals made from source</w:t>
            </w:r>
          </w:p>
          <w:p w14:paraId="2BB0ECC1" w14:textId="77777777" w:rsidR="00B60C0B" w:rsidRPr="005310E8" w:rsidRDefault="00B60C0B" w:rsidP="00B60C0B">
            <w:pPr>
              <w:numPr>
                <w:ilvl w:val="0"/>
                <w:numId w:val="23"/>
              </w:numPr>
              <w:tabs>
                <w:tab w:val="num" w:pos="34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310E8">
              <w:rPr>
                <w:rFonts w:ascii="Arial" w:hAnsi="Arial" w:cs="Arial"/>
                <w:sz w:val="22"/>
                <w:szCs w:val="22"/>
              </w:rPr>
              <w:t>Number of programs completed based on referrals</w:t>
            </w:r>
          </w:p>
        </w:tc>
      </w:tr>
      <w:tr w:rsidR="00B60C0B" w:rsidRPr="00E226D7" w14:paraId="08DC2BA8" w14:textId="77777777" w:rsidTr="00637DE0">
        <w:trPr>
          <w:cnfStyle w:val="000000100000" w:firstRow="0" w:lastRow="0" w:firstColumn="0" w:lastColumn="0" w:oddVBand="0" w:evenVBand="0" w:oddHBand="1" w:evenHBand="0" w:firstRowFirstColumn="0" w:firstRowLastColumn="0" w:lastRowFirstColumn="0" w:lastRowLastColumn="0"/>
          <w:cantSplit/>
          <w:trHeight w:val="2025"/>
          <w:jc w:val="center"/>
        </w:trPr>
        <w:tc>
          <w:tcPr>
            <w:cnfStyle w:val="001000000000" w:firstRow="0" w:lastRow="0" w:firstColumn="1" w:lastColumn="0" w:oddVBand="0" w:evenVBand="0" w:oddHBand="0" w:evenHBand="0" w:firstRowFirstColumn="0" w:firstRowLastColumn="0" w:lastRowFirstColumn="0" w:lastRowLastColumn="0"/>
            <w:tcW w:w="1568" w:type="dxa"/>
          </w:tcPr>
          <w:p w14:paraId="2A545B40" w14:textId="77777777" w:rsidR="00B60C0B" w:rsidRPr="00E226D7" w:rsidRDefault="00B60C0B" w:rsidP="00637DE0">
            <w:pPr>
              <w:rPr>
                <w:rFonts w:ascii="Arial" w:hAnsi="Arial" w:cs="Arial"/>
                <w:b w:val="0"/>
                <w:bCs w:val="0"/>
                <w:szCs w:val="24"/>
              </w:rPr>
            </w:pPr>
            <w:r w:rsidRPr="00E226D7">
              <w:rPr>
                <w:rFonts w:ascii="Arial" w:hAnsi="Arial" w:cs="Arial"/>
                <w:szCs w:val="24"/>
              </w:rPr>
              <w:lastRenderedPageBreak/>
              <w:t>Evidence Based Programs</w:t>
            </w:r>
          </w:p>
        </w:tc>
        <w:tc>
          <w:tcPr>
            <w:tcW w:w="6707" w:type="dxa"/>
            <w:gridSpan w:val="2"/>
          </w:tcPr>
          <w:p w14:paraId="013D6113" w14:textId="77777777" w:rsidR="00B60C0B" w:rsidRPr="005310E8" w:rsidRDefault="00B60C0B" w:rsidP="00B60C0B">
            <w:pPr>
              <w:numPr>
                <w:ilvl w:val="0"/>
                <w:numId w:val="24"/>
              </w:numPr>
              <w:tabs>
                <w:tab w:val="num" w:pos="3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CBOs</w:t>
            </w:r>
          </w:p>
          <w:p w14:paraId="2AC1B992" w14:textId="77777777" w:rsidR="00B60C0B" w:rsidRPr="005310E8" w:rsidRDefault="00B60C0B" w:rsidP="00B60C0B">
            <w:pPr>
              <w:numPr>
                <w:ilvl w:val="0"/>
                <w:numId w:val="24"/>
              </w:numPr>
              <w:tabs>
                <w:tab w:val="num" w:pos="3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Hospitals</w:t>
            </w:r>
          </w:p>
          <w:p w14:paraId="64F8DB32" w14:textId="77777777" w:rsidR="00B60C0B" w:rsidRPr="005310E8" w:rsidRDefault="00B60C0B" w:rsidP="00B60C0B">
            <w:pPr>
              <w:numPr>
                <w:ilvl w:val="0"/>
                <w:numId w:val="24"/>
              </w:numPr>
              <w:tabs>
                <w:tab w:val="num" w:pos="3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Public works departments</w:t>
            </w:r>
          </w:p>
          <w:p w14:paraId="39FE0B9B" w14:textId="77777777" w:rsidR="00B60C0B" w:rsidRPr="005310E8" w:rsidRDefault="00B60C0B" w:rsidP="00B60C0B">
            <w:pPr>
              <w:numPr>
                <w:ilvl w:val="0"/>
                <w:numId w:val="24"/>
              </w:numPr>
              <w:tabs>
                <w:tab w:val="num" w:pos="3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Buildings departments</w:t>
            </w:r>
          </w:p>
          <w:p w14:paraId="621013D2" w14:textId="77777777" w:rsidR="00B60C0B" w:rsidRPr="005310E8" w:rsidRDefault="00B60C0B" w:rsidP="00B60C0B">
            <w:pPr>
              <w:numPr>
                <w:ilvl w:val="0"/>
                <w:numId w:val="24"/>
              </w:numPr>
              <w:tabs>
                <w:tab w:val="num" w:pos="3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Domestic violence (DV) homes/shelters</w:t>
            </w:r>
          </w:p>
          <w:p w14:paraId="1DD54951" w14:textId="77777777" w:rsidR="00B60C0B" w:rsidRPr="005310E8" w:rsidRDefault="00B60C0B" w:rsidP="00B60C0B">
            <w:pPr>
              <w:numPr>
                <w:ilvl w:val="0"/>
                <w:numId w:val="24"/>
              </w:numPr>
              <w:tabs>
                <w:tab w:val="num" w:pos="3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OT and PT practices</w:t>
            </w:r>
          </w:p>
          <w:p w14:paraId="1A6A5CBA" w14:textId="77777777" w:rsidR="00B60C0B" w:rsidRPr="005310E8" w:rsidRDefault="00B60C0B" w:rsidP="00B60C0B">
            <w:pPr>
              <w:numPr>
                <w:ilvl w:val="0"/>
                <w:numId w:val="24"/>
              </w:numPr>
              <w:tabs>
                <w:tab w:val="num" w:pos="3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Municipal senior centers</w:t>
            </w:r>
          </w:p>
        </w:tc>
        <w:tc>
          <w:tcPr>
            <w:tcW w:w="2659" w:type="dxa"/>
          </w:tcPr>
          <w:p w14:paraId="7D741D2A" w14:textId="77777777" w:rsidR="00B60C0B" w:rsidRPr="005310E8" w:rsidRDefault="00B60C0B" w:rsidP="00B60C0B">
            <w:pPr>
              <w:numPr>
                <w:ilvl w:val="0"/>
                <w:numId w:val="25"/>
              </w:numPr>
              <w:tabs>
                <w:tab w:val="num" w:pos="3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EBP staff</w:t>
            </w:r>
          </w:p>
          <w:p w14:paraId="6A8FCD0A" w14:textId="77777777" w:rsidR="00B60C0B" w:rsidRPr="005310E8" w:rsidRDefault="00B60C0B" w:rsidP="00B60C0B">
            <w:pPr>
              <w:numPr>
                <w:ilvl w:val="0"/>
                <w:numId w:val="25"/>
              </w:numPr>
              <w:tabs>
                <w:tab w:val="num" w:pos="3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CHWs</w:t>
            </w:r>
          </w:p>
          <w:p w14:paraId="29B9F158" w14:textId="77777777" w:rsidR="00B60C0B" w:rsidRPr="005310E8" w:rsidRDefault="00B60C0B" w:rsidP="00B60C0B">
            <w:pPr>
              <w:numPr>
                <w:ilvl w:val="0"/>
                <w:numId w:val="25"/>
              </w:numPr>
              <w:tabs>
                <w:tab w:val="num" w:pos="3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CNAs</w:t>
            </w:r>
          </w:p>
          <w:p w14:paraId="5D6C8858" w14:textId="77777777" w:rsidR="00B60C0B" w:rsidRPr="005310E8" w:rsidRDefault="00B60C0B" w:rsidP="00B60C0B">
            <w:pPr>
              <w:numPr>
                <w:ilvl w:val="0"/>
                <w:numId w:val="25"/>
              </w:numPr>
              <w:tabs>
                <w:tab w:val="num" w:pos="3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Pre-hospital providers</w:t>
            </w:r>
          </w:p>
          <w:p w14:paraId="27B78DD5" w14:textId="77777777" w:rsidR="00B60C0B" w:rsidRPr="005310E8" w:rsidRDefault="00B60C0B" w:rsidP="00B60C0B">
            <w:pPr>
              <w:numPr>
                <w:ilvl w:val="0"/>
                <w:numId w:val="25"/>
              </w:numPr>
              <w:tabs>
                <w:tab w:val="num" w:pos="3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Building inspectors</w:t>
            </w:r>
          </w:p>
          <w:p w14:paraId="47C8F381" w14:textId="77777777" w:rsidR="00B60C0B" w:rsidRPr="005310E8" w:rsidRDefault="00B60C0B" w:rsidP="00B60C0B">
            <w:pPr>
              <w:numPr>
                <w:ilvl w:val="0"/>
                <w:numId w:val="25"/>
              </w:numPr>
              <w:tabs>
                <w:tab w:val="num" w:pos="3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General contractors/home repair professionals</w:t>
            </w:r>
          </w:p>
          <w:p w14:paraId="03326E83" w14:textId="77777777" w:rsidR="00B60C0B" w:rsidRPr="005310E8" w:rsidRDefault="00B60C0B" w:rsidP="00B60C0B">
            <w:pPr>
              <w:numPr>
                <w:ilvl w:val="0"/>
                <w:numId w:val="25"/>
              </w:numPr>
              <w:tabs>
                <w:tab w:val="num" w:pos="3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PT and OT practitioners</w:t>
            </w:r>
          </w:p>
        </w:tc>
        <w:tc>
          <w:tcPr>
            <w:tcW w:w="3461" w:type="dxa"/>
          </w:tcPr>
          <w:p w14:paraId="40C6587A" w14:textId="77777777" w:rsidR="00B60C0B" w:rsidRPr="005310E8" w:rsidRDefault="00B60C0B" w:rsidP="00B60C0B">
            <w:pPr>
              <w:numPr>
                <w:ilvl w:val="0"/>
                <w:numId w:val="26"/>
              </w:numPr>
              <w:tabs>
                <w:tab w:val="num" w:pos="3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Numbers of individuals served</w:t>
            </w:r>
          </w:p>
          <w:p w14:paraId="143D25B4" w14:textId="77777777" w:rsidR="00B60C0B" w:rsidRPr="005310E8" w:rsidRDefault="00B60C0B" w:rsidP="00637DE0">
            <w:pPr>
              <w:tabs>
                <w:tab w:val="num" w:pos="340"/>
              </w:tabs>
              <w:ind w:left="270" w:hanging="27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r>
      <w:tr w:rsidR="00B60C0B" w:rsidRPr="00E226D7" w14:paraId="5952981B" w14:textId="77777777" w:rsidTr="00637DE0">
        <w:trPr>
          <w:cantSplit/>
          <w:jc w:val="center"/>
        </w:trPr>
        <w:tc>
          <w:tcPr>
            <w:cnfStyle w:val="001000000000" w:firstRow="0" w:lastRow="0" w:firstColumn="1" w:lastColumn="0" w:oddVBand="0" w:evenVBand="0" w:oddHBand="0" w:evenHBand="0" w:firstRowFirstColumn="0" w:firstRowLastColumn="0" w:lastRowFirstColumn="0" w:lastRowLastColumn="0"/>
            <w:tcW w:w="1568" w:type="dxa"/>
          </w:tcPr>
          <w:p w14:paraId="01838787" w14:textId="77777777" w:rsidR="00B60C0B" w:rsidRPr="00E226D7" w:rsidRDefault="00B60C0B" w:rsidP="00637DE0">
            <w:pPr>
              <w:rPr>
                <w:rFonts w:ascii="Arial" w:hAnsi="Arial" w:cs="Arial"/>
                <w:szCs w:val="24"/>
              </w:rPr>
            </w:pPr>
            <w:r w:rsidRPr="00E226D7">
              <w:rPr>
                <w:rFonts w:ascii="Arial" w:hAnsi="Arial" w:cs="Arial"/>
                <w:szCs w:val="24"/>
              </w:rPr>
              <w:t>Professional Development</w:t>
            </w:r>
          </w:p>
        </w:tc>
        <w:tc>
          <w:tcPr>
            <w:tcW w:w="6707" w:type="dxa"/>
            <w:gridSpan w:val="2"/>
          </w:tcPr>
          <w:p w14:paraId="2DF30210" w14:textId="77777777" w:rsidR="00B60C0B" w:rsidRPr="005310E8" w:rsidRDefault="00B60C0B" w:rsidP="00B60C0B">
            <w:pPr>
              <w:numPr>
                <w:ilvl w:val="0"/>
                <w:numId w:val="27"/>
              </w:numPr>
              <w:tabs>
                <w:tab w:val="num" w:pos="34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310E8">
              <w:rPr>
                <w:rFonts w:ascii="Arial" w:hAnsi="Arial" w:cs="Arial"/>
                <w:sz w:val="22"/>
                <w:szCs w:val="22"/>
              </w:rPr>
              <w:t>National Council on Aging</w:t>
            </w:r>
          </w:p>
          <w:p w14:paraId="5EA2E63F" w14:textId="77777777" w:rsidR="00B60C0B" w:rsidRPr="005310E8" w:rsidRDefault="00B60C0B" w:rsidP="00B60C0B">
            <w:pPr>
              <w:numPr>
                <w:ilvl w:val="0"/>
                <w:numId w:val="27"/>
              </w:numPr>
              <w:tabs>
                <w:tab w:val="num" w:pos="34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310E8">
              <w:rPr>
                <w:rFonts w:ascii="Arial" w:hAnsi="Arial" w:cs="Arial"/>
                <w:sz w:val="22"/>
                <w:szCs w:val="22"/>
              </w:rPr>
              <w:t>Local COAs</w:t>
            </w:r>
          </w:p>
          <w:p w14:paraId="2A67DA57" w14:textId="77777777" w:rsidR="00B60C0B" w:rsidRPr="005310E8" w:rsidRDefault="00B60C0B" w:rsidP="00B60C0B">
            <w:pPr>
              <w:numPr>
                <w:ilvl w:val="0"/>
                <w:numId w:val="27"/>
              </w:numPr>
              <w:tabs>
                <w:tab w:val="num" w:pos="34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310E8">
              <w:rPr>
                <w:rFonts w:ascii="Arial" w:hAnsi="Arial" w:cs="Arial"/>
                <w:sz w:val="22"/>
                <w:szCs w:val="22"/>
              </w:rPr>
              <w:t>STEADI resources and training</w:t>
            </w:r>
          </w:p>
          <w:p w14:paraId="6D2FF67F" w14:textId="77777777" w:rsidR="00B60C0B" w:rsidRPr="005310E8" w:rsidRDefault="00B60C0B" w:rsidP="00B60C0B">
            <w:pPr>
              <w:numPr>
                <w:ilvl w:val="0"/>
                <w:numId w:val="27"/>
              </w:numPr>
              <w:tabs>
                <w:tab w:val="num" w:pos="340"/>
              </w:tabs>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22"/>
                <w:szCs w:val="22"/>
              </w:rPr>
            </w:pPr>
            <w:r w:rsidRPr="005310E8">
              <w:rPr>
                <w:rFonts w:ascii="Arial" w:hAnsi="Arial" w:cs="Arial"/>
                <w:sz w:val="22"/>
                <w:szCs w:val="22"/>
              </w:rPr>
              <w:t>DV homes/shelters</w:t>
            </w:r>
          </w:p>
        </w:tc>
        <w:tc>
          <w:tcPr>
            <w:tcW w:w="2659" w:type="dxa"/>
          </w:tcPr>
          <w:p w14:paraId="64105D7F" w14:textId="77777777" w:rsidR="00B60C0B" w:rsidRPr="005310E8" w:rsidRDefault="00B60C0B" w:rsidP="00B60C0B">
            <w:pPr>
              <w:numPr>
                <w:ilvl w:val="0"/>
                <w:numId w:val="28"/>
              </w:numPr>
              <w:tabs>
                <w:tab w:val="num" w:pos="34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310E8">
              <w:rPr>
                <w:rFonts w:ascii="Arial" w:hAnsi="Arial" w:cs="Arial"/>
                <w:sz w:val="22"/>
                <w:szCs w:val="22"/>
              </w:rPr>
              <w:t>LBOHs</w:t>
            </w:r>
          </w:p>
          <w:p w14:paraId="62DFB89C" w14:textId="77777777" w:rsidR="00B60C0B" w:rsidRPr="005310E8" w:rsidRDefault="00B60C0B" w:rsidP="00B60C0B">
            <w:pPr>
              <w:numPr>
                <w:ilvl w:val="0"/>
                <w:numId w:val="28"/>
              </w:numPr>
              <w:tabs>
                <w:tab w:val="num" w:pos="34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310E8">
              <w:rPr>
                <w:rFonts w:ascii="Arial" w:hAnsi="Arial" w:cs="Arial"/>
                <w:sz w:val="22"/>
                <w:szCs w:val="22"/>
              </w:rPr>
              <w:t>State Department of Public Health (DPH)</w:t>
            </w:r>
          </w:p>
          <w:p w14:paraId="3BBA32F5" w14:textId="77777777" w:rsidR="00B60C0B" w:rsidRPr="005310E8" w:rsidRDefault="00B60C0B" w:rsidP="00B60C0B">
            <w:pPr>
              <w:numPr>
                <w:ilvl w:val="0"/>
                <w:numId w:val="28"/>
              </w:numPr>
              <w:tabs>
                <w:tab w:val="num" w:pos="34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310E8">
              <w:rPr>
                <w:rFonts w:ascii="Arial" w:hAnsi="Arial" w:cs="Arial"/>
                <w:sz w:val="22"/>
                <w:szCs w:val="22"/>
              </w:rPr>
              <w:t>Clinicians</w:t>
            </w:r>
          </w:p>
          <w:p w14:paraId="7141A543" w14:textId="77777777" w:rsidR="00B60C0B" w:rsidRPr="005310E8" w:rsidRDefault="00B60C0B" w:rsidP="00B60C0B">
            <w:pPr>
              <w:numPr>
                <w:ilvl w:val="0"/>
                <w:numId w:val="28"/>
              </w:numPr>
              <w:tabs>
                <w:tab w:val="num" w:pos="34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310E8">
              <w:rPr>
                <w:rFonts w:ascii="Arial" w:hAnsi="Arial" w:cs="Arial"/>
                <w:sz w:val="22"/>
                <w:szCs w:val="22"/>
              </w:rPr>
              <w:t>Pharmacists</w:t>
            </w:r>
          </w:p>
        </w:tc>
        <w:tc>
          <w:tcPr>
            <w:tcW w:w="3461" w:type="dxa"/>
          </w:tcPr>
          <w:p w14:paraId="7E6DE762" w14:textId="77777777" w:rsidR="00B60C0B" w:rsidRPr="005310E8" w:rsidRDefault="00B60C0B" w:rsidP="00637DE0">
            <w:pPr>
              <w:tabs>
                <w:tab w:val="num" w:pos="340"/>
              </w:tabs>
              <w:ind w:left="270" w:hanging="27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r w:rsidR="00B60C0B" w:rsidRPr="00E226D7" w14:paraId="02E58020" w14:textId="77777777" w:rsidTr="00637DE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568" w:type="dxa"/>
          </w:tcPr>
          <w:p w14:paraId="50A2273D" w14:textId="77777777" w:rsidR="00B60C0B" w:rsidRPr="00E226D7" w:rsidRDefault="00B60C0B" w:rsidP="00637DE0">
            <w:pPr>
              <w:rPr>
                <w:rFonts w:ascii="Arial" w:hAnsi="Arial" w:cs="Arial"/>
                <w:szCs w:val="24"/>
              </w:rPr>
            </w:pPr>
            <w:r w:rsidRPr="00E226D7">
              <w:rPr>
                <w:rFonts w:ascii="Arial" w:hAnsi="Arial" w:cs="Arial"/>
                <w:szCs w:val="24"/>
              </w:rPr>
              <w:t>Surveillance</w:t>
            </w:r>
          </w:p>
        </w:tc>
        <w:tc>
          <w:tcPr>
            <w:tcW w:w="6707" w:type="dxa"/>
            <w:gridSpan w:val="2"/>
          </w:tcPr>
          <w:p w14:paraId="77C82A6B" w14:textId="77777777" w:rsidR="00B60C0B" w:rsidRPr="005310E8" w:rsidRDefault="00B60C0B" w:rsidP="00B60C0B">
            <w:pPr>
              <w:numPr>
                <w:ilvl w:val="0"/>
                <w:numId w:val="29"/>
              </w:numPr>
              <w:tabs>
                <w:tab w:val="num" w:pos="3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Hospitals</w:t>
            </w:r>
          </w:p>
          <w:p w14:paraId="55105437" w14:textId="77777777" w:rsidR="00B60C0B" w:rsidRPr="005310E8" w:rsidRDefault="00B60C0B" w:rsidP="00B60C0B">
            <w:pPr>
              <w:numPr>
                <w:ilvl w:val="0"/>
                <w:numId w:val="29"/>
              </w:numPr>
              <w:tabs>
                <w:tab w:val="num" w:pos="3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Community health centers</w:t>
            </w:r>
          </w:p>
          <w:p w14:paraId="6E7B99DE" w14:textId="77777777" w:rsidR="00B60C0B" w:rsidRPr="005310E8" w:rsidRDefault="00B60C0B" w:rsidP="00B60C0B">
            <w:pPr>
              <w:numPr>
                <w:ilvl w:val="0"/>
                <w:numId w:val="29"/>
              </w:numPr>
              <w:tabs>
                <w:tab w:val="num" w:pos="3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Pre-hospital provider agencies</w:t>
            </w:r>
          </w:p>
          <w:p w14:paraId="16CADC54" w14:textId="77777777" w:rsidR="00B60C0B" w:rsidRPr="005310E8" w:rsidRDefault="00B60C0B" w:rsidP="00B60C0B">
            <w:pPr>
              <w:numPr>
                <w:ilvl w:val="0"/>
                <w:numId w:val="29"/>
              </w:numPr>
              <w:tabs>
                <w:tab w:val="num" w:pos="3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LBOHs</w:t>
            </w:r>
          </w:p>
          <w:p w14:paraId="7F732D99" w14:textId="77777777" w:rsidR="00B60C0B" w:rsidRPr="005310E8" w:rsidRDefault="00B60C0B" w:rsidP="00B60C0B">
            <w:pPr>
              <w:numPr>
                <w:ilvl w:val="0"/>
                <w:numId w:val="29"/>
              </w:numPr>
              <w:tabs>
                <w:tab w:val="num" w:pos="3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5310E8">
              <w:rPr>
                <w:rFonts w:ascii="Arial" w:hAnsi="Arial" w:cs="Arial"/>
                <w:sz w:val="22"/>
                <w:szCs w:val="22"/>
              </w:rPr>
              <w:t>State DPH</w:t>
            </w:r>
          </w:p>
        </w:tc>
        <w:tc>
          <w:tcPr>
            <w:tcW w:w="2659" w:type="dxa"/>
          </w:tcPr>
          <w:p w14:paraId="00A9316F" w14:textId="77777777" w:rsidR="00B60C0B" w:rsidRPr="005310E8" w:rsidRDefault="00B60C0B" w:rsidP="00637DE0">
            <w:pPr>
              <w:tabs>
                <w:tab w:val="num" w:pos="340"/>
              </w:tabs>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3461" w:type="dxa"/>
          </w:tcPr>
          <w:p w14:paraId="75DA23B2" w14:textId="77777777" w:rsidR="00B60C0B" w:rsidRPr="005310E8" w:rsidRDefault="00B60C0B" w:rsidP="00BC53CF">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rFonts w:eastAsiaTheme="minorEastAsia"/>
                <w:sz w:val="22"/>
                <w:szCs w:val="22"/>
              </w:rPr>
            </w:pPr>
            <w:r w:rsidRPr="005310E8">
              <w:rPr>
                <w:sz w:val="22"/>
                <w:szCs w:val="22"/>
              </w:rPr>
              <w:t>Number of falls; associated ED visits, hospitalizations</w:t>
            </w:r>
          </w:p>
          <w:p w14:paraId="4C986298" w14:textId="77777777" w:rsidR="00B60C0B" w:rsidRPr="005310E8" w:rsidRDefault="00B60C0B" w:rsidP="00BC53CF">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sz w:val="22"/>
                <w:szCs w:val="22"/>
              </w:rPr>
            </w:pPr>
            <w:r w:rsidRPr="005310E8">
              <w:rPr>
                <w:sz w:val="22"/>
                <w:szCs w:val="22"/>
              </w:rPr>
              <w:t>Risk and protective factors</w:t>
            </w:r>
          </w:p>
          <w:p w14:paraId="0D0B3B10" w14:textId="77777777" w:rsidR="00B60C0B" w:rsidRPr="005310E8" w:rsidRDefault="00B60C0B" w:rsidP="00BC53CF">
            <w:pPr>
              <w:pStyle w:val="ListParagraph"/>
              <w:numPr>
                <w:ilvl w:val="0"/>
                <w:numId w:val="29"/>
              </w:numPr>
              <w:cnfStyle w:val="000000100000" w:firstRow="0" w:lastRow="0" w:firstColumn="0" w:lastColumn="0" w:oddVBand="0" w:evenVBand="0" w:oddHBand="1" w:evenHBand="0" w:firstRowFirstColumn="0" w:firstRowLastColumn="0" w:lastRowFirstColumn="0" w:lastRowLastColumn="0"/>
              <w:rPr>
                <w:sz w:val="22"/>
                <w:szCs w:val="22"/>
              </w:rPr>
            </w:pPr>
            <w:r w:rsidRPr="005310E8">
              <w:rPr>
                <w:sz w:val="22"/>
                <w:szCs w:val="22"/>
              </w:rPr>
              <w:t>Monitoring cost of falls</w:t>
            </w:r>
          </w:p>
        </w:tc>
      </w:tr>
      <w:tr w:rsidR="00B60C0B" w:rsidRPr="00E226D7" w14:paraId="6808D736" w14:textId="77777777" w:rsidTr="00637DE0">
        <w:trPr>
          <w:cantSplit/>
          <w:jc w:val="center"/>
        </w:trPr>
        <w:tc>
          <w:tcPr>
            <w:cnfStyle w:val="001000000000" w:firstRow="0" w:lastRow="0" w:firstColumn="1" w:lastColumn="0" w:oddVBand="0" w:evenVBand="0" w:oddHBand="0" w:evenHBand="0" w:firstRowFirstColumn="0" w:firstRowLastColumn="0" w:lastRowFirstColumn="0" w:lastRowLastColumn="0"/>
            <w:tcW w:w="1568" w:type="dxa"/>
          </w:tcPr>
          <w:p w14:paraId="3970FEA7" w14:textId="77777777" w:rsidR="00B60C0B" w:rsidRPr="00E226D7" w:rsidRDefault="00B60C0B" w:rsidP="00637DE0">
            <w:pPr>
              <w:rPr>
                <w:rFonts w:ascii="Arial" w:hAnsi="Arial" w:cs="Arial"/>
                <w:szCs w:val="24"/>
              </w:rPr>
            </w:pPr>
            <w:r w:rsidRPr="00E226D7">
              <w:rPr>
                <w:rFonts w:ascii="Arial" w:hAnsi="Arial" w:cs="Arial"/>
                <w:szCs w:val="24"/>
              </w:rPr>
              <w:t>Awareness/ Advocac</w:t>
            </w:r>
            <w:r w:rsidRPr="00E226D7">
              <w:rPr>
                <w:rFonts w:ascii="Arial" w:hAnsi="Arial" w:cs="Arial"/>
                <w:b w:val="0"/>
                <w:bCs w:val="0"/>
                <w:szCs w:val="24"/>
              </w:rPr>
              <w:t>y</w:t>
            </w:r>
            <w:r w:rsidRPr="00E226D7">
              <w:rPr>
                <w:rFonts w:ascii="Arial" w:hAnsi="Arial" w:cs="Arial"/>
                <w:szCs w:val="24"/>
              </w:rPr>
              <w:t xml:space="preserve"> </w:t>
            </w:r>
          </w:p>
        </w:tc>
        <w:tc>
          <w:tcPr>
            <w:tcW w:w="6707" w:type="dxa"/>
            <w:gridSpan w:val="2"/>
          </w:tcPr>
          <w:p w14:paraId="3EE61AE5" w14:textId="77777777" w:rsidR="00B60C0B" w:rsidRPr="005310E8" w:rsidRDefault="00B60C0B" w:rsidP="00B60C0B">
            <w:pPr>
              <w:numPr>
                <w:ilvl w:val="0"/>
                <w:numId w:val="30"/>
              </w:numPr>
              <w:tabs>
                <w:tab w:val="num" w:pos="34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310E8">
              <w:rPr>
                <w:rFonts w:ascii="Arial" w:hAnsi="Arial" w:cs="Arial"/>
                <w:sz w:val="22"/>
                <w:szCs w:val="22"/>
              </w:rPr>
              <w:t>Senior Citizen Clubs, advocacy organizations, community organizations</w:t>
            </w:r>
          </w:p>
        </w:tc>
        <w:tc>
          <w:tcPr>
            <w:tcW w:w="2659" w:type="dxa"/>
          </w:tcPr>
          <w:p w14:paraId="1CA2A5F3" w14:textId="77777777" w:rsidR="00B60C0B" w:rsidRPr="005310E8" w:rsidRDefault="00B60C0B" w:rsidP="00B60C0B">
            <w:pPr>
              <w:numPr>
                <w:ilvl w:val="0"/>
                <w:numId w:val="30"/>
              </w:numPr>
              <w:tabs>
                <w:tab w:val="num" w:pos="34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310E8">
              <w:rPr>
                <w:rFonts w:ascii="Arial" w:hAnsi="Arial" w:cs="Arial"/>
                <w:sz w:val="22"/>
                <w:szCs w:val="22"/>
              </w:rPr>
              <w:t>CBO staff</w:t>
            </w:r>
          </w:p>
          <w:p w14:paraId="26C51E31" w14:textId="77777777" w:rsidR="00B60C0B" w:rsidRPr="005310E8" w:rsidRDefault="00B60C0B" w:rsidP="00B60C0B">
            <w:pPr>
              <w:numPr>
                <w:ilvl w:val="0"/>
                <w:numId w:val="30"/>
              </w:numPr>
              <w:tabs>
                <w:tab w:val="num" w:pos="34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310E8">
              <w:rPr>
                <w:rFonts w:ascii="Arial" w:hAnsi="Arial" w:cs="Arial"/>
                <w:sz w:val="22"/>
                <w:szCs w:val="22"/>
              </w:rPr>
              <w:t>CHWs</w:t>
            </w:r>
          </w:p>
          <w:p w14:paraId="7323F924" w14:textId="77777777" w:rsidR="00B60C0B" w:rsidRPr="005310E8" w:rsidRDefault="00B60C0B" w:rsidP="00B60C0B">
            <w:pPr>
              <w:numPr>
                <w:ilvl w:val="0"/>
                <w:numId w:val="30"/>
              </w:numPr>
              <w:tabs>
                <w:tab w:val="num" w:pos="340"/>
              </w:tabs>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5310E8">
              <w:rPr>
                <w:rFonts w:ascii="Arial" w:hAnsi="Arial" w:cs="Arial"/>
                <w:sz w:val="22"/>
                <w:szCs w:val="22"/>
              </w:rPr>
              <w:t>Advocates</w:t>
            </w:r>
          </w:p>
        </w:tc>
        <w:tc>
          <w:tcPr>
            <w:tcW w:w="3461" w:type="dxa"/>
          </w:tcPr>
          <w:p w14:paraId="4619D4E3" w14:textId="77777777" w:rsidR="00B60C0B" w:rsidRPr="005310E8" w:rsidRDefault="00B60C0B" w:rsidP="00637DE0">
            <w:pPr>
              <w:tabs>
                <w:tab w:val="num" w:pos="340"/>
              </w:tabs>
              <w:ind w:left="270" w:hanging="27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r>
    </w:tbl>
    <w:p w14:paraId="36352F26" w14:textId="77777777" w:rsidR="00B60C0B" w:rsidRPr="00E226D7" w:rsidRDefault="00B60C0B" w:rsidP="009306C6">
      <w:pPr>
        <w:pStyle w:val="Heading1"/>
        <w:sectPr w:rsidR="00B60C0B" w:rsidRPr="00E226D7" w:rsidSect="00253758">
          <w:pgSz w:w="15840" w:h="12240" w:orient="landscape"/>
          <w:pgMar w:top="720" w:right="720" w:bottom="720" w:left="720" w:header="720" w:footer="720" w:gutter="0"/>
          <w:cols w:space="720"/>
          <w:docGrid w:linePitch="360"/>
        </w:sectPr>
      </w:pPr>
    </w:p>
    <w:p w14:paraId="315E9A4D" w14:textId="77777777" w:rsidR="00B60C0B" w:rsidRPr="00E226D7" w:rsidRDefault="00B60C0B" w:rsidP="009306C6">
      <w:pPr>
        <w:pStyle w:val="Heading1"/>
      </w:pPr>
      <w:bookmarkStart w:id="29" w:name="_Toc134178552"/>
      <w:bookmarkStart w:id="30" w:name="_Toc134178768"/>
      <w:bookmarkStart w:id="31" w:name="_Toc134178892"/>
      <w:r w:rsidRPr="00E226D7">
        <w:lastRenderedPageBreak/>
        <w:t>Appendix C: Commission Key Informants on Local Public Health Infrastructure</w:t>
      </w:r>
      <w:bookmarkEnd w:id="29"/>
      <w:bookmarkEnd w:id="30"/>
      <w:bookmarkEnd w:id="31"/>
    </w:p>
    <w:p w14:paraId="1552391E" w14:textId="77777777" w:rsidR="00B60C0B" w:rsidRPr="00E226D7" w:rsidRDefault="00B60C0B" w:rsidP="00B60C0B">
      <w:pPr>
        <w:rPr>
          <w:rFonts w:ascii="Arial" w:hAnsi="Arial" w:cs="Arial"/>
          <w:szCs w:val="24"/>
        </w:rPr>
      </w:pPr>
    </w:p>
    <w:p w14:paraId="0E65EFC5" w14:textId="1254029F" w:rsidR="00B60C0B" w:rsidRDefault="00B60C0B" w:rsidP="00B60C0B">
      <w:pPr>
        <w:rPr>
          <w:rFonts w:ascii="Arial" w:hAnsi="Arial" w:cs="Arial"/>
          <w:szCs w:val="24"/>
        </w:rPr>
      </w:pPr>
      <w:r w:rsidRPr="00E226D7">
        <w:rPr>
          <w:rFonts w:ascii="Arial" w:hAnsi="Arial" w:cs="Arial"/>
          <w:szCs w:val="24"/>
        </w:rPr>
        <w:t>In its deliberations and the process of drafting this report, the Commission and Commission staff consulted with the key informants listed below.</w:t>
      </w:r>
    </w:p>
    <w:p w14:paraId="3BF53E3E" w14:textId="77777777" w:rsidR="00CD6B81" w:rsidRPr="00E226D7" w:rsidRDefault="00CD6B81" w:rsidP="00B60C0B">
      <w:pPr>
        <w:rPr>
          <w:rFonts w:ascii="Arial" w:hAnsi="Arial" w:cs="Arial"/>
          <w:szCs w:val="24"/>
        </w:rPr>
      </w:pPr>
    </w:p>
    <w:p w14:paraId="77AC110F" w14:textId="77777777" w:rsidR="00B60C0B" w:rsidRPr="00E226D7" w:rsidRDefault="00B60C0B" w:rsidP="00B60C0B">
      <w:pPr>
        <w:rPr>
          <w:rFonts w:ascii="Arial" w:hAnsi="Arial" w:cs="Arial"/>
          <w:szCs w:val="24"/>
        </w:rPr>
        <w:sectPr w:rsidR="00B60C0B" w:rsidRPr="00E226D7">
          <w:pgSz w:w="12240" w:h="15840"/>
          <w:pgMar w:top="1440" w:right="1440" w:bottom="1440" w:left="1440" w:header="720" w:footer="720" w:gutter="0"/>
          <w:cols w:space="720"/>
          <w:docGrid w:linePitch="360"/>
        </w:sectPr>
      </w:pPr>
    </w:p>
    <w:p w14:paraId="1F176B01" w14:textId="77777777" w:rsidR="00B60C0B" w:rsidRPr="00E226D7" w:rsidRDefault="00B60C0B" w:rsidP="00BC53CF">
      <w:pPr>
        <w:pStyle w:val="ListParagraph"/>
        <w:numPr>
          <w:ilvl w:val="0"/>
          <w:numId w:val="33"/>
        </w:numPr>
      </w:pPr>
      <w:r w:rsidRPr="00E226D7">
        <w:rPr>
          <w:b/>
          <w:bCs/>
        </w:rPr>
        <w:t>Meaghan Avery</w:t>
      </w:r>
      <w:r w:rsidRPr="00E226D7">
        <w:br/>
        <w:t>Healthy Living Program Director</w:t>
      </w:r>
      <w:r w:rsidRPr="00E226D7">
        <w:br/>
      </w:r>
      <w:r w:rsidRPr="00E226D7">
        <w:rPr>
          <w:i/>
          <w:iCs/>
        </w:rPr>
        <w:t>Old Colony YMCA</w:t>
      </w:r>
    </w:p>
    <w:p w14:paraId="6070D742" w14:textId="77777777" w:rsidR="00B60C0B" w:rsidRPr="00E226D7" w:rsidRDefault="00B60C0B" w:rsidP="00BC53CF">
      <w:pPr>
        <w:pStyle w:val="ListParagraph"/>
        <w:numPr>
          <w:ilvl w:val="0"/>
          <w:numId w:val="33"/>
        </w:numPr>
      </w:pPr>
      <w:r w:rsidRPr="00E226D7">
        <w:rPr>
          <w:b/>
          <w:bCs/>
        </w:rPr>
        <w:t>Lauren Bartell</w:t>
      </w:r>
      <w:r w:rsidRPr="00E226D7">
        <w:br/>
        <w:t>Executive Director of Healthy Living</w:t>
      </w:r>
      <w:r w:rsidRPr="00E226D7">
        <w:br/>
      </w:r>
      <w:r w:rsidRPr="00E226D7">
        <w:rPr>
          <w:i/>
          <w:iCs/>
        </w:rPr>
        <w:t>Old Colony YMCA</w:t>
      </w:r>
    </w:p>
    <w:p w14:paraId="63FEED45" w14:textId="77777777" w:rsidR="00B60C0B" w:rsidRPr="00E226D7" w:rsidRDefault="00B60C0B" w:rsidP="00BC53CF">
      <w:pPr>
        <w:pStyle w:val="ListParagraph"/>
        <w:numPr>
          <w:ilvl w:val="0"/>
          <w:numId w:val="33"/>
        </w:numPr>
      </w:pPr>
      <w:r w:rsidRPr="00E226D7">
        <w:rPr>
          <w:b/>
          <w:bCs/>
        </w:rPr>
        <w:t>Charles Deutsch</w:t>
      </w:r>
      <w:r w:rsidRPr="00E226D7">
        <w:br/>
        <w:t xml:space="preserve">Former Director, </w:t>
      </w:r>
      <w:r w:rsidRPr="00E226D7">
        <w:br/>
        <w:t>Population Health Research Program</w:t>
      </w:r>
      <w:r w:rsidRPr="00E226D7">
        <w:br/>
      </w:r>
      <w:r w:rsidRPr="00E226D7">
        <w:rPr>
          <w:i/>
          <w:iCs/>
        </w:rPr>
        <w:t>Harvard Catalyst</w:t>
      </w:r>
    </w:p>
    <w:p w14:paraId="45E1584B" w14:textId="77777777" w:rsidR="00B60C0B" w:rsidRPr="00E226D7" w:rsidRDefault="00B60C0B" w:rsidP="00BC53CF">
      <w:pPr>
        <w:pStyle w:val="ListParagraph"/>
        <w:numPr>
          <w:ilvl w:val="0"/>
          <w:numId w:val="33"/>
        </w:numPr>
      </w:pPr>
      <w:r w:rsidRPr="00E226D7">
        <w:rPr>
          <w:b/>
          <w:bCs/>
        </w:rPr>
        <w:t>James Fuccione</w:t>
      </w:r>
      <w:r w:rsidRPr="00E226D7">
        <w:br/>
        <w:t>Senior Director</w:t>
      </w:r>
      <w:r w:rsidRPr="00E226D7">
        <w:br/>
        <w:t>Massachusetts Healthy Aging Collaborative</w:t>
      </w:r>
    </w:p>
    <w:p w14:paraId="7105021F" w14:textId="77777777" w:rsidR="00B60C0B" w:rsidRPr="00E226D7" w:rsidRDefault="00B60C0B" w:rsidP="00BC53CF">
      <w:pPr>
        <w:pStyle w:val="ListParagraph"/>
        <w:numPr>
          <w:ilvl w:val="0"/>
          <w:numId w:val="33"/>
        </w:numPr>
      </w:pPr>
      <w:r w:rsidRPr="00E226D7">
        <w:rPr>
          <w:b/>
          <w:bCs/>
        </w:rPr>
        <w:t>Lisa Gurgone</w:t>
      </w:r>
      <w:r w:rsidRPr="00E226D7">
        <w:br/>
        <w:t>Executive Director</w:t>
      </w:r>
      <w:r w:rsidRPr="00E226D7">
        <w:br/>
      </w:r>
      <w:r w:rsidRPr="00E226D7">
        <w:rPr>
          <w:i/>
          <w:iCs/>
        </w:rPr>
        <w:t>Mass Home Care</w:t>
      </w:r>
    </w:p>
    <w:p w14:paraId="682F4709" w14:textId="77777777" w:rsidR="00B60C0B" w:rsidRPr="00E226D7" w:rsidRDefault="00B60C0B" w:rsidP="00BC53CF">
      <w:pPr>
        <w:pStyle w:val="ListParagraph"/>
        <w:numPr>
          <w:ilvl w:val="0"/>
          <w:numId w:val="33"/>
        </w:numPr>
      </w:pPr>
      <w:r w:rsidRPr="00E226D7">
        <w:rPr>
          <w:b/>
          <w:bCs/>
        </w:rPr>
        <w:t>Carlene Pavlos</w:t>
      </w:r>
      <w:r w:rsidRPr="00E226D7">
        <w:br/>
        <w:t>Executive Director</w:t>
      </w:r>
      <w:r w:rsidRPr="00E226D7">
        <w:br/>
        <w:t>Massachusetts Public Health Association</w:t>
      </w:r>
    </w:p>
    <w:p w14:paraId="78C51422" w14:textId="77777777" w:rsidR="00B60C0B" w:rsidRPr="00E226D7" w:rsidRDefault="00B60C0B" w:rsidP="00BC53CF">
      <w:pPr>
        <w:pStyle w:val="ListParagraph"/>
        <w:numPr>
          <w:ilvl w:val="0"/>
          <w:numId w:val="33"/>
        </w:numPr>
      </w:pPr>
      <w:r w:rsidRPr="00E226D7">
        <w:rPr>
          <w:b/>
          <w:bCs/>
        </w:rPr>
        <w:t>Jennifer Raymond</w:t>
      </w:r>
      <w:r w:rsidRPr="00E226D7">
        <w:br/>
        <w:t>Director, Healthy Living Center of Excellence</w:t>
      </w:r>
      <w:r w:rsidRPr="00E226D7">
        <w:br/>
      </w:r>
      <w:r w:rsidRPr="00E226D7">
        <w:rPr>
          <w:i/>
          <w:iCs/>
        </w:rPr>
        <w:t>AgeSpan</w:t>
      </w:r>
    </w:p>
    <w:p w14:paraId="3BA263D3" w14:textId="77777777" w:rsidR="00B60C0B" w:rsidRPr="00E226D7" w:rsidRDefault="00B60C0B" w:rsidP="00BC53CF">
      <w:pPr>
        <w:pStyle w:val="ListParagraph"/>
        <w:numPr>
          <w:ilvl w:val="0"/>
          <w:numId w:val="33"/>
        </w:numPr>
      </w:pPr>
      <w:r w:rsidRPr="00E226D7">
        <w:rPr>
          <w:b/>
          <w:bCs/>
        </w:rPr>
        <w:t>Kate-Marie Roycroft</w:t>
      </w:r>
      <w:r w:rsidRPr="00E226D7">
        <w:br/>
        <w:t>Director of Public Policy</w:t>
      </w:r>
      <w:r w:rsidRPr="00E226D7">
        <w:br/>
      </w:r>
      <w:r w:rsidRPr="00E226D7">
        <w:rPr>
          <w:i/>
          <w:iCs/>
        </w:rPr>
        <w:t>Alliance of Massachusetts YMCAs</w:t>
      </w:r>
    </w:p>
    <w:p w14:paraId="5FDC58B6" w14:textId="77777777" w:rsidR="00B60C0B" w:rsidRPr="00E226D7" w:rsidRDefault="00B60C0B" w:rsidP="00BC53CF">
      <w:pPr>
        <w:pStyle w:val="ListParagraph"/>
        <w:numPr>
          <w:ilvl w:val="0"/>
          <w:numId w:val="33"/>
        </w:numPr>
      </w:pPr>
      <w:r w:rsidRPr="00E226D7">
        <w:rPr>
          <w:b/>
          <w:bCs/>
        </w:rPr>
        <w:t>Sam Wong</w:t>
      </w:r>
      <w:r w:rsidRPr="00E226D7">
        <w:br/>
        <w:t xml:space="preserve">Director, Office of Local and </w:t>
      </w:r>
      <w:r w:rsidRPr="00E226D7">
        <w:br/>
        <w:t>Regional Health</w:t>
      </w:r>
      <w:r w:rsidRPr="00E226D7">
        <w:br/>
      </w:r>
      <w:r w:rsidRPr="00E226D7">
        <w:rPr>
          <w:i/>
          <w:iCs/>
        </w:rPr>
        <w:t xml:space="preserve">Massachusetts Department of </w:t>
      </w:r>
      <w:r w:rsidRPr="00E226D7">
        <w:rPr>
          <w:i/>
          <w:iCs/>
        </w:rPr>
        <w:br/>
        <w:t>Public Health</w:t>
      </w:r>
    </w:p>
    <w:p w14:paraId="23442DC3" w14:textId="77777777" w:rsidR="00B60C0B" w:rsidRPr="00E226D7" w:rsidRDefault="00B60C0B" w:rsidP="00BC53CF">
      <w:pPr>
        <w:pStyle w:val="ListParagraph"/>
        <w:numPr>
          <w:ilvl w:val="0"/>
          <w:numId w:val="33"/>
        </w:numPr>
      </w:pPr>
      <w:r w:rsidRPr="00E226D7">
        <w:rPr>
          <w:b/>
          <w:bCs/>
        </w:rPr>
        <w:t>Ted Zimmerman</w:t>
      </w:r>
      <w:r w:rsidRPr="00E226D7">
        <w:br/>
        <w:t>State Planner/</w:t>
      </w:r>
      <w:r w:rsidRPr="00E226D7">
        <w:br/>
        <w:t>Legal Assistance Developer</w:t>
      </w:r>
      <w:r w:rsidRPr="00E226D7">
        <w:br/>
      </w:r>
      <w:r w:rsidRPr="00E226D7">
        <w:rPr>
          <w:i/>
          <w:iCs/>
        </w:rPr>
        <w:t>Massachusetts Executive Office of Elder Affairs</w:t>
      </w:r>
    </w:p>
    <w:p w14:paraId="099C5E0C" w14:textId="77777777" w:rsidR="00B60C0B" w:rsidRPr="00E226D7" w:rsidRDefault="00B60C0B" w:rsidP="00B60C0B">
      <w:pPr>
        <w:spacing w:after="240"/>
        <w:rPr>
          <w:rFonts w:ascii="Arial" w:hAnsi="Arial" w:cs="Arial"/>
          <w:szCs w:val="24"/>
        </w:rPr>
      </w:pPr>
    </w:p>
    <w:p w14:paraId="4ED09B6B" w14:textId="77777777" w:rsidR="00B60C0B" w:rsidRPr="00E226D7" w:rsidRDefault="00B60C0B" w:rsidP="00B60C0B">
      <w:pPr>
        <w:spacing w:after="240"/>
        <w:rPr>
          <w:rFonts w:ascii="Arial" w:hAnsi="Arial" w:cs="Arial"/>
          <w:szCs w:val="24"/>
        </w:rPr>
      </w:pPr>
    </w:p>
    <w:p w14:paraId="33E74664" w14:textId="77777777" w:rsidR="00B60C0B" w:rsidRPr="00E226D7" w:rsidRDefault="00B60C0B" w:rsidP="00B60C0B">
      <w:pPr>
        <w:spacing w:after="240"/>
        <w:rPr>
          <w:rFonts w:ascii="Arial" w:hAnsi="Arial" w:cs="Arial"/>
          <w:szCs w:val="24"/>
        </w:rPr>
        <w:sectPr w:rsidR="00B60C0B" w:rsidRPr="00E226D7" w:rsidSect="00DB1FA6">
          <w:type w:val="continuous"/>
          <w:pgSz w:w="12240" w:h="15840"/>
          <w:pgMar w:top="1440" w:right="1440" w:bottom="1440" w:left="1440" w:header="720" w:footer="720" w:gutter="0"/>
          <w:cols w:num="2" w:space="288"/>
          <w:docGrid w:linePitch="360"/>
        </w:sectPr>
      </w:pPr>
    </w:p>
    <w:p w14:paraId="4A844118" w14:textId="77777777" w:rsidR="00B60C0B" w:rsidRPr="00E226D7" w:rsidRDefault="00B60C0B" w:rsidP="00B60C0B">
      <w:pPr>
        <w:spacing w:line="480" w:lineRule="auto"/>
        <w:rPr>
          <w:rFonts w:ascii="Arial" w:hAnsi="Arial" w:cs="Arial"/>
          <w:szCs w:val="24"/>
        </w:rPr>
      </w:pPr>
      <w:r w:rsidRPr="00E226D7">
        <w:rPr>
          <w:rFonts w:ascii="Arial" w:hAnsi="Arial" w:cs="Arial"/>
          <w:szCs w:val="24"/>
        </w:rPr>
        <w:br/>
      </w:r>
      <w:r w:rsidRPr="00E226D7">
        <w:rPr>
          <w:rFonts w:ascii="Arial" w:hAnsi="Arial" w:cs="Arial"/>
          <w:szCs w:val="24"/>
        </w:rPr>
        <w:br/>
      </w:r>
    </w:p>
    <w:p w14:paraId="4EC21C98" w14:textId="77777777" w:rsidR="00B60C0B" w:rsidRPr="00E226D7" w:rsidRDefault="00B60C0B" w:rsidP="00B60C0B">
      <w:pPr>
        <w:rPr>
          <w:rFonts w:ascii="Arial" w:hAnsi="Arial" w:cs="Arial"/>
          <w:szCs w:val="24"/>
        </w:rPr>
        <w:sectPr w:rsidR="00B60C0B" w:rsidRPr="00E226D7" w:rsidSect="00A84EC7">
          <w:type w:val="continuous"/>
          <w:pgSz w:w="12240" w:h="15840"/>
          <w:pgMar w:top="1440" w:right="1440" w:bottom="1440" w:left="1440" w:header="720" w:footer="720" w:gutter="0"/>
          <w:cols w:num="2" w:space="720"/>
          <w:docGrid w:linePitch="360"/>
        </w:sectPr>
      </w:pPr>
    </w:p>
    <w:p w14:paraId="70DCB64B" w14:textId="77777777" w:rsidR="00A22B38" w:rsidRDefault="00A22B38">
      <w:pPr>
        <w:spacing w:after="200" w:line="276" w:lineRule="auto"/>
        <w:rPr>
          <w:rFonts w:ascii="Arial" w:eastAsia="Calibri" w:hAnsi="Arial" w:cs="Arial"/>
          <w:b/>
          <w:szCs w:val="24"/>
        </w:rPr>
      </w:pPr>
      <w:r>
        <w:lastRenderedPageBreak/>
        <w:br w:type="page"/>
      </w:r>
    </w:p>
    <w:p w14:paraId="4C3C5020" w14:textId="5001D1DC" w:rsidR="00B60C0B" w:rsidRDefault="00B60C0B" w:rsidP="009306C6">
      <w:pPr>
        <w:pStyle w:val="Heading1"/>
      </w:pPr>
      <w:bookmarkStart w:id="32" w:name="_Toc134178553"/>
      <w:bookmarkStart w:id="33" w:name="_Toc134178769"/>
      <w:bookmarkStart w:id="34" w:name="_Toc134178893"/>
      <w:r w:rsidRPr="00E226D7">
        <w:lastRenderedPageBreak/>
        <w:t>References</w:t>
      </w:r>
      <w:bookmarkEnd w:id="32"/>
      <w:bookmarkEnd w:id="33"/>
      <w:bookmarkEnd w:id="34"/>
    </w:p>
    <w:p w14:paraId="752A4FDD" w14:textId="77777777" w:rsidR="00E64BC3" w:rsidRPr="00E64BC3" w:rsidRDefault="00E64BC3" w:rsidP="00E64BC3"/>
    <w:p w14:paraId="40DAC4AD" w14:textId="77777777" w:rsidR="00B60C0B" w:rsidRPr="00E226D7" w:rsidRDefault="00B60C0B" w:rsidP="00B60C0B">
      <w:pPr>
        <w:pStyle w:val="Bibliography"/>
        <w:rPr>
          <w:rFonts w:ascii="Arial" w:hAnsi="Arial" w:cs="Arial"/>
        </w:rPr>
      </w:pPr>
      <w:r w:rsidRPr="00E226D7">
        <w:rPr>
          <w:rFonts w:ascii="Arial" w:hAnsi="Arial" w:cs="Arial"/>
          <w:color w:val="2B579A"/>
          <w:shd w:val="clear" w:color="auto" w:fill="E6E6E6"/>
        </w:rPr>
        <w:fldChar w:fldCharType="begin"/>
      </w:r>
      <w:r w:rsidRPr="00E226D7">
        <w:rPr>
          <w:rFonts w:ascii="Arial" w:hAnsi="Arial" w:cs="Arial"/>
        </w:rPr>
        <w:instrText xml:space="preserve"> ADDIN ZOTERO_BIBL {"uncited":[],"omitted":[],"custom":[]} CSL_BIBLIOGRAPHY </w:instrText>
      </w:r>
      <w:r w:rsidRPr="00E226D7">
        <w:rPr>
          <w:rFonts w:ascii="Arial" w:hAnsi="Arial" w:cs="Arial"/>
          <w:color w:val="2B579A"/>
          <w:shd w:val="clear" w:color="auto" w:fill="E6E6E6"/>
        </w:rPr>
        <w:fldChar w:fldCharType="separate"/>
      </w:r>
      <w:r w:rsidRPr="00E226D7">
        <w:rPr>
          <w:rFonts w:ascii="Arial" w:hAnsi="Arial" w:cs="Arial"/>
        </w:rPr>
        <w:t xml:space="preserve">1. </w:t>
      </w:r>
      <w:r w:rsidRPr="00E226D7">
        <w:rPr>
          <w:rFonts w:ascii="Arial" w:hAnsi="Arial" w:cs="Arial"/>
        </w:rPr>
        <w:tab/>
        <w:t>Registry of Vital Records and Statistics, Massachusetts Department of Public Health. 2010-2020 Death Files.</w:t>
      </w:r>
    </w:p>
    <w:p w14:paraId="23B7EDA7" w14:textId="77777777" w:rsidR="00B60C0B" w:rsidRPr="00E226D7" w:rsidRDefault="00B60C0B" w:rsidP="00B60C0B">
      <w:pPr>
        <w:pStyle w:val="Bibliography"/>
        <w:rPr>
          <w:rFonts w:ascii="Arial" w:hAnsi="Arial" w:cs="Arial"/>
        </w:rPr>
      </w:pPr>
      <w:r w:rsidRPr="00E226D7">
        <w:rPr>
          <w:rFonts w:ascii="Arial" w:hAnsi="Arial" w:cs="Arial"/>
        </w:rPr>
        <w:t xml:space="preserve">2. </w:t>
      </w:r>
      <w:r w:rsidRPr="00E226D7">
        <w:rPr>
          <w:rFonts w:ascii="Arial" w:hAnsi="Arial" w:cs="Arial"/>
        </w:rPr>
        <w:tab/>
        <w:t xml:space="preserve">Sterling DA, O’Connor JA, Bonadies J. Geriatric falls: injury severity is high and disproportionate to mechanism. </w:t>
      </w:r>
      <w:r w:rsidRPr="00E226D7">
        <w:rPr>
          <w:rFonts w:ascii="Arial" w:hAnsi="Arial" w:cs="Arial"/>
          <w:i/>
          <w:iCs/>
        </w:rPr>
        <w:t>J Trauma</w:t>
      </w:r>
      <w:r w:rsidRPr="00E226D7">
        <w:rPr>
          <w:rFonts w:ascii="Arial" w:hAnsi="Arial" w:cs="Arial"/>
        </w:rPr>
        <w:t>. 2001;50(1):116-119. doi:10.1097/00005373-200101000-00021</w:t>
      </w:r>
    </w:p>
    <w:p w14:paraId="6224DA1C" w14:textId="77777777" w:rsidR="00B60C0B" w:rsidRPr="00E226D7" w:rsidRDefault="00B60C0B" w:rsidP="00B60C0B">
      <w:pPr>
        <w:pStyle w:val="Bibliography"/>
        <w:rPr>
          <w:rFonts w:ascii="Arial" w:hAnsi="Arial" w:cs="Arial"/>
        </w:rPr>
      </w:pPr>
      <w:r w:rsidRPr="00E226D7">
        <w:rPr>
          <w:rFonts w:ascii="Arial" w:hAnsi="Arial" w:cs="Arial"/>
        </w:rPr>
        <w:t xml:space="preserve">3. </w:t>
      </w:r>
      <w:r w:rsidRPr="00E226D7">
        <w:rPr>
          <w:rFonts w:ascii="Arial" w:hAnsi="Arial" w:cs="Arial"/>
        </w:rPr>
        <w:tab/>
        <w:t xml:space="preserve">Choi NG, Choi BY, DiNitto DM, Marti CN, Kunik ME. Fall-related emergency department visits and hospitalizations among community-dwelling older adults: examination of health problems and injury characteristics. </w:t>
      </w:r>
      <w:r w:rsidRPr="00E226D7">
        <w:rPr>
          <w:rFonts w:ascii="Arial" w:hAnsi="Arial" w:cs="Arial"/>
          <w:i/>
          <w:iCs/>
        </w:rPr>
        <w:t>BMC Geriatrics</w:t>
      </w:r>
      <w:r w:rsidRPr="00E226D7">
        <w:rPr>
          <w:rFonts w:ascii="Arial" w:hAnsi="Arial" w:cs="Arial"/>
        </w:rPr>
        <w:t>. 2019;19(1):303. doi:10.1186/s12877-019-1329-2</w:t>
      </w:r>
    </w:p>
    <w:p w14:paraId="3AD05816" w14:textId="77777777" w:rsidR="00B60C0B" w:rsidRPr="00E226D7" w:rsidRDefault="00B60C0B" w:rsidP="00B60C0B">
      <w:pPr>
        <w:pStyle w:val="Bibliography"/>
        <w:rPr>
          <w:rFonts w:ascii="Arial" w:hAnsi="Arial" w:cs="Arial"/>
        </w:rPr>
      </w:pPr>
      <w:r w:rsidRPr="00E226D7">
        <w:rPr>
          <w:rFonts w:ascii="Arial" w:hAnsi="Arial" w:cs="Arial"/>
        </w:rPr>
        <w:t xml:space="preserve">4. </w:t>
      </w:r>
      <w:r w:rsidRPr="00E226D7">
        <w:rPr>
          <w:rFonts w:ascii="Arial" w:hAnsi="Arial" w:cs="Arial"/>
        </w:rPr>
        <w:tab/>
        <w:t xml:space="preserve">Vellas BJ, Wayne SJ, Romero LJ, Baumgartner RN, Garry PJ. Fear of falling and restriction of mobility in elderly fallers. </w:t>
      </w:r>
      <w:r w:rsidRPr="00E226D7">
        <w:rPr>
          <w:rFonts w:ascii="Arial" w:hAnsi="Arial" w:cs="Arial"/>
          <w:i/>
          <w:iCs/>
        </w:rPr>
        <w:t>Age Ageing</w:t>
      </w:r>
      <w:r w:rsidRPr="00E226D7">
        <w:rPr>
          <w:rFonts w:ascii="Arial" w:hAnsi="Arial" w:cs="Arial"/>
        </w:rPr>
        <w:t>. 1997;26(3):189-193. doi:10.1093/ageing/26.3.189</w:t>
      </w:r>
    </w:p>
    <w:p w14:paraId="65D01DC1" w14:textId="77777777" w:rsidR="00B60C0B" w:rsidRPr="00E226D7" w:rsidRDefault="00B60C0B" w:rsidP="00B60C0B">
      <w:pPr>
        <w:pStyle w:val="Bibliography"/>
        <w:rPr>
          <w:rFonts w:ascii="Arial" w:hAnsi="Arial" w:cs="Arial"/>
        </w:rPr>
      </w:pPr>
      <w:r w:rsidRPr="00E226D7">
        <w:rPr>
          <w:rFonts w:ascii="Arial" w:hAnsi="Arial" w:cs="Arial"/>
        </w:rPr>
        <w:t xml:space="preserve">5. </w:t>
      </w:r>
      <w:r w:rsidRPr="00E226D7">
        <w:rPr>
          <w:rFonts w:ascii="Arial" w:hAnsi="Arial" w:cs="Arial"/>
        </w:rPr>
        <w:tab/>
        <w:t xml:space="preserve">Stevens JA, Burns E. </w:t>
      </w:r>
      <w:r w:rsidRPr="00E226D7">
        <w:rPr>
          <w:rFonts w:ascii="Arial" w:hAnsi="Arial" w:cs="Arial"/>
          <w:i/>
          <w:iCs/>
        </w:rPr>
        <w:t>A CDC Compendium of Effective Fall Interventions: What Works for Community-Dwelling Older Adults</w:t>
      </w:r>
      <w:r w:rsidRPr="00E226D7">
        <w:rPr>
          <w:rFonts w:ascii="Arial" w:hAnsi="Arial" w:cs="Arial"/>
        </w:rPr>
        <w:t>. Centers for Disease Control and Prevention, National Center for Injury Prevention and Control; 2015:216.</w:t>
      </w:r>
    </w:p>
    <w:p w14:paraId="7C12662D" w14:textId="77777777" w:rsidR="00B60C0B" w:rsidRPr="00E226D7" w:rsidRDefault="00B60C0B" w:rsidP="00B60C0B">
      <w:pPr>
        <w:pStyle w:val="Bibliography"/>
        <w:rPr>
          <w:rFonts w:ascii="Arial" w:hAnsi="Arial" w:cs="Arial"/>
        </w:rPr>
      </w:pPr>
      <w:r w:rsidRPr="00E226D7">
        <w:rPr>
          <w:rFonts w:ascii="Arial" w:hAnsi="Arial" w:cs="Arial"/>
        </w:rPr>
        <w:t xml:space="preserve">6. </w:t>
      </w:r>
      <w:r w:rsidRPr="00E226D7">
        <w:rPr>
          <w:rFonts w:ascii="Arial" w:hAnsi="Arial" w:cs="Arial"/>
        </w:rPr>
        <w:tab/>
        <w:t>Public Health Infrastructure. Healthy People 2030. Accessed January 25, 2022. https://health.gov/healthypeople/objectives-and-data/browse-objectives/public-health-infrastructure</w:t>
      </w:r>
    </w:p>
    <w:p w14:paraId="68E6D038" w14:textId="77777777" w:rsidR="00B60C0B" w:rsidRPr="00E226D7" w:rsidRDefault="00B60C0B" w:rsidP="00B60C0B">
      <w:pPr>
        <w:pStyle w:val="Bibliography"/>
        <w:rPr>
          <w:rFonts w:ascii="Arial" w:hAnsi="Arial" w:cs="Arial"/>
        </w:rPr>
      </w:pPr>
      <w:r w:rsidRPr="00E226D7">
        <w:rPr>
          <w:rFonts w:ascii="Arial" w:hAnsi="Arial" w:cs="Arial"/>
        </w:rPr>
        <w:t xml:space="preserve">7. </w:t>
      </w:r>
      <w:r w:rsidRPr="00E226D7">
        <w:rPr>
          <w:rFonts w:ascii="Arial" w:hAnsi="Arial" w:cs="Arial"/>
        </w:rPr>
        <w:tab/>
        <w:t>Centers for Disease Control and Prevention, National Center for Injury Prevention and Control. Web-basd Injury Statistics Query and Reporting System (WISQARS). Published May 18, 2022. Accessed July 2, 2020. https://www.cdc.gov/injury/wisqars/index.html</w:t>
      </w:r>
    </w:p>
    <w:p w14:paraId="79CEE88E" w14:textId="77777777" w:rsidR="00B60C0B" w:rsidRPr="00E226D7" w:rsidRDefault="00B60C0B" w:rsidP="00B60C0B">
      <w:pPr>
        <w:pStyle w:val="Bibliography"/>
        <w:rPr>
          <w:rFonts w:ascii="Arial" w:hAnsi="Arial" w:cs="Arial"/>
        </w:rPr>
      </w:pPr>
      <w:r w:rsidRPr="00E226D7">
        <w:rPr>
          <w:rFonts w:ascii="Arial" w:hAnsi="Arial" w:cs="Arial"/>
        </w:rPr>
        <w:t xml:space="preserve">8. </w:t>
      </w:r>
      <w:r w:rsidRPr="00E226D7">
        <w:rPr>
          <w:rFonts w:ascii="Arial" w:hAnsi="Arial" w:cs="Arial"/>
        </w:rPr>
        <w:tab/>
        <w:t>Registry of Vital Records and Statistics, Massachusetts Department of Public Health. 2020 Death File.</w:t>
      </w:r>
    </w:p>
    <w:p w14:paraId="11BC853A" w14:textId="77777777" w:rsidR="00B60C0B" w:rsidRPr="00E226D7" w:rsidRDefault="00B60C0B" w:rsidP="00B60C0B">
      <w:pPr>
        <w:pStyle w:val="Bibliography"/>
        <w:rPr>
          <w:rFonts w:ascii="Arial" w:hAnsi="Arial" w:cs="Arial"/>
        </w:rPr>
      </w:pPr>
      <w:r w:rsidRPr="00E226D7">
        <w:rPr>
          <w:rFonts w:ascii="Arial" w:hAnsi="Arial" w:cs="Arial"/>
        </w:rPr>
        <w:t xml:space="preserve">9. </w:t>
      </w:r>
      <w:r w:rsidRPr="00E226D7">
        <w:rPr>
          <w:rFonts w:ascii="Arial" w:hAnsi="Arial" w:cs="Arial"/>
        </w:rPr>
        <w:tab/>
        <w:t>Center for Health Information and Analysis. Case Mix Data. Accessed February 16, 2022. https://www.chiamass.gov/case-mix-data/</w:t>
      </w:r>
    </w:p>
    <w:p w14:paraId="084FBC71" w14:textId="77777777" w:rsidR="00B60C0B" w:rsidRPr="00E226D7" w:rsidRDefault="00B60C0B" w:rsidP="00B60C0B">
      <w:pPr>
        <w:pStyle w:val="Bibliography"/>
        <w:rPr>
          <w:rFonts w:ascii="Arial" w:hAnsi="Arial" w:cs="Arial"/>
        </w:rPr>
      </w:pPr>
      <w:r w:rsidRPr="00E226D7">
        <w:rPr>
          <w:rFonts w:ascii="Arial" w:hAnsi="Arial" w:cs="Arial"/>
        </w:rPr>
        <w:t xml:space="preserve">10. </w:t>
      </w:r>
      <w:r w:rsidRPr="00E226D7">
        <w:rPr>
          <w:rFonts w:ascii="Arial" w:hAnsi="Arial" w:cs="Arial"/>
        </w:rPr>
        <w:tab/>
        <w:t>Massachusetts Population Projections. UMass Donahue Institute. Accessed March 7, 2022. http://www.pep.donahue-institute.org/#</w:t>
      </w:r>
    </w:p>
    <w:p w14:paraId="75FD01A1" w14:textId="77777777" w:rsidR="00B60C0B" w:rsidRPr="00E226D7" w:rsidRDefault="00B60C0B" w:rsidP="00B60C0B">
      <w:pPr>
        <w:pStyle w:val="Bibliography"/>
        <w:rPr>
          <w:rFonts w:ascii="Arial" w:hAnsi="Arial" w:cs="Arial"/>
        </w:rPr>
      </w:pPr>
      <w:r w:rsidRPr="00E226D7">
        <w:rPr>
          <w:rFonts w:ascii="Arial" w:hAnsi="Arial" w:cs="Arial"/>
        </w:rPr>
        <w:t xml:space="preserve">11. </w:t>
      </w:r>
      <w:r w:rsidRPr="00E226D7">
        <w:rPr>
          <w:rFonts w:ascii="Arial" w:hAnsi="Arial" w:cs="Arial"/>
        </w:rPr>
        <w:tab/>
        <w:t>U.S. Census Bureau. 2019: American Community Survey 1-Year Estimates Detailed Tables, Table S0101: Age and Sex. Accessed December 3, 2021. https://data.census.gov/cedsci/table?g=0400000US25&amp;tid=ACSST1Y2019.S0101</w:t>
      </w:r>
    </w:p>
    <w:p w14:paraId="063481BE" w14:textId="77777777" w:rsidR="00B60C0B" w:rsidRPr="00E226D7" w:rsidRDefault="00B60C0B" w:rsidP="00B60C0B">
      <w:pPr>
        <w:pStyle w:val="Bibliography"/>
        <w:rPr>
          <w:rFonts w:ascii="Arial" w:hAnsi="Arial" w:cs="Arial"/>
        </w:rPr>
      </w:pPr>
      <w:r w:rsidRPr="00E226D7">
        <w:rPr>
          <w:rFonts w:ascii="Arial" w:hAnsi="Arial" w:cs="Arial"/>
        </w:rPr>
        <w:t xml:space="preserve">12. </w:t>
      </w:r>
      <w:r w:rsidRPr="00E226D7">
        <w:rPr>
          <w:rFonts w:ascii="Arial" w:hAnsi="Arial" w:cs="Arial"/>
        </w:rPr>
        <w:tab/>
        <w:t xml:space="preserve">Massachusetts Commission on Falls Prevention. </w:t>
      </w:r>
      <w:r w:rsidRPr="00E226D7">
        <w:rPr>
          <w:rFonts w:ascii="Arial" w:hAnsi="Arial" w:cs="Arial"/>
          <w:i/>
          <w:iCs/>
        </w:rPr>
        <w:t xml:space="preserve">Massachusetts Commission on Falls Prevention Phase 3 Report: Improving Integration of Falls Risk Assessment </w:t>
      </w:r>
      <w:r w:rsidRPr="00E226D7">
        <w:rPr>
          <w:rFonts w:ascii="Arial" w:hAnsi="Arial" w:cs="Arial"/>
          <w:i/>
          <w:iCs/>
        </w:rPr>
        <w:lastRenderedPageBreak/>
        <w:t>and Referral in Health Care Practices</w:t>
      </w:r>
      <w:r w:rsidRPr="00E226D7">
        <w:rPr>
          <w:rFonts w:ascii="Arial" w:hAnsi="Arial" w:cs="Arial"/>
        </w:rPr>
        <w:t>. Massachusetts Department of Public Health; 2020. Accessed January 23, 2022. https://www.mass.gov/doc/phase-3-report-improving-integration-of-falls-risk-assessment-and-referral-in-health-care-0/download</w:t>
      </w:r>
    </w:p>
    <w:p w14:paraId="2761FA11" w14:textId="77777777" w:rsidR="00B60C0B" w:rsidRPr="00E226D7" w:rsidRDefault="00B60C0B" w:rsidP="00B60C0B">
      <w:pPr>
        <w:pStyle w:val="Bibliography"/>
        <w:rPr>
          <w:rFonts w:ascii="Arial" w:hAnsi="Arial" w:cs="Arial"/>
        </w:rPr>
      </w:pPr>
      <w:r w:rsidRPr="00E226D7">
        <w:rPr>
          <w:rFonts w:ascii="Arial" w:hAnsi="Arial" w:cs="Arial"/>
        </w:rPr>
        <w:t xml:space="preserve">13. </w:t>
      </w:r>
      <w:r w:rsidRPr="00E226D7">
        <w:rPr>
          <w:rFonts w:ascii="Arial" w:hAnsi="Arial" w:cs="Arial"/>
        </w:rPr>
        <w:tab/>
        <w:t>ACL Investing $150 Million to Expand the Public Health Workforce to Respond to the Needs of People with Disabilities and Older Adults | ACL Administration for Community Living. Accessed March 7, 2022. https://acl.gov/news-and-events/announcements/acl-investing-150-million-expand-public-health-workforce-respond</w:t>
      </w:r>
    </w:p>
    <w:p w14:paraId="74C31FCF" w14:textId="77777777" w:rsidR="00B60C0B" w:rsidRPr="00E226D7" w:rsidRDefault="00B60C0B" w:rsidP="00B60C0B">
      <w:pPr>
        <w:pStyle w:val="Bibliography"/>
        <w:rPr>
          <w:rFonts w:ascii="Arial" w:hAnsi="Arial" w:cs="Arial"/>
        </w:rPr>
      </w:pPr>
      <w:r w:rsidRPr="00E226D7">
        <w:rPr>
          <w:rFonts w:ascii="Arial" w:hAnsi="Arial" w:cs="Arial"/>
        </w:rPr>
        <w:t xml:space="preserve">14. </w:t>
      </w:r>
      <w:r w:rsidRPr="00E226D7">
        <w:rPr>
          <w:rFonts w:ascii="Arial" w:hAnsi="Arial" w:cs="Arial"/>
        </w:rPr>
        <w:tab/>
        <w:t>President Biden’s Bipartisan Infrastructure Law. The White House. Accessed March 7, 2022. https://www.whitehouse.gov/bipartisan-infrastructure-law/</w:t>
      </w:r>
    </w:p>
    <w:p w14:paraId="7CA84CE5" w14:textId="77777777" w:rsidR="00B60C0B" w:rsidRPr="00E226D7" w:rsidRDefault="00B60C0B" w:rsidP="00B60C0B">
      <w:pPr>
        <w:pStyle w:val="Bibliography"/>
        <w:rPr>
          <w:rFonts w:ascii="Arial" w:hAnsi="Arial" w:cs="Arial"/>
        </w:rPr>
      </w:pPr>
      <w:r w:rsidRPr="00E226D7">
        <w:rPr>
          <w:rFonts w:ascii="Arial" w:hAnsi="Arial" w:cs="Arial"/>
        </w:rPr>
        <w:t xml:space="preserve">15. </w:t>
      </w:r>
      <w:r w:rsidRPr="00E226D7">
        <w:rPr>
          <w:rFonts w:ascii="Arial" w:hAnsi="Arial" w:cs="Arial"/>
        </w:rPr>
        <w:tab/>
        <w:t>Governor Baker Signs $4 Billion Federal COVID-19 Relief Funding Spending Bill. Mass.gov. Accessed March 7, 2022. https://www.mass.gov/news/governor-baker-signs-4-billion-federal-covid-19-relief-funding-spending-bill</w:t>
      </w:r>
    </w:p>
    <w:p w14:paraId="5F9AE167" w14:textId="77777777" w:rsidR="00B60C0B" w:rsidRPr="00E226D7" w:rsidRDefault="00B60C0B" w:rsidP="00B60C0B">
      <w:pPr>
        <w:pStyle w:val="Bibliography"/>
        <w:rPr>
          <w:rFonts w:ascii="Arial" w:hAnsi="Arial" w:cs="Arial"/>
        </w:rPr>
      </w:pPr>
      <w:r w:rsidRPr="00E226D7">
        <w:rPr>
          <w:rFonts w:ascii="Arial" w:hAnsi="Arial" w:cs="Arial"/>
        </w:rPr>
        <w:t xml:space="preserve">16. </w:t>
      </w:r>
      <w:r w:rsidRPr="00E226D7">
        <w:rPr>
          <w:rFonts w:ascii="Arial" w:hAnsi="Arial" w:cs="Arial"/>
        </w:rPr>
        <w:tab/>
        <w:t xml:space="preserve">Gagen TM, Bulzacchelli MT. Improving Local Service Delivery to Prevent Falls in Community-Dwelling Older Adults: Translating Research to Practice. </w:t>
      </w:r>
      <w:r w:rsidRPr="00E226D7">
        <w:rPr>
          <w:rFonts w:ascii="Arial" w:hAnsi="Arial" w:cs="Arial"/>
          <w:i/>
          <w:iCs/>
        </w:rPr>
        <w:t>The Gerontologist</w:t>
      </w:r>
      <w:r w:rsidRPr="00E226D7">
        <w:rPr>
          <w:rFonts w:ascii="Arial" w:hAnsi="Arial" w:cs="Arial"/>
        </w:rPr>
        <w:t>. 2021;61(6):819-825. doi:10.1093/geront/gnaa121</w:t>
      </w:r>
    </w:p>
    <w:p w14:paraId="53C62221" w14:textId="77777777" w:rsidR="00B60C0B" w:rsidRPr="00E226D7" w:rsidRDefault="00B60C0B" w:rsidP="00B60C0B">
      <w:pPr>
        <w:pStyle w:val="Bibliography"/>
        <w:rPr>
          <w:rFonts w:ascii="Arial" w:hAnsi="Arial" w:cs="Arial"/>
        </w:rPr>
      </w:pPr>
      <w:r w:rsidRPr="00E226D7">
        <w:rPr>
          <w:rFonts w:ascii="Arial" w:hAnsi="Arial" w:cs="Arial"/>
        </w:rPr>
        <w:t xml:space="preserve">17. </w:t>
      </w:r>
      <w:r w:rsidRPr="00E226D7">
        <w:rPr>
          <w:rFonts w:ascii="Arial" w:hAnsi="Arial" w:cs="Arial"/>
        </w:rPr>
        <w:tab/>
        <w:t xml:space="preserve">Special Commission on Local and Regional Public Health. </w:t>
      </w:r>
      <w:r w:rsidRPr="00E226D7">
        <w:rPr>
          <w:rFonts w:ascii="Arial" w:hAnsi="Arial" w:cs="Arial"/>
          <w:i/>
          <w:iCs/>
        </w:rPr>
        <w:t>Blueprint for Public Health Excellence: Recommendations for Improved Effectiveness and Efficiency of Local Public Health Protections</w:t>
      </w:r>
      <w:r w:rsidRPr="00E226D7">
        <w:rPr>
          <w:rFonts w:ascii="Arial" w:hAnsi="Arial" w:cs="Arial"/>
        </w:rPr>
        <w:t>.; 2019.</w:t>
      </w:r>
    </w:p>
    <w:p w14:paraId="73183389" w14:textId="77777777" w:rsidR="00B60C0B" w:rsidRPr="00E226D7" w:rsidRDefault="00B60C0B" w:rsidP="00B60C0B">
      <w:pPr>
        <w:pStyle w:val="Bibliography"/>
        <w:rPr>
          <w:rFonts w:ascii="Arial" w:hAnsi="Arial" w:cs="Arial"/>
        </w:rPr>
      </w:pPr>
      <w:r w:rsidRPr="00E226D7">
        <w:rPr>
          <w:rFonts w:ascii="Arial" w:hAnsi="Arial" w:cs="Arial"/>
        </w:rPr>
        <w:t xml:space="preserve">18. </w:t>
      </w:r>
      <w:r w:rsidRPr="00E226D7">
        <w:rPr>
          <w:rFonts w:ascii="Arial" w:hAnsi="Arial" w:cs="Arial"/>
        </w:rPr>
        <w:tab/>
        <w:t>Public health shared services. Mass.gov. Accessed February 18, 2022. https://www.mass.gov/service-details/public-health-shared-services</w:t>
      </w:r>
    </w:p>
    <w:p w14:paraId="027E1006" w14:textId="77777777" w:rsidR="00B60C0B" w:rsidRPr="00E226D7" w:rsidRDefault="00B60C0B" w:rsidP="00B60C0B">
      <w:pPr>
        <w:pStyle w:val="Bibliography"/>
        <w:rPr>
          <w:rFonts w:ascii="Arial" w:hAnsi="Arial" w:cs="Arial"/>
        </w:rPr>
      </w:pPr>
      <w:r w:rsidRPr="00E226D7">
        <w:rPr>
          <w:rFonts w:ascii="Arial" w:hAnsi="Arial" w:cs="Arial"/>
        </w:rPr>
        <w:t xml:space="preserve">19. </w:t>
      </w:r>
      <w:r w:rsidRPr="00E226D7">
        <w:rPr>
          <w:rFonts w:ascii="Arial" w:hAnsi="Arial" w:cs="Arial"/>
        </w:rPr>
        <w:tab/>
        <w:t>State Action for Public Health Excellence (SAPHE) Program. Mass.gov. Accessed March 16, 2022. https://www.mass.gov/info-details/state-action-for-public-health-excellence-saphe-program</w:t>
      </w:r>
    </w:p>
    <w:p w14:paraId="39397665" w14:textId="77777777" w:rsidR="00B60C0B" w:rsidRPr="00E226D7" w:rsidRDefault="00B60C0B" w:rsidP="00B60C0B">
      <w:pPr>
        <w:pStyle w:val="Bibliography"/>
        <w:rPr>
          <w:rFonts w:ascii="Arial" w:hAnsi="Arial" w:cs="Arial"/>
        </w:rPr>
      </w:pPr>
      <w:r w:rsidRPr="00E226D7">
        <w:rPr>
          <w:rFonts w:ascii="Arial" w:hAnsi="Arial" w:cs="Arial"/>
        </w:rPr>
        <w:t xml:space="preserve">20. </w:t>
      </w:r>
      <w:r w:rsidRPr="00E226D7">
        <w:rPr>
          <w:rFonts w:ascii="Arial" w:hAnsi="Arial" w:cs="Arial"/>
        </w:rPr>
        <w:tab/>
      </w:r>
      <w:r w:rsidRPr="00E226D7">
        <w:rPr>
          <w:rFonts w:ascii="Arial" w:hAnsi="Arial" w:cs="Arial"/>
          <w:i/>
          <w:iCs/>
        </w:rPr>
        <w:t>105 Mass. Code Regs. 173.060 (2021)</w:t>
      </w:r>
      <w:r w:rsidRPr="00E226D7">
        <w:rPr>
          <w:rFonts w:ascii="Arial" w:hAnsi="Arial" w:cs="Arial"/>
        </w:rPr>
        <w:t>.</w:t>
      </w:r>
    </w:p>
    <w:p w14:paraId="6C7FCDB8" w14:textId="77777777" w:rsidR="00B60C0B" w:rsidRPr="00E226D7" w:rsidRDefault="00B60C0B" w:rsidP="00B60C0B">
      <w:pPr>
        <w:pStyle w:val="Bibliography"/>
        <w:rPr>
          <w:rFonts w:ascii="Arial" w:hAnsi="Arial" w:cs="Arial"/>
        </w:rPr>
      </w:pPr>
      <w:r w:rsidRPr="00E226D7">
        <w:rPr>
          <w:rFonts w:ascii="Arial" w:hAnsi="Arial" w:cs="Arial"/>
        </w:rPr>
        <w:t xml:space="preserve">21. </w:t>
      </w:r>
      <w:r w:rsidRPr="00E226D7">
        <w:rPr>
          <w:rFonts w:ascii="Arial" w:hAnsi="Arial" w:cs="Arial"/>
        </w:rPr>
        <w:tab/>
        <w:t xml:space="preserve">Taube S, Lispon R. </w:t>
      </w:r>
      <w:r w:rsidRPr="00E226D7">
        <w:rPr>
          <w:rFonts w:ascii="Arial" w:hAnsi="Arial" w:cs="Arial"/>
          <w:i/>
          <w:iCs/>
        </w:rPr>
        <w:t>COVID-19 and the Changing Massachusetts Healthcare Workforce</w:t>
      </w:r>
      <w:r w:rsidRPr="00E226D7">
        <w:rPr>
          <w:rFonts w:ascii="Arial" w:hAnsi="Arial" w:cs="Arial"/>
        </w:rPr>
        <w:t>. Havard Kennedy School; 2021.</w:t>
      </w:r>
    </w:p>
    <w:p w14:paraId="7E03F231" w14:textId="77777777" w:rsidR="00B60C0B" w:rsidRPr="00E226D7" w:rsidRDefault="00B60C0B" w:rsidP="00B60C0B">
      <w:pPr>
        <w:pStyle w:val="Bibliography"/>
        <w:rPr>
          <w:rFonts w:ascii="Arial" w:hAnsi="Arial" w:cs="Arial"/>
        </w:rPr>
      </w:pPr>
      <w:r w:rsidRPr="00E226D7">
        <w:rPr>
          <w:rFonts w:ascii="Arial" w:hAnsi="Arial" w:cs="Arial"/>
        </w:rPr>
        <w:t xml:space="preserve">22. </w:t>
      </w:r>
      <w:r w:rsidRPr="00E226D7">
        <w:rPr>
          <w:rFonts w:ascii="Arial" w:hAnsi="Arial" w:cs="Arial"/>
        </w:rPr>
        <w:tab/>
        <w:t xml:space="preserve">Betsy Lehman Center for Patient Safety. </w:t>
      </w:r>
      <w:r w:rsidRPr="00E226D7">
        <w:rPr>
          <w:rFonts w:ascii="Arial" w:hAnsi="Arial" w:cs="Arial"/>
          <w:i/>
          <w:iCs/>
        </w:rPr>
        <w:t>The Impact of COVID-19 on Home Health and Home Care in Massachusetts</w:t>
      </w:r>
      <w:r w:rsidRPr="00E226D7">
        <w:rPr>
          <w:rFonts w:ascii="Arial" w:hAnsi="Arial" w:cs="Arial"/>
        </w:rPr>
        <w:t>.; 2020. Accessed January 25, 2022. https://betsylehmancenterma.gov/assets/uploads/HomeCare_Report.pdf</w:t>
      </w:r>
    </w:p>
    <w:p w14:paraId="786F46CC" w14:textId="77777777" w:rsidR="00B60C0B" w:rsidRPr="00E226D7" w:rsidRDefault="00B60C0B" w:rsidP="00B60C0B">
      <w:pPr>
        <w:pStyle w:val="Bibliography"/>
        <w:rPr>
          <w:rFonts w:ascii="Arial" w:hAnsi="Arial" w:cs="Arial"/>
        </w:rPr>
      </w:pPr>
      <w:r w:rsidRPr="00E226D7">
        <w:rPr>
          <w:rFonts w:ascii="Arial" w:hAnsi="Arial" w:cs="Arial"/>
        </w:rPr>
        <w:t xml:space="preserve">23. </w:t>
      </w:r>
      <w:r w:rsidRPr="00E226D7">
        <w:rPr>
          <w:rFonts w:ascii="Arial" w:hAnsi="Arial" w:cs="Arial"/>
        </w:rPr>
        <w:tab/>
        <w:t xml:space="preserve">Gillespie LD, Robertson MC, Gillespie WJ, et al. Interventions for preventing falls in older people living in the community. </w:t>
      </w:r>
      <w:r w:rsidRPr="00E226D7">
        <w:rPr>
          <w:rFonts w:ascii="Arial" w:hAnsi="Arial" w:cs="Arial"/>
          <w:i/>
          <w:iCs/>
        </w:rPr>
        <w:t>Cochrane Database of Systematic Reviews</w:t>
      </w:r>
      <w:r w:rsidRPr="00E226D7">
        <w:rPr>
          <w:rFonts w:ascii="Arial" w:hAnsi="Arial" w:cs="Arial"/>
        </w:rPr>
        <w:t>. 2012;(9). doi:10.1002/14651858.CD007146.pub3</w:t>
      </w:r>
    </w:p>
    <w:p w14:paraId="5FFBE9D5" w14:textId="77777777" w:rsidR="00B60C0B" w:rsidRPr="00E226D7" w:rsidRDefault="00B60C0B" w:rsidP="00B60C0B">
      <w:pPr>
        <w:pStyle w:val="Bibliography"/>
        <w:rPr>
          <w:rFonts w:ascii="Arial" w:hAnsi="Arial" w:cs="Arial"/>
        </w:rPr>
      </w:pPr>
      <w:r w:rsidRPr="00E226D7">
        <w:rPr>
          <w:rFonts w:ascii="Arial" w:hAnsi="Arial" w:cs="Arial"/>
        </w:rPr>
        <w:lastRenderedPageBreak/>
        <w:t xml:space="preserve">24. </w:t>
      </w:r>
      <w:r w:rsidRPr="00E226D7">
        <w:rPr>
          <w:rFonts w:ascii="Arial" w:hAnsi="Arial" w:cs="Arial"/>
        </w:rPr>
        <w:tab/>
        <w:t xml:space="preserve">Pighills AC, Torgerson DJ, Sheldon TA, Drummond AE, Bland JM. Environmental Assessment and Modification to Prevent Falls in Older People. </w:t>
      </w:r>
      <w:r w:rsidRPr="00E226D7">
        <w:rPr>
          <w:rFonts w:ascii="Arial" w:hAnsi="Arial" w:cs="Arial"/>
          <w:i/>
          <w:iCs/>
        </w:rPr>
        <w:t>Journal of the American Geriatrics Society</w:t>
      </w:r>
      <w:r w:rsidRPr="00E226D7">
        <w:rPr>
          <w:rFonts w:ascii="Arial" w:hAnsi="Arial" w:cs="Arial"/>
        </w:rPr>
        <w:t>. 2011;59(1):26-33. doi:10.1111/j.1532-5415.2010.03221.x</w:t>
      </w:r>
    </w:p>
    <w:p w14:paraId="5E46759B" w14:textId="77777777" w:rsidR="00B60C0B" w:rsidRPr="00E226D7" w:rsidRDefault="00B60C0B" w:rsidP="00B60C0B">
      <w:pPr>
        <w:pStyle w:val="Bibliography"/>
        <w:rPr>
          <w:rFonts w:ascii="Arial" w:hAnsi="Arial" w:cs="Arial"/>
        </w:rPr>
      </w:pPr>
      <w:r w:rsidRPr="00E226D7">
        <w:rPr>
          <w:rFonts w:ascii="Arial" w:hAnsi="Arial" w:cs="Arial"/>
        </w:rPr>
        <w:t xml:space="preserve">25. </w:t>
      </w:r>
      <w:r w:rsidRPr="00E226D7">
        <w:rPr>
          <w:rFonts w:ascii="Arial" w:hAnsi="Arial" w:cs="Arial"/>
        </w:rPr>
        <w:tab/>
        <w:t xml:space="preserve">Jutkowitz E, Gitlin LN, Pizzi LT, Lee E, Dennis MP. Cost Effectiveness of a Home-Based Intervention That Helps Functionally Vulnerable Older Adults Age in Place at Home. </w:t>
      </w:r>
      <w:r w:rsidRPr="00E226D7">
        <w:rPr>
          <w:rFonts w:ascii="Arial" w:hAnsi="Arial" w:cs="Arial"/>
          <w:i/>
          <w:iCs/>
        </w:rPr>
        <w:t>J Aging Res</w:t>
      </w:r>
      <w:r w:rsidRPr="00E226D7">
        <w:rPr>
          <w:rFonts w:ascii="Arial" w:hAnsi="Arial" w:cs="Arial"/>
        </w:rPr>
        <w:t>. 2012;2012:680265. doi:10.1155/2012/680265</w:t>
      </w:r>
    </w:p>
    <w:p w14:paraId="501AA45B" w14:textId="77777777" w:rsidR="00B60C0B" w:rsidRPr="00E226D7" w:rsidRDefault="00B60C0B" w:rsidP="00B60C0B">
      <w:pPr>
        <w:pStyle w:val="Bibliography"/>
        <w:rPr>
          <w:rFonts w:ascii="Arial" w:hAnsi="Arial" w:cs="Arial"/>
        </w:rPr>
      </w:pPr>
      <w:r w:rsidRPr="00E226D7">
        <w:rPr>
          <w:rFonts w:ascii="Arial" w:hAnsi="Arial" w:cs="Arial"/>
        </w:rPr>
        <w:t xml:space="preserve">26. </w:t>
      </w:r>
      <w:r w:rsidRPr="00E226D7">
        <w:rPr>
          <w:rFonts w:ascii="Arial" w:hAnsi="Arial" w:cs="Arial"/>
        </w:rPr>
        <w:tab/>
        <w:t xml:space="preserve">Chippendale T, Boltz M. The Neighborhood Environment: Perceived Fall Risk, Resources, and Strategies for Fall Prevention. </w:t>
      </w:r>
      <w:r w:rsidRPr="00E226D7">
        <w:rPr>
          <w:rFonts w:ascii="Arial" w:hAnsi="Arial" w:cs="Arial"/>
          <w:i/>
          <w:iCs/>
        </w:rPr>
        <w:t>The Gerontologist</w:t>
      </w:r>
      <w:r w:rsidRPr="00E226D7">
        <w:rPr>
          <w:rFonts w:ascii="Arial" w:hAnsi="Arial" w:cs="Arial"/>
        </w:rPr>
        <w:t>. 2015;55(4):575-583. doi:10.1093/geront/gnu019</w:t>
      </w:r>
    </w:p>
    <w:p w14:paraId="29202A3A" w14:textId="77777777" w:rsidR="00B60C0B" w:rsidRPr="00E226D7" w:rsidRDefault="00B60C0B" w:rsidP="00B60C0B">
      <w:pPr>
        <w:pStyle w:val="Bibliography"/>
        <w:rPr>
          <w:rFonts w:ascii="Arial" w:hAnsi="Arial" w:cs="Arial"/>
        </w:rPr>
      </w:pPr>
      <w:r w:rsidRPr="00E226D7">
        <w:rPr>
          <w:rFonts w:ascii="Arial" w:hAnsi="Arial" w:cs="Arial"/>
        </w:rPr>
        <w:t xml:space="preserve">27. </w:t>
      </w:r>
      <w:r w:rsidRPr="00E226D7">
        <w:rPr>
          <w:rFonts w:ascii="Arial" w:hAnsi="Arial" w:cs="Arial"/>
        </w:rPr>
        <w:tab/>
        <w:t xml:space="preserve">Rosenberg DE, Huang DL, Simonovich SD, Belza B. Outdoor built environment barriers and facilitators to activity among midlife and older adults with mobility disabilities. </w:t>
      </w:r>
      <w:r w:rsidRPr="00E226D7">
        <w:rPr>
          <w:rFonts w:ascii="Arial" w:hAnsi="Arial" w:cs="Arial"/>
          <w:i/>
          <w:iCs/>
        </w:rPr>
        <w:t>Gerontologist</w:t>
      </w:r>
      <w:r w:rsidRPr="00E226D7">
        <w:rPr>
          <w:rFonts w:ascii="Arial" w:hAnsi="Arial" w:cs="Arial"/>
        </w:rPr>
        <w:t>. 2013;53(2):268-279. doi:10.1093/geront/gns119</w:t>
      </w:r>
    </w:p>
    <w:p w14:paraId="5200AD83" w14:textId="77777777" w:rsidR="00B60C0B" w:rsidRPr="00E226D7" w:rsidRDefault="00B60C0B" w:rsidP="00B60C0B">
      <w:pPr>
        <w:pStyle w:val="Bibliography"/>
        <w:rPr>
          <w:rFonts w:ascii="Arial" w:hAnsi="Arial" w:cs="Arial"/>
        </w:rPr>
      </w:pPr>
      <w:r w:rsidRPr="00E226D7">
        <w:rPr>
          <w:rFonts w:ascii="Arial" w:hAnsi="Arial" w:cs="Arial"/>
        </w:rPr>
        <w:t xml:space="preserve">28. </w:t>
      </w:r>
      <w:r w:rsidRPr="00E226D7">
        <w:rPr>
          <w:rFonts w:ascii="Arial" w:hAnsi="Arial" w:cs="Arial"/>
        </w:rPr>
        <w:tab/>
        <w:t xml:space="preserve">Kronenberg K. </w:t>
      </w:r>
      <w:r w:rsidRPr="00E226D7">
        <w:rPr>
          <w:rFonts w:ascii="Arial" w:hAnsi="Arial" w:cs="Arial"/>
          <w:i/>
          <w:iCs/>
        </w:rPr>
        <w:t>Massachusetts Commission on Falls Prevention Phase 1 Report: The Current Landscape</w:t>
      </w:r>
      <w:r w:rsidRPr="00E226D7">
        <w:rPr>
          <w:rFonts w:ascii="Arial" w:hAnsi="Arial" w:cs="Arial"/>
        </w:rPr>
        <w:t>. Massachusetts Department of Public Health; 2013:46. Accessed October 25, 2021. https://www.mass.gov/doc/phase-1-report-the-current-landscape-2013/download</w:t>
      </w:r>
    </w:p>
    <w:p w14:paraId="7F0D6E80" w14:textId="77777777" w:rsidR="00B60C0B" w:rsidRPr="00E226D7" w:rsidRDefault="00B60C0B" w:rsidP="00B60C0B">
      <w:pPr>
        <w:pStyle w:val="Bibliography"/>
        <w:rPr>
          <w:rFonts w:ascii="Arial" w:hAnsi="Arial" w:cs="Arial"/>
        </w:rPr>
      </w:pPr>
      <w:r w:rsidRPr="00E226D7">
        <w:rPr>
          <w:rFonts w:ascii="Arial" w:hAnsi="Arial" w:cs="Arial"/>
        </w:rPr>
        <w:t xml:space="preserve">29. </w:t>
      </w:r>
      <w:r w:rsidRPr="00E226D7">
        <w:rPr>
          <w:rFonts w:ascii="Arial" w:hAnsi="Arial" w:cs="Arial"/>
        </w:rPr>
        <w:tab/>
        <w:t xml:space="preserve">Guyer B, Berenholz G, Gallagher SS. Injury surveillance using hospital discharge abstracts coded by external cause of injury (E code). </w:t>
      </w:r>
      <w:r w:rsidRPr="00E226D7">
        <w:rPr>
          <w:rFonts w:ascii="Arial" w:hAnsi="Arial" w:cs="Arial"/>
          <w:i/>
          <w:iCs/>
        </w:rPr>
        <w:t>J Trauma</w:t>
      </w:r>
      <w:r w:rsidRPr="00E226D7">
        <w:rPr>
          <w:rFonts w:ascii="Arial" w:hAnsi="Arial" w:cs="Arial"/>
        </w:rPr>
        <w:t>. 1990;30(4):470-473.</w:t>
      </w:r>
    </w:p>
    <w:p w14:paraId="415524A1" w14:textId="77777777" w:rsidR="00B60C0B" w:rsidRPr="00E226D7" w:rsidRDefault="00B60C0B" w:rsidP="00B60C0B">
      <w:pPr>
        <w:pStyle w:val="Bibliography"/>
        <w:rPr>
          <w:rFonts w:ascii="Arial" w:hAnsi="Arial" w:cs="Arial"/>
        </w:rPr>
      </w:pPr>
      <w:r w:rsidRPr="00E226D7">
        <w:rPr>
          <w:rFonts w:ascii="Arial" w:hAnsi="Arial" w:cs="Arial"/>
        </w:rPr>
        <w:t xml:space="preserve">30. </w:t>
      </w:r>
      <w:r w:rsidRPr="00E226D7">
        <w:rPr>
          <w:rFonts w:ascii="Arial" w:hAnsi="Arial" w:cs="Arial"/>
        </w:rPr>
        <w:tab/>
        <w:t xml:space="preserve">LeMier M, Cummings P, West TA. Accuracy of external cause of injury codes reported in Washington State hospital discharge records. </w:t>
      </w:r>
      <w:r w:rsidRPr="00E226D7">
        <w:rPr>
          <w:rFonts w:ascii="Arial" w:hAnsi="Arial" w:cs="Arial"/>
          <w:i/>
          <w:iCs/>
        </w:rPr>
        <w:t>Inj Prev</w:t>
      </w:r>
      <w:r w:rsidRPr="00E226D7">
        <w:rPr>
          <w:rFonts w:ascii="Arial" w:hAnsi="Arial" w:cs="Arial"/>
        </w:rPr>
        <w:t>. 2001;7(4):334-338. doi:10.1136/ip.7.4.334</w:t>
      </w:r>
    </w:p>
    <w:p w14:paraId="7A6AFF57" w14:textId="77777777" w:rsidR="00B60C0B" w:rsidRPr="00E226D7" w:rsidRDefault="00B60C0B" w:rsidP="00B60C0B">
      <w:pPr>
        <w:pStyle w:val="Bibliography"/>
        <w:rPr>
          <w:rFonts w:ascii="Arial" w:hAnsi="Arial" w:cs="Arial"/>
        </w:rPr>
      </w:pPr>
      <w:r w:rsidRPr="00E226D7">
        <w:rPr>
          <w:rFonts w:ascii="Arial" w:hAnsi="Arial" w:cs="Arial"/>
        </w:rPr>
        <w:t xml:space="preserve">31. </w:t>
      </w:r>
      <w:r w:rsidRPr="00E226D7">
        <w:rPr>
          <w:rFonts w:ascii="Arial" w:hAnsi="Arial" w:cs="Arial"/>
        </w:rPr>
        <w:tab/>
        <w:t xml:space="preserve">Ferguson RW, Shields W, Cookson M, Gielen AC. Utilizing E-coded data for nonfatal injury surveillance in the pediatric emergency department setting: a literature review and recommendations. </w:t>
      </w:r>
      <w:r w:rsidRPr="00E226D7">
        <w:rPr>
          <w:rFonts w:ascii="Arial" w:hAnsi="Arial" w:cs="Arial"/>
          <w:i/>
          <w:iCs/>
        </w:rPr>
        <w:t>Pediatr Emerg Care</w:t>
      </w:r>
      <w:r w:rsidRPr="00E226D7">
        <w:rPr>
          <w:rFonts w:ascii="Arial" w:hAnsi="Arial" w:cs="Arial"/>
        </w:rPr>
        <w:t>. 2013;29(7):801-805. doi:10.1097/PEC.0b013e31829839e2</w:t>
      </w:r>
    </w:p>
    <w:p w14:paraId="75D2980D" w14:textId="77777777" w:rsidR="00B60C0B" w:rsidRPr="00E226D7" w:rsidRDefault="00B60C0B" w:rsidP="00B60C0B">
      <w:pPr>
        <w:pStyle w:val="Bibliography"/>
        <w:rPr>
          <w:rFonts w:ascii="Arial" w:hAnsi="Arial" w:cs="Arial"/>
        </w:rPr>
      </w:pPr>
      <w:r w:rsidRPr="00E226D7">
        <w:rPr>
          <w:rFonts w:ascii="Arial" w:hAnsi="Arial" w:cs="Arial"/>
        </w:rPr>
        <w:t xml:space="preserve">32. </w:t>
      </w:r>
      <w:r w:rsidRPr="00E226D7">
        <w:rPr>
          <w:rFonts w:ascii="Arial" w:hAnsi="Arial" w:cs="Arial"/>
        </w:rPr>
        <w:tab/>
      </w:r>
      <w:r w:rsidRPr="00E226D7">
        <w:rPr>
          <w:rFonts w:ascii="Arial" w:hAnsi="Arial" w:cs="Arial"/>
          <w:i/>
          <w:iCs/>
        </w:rPr>
        <w:t>Health Insurance Portability and Accountability Act § 262, 42 U.S.C. § 1320d-1 (2022)</w:t>
      </w:r>
      <w:r w:rsidRPr="00E226D7">
        <w:rPr>
          <w:rFonts w:ascii="Arial" w:hAnsi="Arial" w:cs="Arial"/>
        </w:rPr>
        <w:t>.</w:t>
      </w:r>
    </w:p>
    <w:p w14:paraId="2B2016D9" w14:textId="77777777" w:rsidR="00B60C0B" w:rsidRPr="00E226D7" w:rsidRDefault="00B60C0B" w:rsidP="00B60C0B">
      <w:pPr>
        <w:pStyle w:val="Bibliography"/>
        <w:rPr>
          <w:rFonts w:ascii="Arial" w:hAnsi="Arial" w:cs="Arial"/>
        </w:rPr>
      </w:pPr>
      <w:r w:rsidRPr="00E226D7">
        <w:rPr>
          <w:rFonts w:ascii="Arial" w:hAnsi="Arial" w:cs="Arial"/>
        </w:rPr>
        <w:t xml:space="preserve">33. </w:t>
      </w:r>
      <w:r w:rsidRPr="00E226D7">
        <w:rPr>
          <w:rFonts w:ascii="Arial" w:hAnsi="Arial" w:cs="Arial"/>
        </w:rPr>
        <w:tab/>
      </w:r>
      <w:r w:rsidRPr="00E226D7">
        <w:rPr>
          <w:rFonts w:ascii="Arial" w:hAnsi="Arial" w:cs="Arial"/>
          <w:i/>
          <w:iCs/>
        </w:rPr>
        <w:t>45 C.F.R. § 162.1002(c) (2014)</w:t>
      </w:r>
      <w:r w:rsidRPr="00E226D7">
        <w:rPr>
          <w:rFonts w:ascii="Arial" w:hAnsi="Arial" w:cs="Arial"/>
        </w:rPr>
        <w:t>.</w:t>
      </w:r>
    </w:p>
    <w:p w14:paraId="09193A82" w14:textId="77777777" w:rsidR="00B60C0B" w:rsidRPr="00E226D7" w:rsidRDefault="00B60C0B" w:rsidP="00B60C0B">
      <w:pPr>
        <w:pStyle w:val="Bibliography"/>
        <w:rPr>
          <w:rFonts w:ascii="Arial" w:hAnsi="Arial" w:cs="Arial"/>
        </w:rPr>
      </w:pPr>
      <w:r w:rsidRPr="00E226D7">
        <w:rPr>
          <w:rFonts w:ascii="Arial" w:hAnsi="Arial" w:cs="Arial"/>
        </w:rPr>
        <w:t xml:space="preserve">34. </w:t>
      </w:r>
      <w:r w:rsidRPr="00E226D7">
        <w:rPr>
          <w:rFonts w:ascii="Arial" w:hAnsi="Arial" w:cs="Arial"/>
        </w:rPr>
        <w:tab/>
        <w:t>Centers for Medicare and Medicaid Services, National Center for Health Statistics. ICD-10-CM Official Guidelines for Coding and Reporting: FY 2022. Published online July 16, 2021. Accessed February 16, 2022. https://ftp.cdc.gov/pub/Health_Statistics/NCHS/Publications/ICD10CM/2022/10cmguidelines-FY2022-7-2022-7-15-21-update-508.pdf</w:t>
      </w:r>
    </w:p>
    <w:p w14:paraId="27E63F21" w14:textId="77777777" w:rsidR="00B60C0B" w:rsidRPr="00E226D7" w:rsidRDefault="00B60C0B" w:rsidP="00B60C0B">
      <w:pPr>
        <w:pStyle w:val="Bibliography"/>
        <w:rPr>
          <w:rFonts w:ascii="Arial" w:hAnsi="Arial" w:cs="Arial"/>
        </w:rPr>
      </w:pPr>
      <w:r w:rsidRPr="00E226D7">
        <w:rPr>
          <w:rFonts w:ascii="Arial" w:hAnsi="Arial" w:cs="Arial"/>
        </w:rPr>
        <w:lastRenderedPageBreak/>
        <w:t xml:space="preserve">35. </w:t>
      </w:r>
      <w:r w:rsidRPr="00E226D7">
        <w:rPr>
          <w:rFonts w:ascii="Arial" w:hAnsi="Arial" w:cs="Arial"/>
        </w:rPr>
        <w:tab/>
        <w:t xml:space="preserve">Healthcare Cost and Utilization Project. </w:t>
      </w:r>
      <w:r w:rsidRPr="00E226D7">
        <w:rPr>
          <w:rFonts w:ascii="Arial" w:hAnsi="Arial" w:cs="Arial"/>
          <w:i/>
          <w:iCs/>
        </w:rPr>
        <w:t>Injuries and External Causes: Reporting of Causes on the HCUP State Emergency Department Databases (SEDD), 2016-2019</w:t>
      </w:r>
      <w:r w:rsidRPr="00E226D7">
        <w:rPr>
          <w:rFonts w:ascii="Arial" w:hAnsi="Arial" w:cs="Arial"/>
        </w:rPr>
        <w:t>. Agency for Healthcare Research and Quality; 2021. Accessed February 17, 2022. https://hcup-us.ahrq.gov/reports/ataglance/HCUPanalysisInjuryEDReporting.pdf</w:t>
      </w:r>
    </w:p>
    <w:p w14:paraId="4710ADC7" w14:textId="77777777" w:rsidR="00B60C0B" w:rsidRPr="00E226D7" w:rsidRDefault="00B60C0B" w:rsidP="00B60C0B">
      <w:pPr>
        <w:pStyle w:val="Bibliography"/>
        <w:rPr>
          <w:rFonts w:ascii="Arial" w:hAnsi="Arial" w:cs="Arial"/>
        </w:rPr>
      </w:pPr>
      <w:r w:rsidRPr="00E226D7">
        <w:rPr>
          <w:rFonts w:ascii="Arial" w:hAnsi="Arial" w:cs="Arial"/>
        </w:rPr>
        <w:t xml:space="preserve">36. </w:t>
      </w:r>
      <w:r w:rsidRPr="00E226D7">
        <w:rPr>
          <w:rFonts w:ascii="Arial" w:hAnsi="Arial" w:cs="Arial"/>
        </w:rPr>
        <w:tab/>
        <w:t xml:space="preserve">Healthcare Cost and Utilization Project. </w:t>
      </w:r>
      <w:r w:rsidRPr="00E226D7">
        <w:rPr>
          <w:rFonts w:ascii="Arial" w:hAnsi="Arial" w:cs="Arial"/>
          <w:i/>
          <w:iCs/>
        </w:rPr>
        <w:t>Injuries and External Causes: Reporting of Causes on the HCUP State Inpatient Databases (SID), 2016-2019</w:t>
      </w:r>
      <w:r w:rsidRPr="00E226D7">
        <w:rPr>
          <w:rFonts w:ascii="Arial" w:hAnsi="Arial" w:cs="Arial"/>
        </w:rPr>
        <w:t>. Agency for Healthcare Research and Quality; 2021. Accessed February 17, 2022. https://hcup-us.ahrq.gov/reports/ataglance/HCUPanalysisInjuryReporting.pdf</w:t>
      </w:r>
    </w:p>
    <w:p w14:paraId="30A5FE94" w14:textId="4FBADC9A" w:rsidR="00394ECE" w:rsidRPr="00F13F59" w:rsidRDefault="00B60C0B" w:rsidP="00F13F59">
      <w:pPr>
        <w:rPr>
          <w:rFonts w:ascii="Arial" w:hAnsi="Arial" w:cs="Arial"/>
          <w:szCs w:val="24"/>
        </w:rPr>
      </w:pPr>
      <w:r w:rsidRPr="00E226D7">
        <w:rPr>
          <w:rFonts w:ascii="Arial" w:hAnsi="Arial" w:cs="Arial"/>
          <w:szCs w:val="24"/>
          <w:shd w:val="clear" w:color="auto" w:fill="E6E6E6"/>
        </w:rPr>
        <w:fldChar w:fldCharType="end"/>
      </w:r>
      <w:bookmarkEnd w:id="10"/>
    </w:p>
    <w:sectPr w:rsidR="00394ECE" w:rsidRPr="00F13F59" w:rsidSect="00031023">
      <w:headerReference w:type="default" r:id="rId26"/>
      <w:footerReference w:type="default" r:id="rId27"/>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080F0" w14:textId="77777777" w:rsidR="007F5629" w:rsidRDefault="007F5629">
      <w:r>
        <w:separator/>
      </w:r>
    </w:p>
    <w:p w14:paraId="76CF1BD3" w14:textId="77777777" w:rsidR="007F5629" w:rsidRDefault="007F5629"/>
  </w:endnote>
  <w:endnote w:type="continuationSeparator" w:id="0">
    <w:p w14:paraId="6D5CBF13" w14:textId="77777777" w:rsidR="007F5629" w:rsidRDefault="007F5629">
      <w:r>
        <w:continuationSeparator/>
      </w:r>
    </w:p>
    <w:p w14:paraId="1A1B30F2" w14:textId="77777777" w:rsidR="007F5629" w:rsidRDefault="007F56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Bold">
    <w:altName w:val="Times New Roman"/>
    <w:panose1 w:val="00000000000000000000"/>
    <w:charset w:val="00"/>
    <w:family w:val="roman"/>
    <w:notTrueType/>
    <w:pitch w:val="variable"/>
    <w:sig w:usb0="00000001" w:usb1="00000001" w:usb2="00000000" w:usb3="00000000" w:csb0="00000093" w:csb1="00000000"/>
  </w:font>
  <w:font w:name="Georgia">
    <w:panose1 w:val="02040502050405020303"/>
    <w:charset w:val="00"/>
    <w:family w:val="roman"/>
    <w:pitch w:val="variable"/>
    <w:sig w:usb0="00000287" w:usb1="00000000" w:usb2="00000000" w:usb3="00000000" w:csb0="0000009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840823"/>
      <w:docPartObj>
        <w:docPartGallery w:val="Page Numbers (Bottom of Page)"/>
        <w:docPartUnique/>
      </w:docPartObj>
    </w:sdtPr>
    <w:sdtEndPr>
      <w:rPr>
        <w:noProof/>
      </w:rPr>
    </w:sdtEndPr>
    <w:sdtContent>
      <w:p w14:paraId="6C872E3C" w14:textId="14AEA130" w:rsidR="00EB5F33" w:rsidRDefault="00000000">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A788" w14:textId="77777777" w:rsidR="00EB5F33" w:rsidRPr="00EB5F33" w:rsidRDefault="00EB5F33" w:rsidP="00EB5F33">
    <w:pPr>
      <w:pStyle w:val="Footer"/>
      <w:jc w:val="center"/>
      <w:rPr>
        <w:i/>
      </w:rPr>
    </w:pPr>
    <w:r>
      <w:rPr>
        <w:i/>
      </w:rPr>
      <w:t>(this page has intentionally been left blank)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EEB0D" w14:textId="363AA3D9" w:rsidR="000C4297" w:rsidRPr="00EB5F33" w:rsidRDefault="000C4297" w:rsidP="00EB5F33">
    <w:pPr>
      <w:pStyle w:val="Footer"/>
      <w:jc w:val="center"/>
      <w:rPr>
        <w: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A4660" w14:textId="77777777" w:rsidR="000C4297" w:rsidRPr="00EB5F33" w:rsidRDefault="000C4297" w:rsidP="00EB5F33">
    <w:pPr>
      <w:pStyle w:val="Footer"/>
      <w:jc w:val="center"/>
      <w:rPr>
        <w:i/>
      </w:rPr>
    </w:pPr>
    <w:r>
      <w:rPr>
        <w:i/>
      </w:rPr>
      <w:t>(this page has intentionally been left blank)</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828C6" w14:textId="1E924CAB" w:rsidR="00585C8F" w:rsidRDefault="00585C8F">
    <w:pPr>
      <w:pStyle w:val="Footer"/>
      <w:jc w:val="right"/>
    </w:pPr>
  </w:p>
  <w:p w14:paraId="43811A35" w14:textId="77777777" w:rsidR="00585C8F" w:rsidRDefault="00585C8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846818"/>
      <w:docPartObj>
        <w:docPartGallery w:val="Page Numbers (Bottom of Page)"/>
        <w:docPartUnique/>
      </w:docPartObj>
    </w:sdtPr>
    <w:sdtEndPr>
      <w:rPr>
        <w:noProof/>
      </w:rPr>
    </w:sdtEndPr>
    <w:sdtContent>
      <w:p w14:paraId="78E59AC6" w14:textId="77777777" w:rsidR="00E8593B" w:rsidRDefault="00E8593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6F8C14" w14:textId="77777777" w:rsidR="00E8593B" w:rsidRDefault="00E8593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26AA" w14:textId="77777777" w:rsidR="00E3630A" w:rsidRDefault="00000000">
    <w:pPr>
      <w:widowControl w:val="0"/>
      <w:pBdr>
        <w:top w:val="nil"/>
        <w:left w:val="nil"/>
        <w:bottom w:val="nil"/>
        <w:right w:val="nil"/>
        <w:between w:val="nil"/>
      </w:pBdr>
      <w:spacing w:line="276" w:lineRule="auto"/>
      <w:rPr>
        <w:color w:val="000000"/>
      </w:rPr>
    </w:pPr>
  </w:p>
  <w:tbl>
    <w:tblPr>
      <w:tblW w:w="9360" w:type="dxa"/>
      <w:tblLayout w:type="fixed"/>
      <w:tblCellMar>
        <w:left w:w="115" w:type="dxa"/>
        <w:right w:w="115" w:type="dxa"/>
      </w:tblCellMar>
      <w:tblLook w:val="0600" w:firstRow="0" w:lastRow="0" w:firstColumn="0" w:lastColumn="0" w:noHBand="1" w:noVBand="1"/>
    </w:tblPr>
    <w:tblGrid>
      <w:gridCol w:w="3120"/>
      <w:gridCol w:w="3120"/>
      <w:gridCol w:w="3120"/>
    </w:tblGrid>
    <w:tr w:rsidR="00E3630A" w14:paraId="7CDBB9CF" w14:textId="77777777">
      <w:trPr>
        <w:trHeight w:val="552"/>
      </w:trPr>
      <w:tc>
        <w:tcPr>
          <w:tcW w:w="3120" w:type="dxa"/>
        </w:tcPr>
        <w:p w14:paraId="0B1D23B3" w14:textId="77777777" w:rsidR="00E3630A" w:rsidRDefault="00000000">
          <w:pPr>
            <w:pBdr>
              <w:top w:val="nil"/>
              <w:left w:val="nil"/>
              <w:bottom w:val="nil"/>
              <w:right w:val="nil"/>
              <w:between w:val="nil"/>
            </w:pBdr>
            <w:tabs>
              <w:tab w:val="center" w:pos="4680"/>
              <w:tab w:val="right" w:pos="9360"/>
            </w:tabs>
            <w:ind w:left="-115"/>
            <w:rPr>
              <w:color w:val="000000"/>
            </w:rPr>
          </w:pPr>
        </w:p>
      </w:tc>
      <w:tc>
        <w:tcPr>
          <w:tcW w:w="3120" w:type="dxa"/>
        </w:tcPr>
        <w:p w14:paraId="77EF38A1" w14:textId="77777777" w:rsidR="00E3630A" w:rsidRDefault="00000000">
          <w:pPr>
            <w:pBdr>
              <w:top w:val="nil"/>
              <w:left w:val="nil"/>
              <w:bottom w:val="nil"/>
              <w:right w:val="nil"/>
              <w:between w:val="nil"/>
            </w:pBdr>
            <w:tabs>
              <w:tab w:val="center" w:pos="4680"/>
              <w:tab w:val="right" w:pos="9360"/>
            </w:tabs>
            <w:jc w:val="center"/>
            <w:rPr>
              <w:color w:val="000000"/>
            </w:rPr>
          </w:pPr>
        </w:p>
      </w:tc>
      <w:tc>
        <w:tcPr>
          <w:tcW w:w="3120" w:type="dxa"/>
        </w:tcPr>
        <w:p w14:paraId="2F5C77F1" w14:textId="77777777" w:rsidR="00E3630A" w:rsidRDefault="00000000">
          <w:pPr>
            <w:pBdr>
              <w:top w:val="nil"/>
              <w:left w:val="nil"/>
              <w:bottom w:val="nil"/>
              <w:right w:val="nil"/>
              <w:between w:val="nil"/>
            </w:pBdr>
            <w:tabs>
              <w:tab w:val="center" w:pos="4680"/>
              <w:tab w:val="right" w:pos="9360"/>
            </w:tabs>
            <w:ind w:right="-115"/>
            <w:jc w:val="right"/>
            <w:rPr>
              <w:color w:val="000000"/>
            </w:rPr>
          </w:pPr>
        </w:p>
        <w:p w14:paraId="09723158" w14:textId="77777777" w:rsidR="00E3630A" w:rsidRDefault="00967FC8">
          <w:pPr>
            <w:pBdr>
              <w:top w:val="nil"/>
              <w:left w:val="nil"/>
              <w:bottom w:val="nil"/>
              <w:right w:val="nil"/>
              <w:between w:val="nil"/>
            </w:pBdr>
            <w:tabs>
              <w:tab w:val="center" w:pos="4680"/>
              <w:tab w:val="right" w:pos="9360"/>
            </w:tabs>
            <w:ind w:right="-115"/>
            <w:jc w:val="right"/>
            <w:rPr>
              <w:color w:val="000000"/>
            </w:rPr>
          </w:pPr>
          <w:r>
            <w:rPr>
              <w:color w:val="000000"/>
            </w:rPr>
            <w:fldChar w:fldCharType="begin"/>
          </w:r>
          <w:r>
            <w:rPr>
              <w:color w:val="000000"/>
            </w:rPr>
            <w:instrText>PAGE</w:instrText>
          </w:r>
          <w:r>
            <w:rPr>
              <w:color w:val="000000"/>
            </w:rPr>
            <w:fldChar w:fldCharType="separate"/>
          </w:r>
          <w:r>
            <w:rPr>
              <w:noProof/>
              <w:color w:val="000000"/>
            </w:rPr>
            <w:t>4</w:t>
          </w:r>
          <w:r>
            <w:rPr>
              <w:color w:val="000000"/>
            </w:rPr>
            <w:fldChar w:fldCharType="end"/>
          </w:r>
        </w:p>
      </w:tc>
    </w:tr>
  </w:tbl>
  <w:p w14:paraId="147426EC" w14:textId="77777777" w:rsidR="00E3630A" w:rsidRDefault="0000000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F236C" w14:textId="77777777" w:rsidR="007F5629" w:rsidRDefault="007F5629">
      <w:r>
        <w:separator/>
      </w:r>
    </w:p>
    <w:p w14:paraId="678EB163" w14:textId="77777777" w:rsidR="007F5629" w:rsidRDefault="007F5629"/>
  </w:footnote>
  <w:footnote w:type="continuationSeparator" w:id="0">
    <w:p w14:paraId="47FB5039" w14:textId="77777777" w:rsidR="007F5629" w:rsidRDefault="007F5629">
      <w:r>
        <w:continuationSeparator/>
      </w:r>
    </w:p>
    <w:p w14:paraId="0F416C3B" w14:textId="77777777" w:rsidR="007F5629" w:rsidRDefault="007F5629"/>
  </w:footnote>
  <w:footnote w:id="1">
    <w:p w14:paraId="100EAC92" w14:textId="77777777" w:rsidR="00B60C0B" w:rsidRDefault="00B60C0B" w:rsidP="00B60C0B">
      <w:pPr>
        <w:pStyle w:val="FootnoteText"/>
      </w:pPr>
      <w:r>
        <w:rPr>
          <w:rStyle w:val="FootnoteReference"/>
        </w:rPr>
        <w:footnoteRef/>
      </w:r>
      <w:r>
        <w:t xml:space="preserve"> Rates are based on counts less than 20 and may be unstable.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1C48" w14:textId="77777777" w:rsidR="00B60C0B" w:rsidRDefault="00B60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FBFCC" w14:textId="77777777" w:rsidR="00E3630A" w:rsidRDefault="00000000">
    <w:pPr>
      <w:widowControl w:val="0"/>
      <w:pBdr>
        <w:top w:val="nil"/>
        <w:left w:val="nil"/>
        <w:bottom w:val="nil"/>
        <w:right w:val="nil"/>
        <w:between w:val="nil"/>
      </w:pBdr>
      <w:spacing w:line="276" w:lineRule="auto"/>
      <w:rPr>
        <w:rFonts w:ascii="Arial" w:eastAsia="Arial" w:hAnsi="Arial" w:cs="Arial"/>
        <w:color w:val="000000"/>
        <w:sz w:val="18"/>
        <w:szCs w:val="18"/>
      </w:rPr>
    </w:pPr>
  </w:p>
  <w:tbl>
    <w:tblPr>
      <w:tblW w:w="9360" w:type="dxa"/>
      <w:tblLayout w:type="fixed"/>
      <w:tblCellMar>
        <w:left w:w="115" w:type="dxa"/>
        <w:right w:w="115" w:type="dxa"/>
      </w:tblCellMar>
      <w:tblLook w:val="0600" w:firstRow="0" w:lastRow="0" w:firstColumn="0" w:lastColumn="0" w:noHBand="1" w:noVBand="1"/>
    </w:tblPr>
    <w:tblGrid>
      <w:gridCol w:w="3120"/>
      <w:gridCol w:w="3120"/>
      <w:gridCol w:w="3120"/>
    </w:tblGrid>
    <w:tr w:rsidR="00E3630A" w14:paraId="560F3AD6" w14:textId="77777777">
      <w:tc>
        <w:tcPr>
          <w:tcW w:w="3120" w:type="dxa"/>
        </w:tcPr>
        <w:p w14:paraId="6D3DD5D7" w14:textId="77777777" w:rsidR="00E3630A" w:rsidRDefault="00000000">
          <w:pPr>
            <w:pBdr>
              <w:top w:val="nil"/>
              <w:left w:val="nil"/>
              <w:bottom w:val="nil"/>
              <w:right w:val="nil"/>
              <w:between w:val="nil"/>
            </w:pBdr>
            <w:tabs>
              <w:tab w:val="center" w:pos="4680"/>
              <w:tab w:val="right" w:pos="9360"/>
            </w:tabs>
            <w:ind w:left="-115"/>
            <w:rPr>
              <w:color w:val="000000"/>
            </w:rPr>
          </w:pPr>
        </w:p>
      </w:tc>
      <w:tc>
        <w:tcPr>
          <w:tcW w:w="3120" w:type="dxa"/>
        </w:tcPr>
        <w:p w14:paraId="7841861F" w14:textId="77777777" w:rsidR="00E3630A" w:rsidRDefault="00000000">
          <w:pPr>
            <w:pBdr>
              <w:top w:val="nil"/>
              <w:left w:val="nil"/>
              <w:bottom w:val="nil"/>
              <w:right w:val="nil"/>
              <w:between w:val="nil"/>
            </w:pBdr>
            <w:tabs>
              <w:tab w:val="center" w:pos="4680"/>
              <w:tab w:val="right" w:pos="9360"/>
            </w:tabs>
            <w:jc w:val="center"/>
            <w:rPr>
              <w:color w:val="000000"/>
            </w:rPr>
          </w:pPr>
        </w:p>
      </w:tc>
      <w:tc>
        <w:tcPr>
          <w:tcW w:w="3120" w:type="dxa"/>
        </w:tcPr>
        <w:p w14:paraId="04C35E8F" w14:textId="77777777" w:rsidR="00E3630A" w:rsidRDefault="00000000">
          <w:pPr>
            <w:pBdr>
              <w:top w:val="nil"/>
              <w:left w:val="nil"/>
              <w:bottom w:val="nil"/>
              <w:right w:val="nil"/>
              <w:between w:val="nil"/>
            </w:pBdr>
            <w:tabs>
              <w:tab w:val="center" w:pos="4680"/>
              <w:tab w:val="right" w:pos="9360"/>
            </w:tabs>
            <w:ind w:right="-115"/>
            <w:jc w:val="right"/>
            <w:rPr>
              <w:color w:val="000000"/>
            </w:rPr>
          </w:pPr>
        </w:p>
      </w:tc>
    </w:tr>
  </w:tbl>
  <w:p w14:paraId="21510800" w14:textId="77777777" w:rsidR="00E3630A" w:rsidRDefault="00000000">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DCD"/>
    <w:multiLevelType w:val="hybridMultilevel"/>
    <w:tmpl w:val="DD3A7DEC"/>
    <w:lvl w:ilvl="0" w:tplc="48D4421C">
      <w:start w:val="1"/>
      <w:numFmt w:val="bullet"/>
      <w:lvlText w:val=""/>
      <w:lvlJc w:val="left"/>
      <w:pPr>
        <w:tabs>
          <w:tab w:val="num" w:pos="720"/>
        </w:tabs>
        <w:ind w:left="360" w:hanging="360"/>
      </w:pPr>
      <w:rPr>
        <w:rFonts w:ascii="Wingdings" w:hAnsi="Wingdings" w:hint="default"/>
      </w:rPr>
    </w:lvl>
    <w:lvl w:ilvl="1" w:tplc="9DF64C2A" w:tentative="1">
      <w:start w:val="1"/>
      <w:numFmt w:val="bullet"/>
      <w:lvlText w:val=""/>
      <w:lvlJc w:val="left"/>
      <w:pPr>
        <w:tabs>
          <w:tab w:val="num" w:pos="1440"/>
        </w:tabs>
        <w:ind w:left="1080" w:hanging="360"/>
      </w:pPr>
      <w:rPr>
        <w:rFonts w:ascii="Wingdings" w:hAnsi="Wingdings" w:hint="default"/>
      </w:rPr>
    </w:lvl>
    <w:lvl w:ilvl="2" w:tplc="3EC8F0F0" w:tentative="1">
      <w:start w:val="1"/>
      <w:numFmt w:val="bullet"/>
      <w:lvlText w:val=""/>
      <w:lvlJc w:val="left"/>
      <w:pPr>
        <w:tabs>
          <w:tab w:val="num" w:pos="2160"/>
        </w:tabs>
        <w:ind w:left="1800" w:hanging="360"/>
      </w:pPr>
      <w:rPr>
        <w:rFonts w:ascii="Wingdings" w:hAnsi="Wingdings" w:hint="default"/>
      </w:rPr>
    </w:lvl>
    <w:lvl w:ilvl="3" w:tplc="DFC88E9C" w:tentative="1">
      <w:start w:val="1"/>
      <w:numFmt w:val="bullet"/>
      <w:lvlText w:val=""/>
      <w:lvlJc w:val="left"/>
      <w:pPr>
        <w:tabs>
          <w:tab w:val="num" w:pos="2880"/>
        </w:tabs>
        <w:ind w:left="2520" w:hanging="360"/>
      </w:pPr>
      <w:rPr>
        <w:rFonts w:ascii="Wingdings" w:hAnsi="Wingdings" w:hint="default"/>
      </w:rPr>
    </w:lvl>
    <w:lvl w:ilvl="4" w:tplc="8AB814CA" w:tentative="1">
      <w:start w:val="1"/>
      <w:numFmt w:val="bullet"/>
      <w:lvlText w:val=""/>
      <w:lvlJc w:val="left"/>
      <w:pPr>
        <w:tabs>
          <w:tab w:val="num" w:pos="3600"/>
        </w:tabs>
        <w:ind w:left="3240" w:hanging="360"/>
      </w:pPr>
      <w:rPr>
        <w:rFonts w:ascii="Wingdings" w:hAnsi="Wingdings" w:hint="default"/>
      </w:rPr>
    </w:lvl>
    <w:lvl w:ilvl="5" w:tplc="EBCEFEC6" w:tentative="1">
      <w:start w:val="1"/>
      <w:numFmt w:val="bullet"/>
      <w:lvlText w:val=""/>
      <w:lvlJc w:val="left"/>
      <w:pPr>
        <w:tabs>
          <w:tab w:val="num" w:pos="4320"/>
        </w:tabs>
        <w:ind w:left="3960" w:hanging="360"/>
      </w:pPr>
      <w:rPr>
        <w:rFonts w:ascii="Wingdings" w:hAnsi="Wingdings" w:hint="default"/>
      </w:rPr>
    </w:lvl>
    <w:lvl w:ilvl="6" w:tplc="A800AD0E" w:tentative="1">
      <w:start w:val="1"/>
      <w:numFmt w:val="bullet"/>
      <w:lvlText w:val=""/>
      <w:lvlJc w:val="left"/>
      <w:pPr>
        <w:tabs>
          <w:tab w:val="num" w:pos="5040"/>
        </w:tabs>
        <w:ind w:left="4680" w:hanging="360"/>
      </w:pPr>
      <w:rPr>
        <w:rFonts w:ascii="Wingdings" w:hAnsi="Wingdings" w:hint="default"/>
      </w:rPr>
    </w:lvl>
    <w:lvl w:ilvl="7" w:tplc="66A06E00" w:tentative="1">
      <w:start w:val="1"/>
      <w:numFmt w:val="bullet"/>
      <w:lvlText w:val=""/>
      <w:lvlJc w:val="left"/>
      <w:pPr>
        <w:tabs>
          <w:tab w:val="num" w:pos="5760"/>
        </w:tabs>
        <w:ind w:left="5400" w:hanging="360"/>
      </w:pPr>
      <w:rPr>
        <w:rFonts w:ascii="Wingdings" w:hAnsi="Wingdings" w:hint="default"/>
      </w:rPr>
    </w:lvl>
    <w:lvl w:ilvl="8" w:tplc="79787FC2" w:tentative="1">
      <w:start w:val="1"/>
      <w:numFmt w:val="bullet"/>
      <w:lvlText w:val=""/>
      <w:lvlJc w:val="left"/>
      <w:pPr>
        <w:tabs>
          <w:tab w:val="num" w:pos="6480"/>
        </w:tabs>
        <w:ind w:left="6120" w:hanging="360"/>
      </w:pPr>
      <w:rPr>
        <w:rFonts w:ascii="Wingdings" w:hAnsi="Wingdings" w:hint="default"/>
      </w:rPr>
    </w:lvl>
  </w:abstractNum>
  <w:abstractNum w:abstractNumId="1" w15:restartNumberingAfterBreak="0">
    <w:nsid w:val="01333120"/>
    <w:multiLevelType w:val="hybridMultilevel"/>
    <w:tmpl w:val="945E5298"/>
    <w:lvl w:ilvl="0" w:tplc="F5C06E4A">
      <w:start w:val="1"/>
      <w:numFmt w:val="bullet"/>
      <w:lvlText w:val=""/>
      <w:lvlJc w:val="left"/>
      <w:pPr>
        <w:tabs>
          <w:tab w:val="num" w:pos="720"/>
        </w:tabs>
        <w:ind w:left="720" w:hanging="360"/>
      </w:pPr>
      <w:rPr>
        <w:rFonts w:ascii="Wingdings" w:hAnsi="Wingdings" w:hint="default"/>
      </w:rPr>
    </w:lvl>
    <w:lvl w:ilvl="1" w:tplc="AA3AE980">
      <w:start w:val="1"/>
      <w:numFmt w:val="bullet"/>
      <w:lvlText w:val=""/>
      <w:lvlJc w:val="left"/>
      <w:pPr>
        <w:tabs>
          <w:tab w:val="num" w:pos="1440"/>
        </w:tabs>
        <w:ind w:left="1440" w:hanging="360"/>
      </w:pPr>
      <w:rPr>
        <w:rFonts w:ascii="Wingdings" w:hAnsi="Wingdings" w:hint="default"/>
      </w:rPr>
    </w:lvl>
    <w:lvl w:ilvl="2" w:tplc="873A43FA" w:tentative="1">
      <w:start w:val="1"/>
      <w:numFmt w:val="bullet"/>
      <w:lvlText w:val=""/>
      <w:lvlJc w:val="left"/>
      <w:pPr>
        <w:tabs>
          <w:tab w:val="num" w:pos="2160"/>
        </w:tabs>
        <w:ind w:left="2160" w:hanging="360"/>
      </w:pPr>
      <w:rPr>
        <w:rFonts w:ascii="Wingdings" w:hAnsi="Wingdings" w:hint="default"/>
      </w:rPr>
    </w:lvl>
    <w:lvl w:ilvl="3" w:tplc="52086960" w:tentative="1">
      <w:start w:val="1"/>
      <w:numFmt w:val="bullet"/>
      <w:lvlText w:val=""/>
      <w:lvlJc w:val="left"/>
      <w:pPr>
        <w:tabs>
          <w:tab w:val="num" w:pos="2880"/>
        </w:tabs>
        <w:ind w:left="2880" w:hanging="360"/>
      </w:pPr>
      <w:rPr>
        <w:rFonts w:ascii="Wingdings" w:hAnsi="Wingdings" w:hint="default"/>
      </w:rPr>
    </w:lvl>
    <w:lvl w:ilvl="4" w:tplc="1EEA652A" w:tentative="1">
      <w:start w:val="1"/>
      <w:numFmt w:val="bullet"/>
      <w:lvlText w:val=""/>
      <w:lvlJc w:val="left"/>
      <w:pPr>
        <w:tabs>
          <w:tab w:val="num" w:pos="3600"/>
        </w:tabs>
        <w:ind w:left="3600" w:hanging="360"/>
      </w:pPr>
      <w:rPr>
        <w:rFonts w:ascii="Wingdings" w:hAnsi="Wingdings" w:hint="default"/>
      </w:rPr>
    </w:lvl>
    <w:lvl w:ilvl="5" w:tplc="98269752" w:tentative="1">
      <w:start w:val="1"/>
      <w:numFmt w:val="bullet"/>
      <w:lvlText w:val=""/>
      <w:lvlJc w:val="left"/>
      <w:pPr>
        <w:tabs>
          <w:tab w:val="num" w:pos="4320"/>
        </w:tabs>
        <w:ind w:left="4320" w:hanging="360"/>
      </w:pPr>
      <w:rPr>
        <w:rFonts w:ascii="Wingdings" w:hAnsi="Wingdings" w:hint="default"/>
      </w:rPr>
    </w:lvl>
    <w:lvl w:ilvl="6" w:tplc="98EAE8E8" w:tentative="1">
      <w:start w:val="1"/>
      <w:numFmt w:val="bullet"/>
      <w:lvlText w:val=""/>
      <w:lvlJc w:val="left"/>
      <w:pPr>
        <w:tabs>
          <w:tab w:val="num" w:pos="5040"/>
        </w:tabs>
        <w:ind w:left="5040" w:hanging="360"/>
      </w:pPr>
      <w:rPr>
        <w:rFonts w:ascii="Wingdings" w:hAnsi="Wingdings" w:hint="default"/>
      </w:rPr>
    </w:lvl>
    <w:lvl w:ilvl="7" w:tplc="9CFCEA64" w:tentative="1">
      <w:start w:val="1"/>
      <w:numFmt w:val="bullet"/>
      <w:lvlText w:val=""/>
      <w:lvlJc w:val="left"/>
      <w:pPr>
        <w:tabs>
          <w:tab w:val="num" w:pos="5760"/>
        </w:tabs>
        <w:ind w:left="5760" w:hanging="360"/>
      </w:pPr>
      <w:rPr>
        <w:rFonts w:ascii="Wingdings" w:hAnsi="Wingdings" w:hint="default"/>
      </w:rPr>
    </w:lvl>
    <w:lvl w:ilvl="8" w:tplc="86CCD45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C4414"/>
    <w:multiLevelType w:val="multilevel"/>
    <w:tmpl w:val="0B90FAB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6A81822"/>
    <w:multiLevelType w:val="hybridMultilevel"/>
    <w:tmpl w:val="1C122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96595"/>
    <w:multiLevelType w:val="multilevel"/>
    <w:tmpl w:val="B2B45B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16A15BB7"/>
    <w:multiLevelType w:val="hybridMultilevel"/>
    <w:tmpl w:val="6F44EAF0"/>
    <w:lvl w:ilvl="0" w:tplc="F384D3FA">
      <w:start w:val="1"/>
      <w:numFmt w:val="bullet"/>
      <w:lvlText w:val=""/>
      <w:lvlJc w:val="left"/>
      <w:pPr>
        <w:tabs>
          <w:tab w:val="num" w:pos="720"/>
        </w:tabs>
        <w:ind w:left="360" w:hanging="360"/>
      </w:pPr>
      <w:rPr>
        <w:rFonts w:ascii="Wingdings" w:hAnsi="Wingdings" w:hint="default"/>
      </w:rPr>
    </w:lvl>
    <w:lvl w:ilvl="1" w:tplc="B98230B6" w:tentative="1">
      <w:start w:val="1"/>
      <w:numFmt w:val="bullet"/>
      <w:lvlText w:val=""/>
      <w:lvlJc w:val="left"/>
      <w:pPr>
        <w:tabs>
          <w:tab w:val="num" w:pos="1440"/>
        </w:tabs>
        <w:ind w:left="1080" w:hanging="360"/>
      </w:pPr>
      <w:rPr>
        <w:rFonts w:ascii="Wingdings" w:hAnsi="Wingdings" w:hint="default"/>
      </w:rPr>
    </w:lvl>
    <w:lvl w:ilvl="2" w:tplc="04F485EC" w:tentative="1">
      <w:start w:val="1"/>
      <w:numFmt w:val="bullet"/>
      <w:lvlText w:val=""/>
      <w:lvlJc w:val="left"/>
      <w:pPr>
        <w:tabs>
          <w:tab w:val="num" w:pos="2160"/>
        </w:tabs>
        <w:ind w:left="1800" w:hanging="360"/>
      </w:pPr>
      <w:rPr>
        <w:rFonts w:ascii="Wingdings" w:hAnsi="Wingdings" w:hint="default"/>
      </w:rPr>
    </w:lvl>
    <w:lvl w:ilvl="3" w:tplc="18447180" w:tentative="1">
      <w:start w:val="1"/>
      <w:numFmt w:val="bullet"/>
      <w:lvlText w:val=""/>
      <w:lvlJc w:val="left"/>
      <w:pPr>
        <w:tabs>
          <w:tab w:val="num" w:pos="2880"/>
        </w:tabs>
        <w:ind w:left="2520" w:hanging="360"/>
      </w:pPr>
      <w:rPr>
        <w:rFonts w:ascii="Wingdings" w:hAnsi="Wingdings" w:hint="default"/>
      </w:rPr>
    </w:lvl>
    <w:lvl w:ilvl="4" w:tplc="A0CC3FB8" w:tentative="1">
      <w:start w:val="1"/>
      <w:numFmt w:val="bullet"/>
      <w:lvlText w:val=""/>
      <w:lvlJc w:val="left"/>
      <w:pPr>
        <w:tabs>
          <w:tab w:val="num" w:pos="3600"/>
        </w:tabs>
        <w:ind w:left="3240" w:hanging="360"/>
      </w:pPr>
      <w:rPr>
        <w:rFonts w:ascii="Wingdings" w:hAnsi="Wingdings" w:hint="default"/>
      </w:rPr>
    </w:lvl>
    <w:lvl w:ilvl="5" w:tplc="E7E60356" w:tentative="1">
      <w:start w:val="1"/>
      <w:numFmt w:val="bullet"/>
      <w:lvlText w:val=""/>
      <w:lvlJc w:val="left"/>
      <w:pPr>
        <w:tabs>
          <w:tab w:val="num" w:pos="4320"/>
        </w:tabs>
        <w:ind w:left="3960" w:hanging="360"/>
      </w:pPr>
      <w:rPr>
        <w:rFonts w:ascii="Wingdings" w:hAnsi="Wingdings" w:hint="default"/>
      </w:rPr>
    </w:lvl>
    <w:lvl w:ilvl="6" w:tplc="5A88923C" w:tentative="1">
      <w:start w:val="1"/>
      <w:numFmt w:val="bullet"/>
      <w:lvlText w:val=""/>
      <w:lvlJc w:val="left"/>
      <w:pPr>
        <w:tabs>
          <w:tab w:val="num" w:pos="5040"/>
        </w:tabs>
        <w:ind w:left="4680" w:hanging="360"/>
      </w:pPr>
      <w:rPr>
        <w:rFonts w:ascii="Wingdings" w:hAnsi="Wingdings" w:hint="default"/>
      </w:rPr>
    </w:lvl>
    <w:lvl w:ilvl="7" w:tplc="7F44C876" w:tentative="1">
      <w:start w:val="1"/>
      <w:numFmt w:val="bullet"/>
      <w:lvlText w:val=""/>
      <w:lvlJc w:val="left"/>
      <w:pPr>
        <w:tabs>
          <w:tab w:val="num" w:pos="5760"/>
        </w:tabs>
        <w:ind w:left="5400" w:hanging="360"/>
      </w:pPr>
      <w:rPr>
        <w:rFonts w:ascii="Wingdings" w:hAnsi="Wingdings" w:hint="default"/>
      </w:rPr>
    </w:lvl>
    <w:lvl w:ilvl="8" w:tplc="FA52BEDC" w:tentative="1">
      <w:start w:val="1"/>
      <w:numFmt w:val="bullet"/>
      <w:lvlText w:val=""/>
      <w:lvlJc w:val="left"/>
      <w:pPr>
        <w:tabs>
          <w:tab w:val="num" w:pos="6480"/>
        </w:tabs>
        <w:ind w:left="6120" w:hanging="360"/>
      </w:pPr>
      <w:rPr>
        <w:rFonts w:ascii="Wingdings" w:hAnsi="Wingdings" w:hint="default"/>
      </w:rPr>
    </w:lvl>
  </w:abstractNum>
  <w:abstractNum w:abstractNumId="6" w15:restartNumberingAfterBreak="0">
    <w:nsid w:val="17D87444"/>
    <w:multiLevelType w:val="multilevel"/>
    <w:tmpl w:val="6BDEC6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1A9A38C5"/>
    <w:multiLevelType w:val="multilevel"/>
    <w:tmpl w:val="21B6BB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1AC66246"/>
    <w:multiLevelType w:val="multilevel"/>
    <w:tmpl w:val="BFDE2FF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1C6B616E"/>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1E8E5648"/>
    <w:multiLevelType w:val="hybridMultilevel"/>
    <w:tmpl w:val="BCF8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16781"/>
    <w:multiLevelType w:val="hybridMultilevel"/>
    <w:tmpl w:val="05D06FBA"/>
    <w:lvl w:ilvl="0" w:tplc="0E0068C2">
      <w:start w:val="1"/>
      <w:numFmt w:val="bullet"/>
      <w:lvlText w:val=""/>
      <w:lvlJc w:val="left"/>
      <w:pPr>
        <w:tabs>
          <w:tab w:val="num" w:pos="720"/>
        </w:tabs>
        <w:ind w:left="360" w:hanging="360"/>
      </w:pPr>
      <w:rPr>
        <w:rFonts w:ascii="Wingdings" w:hAnsi="Wingdings" w:hint="default"/>
      </w:rPr>
    </w:lvl>
    <w:lvl w:ilvl="1" w:tplc="34D4333C" w:tentative="1">
      <w:start w:val="1"/>
      <w:numFmt w:val="bullet"/>
      <w:lvlText w:val=""/>
      <w:lvlJc w:val="left"/>
      <w:pPr>
        <w:tabs>
          <w:tab w:val="num" w:pos="1440"/>
        </w:tabs>
        <w:ind w:left="1080" w:hanging="360"/>
      </w:pPr>
      <w:rPr>
        <w:rFonts w:ascii="Wingdings" w:hAnsi="Wingdings" w:hint="default"/>
      </w:rPr>
    </w:lvl>
    <w:lvl w:ilvl="2" w:tplc="05E0A2CC" w:tentative="1">
      <w:start w:val="1"/>
      <w:numFmt w:val="bullet"/>
      <w:lvlText w:val=""/>
      <w:lvlJc w:val="left"/>
      <w:pPr>
        <w:tabs>
          <w:tab w:val="num" w:pos="2160"/>
        </w:tabs>
        <w:ind w:left="1800" w:hanging="360"/>
      </w:pPr>
      <w:rPr>
        <w:rFonts w:ascii="Wingdings" w:hAnsi="Wingdings" w:hint="default"/>
      </w:rPr>
    </w:lvl>
    <w:lvl w:ilvl="3" w:tplc="1F265238" w:tentative="1">
      <w:start w:val="1"/>
      <w:numFmt w:val="bullet"/>
      <w:lvlText w:val=""/>
      <w:lvlJc w:val="left"/>
      <w:pPr>
        <w:tabs>
          <w:tab w:val="num" w:pos="2880"/>
        </w:tabs>
        <w:ind w:left="2520" w:hanging="360"/>
      </w:pPr>
      <w:rPr>
        <w:rFonts w:ascii="Wingdings" w:hAnsi="Wingdings" w:hint="default"/>
      </w:rPr>
    </w:lvl>
    <w:lvl w:ilvl="4" w:tplc="B7003164" w:tentative="1">
      <w:start w:val="1"/>
      <w:numFmt w:val="bullet"/>
      <w:lvlText w:val=""/>
      <w:lvlJc w:val="left"/>
      <w:pPr>
        <w:tabs>
          <w:tab w:val="num" w:pos="3600"/>
        </w:tabs>
        <w:ind w:left="3240" w:hanging="360"/>
      </w:pPr>
      <w:rPr>
        <w:rFonts w:ascii="Wingdings" w:hAnsi="Wingdings" w:hint="default"/>
      </w:rPr>
    </w:lvl>
    <w:lvl w:ilvl="5" w:tplc="1CECD36A" w:tentative="1">
      <w:start w:val="1"/>
      <w:numFmt w:val="bullet"/>
      <w:lvlText w:val=""/>
      <w:lvlJc w:val="left"/>
      <w:pPr>
        <w:tabs>
          <w:tab w:val="num" w:pos="4320"/>
        </w:tabs>
        <w:ind w:left="3960" w:hanging="360"/>
      </w:pPr>
      <w:rPr>
        <w:rFonts w:ascii="Wingdings" w:hAnsi="Wingdings" w:hint="default"/>
      </w:rPr>
    </w:lvl>
    <w:lvl w:ilvl="6" w:tplc="35C29BAA" w:tentative="1">
      <w:start w:val="1"/>
      <w:numFmt w:val="bullet"/>
      <w:lvlText w:val=""/>
      <w:lvlJc w:val="left"/>
      <w:pPr>
        <w:tabs>
          <w:tab w:val="num" w:pos="5040"/>
        </w:tabs>
        <w:ind w:left="4680" w:hanging="360"/>
      </w:pPr>
      <w:rPr>
        <w:rFonts w:ascii="Wingdings" w:hAnsi="Wingdings" w:hint="default"/>
      </w:rPr>
    </w:lvl>
    <w:lvl w:ilvl="7" w:tplc="36C483EE" w:tentative="1">
      <w:start w:val="1"/>
      <w:numFmt w:val="bullet"/>
      <w:lvlText w:val=""/>
      <w:lvlJc w:val="left"/>
      <w:pPr>
        <w:tabs>
          <w:tab w:val="num" w:pos="5760"/>
        </w:tabs>
        <w:ind w:left="5400" w:hanging="360"/>
      </w:pPr>
      <w:rPr>
        <w:rFonts w:ascii="Wingdings" w:hAnsi="Wingdings" w:hint="default"/>
      </w:rPr>
    </w:lvl>
    <w:lvl w:ilvl="8" w:tplc="CA26C548" w:tentative="1">
      <w:start w:val="1"/>
      <w:numFmt w:val="bullet"/>
      <w:lvlText w:val=""/>
      <w:lvlJc w:val="left"/>
      <w:pPr>
        <w:tabs>
          <w:tab w:val="num" w:pos="6480"/>
        </w:tabs>
        <w:ind w:left="6120" w:hanging="360"/>
      </w:pPr>
      <w:rPr>
        <w:rFonts w:ascii="Wingdings" w:hAnsi="Wingdings" w:hint="default"/>
      </w:rPr>
    </w:lvl>
  </w:abstractNum>
  <w:abstractNum w:abstractNumId="12" w15:restartNumberingAfterBreak="0">
    <w:nsid w:val="21E21CAF"/>
    <w:multiLevelType w:val="hybridMultilevel"/>
    <w:tmpl w:val="2544E7E6"/>
    <w:lvl w:ilvl="0" w:tplc="45A2CE44">
      <w:start w:val="1"/>
      <w:numFmt w:val="bullet"/>
      <w:lvlText w:val=""/>
      <w:lvlJc w:val="left"/>
      <w:pPr>
        <w:tabs>
          <w:tab w:val="num" w:pos="720"/>
        </w:tabs>
        <w:ind w:left="360" w:hanging="360"/>
      </w:pPr>
      <w:rPr>
        <w:rFonts w:ascii="Wingdings" w:hAnsi="Wingdings" w:hint="default"/>
      </w:rPr>
    </w:lvl>
    <w:lvl w:ilvl="1" w:tplc="A8CE764C" w:tentative="1">
      <w:start w:val="1"/>
      <w:numFmt w:val="bullet"/>
      <w:lvlText w:val=""/>
      <w:lvlJc w:val="left"/>
      <w:pPr>
        <w:tabs>
          <w:tab w:val="num" w:pos="1440"/>
        </w:tabs>
        <w:ind w:left="1080" w:hanging="360"/>
      </w:pPr>
      <w:rPr>
        <w:rFonts w:ascii="Wingdings" w:hAnsi="Wingdings" w:hint="default"/>
      </w:rPr>
    </w:lvl>
    <w:lvl w:ilvl="2" w:tplc="C0144F8A" w:tentative="1">
      <w:start w:val="1"/>
      <w:numFmt w:val="bullet"/>
      <w:lvlText w:val=""/>
      <w:lvlJc w:val="left"/>
      <w:pPr>
        <w:tabs>
          <w:tab w:val="num" w:pos="2160"/>
        </w:tabs>
        <w:ind w:left="1800" w:hanging="360"/>
      </w:pPr>
      <w:rPr>
        <w:rFonts w:ascii="Wingdings" w:hAnsi="Wingdings" w:hint="default"/>
      </w:rPr>
    </w:lvl>
    <w:lvl w:ilvl="3" w:tplc="DF52F074" w:tentative="1">
      <w:start w:val="1"/>
      <w:numFmt w:val="bullet"/>
      <w:lvlText w:val=""/>
      <w:lvlJc w:val="left"/>
      <w:pPr>
        <w:tabs>
          <w:tab w:val="num" w:pos="2880"/>
        </w:tabs>
        <w:ind w:left="2520" w:hanging="360"/>
      </w:pPr>
      <w:rPr>
        <w:rFonts w:ascii="Wingdings" w:hAnsi="Wingdings" w:hint="default"/>
      </w:rPr>
    </w:lvl>
    <w:lvl w:ilvl="4" w:tplc="32D44A20" w:tentative="1">
      <w:start w:val="1"/>
      <w:numFmt w:val="bullet"/>
      <w:lvlText w:val=""/>
      <w:lvlJc w:val="left"/>
      <w:pPr>
        <w:tabs>
          <w:tab w:val="num" w:pos="3600"/>
        </w:tabs>
        <w:ind w:left="3240" w:hanging="360"/>
      </w:pPr>
      <w:rPr>
        <w:rFonts w:ascii="Wingdings" w:hAnsi="Wingdings" w:hint="default"/>
      </w:rPr>
    </w:lvl>
    <w:lvl w:ilvl="5" w:tplc="0C1E43F8" w:tentative="1">
      <w:start w:val="1"/>
      <w:numFmt w:val="bullet"/>
      <w:lvlText w:val=""/>
      <w:lvlJc w:val="left"/>
      <w:pPr>
        <w:tabs>
          <w:tab w:val="num" w:pos="4320"/>
        </w:tabs>
        <w:ind w:left="3960" w:hanging="360"/>
      </w:pPr>
      <w:rPr>
        <w:rFonts w:ascii="Wingdings" w:hAnsi="Wingdings" w:hint="default"/>
      </w:rPr>
    </w:lvl>
    <w:lvl w:ilvl="6" w:tplc="EC8A27F8" w:tentative="1">
      <w:start w:val="1"/>
      <w:numFmt w:val="bullet"/>
      <w:lvlText w:val=""/>
      <w:lvlJc w:val="left"/>
      <w:pPr>
        <w:tabs>
          <w:tab w:val="num" w:pos="5040"/>
        </w:tabs>
        <w:ind w:left="4680" w:hanging="360"/>
      </w:pPr>
      <w:rPr>
        <w:rFonts w:ascii="Wingdings" w:hAnsi="Wingdings" w:hint="default"/>
      </w:rPr>
    </w:lvl>
    <w:lvl w:ilvl="7" w:tplc="CB82CE34" w:tentative="1">
      <w:start w:val="1"/>
      <w:numFmt w:val="bullet"/>
      <w:lvlText w:val=""/>
      <w:lvlJc w:val="left"/>
      <w:pPr>
        <w:tabs>
          <w:tab w:val="num" w:pos="5760"/>
        </w:tabs>
        <w:ind w:left="5400" w:hanging="360"/>
      </w:pPr>
      <w:rPr>
        <w:rFonts w:ascii="Wingdings" w:hAnsi="Wingdings" w:hint="default"/>
      </w:rPr>
    </w:lvl>
    <w:lvl w:ilvl="8" w:tplc="2BF6ED48" w:tentative="1">
      <w:start w:val="1"/>
      <w:numFmt w:val="bullet"/>
      <w:lvlText w:val=""/>
      <w:lvlJc w:val="left"/>
      <w:pPr>
        <w:tabs>
          <w:tab w:val="num" w:pos="6480"/>
        </w:tabs>
        <w:ind w:left="6120" w:hanging="360"/>
      </w:pPr>
      <w:rPr>
        <w:rFonts w:ascii="Wingdings" w:hAnsi="Wingdings" w:hint="default"/>
      </w:rPr>
    </w:lvl>
  </w:abstractNum>
  <w:abstractNum w:abstractNumId="13" w15:restartNumberingAfterBreak="0">
    <w:nsid w:val="27773576"/>
    <w:multiLevelType w:val="multilevel"/>
    <w:tmpl w:val="5F1C2C02"/>
    <w:lvl w:ilvl="0">
      <w:start w:val="1"/>
      <w:numFmt w:val="lowerLetter"/>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C314CB"/>
    <w:multiLevelType w:val="hybridMultilevel"/>
    <w:tmpl w:val="3D4A9740"/>
    <w:lvl w:ilvl="0" w:tplc="1A42B3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B1431C"/>
    <w:multiLevelType w:val="hybridMultilevel"/>
    <w:tmpl w:val="9A542BF2"/>
    <w:lvl w:ilvl="0" w:tplc="37901C6E">
      <w:start w:val="1"/>
      <w:numFmt w:val="bullet"/>
      <w:lvlText w:val=""/>
      <w:lvlJc w:val="left"/>
      <w:pPr>
        <w:tabs>
          <w:tab w:val="num" w:pos="720"/>
        </w:tabs>
        <w:ind w:left="360" w:hanging="360"/>
      </w:pPr>
      <w:rPr>
        <w:rFonts w:ascii="Wingdings" w:hAnsi="Wingdings" w:hint="default"/>
      </w:rPr>
    </w:lvl>
    <w:lvl w:ilvl="1" w:tplc="2C2AA16A" w:tentative="1">
      <w:start w:val="1"/>
      <w:numFmt w:val="bullet"/>
      <w:lvlText w:val=""/>
      <w:lvlJc w:val="left"/>
      <w:pPr>
        <w:tabs>
          <w:tab w:val="num" w:pos="1440"/>
        </w:tabs>
        <w:ind w:left="1080" w:hanging="360"/>
      </w:pPr>
      <w:rPr>
        <w:rFonts w:ascii="Wingdings" w:hAnsi="Wingdings" w:hint="default"/>
      </w:rPr>
    </w:lvl>
    <w:lvl w:ilvl="2" w:tplc="0122BCC2" w:tentative="1">
      <w:start w:val="1"/>
      <w:numFmt w:val="bullet"/>
      <w:lvlText w:val=""/>
      <w:lvlJc w:val="left"/>
      <w:pPr>
        <w:tabs>
          <w:tab w:val="num" w:pos="2160"/>
        </w:tabs>
        <w:ind w:left="1800" w:hanging="360"/>
      </w:pPr>
      <w:rPr>
        <w:rFonts w:ascii="Wingdings" w:hAnsi="Wingdings" w:hint="default"/>
      </w:rPr>
    </w:lvl>
    <w:lvl w:ilvl="3" w:tplc="05BC45A2" w:tentative="1">
      <w:start w:val="1"/>
      <w:numFmt w:val="bullet"/>
      <w:lvlText w:val=""/>
      <w:lvlJc w:val="left"/>
      <w:pPr>
        <w:tabs>
          <w:tab w:val="num" w:pos="2880"/>
        </w:tabs>
        <w:ind w:left="2520" w:hanging="360"/>
      </w:pPr>
      <w:rPr>
        <w:rFonts w:ascii="Wingdings" w:hAnsi="Wingdings" w:hint="default"/>
      </w:rPr>
    </w:lvl>
    <w:lvl w:ilvl="4" w:tplc="CBCC03C2" w:tentative="1">
      <w:start w:val="1"/>
      <w:numFmt w:val="bullet"/>
      <w:lvlText w:val=""/>
      <w:lvlJc w:val="left"/>
      <w:pPr>
        <w:tabs>
          <w:tab w:val="num" w:pos="3600"/>
        </w:tabs>
        <w:ind w:left="3240" w:hanging="360"/>
      </w:pPr>
      <w:rPr>
        <w:rFonts w:ascii="Wingdings" w:hAnsi="Wingdings" w:hint="default"/>
      </w:rPr>
    </w:lvl>
    <w:lvl w:ilvl="5" w:tplc="A64EA402" w:tentative="1">
      <w:start w:val="1"/>
      <w:numFmt w:val="bullet"/>
      <w:lvlText w:val=""/>
      <w:lvlJc w:val="left"/>
      <w:pPr>
        <w:tabs>
          <w:tab w:val="num" w:pos="4320"/>
        </w:tabs>
        <w:ind w:left="3960" w:hanging="360"/>
      </w:pPr>
      <w:rPr>
        <w:rFonts w:ascii="Wingdings" w:hAnsi="Wingdings" w:hint="default"/>
      </w:rPr>
    </w:lvl>
    <w:lvl w:ilvl="6" w:tplc="8D267570" w:tentative="1">
      <w:start w:val="1"/>
      <w:numFmt w:val="bullet"/>
      <w:lvlText w:val=""/>
      <w:lvlJc w:val="left"/>
      <w:pPr>
        <w:tabs>
          <w:tab w:val="num" w:pos="5040"/>
        </w:tabs>
        <w:ind w:left="4680" w:hanging="360"/>
      </w:pPr>
      <w:rPr>
        <w:rFonts w:ascii="Wingdings" w:hAnsi="Wingdings" w:hint="default"/>
      </w:rPr>
    </w:lvl>
    <w:lvl w:ilvl="7" w:tplc="BA42F15C" w:tentative="1">
      <w:start w:val="1"/>
      <w:numFmt w:val="bullet"/>
      <w:lvlText w:val=""/>
      <w:lvlJc w:val="left"/>
      <w:pPr>
        <w:tabs>
          <w:tab w:val="num" w:pos="5760"/>
        </w:tabs>
        <w:ind w:left="5400" w:hanging="360"/>
      </w:pPr>
      <w:rPr>
        <w:rFonts w:ascii="Wingdings" w:hAnsi="Wingdings" w:hint="default"/>
      </w:rPr>
    </w:lvl>
    <w:lvl w:ilvl="8" w:tplc="0F5A32B6" w:tentative="1">
      <w:start w:val="1"/>
      <w:numFmt w:val="bullet"/>
      <w:lvlText w:val=""/>
      <w:lvlJc w:val="left"/>
      <w:pPr>
        <w:tabs>
          <w:tab w:val="num" w:pos="6480"/>
        </w:tabs>
        <w:ind w:left="6120" w:hanging="360"/>
      </w:pPr>
      <w:rPr>
        <w:rFonts w:ascii="Wingdings" w:hAnsi="Wingdings" w:hint="default"/>
      </w:rPr>
    </w:lvl>
  </w:abstractNum>
  <w:abstractNum w:abstractNumId="16" w15:restartNumberingAfterBreak="0">
    <w:nsid w:val="2EE37F92"/>
    <w:multiLevelType w:val="multilevel"/>
    <w:tmpl w:val="CE484D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306D7F58"/>
    <w:multiLevelType w:val="hybridMultilevel"/>
    <w:tmpl w:val="4420E79A"/>
    <w:lvl w:ilvl="0" w:tplc="21F2C2A6">
      <w:start w:val="1"/>
      <w:numFmt w:val="bullet"/>
      <w:lvlText w:val=""/>
      <w:lvlJc w:val="left"/>
      <w:pPr>
        <w:tabs>
          <w:tab w:val="num" w:pos="720"/>
        </w:tabs>
        <w:ind w:left="360" w:hanging="360"/>
      </w:pPr>
      <w:rPr>
        <w:rFonts w:ascii="Wingdings" w:hAnsi="Wingdings" w:hint="default"/>
      </w:rPr>
    </w:lvl>
    <w:lvl w:ilvl="1" w:tplc="FB4E8FFA" w:tentative="1">
      <w:start w:val="1"/>
      <w:numFmt w:val="bullet"/>
      <w:lvlText w:val=""/>
      <w:lvlJc w:val="left"/>
      <w:pPr>
        <w:tabs>
          <w:tab w:val="num" w:pos="1440"/>
        </w:tabs>
        <w:ind w:left="1080" w:hanging="360"/>
      </w:pPr>
      <w:rPr>
        <w:rFonts w:ascii="Wingdings" w:hAnsi="Wingdings" w:hint="default"/>
      </w:rPr>
    </w:lvl>
    <w:lvl w:ilvl="2" w:tplc="0E309BEC" w:tentative="1">
      <w:start w:val="1"/>
      <w:numFmt w:val="bullet"/>
      <w:lvlText w:val=""/>
      <w:lvlJc w:val="left"/>
      <w:pPr>
        <w:tabs>
          <w:tab w:val="num" w:pos="2160"/>
        </w:tabs>
        <w:ind w:left="1800" w:hanging="360"/>
      </w:pPr>
      <w:rPr>
        <w:rFonts w:ascii="Wingdings" w:hAnsi="Wingdings" w:hint="default"/>
      </w:rPr>
    </w:lvl>
    <w:lvl w:ilvl="3" w:tplc="414EBA6E" w:tentative="1">
      <w:start w:val="1"/>
      <w:numFmt w:val="bullet"/>
      <w:lvlText w:val=""/>
      <w:lvlJc w:val="left"/>
      <w:pPr>
        <w:tabs>
          <w:tab w:val="num" w:pos="2880"/>
        </w:tabs>
        <w:ind w:left="2520" w:hanging="360"/>
      </w:pPr>
      <w:rPr>
        <w:rFonts w:ascii="Wingdings" w:hAnsi="Wingdings" w:hint="default"/>
      </w:rPr>
    </w:lvl>
    <w:lvl w:ilvl="4" w:tplc="AEB86340" w:tentative="1">
      <w:start w:val="1"/>
      <w:numFmt w:val="bullet"/>
      <w:lvlText w:val=""/>
      <w:lvlJc w:val="left"/>
      <w:pPr>
        <w:tabs>
          <w:tab w:val="num" w:pos="3600"/>
        </w:tabs>
        <w:ind w:left="3240" w:hanging="360"/>
      </w:pPr>
      <w:rPr>
        <w:rFonts w:ascii="Wingdings" w:hAnsi="Wingdings" w:hint="default"/>
      </w:rPr>
    </w:lvl>
    <w:lvl w:ilvl="5" w:tplc="EFF2CFAE" w:tentative="1">
      <w:start w:val="1"/>
      <w:numFmt w:val="bullet"/>
      <w:lvlText w:val=""/>
      <w:lvlJc w:val="left"/>
      <w:pPr>
        <w:tabs>
          <w:tab w:val="num" w:pos="4320"/>
        </w:tabs>
        <w:ind w:left="3960" w:hanging="360"/>
      </w:pPr>
      <w:rPr>
        <w:rFonts w:ascii="Wingdings" w:hAnsi="Wingdings" w:hint="default"/>
      </w:rPr>
    </w:lvl>
    <w:lvl w:ilvl="6" w:tplc="BF04B62A" w:tentative="1">
      <w:start w:val="1"/>
      <w:numFmt w:val="bullet"/>
      <w:lvlText w:val=""/>
      <w:lvlJc w:val="left"/>
      <w:pPr>
        <w:tabs>
          <w:tab w:val="num" w:pos="5040"/>
        </w:tabs>
        <w:ind w:left="4680" w:hanging="360"/>
      </w:pPr>
      <w:rPr>
        <w:rFonts w:ascii="Wingdings" w:hAnsi="Wingdings" w:hint="default"/>
      </w:rPr>
    </w:lvl>
    <w:lvl w:ilvl="7" w:tplc="F4109D24" w:tentative="1">
      <w:start w:val="1"/>
      <w:numFmt w:val="bullet"/>
      <w:lvlText w:val=""/>
      <w:lvlJc w:val="left"/>
      <w:pPr>
        <w:tabs>
          <w:tab w:val="num" w:pos="5760"/>
        </w:tabs>
        <w:ind w:left="5400" w:hanging="360"/>
      </w:pPr>
      <w:rPr>
        <w:rFonts w:ascii="Wingdings" w:hAnsi="Wingdings" w:hint="default"/>
      </w:rPr>
    </w:lvl>
    <w:lvl w:ilvl="8" w:tplc="F2C2C5B6" w:tentative="1">
      <w:start w:val="1"/>
      <w:numFmt w:val="bullet"/>
      <w:lvlText w:val=""/>
      <w:lvlJc w:val="left"/>
      <w:pPr>
        <w:tabs>
          <w:tab w:val="num" w:pos="6480"/>
        </w:tabs>
        <w:ind w:left="6120" w:hanging="360"/>
      </w:pPr>
      <w:rPr>
        <w:rFonts w:ascii="Wingdings" w:hAnsi="Wingdings" w:hint="default"/>
      </w:rPr>
    </w:lvl>
  </w:abstractNum>
  <w:abstractNum w:abstractNumId="18" w15:restartNumberingAfterBreak="0">
    <w:nsid w:val="35E55627"/>
    <w:multiLevelType w:val="hybridMultilevel"/>
    <w:tmpl w:val="B65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486DF3"/>
    <w:multiLevelType w:val="multilevel"/>
    <w:tmpl w:val="A3768E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3FCF201B"/>
    <w:multiLevelType w:val="hybridMultilevel"/>
    <w:tmpl w:val="AD36A19C"/>
    <w:lvl w:ilvl="0" w:tplc="08620CB2">
      <w:start w:val="1"/>
      <w:numFmt w:val="bullet"/>
      <w:lvlText w:val=""/>
      <w:lvlJc w:val="left"/>
      <w:pPr>
        <w:tabs>
          <w:tab w:val="num" w:pos="720"/>
        </w:tabs>
        <w:ind w:left="360" w:hanging="360"/>
      </w:pPr>
      <w:rPr>
        <w:rFonts w:ascii="Wingdings" w:hAnsi="Wingdings" w:hint="default"/>
      </w:rPr>
    </w:lvl>
    <w:lvl w:ilvl="1" w:tplc="6250F298" w:tentative="1">
      <w:start w:val="1"/>
      <w:numFmt w:val="bullet"/>
      <w:lvlText w:val=""/>
      <w:lvlJc w:val="left"/>
      <w:pPr>
        <w:tabs>
          <w:tab w:val="num" w:pos="1440"/>
        </w:tabs>
        <w:ind w:left="1080" w:hanging="360"/>
      </w:pPr>
      <w:rPr>
        <w:rFonts w:ascii="Wingdings" w:hAnsi="Wingdings" w:hint="default"/>
      </w:rPr>
    </w:lvl>
    <w:lvl w:ilvl="2" w:tplc="336E7510" w:tentative="1">
      <w:start w:val="1"/>
      <w:numFmt w:val="bullet"/>
      <w:lvlText w:val=""/>
      <w:lvlJc w:val="left"/>
      <w:pPr>
        <w:tabs>
          <w:tab w:val="num" w:pos="2160"/>
        </w:tabs>
        <w:ind w:left="1800" w:hanging="360"/>
      </w:pPr>
      <w:rPr>
        <w:rFonts w:ascii="Wingdings" w:hAnsi="Wingdings" w:hint="default"/>
      </w:rPr>
    </w:lvl>
    <w:lvl w:ilvl="3" w:tplc="5F6C4622" w:tentative="1">
      <w:start w:val="1"/>
      <w:numFmt w:val="bullet"/>
      <w:lvlText w:val=""/>
      <w:lvlJc w:val="left"/>
      <w:pPr>
        <w:tabs>
          <w:tab w:val="num" w:pos="2880"/>
        </w:tabs>
        <w:ind w:left="2520" w:hanging="360"/>
      </w:pPr>
      <w:rPr>
        <w:rFonts w:ascii="Wingdings" w:hAnsi="Wingdings" w:hint="default"/>
      </w:rPr>
    </w:lvl>
    <w:lvl w:ilvl="4" w:tplc="E140D5EE" w:tentative="1">
      <w:start w:val="1"/>
      <w:numFmt w:val="bullet"/>
      <w:lvlText w:val=""/>
      <w:lvlJc w:val="left"/>
      <w:pPr>
        <w:tabs>
          <w:tab w:val="num" w:pos="3600"/>
        </w:tabs>
        <w:ind w:left="3240" w:hanging="360"/>
      </w:pPr>
      <w:rPr>
        <w:rFonts w:ascii="Wingdings" w:hAnsi="Wingdings" w:hint="default"/>
      </w:rPr>
    </w:lvl>
    <w:lvl w:ilvl="5" w:tplc="BC488B74" w:tentative="1">
      <w:start w:val="1"/>
      <w:numFmt w:val="bullet"/>
      <w:lvlText w:val=""/>
      <w:lvlJc w:val="left"/>
      <w:pPr>
        <w:tabs>
          <w:tab w:val="num" w:pos="4320"/>
        </w:tabs>
        <w:ind w:left="3960" w:hanging="360"/>
      </w:pPr>
      <w:rPr>
        <w:rFonts w:ascii="Wingdings" w:hAnsi="Wingdings" w:hint="default"/>
      </w:rPr>
    </w:lvl>
    <w:lvl w:ilvl="6" w:tplc="6480E2B2" w:tentative="1">
      <w:start w:val="1"/>
      <w:numFmt w:val="bullet"/>
      <w:lvlText w:val=""/>
      <w:lvlJc w:val="left"/>
      <w:pPr>
        <w:tabs>
          <w:tab w:val="num" w:pos="5040"/>
        </w:tabs>
        <w:ind w:left="4680" w:hanging="360"/>
      </w:pPr>
      <w:rPr>
        <w:rFonts w:ascii="Wingdings" w:hAnsi="Wingdings" w:hint="default"/>
      </w:rPr>
    </w:lvl>
    <w:lvl w:ilvl="7" w:tplc="56C41A4E" w:tentative="1">
      <w:start w:val="1"/>
      <w:numFmt w:val="bullet"/>
      <w:lvlText w:val=""/>
      <w:lvlJc w:val="left"/>
      <w:pPr>
        <w:tabs>
          <w:tab w:val="num" w:pos="5760"/>
        </w:tabs>
        <w:ind w:left="5400" w:hanging="360"/>
      </w:pPr>
      <w:rPr>
        <w:rFonts w:ascii="Wingdings" w:hAnsi="Wingdings" w:hint="default"/>
      </w:rPr>
    </w:lvl>
    <w:lvl w:ilvl="8" w:tplc="65E0C282" w:tentative="1">
      <w:start w:val="1"/>
      <w:numFmt w:val="bullet"/>
      <w:lvlText w:val=""/>
      <w:lvlJc w:val="left"/>
      <w:pPr>
        <w:tabs>
          <w:tab w:val="num" w:pos="6480"/>
        </w:tabs>
        <w:ind w:left="6120" w:hanging="360"/>
      </w:pPr>
      <w:rPr>
        <w:rFonts w:ascii="Wingdings" w:hAnsi="Wingdings" w:hint="default"/>
      </w:rPr>
    </w:lvl>
  </w:abstractNum>
  <w:abstractNum w:abstractNumId="21" w15:restartNumberingAfterBreak="0">
    <w:nsid w:val="4113455C"/>
    <w:multiLevelType w:val="hybridMultilevel"/>
    <w:tmpl w:val="281AC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D064F0"/>
    <w:multiLevelType w:val="multilevel"/>
    <w:tmpl w:val="1980A79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492142D6"/>
    <w:multiLevelType w:val="hybridMultilevel"/>
    <w:tmpl w:val="B218F30C"/>
    <w:lvl w:ilvl="0" w:tplc="7F881E12">
      <w:start w:val="1"/>
      <w:numFmt w:val="bullet"/>
      <w:lvlText w:val=""/>
      <w:lvlJc w:val="left"/>
      <w:pPr>
        <w:tabs>
          <w:tab w:val="num" w:pos="720"/>
        </w:tabs>
        <w:ind w:left="360" w:hanging="360"/>
      </w:pPr>
      <w:rPr>
        <w:rFonts w:ascii="Wingdings" w:hAnsi="Wingdings" w:hint="default"/>
      </w:rPr>
    </w:lvl>
    <w:lvl w:ilvl="1" w:tplc="00FC04DA" w:tentative="1">
      <w:start w:val="1"/>
      <w:numFmt w:val="bullet"/>
      <w:lvlText w:val=""/>
      <w:lvlJc w:val="left"/>
      <w:pPr>
        <w:tabs>
          <w:tab w:val="num" w:pos="1440"/>
        </w:tabs>
        <w:ind w:left="1080" w:hanging="360"/>
      </w:pPr>
      <w:rPr>
        <w:rFonts w:ascii="Wingdings" w:hAnsi="Wingdings" w:hint="default"/>
      </w:rPr>
    </w:lvl>
    <w:lvl w:ilvl="2" w:tplc="75AA9528" w:tentative="1">
      <w:start w:val="1"/>
      <w:numFmt w:val="bullet"/>
      <w:lvlText w:val=""/>
      <w:lvlJc w:val="left"/>
      <w:pPr>
        <w:tabs>
          <w:tab w:val="num" w:pos="2160"/>
        </w:tabs>
        <w:ind w:left="1800" w:hanging="360"/>
      </w:pPr>
      <w:rPr>
        <w:rFonts w:ascii="Wingdings" w:hAnsi="Wingdings" w:hint="default"/>
      </w:rPr>
    </w:lvl>
    <w:lvl w:ilvl="3" w:tplc="8D78DDE4" w:tentative="1">
      <w:start w:val="1"/>
      <w:numFmt w:val="bullet"/>
      <w:lvlText w:val=""/>
      <w:lvlJc w:val="left"/>
      <w:pPr>
        <w:tabs>
          <w:tab w:val="num" w:pos="2880"/>
        </w:tabs>
        <w:ind w:left="2520" w:hanging="360"/>
      </w:pPr>
      <w:rPr>
        <w:rFonts w:ascii="Wingdings" w:hAnsi="Wingdings" w:hint="default"/>
      </w:rPr>
    </w:lvl>
    <w:lvl w:ilvl="4" w:tplc="FD008438" w:tentative="1">
      <w:start w:val="1"/>
      <w:numFmt w:val="bullet"/>
      <w:lvlText w:val=""/>
      <w:lvlJc w:val="left"/>
      <w:pPr>
        <w:tabs>
          <w:tab w:val="num" w:pos="3600"/>
        </w:tabs>
        <w:ind w:left="3240" w:hanging="360"/>
      </w:pPr>
      <w:rPr>
        <w:rFonts w:ascii="Wingdings" w:hAnsi="Wingdings" w:hint="default"/>
      </w:rPr>
    </w:lvl>
    <w:lvl w:ilvl="5" w:tplc="F47CF62E" w:tentative="1">
      <w:start w:val="1"/>
      <w:numFmt w:val="bullet"/>
      <w:lvlText w:val=""/>
      <w:lvlJc w:val="left"/>
      <w:pPr>
        <w:tabs>
          <w:tab w:val="num" w:pos="4320"/>
        </w:tabs>
        <w:ind w:left="3960" w:hanging="360"/>
      </w:pPr>
      <w:rPr>
        <w:rFonts w:ascii="Wingdings" w:hAnsi="Wingdings" w:hint="default"/>
      </w:rPr>
    </w:lvl>
    <w:lvl w:ilvl="6" w:tplc="06C4E536" w:tentative="1">
      <w:start w:val="1"/>
      <w:numFmt w:val="bullet"/>
      <w:lvlText w:val=""/>
      <w:lvlJc w:val="left"/>
      <w:pPr>
        <w:tabs>
          <w:tab w:val="num" w:pos="5040"/>
        </w:tabs>
        <w:ind w:left="4680" w:hanging="360"/>
      </w:pPr>
      <w:rPr>
        <w:rFonts w:ascii="Wingdings" w:hAnsi="Wingdings" w:hint="default"/>
      </w:rPr>
    </w:lvl>
    <w:lvl w:ilvl="7" w:tplc="F2F8CAEC" w:tentative="1">
      <w:start w:val="1"/>
      <w:numFmt w:val="bullet"/>
      <w:lvlText w:val=""/>
      <w:lvlJc w:val="left"/>
      <w:pPr>
        <w:tabs>
          <w:tab w:val="num" w:pos="5760"/>
        </w:tabs>
        <w:ind w:left="5400" w:hanging="360"/>
      </w:pPr>
      <w:rPr>
        <w:rFonts w:ascii="Wingdings" w:hAnsi="Wingdings" w:hint="default"/>
      </w:rPr>
    </w:lvl>
    <w:lvl w:ilvl="8" w:tplc="4508A88C" w:tentative="1">
      <w:start w:val="1"/>
      <w:numFmt w:val="bullet"/>
      <w:lvlText w:val=""/>
      <w:lvlJc w:val="left"/>
      <w:pPr>
        <w:tabs>
          <w:tab w:val="num" w:pos="6480"/>
        </w:tabs>
        <w:ind w:left="6120" w:hanging="360"/>
      </w:pPr>
      <w:rPr>
        <w:rFonts w:ascii="Wingdings" w:hAnsi="Wingdings" w:hint="default"/>
      </w:rPr>
    </w:lvl>
  </w:abstractNum>
  <w:abstractNum w:abstractNumId="24" w15:restartNumberingAfterBreak="0">
    <w:nsid w:val="4D167EE4"/>
    <w:multiLevelType w:val="hybridMultilevel"/>
    <w:tmpl w:val="C4FA42F4"/>
    <w:lvl w:ilvl="0" w:tplc="E0BE8A2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825651"/>
    <w:multiLevelType w:val="multilevel"/>
    <w:tmpl w:val="D4C65B30"/>
    <w:lvl w:ilvl="0">
      <w:start w:val="1"/>
      <w:numFmt w:val="decimal"/>
      <w:lvlText w:val="%1."/>
      <w:lvlJc w:val="left"/>
      <w:pPr>
        <w:ind w:left="360" w:hanging="360"/>
      </w:pPr>
      <w:rPr>
        <w:rFonts w:ascii="Arial" w:eastAsia="Arial" w:hAnsi="Arial" w:cs="Arial"/>
        <w:b/>
        <w:vertAlign w:val="baseli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4F32D63"/>
    <w:multiLevelType w:val="hybridMultilevel"/>
    <w:tmpl w:val="ED3EE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8A62AD"/>
    <w:multiLevelType w:val="hybridMultilevel"/>
    <w:tmpl w:val="80A83B50"/>
    <w:lvl w:ilvl="0" w:tplc="9000D21E">
      <w:start w:val="1"/>
      <w:numFmt w:val="bullet"/>
      <w:lvlText w:val=""/>
      <w:lvlJc w:val="left"/>
      <w:pPr>
        <w:tabs>
          <w:tab w:val="num" w:pos="720"/>
        </w:tabs>
        <w:ind w:left="360" w:hanging="360"/>
      </w:pPr>
      <w:rPr>
        <w:rFonts w:ascii="Wingdings" w:hAnsi="Wingdings" w:hint="default"/>
      </w:rPr>
    </w:lvl>
    <w:lvl w:ilvl="1" w:tplc="6778E5D2" w:tentative="1">
      <w:start w:val="1"/>
      <w:numFmt w:val="bullet"/>
      <w:lvlText w:val=""/>
      <w:lvlJc w:val="left"/>
      <w:pPr>
        <w:tabs>
          <w:tab w:val="num" w:pos="1440"/>
        </w:tabs>
        <w:ind w:left="1080" w:hanging="360"/>
      </w:pPr>
      <w:rPr>
        <w:rFonts w:ascii="Wingdings" w:hAnsi="Wingdings" w:hint="default"/>
      </w:rPr>
    </w:lvl>
    <w:lvl w:ilvl="2" w:tplc="627469BC" w:tentative="1">
      <w:start w:val="1"/>
      <w:numFmt w:val="bullet"/>
      <w:lvlText w:val=""/>
      <w:lvlJc w:val="left"/>
      <w:pPr>
        <w:tabs>
          <w:tab w:val="num" w:pos="2160"/>
        </w:tabs>
        <w:ind w:left="1800" w:hanging="360"/>
      </w:pPr>
      <w:rPr>
        <w:rFonts w:ascii="Wingdings" w:hAnsi="Wingdings" w:hint="default"/>
      </w:rPr>
    </w:lvl>
    <w:lvl w:ilvl="3" w:tplc="B2EC8208" w:tentative="1">
      <w:start w:val="1"/>
      <w:numFmt w:val="bullet"/>
      <w:lvlText w:val=""/>
      <w:lvlJc w:val="left"/>
      <w:pPr>
        <w:tabs>
          <w:tab w:val="num" w:pos="2880"/>
        </w:tabs>
        <w:ind w:left="2520" w:hanging="360"/>
      </w:pPr>
      <w:rPr>
        <w:rFonts w:ascii="Wingdings" w:hAnsi="Wingdings" w:hint="default"/>
      </w:rPr>
    </w:lvl>
    <w:lvl w:ilvl="4" w:tplc="FDD2EC4C" w:tentative="1">
      <w:start w:val="1"/>
      <w:numFmt w:val="bullet"/>
      <w:lvlText w:val=""/>
      <w:lvlJc w:val="left"/>
      <w:pPr>
        <w:tabs>
          <w:tab w:val="num" w:pos="3600"/>
        </w:tabs>
        <w:ind w:left="3240" w:hanging="360"/>
      </w:pPr>
      <w:rPr>
        <w:rFonts w:ascii="Wingdings" w:hAnsi="Wingdings" w:hint="default"/>
      </w:rPr>
    </w:lvl>
    <w:lvl w:ilvl="5" w:tplc="AABA2ACC" w:tentative="1">
      <w:start w:val="1"/>
      <w:numFmt w:val="bullet"/>
      <w:lvlText w:val=""/>
      <w:lvlJc w:val="left"/>
      <w:pPr>
        <w:tabs>
          <w:tab w:val="num" w:pos="4320"/>
        </w:tabs>
        <w:ind w:left="3960" w:hanging="360"/>
      </w:pPr>
      <w:rPr>
        <w:rFonts w:ascii="Wingdings" w:hAnsi="Wingdings" w:hint="default"/>
      </w:rPr>
    </w:lvl>
    <w:lvl w:ilvl="6" w:tplc="2DAA407C" w:tentative="1">
      <w:start w:val="1"/>
      <w:numFmt w:val="bullet"/>
      <w:lvlText w:val=""/>
      <w:lvlJc w:val="left"/>
      <w:pPr>
        <w:tabs>
          <w:tab w:val="num" w:pos="5040"/>
        </w:tabs>
        <w:ind w:left="4680" w:hanging="360"/>
      </w:pPr>
      <w:rPr>
        <w:rFonts w:ascii="Wingdings" w:hAnsi="Wingdings" w:hint="default"/>
      </w:rPr>
    </w:lvl>
    <w:lvl w:ilvl="7" w:tplc="51B4F7B4" w:tentative="1">
      <w:start w:val="1"/>
      <w:numFmt w:val="bullet"/>
      <w:lvlText w:val=""/>
      <w:lvlJc w:val="left"/>
      <w:pPr>
        <w:tabs>
          <w:tab w:val="num" w:pos="5760"/>
        </w:tabs>
        <w:ind w:left="5400" w:hanging="360"/>
      </w:pPr>
      <w:rPr>
        <w:rFonts w:ascii="Wingdings" w:hAnsi="Wingdings" w:hint="default"/>
      </w:rPr>
    </w:lvl>
    <w:lvl w:ilvl="8" w:tplc="3514BE72" w:tentative="1">
      <w:start w:val="1"/>
      <w:numFmt w:val="bullet"/>
      <w:lvlText w:val=""/>
      <w:lvlJc w:val="left"/>
      <w:pPr>
        <w:tabs>
          <w:tab w:val="num" w:pos="6480"/>
        </w:tabs>
        <w:ind w:left="6120" w:hanging="360"/>
      </w:pPr>
      <w:rPr>
        <w:rFonts w:ascii="Wingdings" w:hAnsi="Wingdings" w:hint="default"/>
      </w:rPr>
    </w:lvl>
  </w:abstractNum>
  <w:abstractNum w:abstractNumId="28" w15:restartNumberingAfterBreak="0">
    <w:nsid w:val="5A564C4B"/>
    <w:multiLevelType w:val="hybridMultilevel"/>
    <w:tmpl w:val="1C22C89E"/>
    <w:lvl w:ilvl="0" w:tplc="FBAEF4CA">
      <w:start w:val="1"/>
      <w:numFmt w:val="bullet"/>
      <w:lvlText w:val=""/>
      <w:lvlJc w:val="left"/>
      <w:pPr>
        <w:tabs>
          <w:tab w:val="num" w:pos="720"/>
        </w:tabs>
        <w:ind w:left="360" w:hanging="360"/>
      </w:pPr>
      <w:rPr>
        <w:rFonts w:ascii="Wingdings" w:hAnsi="Wingdings" w:hint="default"/>
      </w:rPr>
    </w:lvl>
    <w:lvl w:ilvl="1" w:tplc="AB30E198" w:tentative="1">
      <w:start w:val="1"/>
      <w:numFmt w:val="bullet"/>
      <w:lvlText w:val=""/>
      <w:lvlJc w:val="left"/>
      <w:pPr>
        <w:tabs>
          <w:tab w:val="num" w:pos="1440"/>
        </w:tabs>
        <w:ind w:left="1080" w:hanging="360"/>
      </w:pPr>
      <w:rPr>
        <w:rFonts w:ascii="Wingdings" w:hAnsi="Wingdings" w:hint="default"/>
      </w:rPr>
    </w:lvl>
    <w:lvl w:ilvl="2" w:tplc="45AC5A80" w:tentative="1">
      <w:start w:val="1"/>
      <w:numFmt w:val="bullet"/>
      <w:lvlText w:val=""/>
      <w:lvlJc w:val="left"/>
      <w:pPr>
        <w:tabs>
          <w:tab w:val="num" w:pos="2160"/>
        </w:tabs>
        <w:ind w:left="1800" w:hanging="360"/>
      </w:pPr>
      <w:rPr>
        <w:rFonts w:ascii="Wingdings" w:hAnsi="Wingdings" w:hint="default"/>
      </w:rPr>
    </w:lvl>
    <w:lvl w:ilvl="3" w:tplc="5DECB008" w:tentative="1">
      <w:start w:val="1"/>
      <w:numFmt w:val="bullet"/>
      <w:lvlText w:val=""/>
      <w:lvlJc w:val="left"/>
      <w:pPr>
        <w:tabs>
          <w:tab w:val="num" w:pos="2880"/>
        </w:tabs>
        <w:ind w:left="2520" w:hanging="360"/>
      </w:pPr>
      <w:rPr>
        <w:rFonts w:ascii="Wingdings" w:hAnsi="Wingdings" w:hint="default"/>
      </w:rPr>
    </w:lvl>
    <w:lvl w:ilvl="4" w:tplc="B948ADEC" w:tentative="1">
      <w:start w:val="1"/>
      <w:numFmt w:val="bullet"/>
      <w:lvlText w:val=""/>
      <w:lvlJc w:val="left"/>
      <w:pPr>
        <w:tabs>
          <w:tab w:val="num" w:pos="3600"/>
        </w:tabs>
        <w:ind w:left="3240" w:hanging="360"/>
      </w:pPr>
      <w:rPr>
        <w:rFonts w:ascii="Wingdings" w:hAnsi="Wingdings" w:hint="default"/>
      </w:rPr>
    </w:lvl>
    <w:lvl w:ilvl="5" w:tplc="D31A2766" w:tentative="1">
      <w:start w:val="1"/>
      <w:numFmt w:val="bullet"/>
      <w:lvlText w:val=""/>
      <w:lvlJc w:val="left"/>
      <w:pPr>
        <w:tabs>
          <w:tab w:val="num" w:pos="4320"/>
        </w:tabs>
        <w:ind w:left="3960" w:hanging="360"/>
      </w:pPr>
      <w:rPr>
        <w:rFonts w:ascii="Wingdings" w:hAnsi="Wingdings" w:hint="default"/>
      </w:rPr>
    </w:lvl>
    <w:lvl w:ilvl="6" w:tplc="DF1E1B92" w:tentative="1">
      <w:start w:val="1"/>
      <w:numFmt w:val="bullet"/>
      <w:lvlText w:val=""/>
      <w:lvlJc w:val="left"/>
      <w:pPr>
        <w:tabs>
          <w:tab w:val="num" w:pos="5040"/>
        </w:tabs>
        <w:ind w:left="4680" w:hanging="360"/>
      </w:pPr>
      <w:rPr>
        <w:rFonts w:ascii="Wingdings" w:hAnsi="Wingdings" w:hint="default"/>
      </w:rPr>
    </w:lvl>
    <w:lvl w:ilvl="7" w:tplc="F772994E" w:tentative="1">
      <w:start w:val="1"/>
      <w:numFmt w:val="bullet"/>
      <w:lvlText w:val=""/>
      <w:lvlJc w:val="left"/>
      <w:pPr>
        <w:tabs>
          <w:tab w:val="num" w:pos="5760"/>
        </w:tabs>
        <w:ind w:left="5400" w:hanging="360"/>
      </w:pPr>
      <w:rPr>
        <w:rFonts w:ascii="Wingdings" w:hAnsi="Wingdings" w:hint="default"/>
      </w:rPr>
    </w:lvl>
    <w:lvl w:ilvl="8" w:tplc="D9E006F4" w:tentative="1">
      <w:start w:val="1"/>
      <w:numFmt w:val="bullet"/>
      <w:lvlText w:val=""/>
      <w:lvlJc w:val="left"/>
      <w:pPr>
        <w:tabs>
          <w:tab w:val="num" w:pos="6480"/>
        </w:tabs>
        <w:ind w:left="6120" w:hanging="360"/>
      </w:pPr>
      <w:rPr>
        <w:rFonts w:ascii="Wingdings" w:hAnsi="Wingdings" w:hint="default"/>
      </w:rPr>
    </w:lvl>
  </w:abstractNum>
  <w:abstractNum w:abstractNumId="29" w15:restartNumberingAfterBreak="0">
    <w:nsid w:val="659B2579"/>
    <w:multiLevelType w:val="hybridMultilevel"/>
    <w:tmpl w:val="8E82B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737588"/>
    <w:multiLevelType w:val="hybridMultilevel"/>
    <w:tmpl w:val="680E8154"/>
    <w:lvl w:ilvl="0" w:tplc="AD2CFE12">
      <w:start w:val="1"/>
      <w:numFmt w:val="bullet"/>
      <w:lvlText w:val=""/>
      <w:lvlJc w:val="left"/>
      <w:pPr>
        <w:tabs>
          <w:tab w:val="num" w:pos="720"/>
        </w:tabs>
        <w:ind w:left="360" w:hanging="360"/>
      </w:pPr>
      <w:rPr>
        <w:rFonts w:ascii="Wingdings" w:hAnsi="Wingdings" w:hint="default"/>
      </w:rPr>
    </w:lvl>
    <w:lvl w:ilvl="1" w:tplc="9F76222E" w:tentative="1">
      <w:start w:val="1"/>
      <w:numFmt w:val="bullet"/>
      <w:lvlText w:val=""/>
      <w:lvlJc w:val="left"/>
      <w:pPr>
        <w:tabs>
          <w:tab w:val="num" w:pos="1440"/>
        </w:tabs>
        <w:ind w:left="1080" w:hanging="360"/>
      </w:pPr>
      <w:rPr>
        <w:rFonts w:ascii="Wingdings" w:hAnsi="Wingdings" w:hint="default"/>
      </w:rPr>
    </w:lvl>
    <w:lvl w:ilvl="2" w:tplc="7F929086" w:tentative="1">
      <w:start w:val="1"/>
      <w:numFmt w:val="bullet"/>
      <w:lvlText w:val=""/>
      <w:lvlJc w:val="left"/>
      <w:pPr>
        <w:tabs>
          <w:tab w:val="num" w:pos="2160"/>
        </w:tabs>
        <w:ind w:left="1800" w:hanging="360"/>
      </w:pPr>
      <w:rPr>
        <w:rFonts w:ascii="Wingdings" w:hAnsi="Wingdings" w:hint="default"/>
      </w:rPr>
    </w:lvl>
    <w:lvl w:ilvl="3" w:tplc="EF16D29A" w:tentative="1">
      <w:start w:val="1"/>
      <w:numFmt w:val="bullet"/>
      <w:lvlText w:val=""/>
      <w:lvlJc w:val="left"/>
      <w:pPr>
        <w:tabs>
          <w:tab w:val="num" w:pos="2880"/>
        </w:tabs>
        <w:ind w:left="2520" w:hanging="360"/>
      </w:pPr>
      <w:rPr>
        <w:rFonts w:ascii="Wingdings" w:hAnsi="Wingdings" w:hint="default"/>
      </w:rPr>
    </w:lvl>
    <w:lvl w:ilvl="4" w:tplc="0334648A" w:tentative="1">
      <w:start w:val="1"/>
      <w:numFmt w:val="bullet"/>
      <w:lvlText w:val=""/>
      <w:lvlJc w:val="left"/>
      <w:pPr>
        <w:tabs>
          <w:tab w:val="num" w:pos="3600"/>
        </w:tabs>
        <w:ind w:left="3240" w:hanging="360"/>
      </w:pPr>
      <w:rPr>
        <w:rFonts w:ascii="Wingdings" w:hAnsi="Wingdings" w:hint="default"/>
      </w:rPr>
    </w:lvl>
    <w:lvl w:ilvl="5" w:tplc="7F8A470A" w:tentative="1">
      <w:start w:val="1"/>
      <w:numFmt w:val="bullet"/>
      <w:lvlText w:val=""/>
      <w:lvlJc w:val="left"/>
      <w:pPr>
        <w:tabs>
          <w:tab w:val="num" w:pos="4320"/>
        </w:tabs>
        <w:ind w:left="3960" w:hanging="360"/>
      </w:pPr>
      <w:rPr>
        <w:rFonts w:ascii="Wingdings" w:hAnsi="Wingdings" w:hint="default"/>
      </w:rPr>
    </w:lvl>
    <w:lvl w:ilvl="6" w:tplc="98C2D196" w:tentative="1">
      <w:start w:val="1"/>
      <w:numFmt w:val="bullet"/>
      <w:lvlText w:val=""/>
      <w:lvlJc w:val="left"/>
      <w:pPr>
        <w:tabs>
          <w:tab w:val="num" w:pos="5040"/>
        </w:tabs>
        <w:ind w:left="4680" w:hanging="360"/>
      </w:pPr>
      <w:rPr>
        <w:rFonts w:ascii="Wingdings" w:hAnsi="Wingdings" w:hint="default"/>
      </w:rPr>
    </w:lvl>
    <w:lvl w:ilvl="7" w:tplc="E8C21CB2" w:tentative="1">
      <w:start w:val="1"/>
      <w:numFmt w:val="bullet"/>
      <w:lvlText w:val=""/>
      <w:lvlJc w:val="left"/>
      <w:pPr>
        <w:tabs>
          <w:tab w:val="num" w:pos="5760"/>
        </w:tabs>
        <w:ind w:left="5400" w:hanging="360"/>
      </w:pPr>
      <w:rPr>
        <w:rFonts w:ascii="Wingdings" w:hAnsi="Wingdings" w:hint="default"/>
      </w:rPr>
    </w:lvl>
    <w:lvl w:ilvl="8" w:tplc="5E2888C0" w:tentative="1">
      <w:start w:val="1"/>
      <w:numFmt w:val="bullet"/>
      <w:lvlText w:val=""/>
      <w:lvlJc w:val="left"/>
      <w:pPr>
        <w:tabs>
          <w:tab w:val="num" w:pos="6480"/>
        </w:tabs>
        <w:ind w:left="6120" w:hanging="360"/>
      </w:pPr>
      <w:rPr>
        <w:rFonts w:ascii="Wingdings" w:hAnsi="Wingdings" w:hint="default"/>
      </w:rPr>
    </w:lvl>
  </w:abstractNum>
  <w:abstractNum w:abstractNumId="31" w15:restartNumberingAfterBreak="0">
    <w:nsid w:val="68427D39"/>
    <w:multiLevelType w:val="hybridMultilevel"/>
    <w:tmpl w:val="6D607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95D19"/>
    <w:multiLevelType w:val="multilevel"/>
    <w:tmpl w:val="A39E8C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70EA13DC"/>
    <w:multiLevelType w:val="hybridMultilevel"/>
    <w:tmpl w:val="2B34CCE4"/>
    <w:lvl w:ilvl="0" w:tplc="B5A041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7572341"/>
    <w:multiLevelType w:val="multilevel"/>
    <w:tmpl w:val="6156A54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77FE0B9B"/>
    <w:multiLevelType w:val="hybridMultilevel"/>
    <w:tmpl w:val="AFF60A44"/>
    <w:lvl w:ilvl="0" w:tplc="909AF14E">
      <w:start w:val="1"/>
      <w:numFmt w:val="bullet"/>
      <w:lvlText w:val=""/>
      <w:lvlJc w:val="left"/>
      <w:pPr>
        <w:tabs>
          <w:tab w:val="num" w:pos="720"/>
        </w:tabs>
        <w:ind w:left="360" w:hanging="360"/>
      </w:pPr>
      <w:rPr>
        <w:rFonts w:ascii="Wingdings" w:hAnsi="Wingdings" w:hint="default"/>
      </w:rPr>
    </w:lvl>
    <w:lvl w:ilvl="1" w:tplc="F28476EE" w:tentative="1">
      <w:start w:val="1"/>
      <w:numFmt w:val="bullet"/>
      <w:lvlText w:val=""/>
      <w:lvlJc w:val="left"/>
      <w:pPr>
        <w:tabs>
          <w:tab w:val="num" w:pos="1440"/>
        </w:tabs>
        <w:ind w:left="1080" w:hanging="360"/>
      </w:pPr>
      <w:rPr>
        <w:rFonts w:ascii="Wingdings" w:hAnsi="Wingdings" w:hint="default"/>
      </w:rPr>
    </w:lvl>
    <w:lvl w:ilvl="2" w:tplc="F6DC1982" w:tentative="1">
      <w:start w:val="1"/>
      <w:numFmt w:val="bullet"/>
      <w:lvlText w:val=""/>
      <w:lvlJc w:val="left"/>
      <w:pPr>
        <w:tabs>
          <w:tab w:val="num" w:pos="2160"/>
        </w:tabs>
        <w:ind w:left="1800" w:hanging="360"/>
      </w:pPr>
      <w:rPr>
        <w:rFonts w:ascii="Wingdings" w:hAnsi="Wingdings" w:hint="default"/>
      </w:rPr>
    </w:lvl>
    <w:lvl w:ilvl="3" w:tplc="0BF8A3FA" w:tentative="1">
      <w:start w:val="1"/>
      <w:numFmt w:val="bullet"/>
      <w:lvlText w:val=""/>
      <w:lvlJc w:val="left"/>
      <w:pPr>
        <w:tabs>
          <w:tab w:val="num" w:pos="2880"/>
        </w:tabs>
        <w:ind w:left="2520" w:hanging="360"/>
      </w:pPr>
      <w:rPr>
        <w:rFonts w:ascii="Wingdings" w:hAnsi="Wingdings" w:hint="default"/>
      </w:rPr>
    </w:lvl>
    <w:lvl w:ilvl="4" w:tplc="33F6AF86" w:tentative="1">
      <w:start w:val="1"/>
      <w:numFmt w:val="bullet"/>
      <w:lvlText w:val=""/>
      <w:lvlJc w:val="left"/>
      <w:pPr>
        <w:tabs>
          <w:tab w:val="num" w:pos="3600"/>
        </w:tabs>
        <w:ind w:left="3240" w:hanging="360"/>
      </w:pPr>
      <w:rPr>
        <w:rFonts w:ascii="Wingdings" w:hAnsi="Wingdings" w:hint="default"/>
      </w:rPr>
    </w:lvl>
    <w:lvl w:ilvl="5" w:tplc="5600D228" w:tentative="1">
      <w:start w:val="1"/>
      <w:numFmt w:val="bullet"/>
      <w:lvlText w:val=""/>
      <w:lvlJc w:val="left"/>
      <w:pPr>
        <w:tabs>
          <w:tab w:val="num" w:pos="4320"/>
        </w:tabs>
        <w:ind w:left="3960" w:hanging="360"/>
      </w:pPr>
      <w:rPr>
        <w:rFonts w:ascii="Wingdings" w:hAnsi="Wingdings" w:hint="default"/>
      </w:rPr>
    </w:lvl>
    <w:lvl w:ilvl="6" w:tplc="C238846E" w:tentative="1">
      <w:start w:val="1"/>
      <w:numFmt w:val="bullet"/>
      <w:lvlText w:val=""/>
      <w:lvlJc w:val="left"/>
      <w:pPr>
        <w:tabs>
          <w:tab w:val="num" w:pos="5040"/>
        </w:tabs>
        <w:ind w:left="4680" w:hanging="360"/>
      </w:pPr>
      <w:rPr>
        <w:rFonts w:ascii="Wingdings" w:hAnsi="Wingdings" w:hint="default"/>
      </w:rPr>
    </w:lvl>
    <w:lvl w:ilvl="7" w:tplc="0696FD3E" w:tentative="1">
      <w:start w:val="1"/>
      <w:numFmt w:val="bullet"/>
      <w:lvlText w:val=""/>
      <w:lvlJc w:val="left"/>
      <w:pPr>
        <w:tabs>
          <w:tab w:val="num" w:pos="5760"/>
        </w:tabs>
        <w:ind w:left="5400" w:hanging="360"/>
      </w:pPr>
      <w:rPr>
        <w:rFonts w:ascii="Wingdings" w:hAnsi="Wingdings" w:hint="default"/>
      </w:rPr>
    </w:lvl>
    <w:lvl w:ilvl="8" w:tplc="EFF663FE" w:tentative="1">
      <w:start w:val="1"/>
      <w:numFmt w:val="bullet"/>
      <w:lvlText w:val=""/>
      <w:lvlJc w:val="left"/>
      <w:pPr>
        <w:tabs>
          <w:tab w:val="num" w:pos="6480"/>
        </w:tabs>
        <w:ind w:left="6120" w:hanging="360"/>
      </w:pPr>
      <w:rPr>
        <w:rFonts w:ascii="Wingdings" w:hAnsi="Wingdings" w:hint="default"/>
      </w:rPr>
    </w:lvl>
  </w:abstractNum>
  <w:abstractNum w:abstractNumId="36" w15:restartNumberingAfterBreak="0">
    <w:nsid w:val="79534094"/>
    <w:multiLevelType w:val="multilevel"/>
    <w:tmpl w:val="DC7881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95702301">
    <w:abstractNumId w:val="10"/>
  </w:num>
  <w:num w:numId="2" w16cid:durableId="1349522685">
    <w:abstractNumId w:val="3"/>
  </w:num>
  <w:num w:numId="3" w16cid:durableId="1337686753">
    <w:abstractNumId w:val="6"/>
  </w:num>
  <w:num w:numId="4" w16cid:durableId="2092652010">
    <w:abstractNumId w:val="4"/>
  </w:num>
  <w:num w:numId="5" w16cid:durableId="971787883">
    <w:abstractNumId w:val="8"/>
  </w:num>
  <w:num w:numId="6" w16cid:durableId="115292071">
    <w:abstractNumId w:val="19"/>
  </w:num>
  <w:num w:numId="7" w16cid:durableId="2109621848">
    <w:abstractNumId w:val="22"/>
  </w:num>
  <w:num w:numId="8" w16cid:durableId="1326515441">
    <w:abstractNumId w:val="16"/>
  </w:num>
  <w:num w:numId="9" w16cid:durableId="1976330325">
    <w:abstractNumId w:val="7"/>
  </w:num>
  <w:num w:numId="10" w16cid:durableId="1643583291">
    <w:abstractNumId w:val="34"/>
  </w:num>
  <w:num w:numId="11" w16cid:durableId="1380201217">
    <w:abstractNumId w:val="2"/>
  </w:num>
  <w:num w:numId="12" w16cid:durableId="783036119">
    <w:abstractNumId w:val="13"/>
  </w:num>
  <w:num w:numId="13" w16cid:durableId="1488860921">
    <w:abstractNumId w:val="32"/>
  </w:num>
  <w:num w:numId="14" w16cid:durableId="1940529970">
    <w:abstractNumId w:val="25"/>
  </w:num>
  <w:num w:numId="15" w16cid:durableId="996304025">
    <w:abstractNumId w:val="9"/>
  </w:num>
  <w:num w:numId="16" w16cid:durableId="183594330">
    <w:abstractNumId w:val="36"/>
  </w:num>
  <w:num w:numId="17" w16cid:durableId="850485467">
    <w:abstractNumId w:val="14"/>
  </w:num>
  <w:num w:numId="18" w16cid:durableId="1265383973">
    <w:abstractNumId w:val="1"/>
  </w:num>
  <w:num w:numId="19" w16cid:durableId="1846628344">
    <w:abstractNumId w:val="35"/>
  </w:num>
  <w:num w:numId="20" w16cid:durableId="1992633209">
    <w:abstractNumId w:val="12"/>
  </w:num>
  <w:num w:numId="21" w16cid:durableId="1005089903">
    <w:abstractNumId w:val="20"/>
  </w:num>
  <w:num w:numId="22" w16cid:durableId="337543038">
    <w:abstractNumId w:val="5"/>
  </w:num>
  <w:num w:numId="23" w16cid:durableId="440535676">
    <w:abstractNumId w:val="11"/>
  </w:num>
  <w:num w:numId="24" w16cid:durableId="858663222">
    <w:abstractNumId w:val="30"/>
  </w:num>
  <w:num w:numId="25" w16cid:durableId="2137211947">
    <w:abstractNumId w:val="27"/>
  </w:num>
  <w:num w:numId="26" w16cid:durableId="24524804">
    <w:abstractNumId w:val="15"/>
  </w:num>
  <w:num w:numId="27" w16cid:durableId="1200821008">
    <w:abstractNumId w:val="0"/>
  </w:num>
  <w:num w:numId="28" w16cid:durableId="62334215">
    <w:abstractNumId w:val="17"/>
  </w:num>
  <w:num w:numId="29" w16cid:durableId="1174684601">
    <w:abstractNumId w:val="28"/>
  </w:num>
  <w:num w:numId="30" w16cid:durableId="1030300055">
    <w:abstractNumId w:val="23"/>
  </w:num>
  <w:num w:numId="31" w16cid:durableId="1161002794">
    <w:abstractNumId w:val="24"/>
  </w:num>
  <w:num w:numId="32" w16cid:durableId="2123375854">
    <w:abstractNumId w:val="26"/>
  </w:num>
  <w:num w:numId="33" w16cid:durableId="558713759">
    <w:abstractNumId w:val="21"/>
  </w:num>
  <w:num w:numId="34" w16cid:durableId="309486346">
    <w:abstractNumId w:val="31"/>
  </w:num>
  <w:num w:numId="35" w16cid:durableId="638612866">
    <w:abstractNumId w:val="18"/>
  </w:num>
  <w:num w:numId="36" w16cid:durableId="1507793137">
    <w:abstractNumId w:val="29"/>
  </w:num>
  <w:num w:numId="37" w16cid:durableId="49849919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A7"/>
    <w:rsid w:val="0001453D"/>
    <w:rsid w:val="000219FB"/>
    <w:rsid w:val="0002500F"/>
    <w:rsid w:val="00031023"/>
    <w:rsid w:val="0004188A"/>
    <w:rsid w:val="000652CD"/>
    <w:rsid w:val="00081940"/>
    <w:rsid w:val="00085FD3"/>
    <w:rsid w:val="0008776F"/>
    <w:rsid w:val="000939E6"/>
    <w:rsid w:val="000C154C"/>
    <w:rsid w:val="000C4297"/>
    <w:rsid w:val="000D4088"/>
    <w:rsid w:val="000F666C"/>
    <w:rsid w:val="00107445"/>
    <w:rsid w:val="0012337A"/>
    <w:rsid w:val="00125681"/>
    <w:rsid w:val="0014642B"/>
    <w:rsid w:val="00170F08"/>
    <w:rsid w:val="00175C59"/>
    <w:rsid w:val="001943FF"/>
    <w:rsid w:val="00195456"/>
    <w:rsid w:val="001A5D85"/>
    <w:rsid w:val="001A7529"/>
    <w:rsid w:val="001B5908"/>
    <w:rsid w:val="001C7104"/>
    <w:rsid w:val="001F0421"/>
    <w:rsid w:val="001F521E"/>
    <w:rsid w:val="00206675"/>
    <w:rsid w:val="00240D1C"/>
    <w:rsid w:val="00244181"/>
    <w:rsid w:val="002558FD"/>
    <w:rsid w:val="0027417C"/>
    <w:rsid w:val="00274591"/>
    <w:rsid w:val="002808C7"/>
    <w:rsid w:val="002B034A"/>
    <w:rsid w:val="002B0D33"/>
    <w:rsid w:val="002B6258"/>
    <w:rsid w:val="002C1A4E"/>
    <w:rsid w:val="002C425A"/>
    <w:rsid w:val="003203EC"/>
    <w:rsid w:val="00326544"/>
    <w:rsid w:val="0034662F"/>
    <w:rsid w:val="003901FA"/>
    <w:rsid w:val="003C28E1"/>
    <w:rsid w:val="003D49A3"/>
    <w:rsid w:val="003E110A"/>
    <w:rsid w:val="003F6B35"/>
    <w:rsid w:val="00423F00"/>
    <w:rsid w:val="004372D1"/>
    <w:rsid w:val="00447B0D"/>
    <w:rsid w:val="00453458"/>
    <w:rsid w:val="0045710A"/>
    <w:rsid w:val="00461710"/>
    <w:rsid w:val="004617B3"/>
    <w:rsid w:val="004703D5"/>
    <w:rsid w:val="00475D8E"/>
    <w:rsid w:val="00486BF5"/>
    <w:rsid w:val="00496B03"/>
    <w:rsid w:val="004A68B9"/>
    <w:rsid w:val="004D1DB2"/>
    <w:rsid w:val="004D425B"/>
    <w:rsid w:val="004D5602"/>
    <w:rsid w:val="004E35F3"/>
    <w:rsid w:val="004F0CD2"/>
    <w:rsid w:val="00503991"/>
    <w:rsid w:val="00511B6D"/>
    <w:rsid w:val="005310E8"/>
    <w:rsid w:val="00543FC6"/>
    <w:rsid w:val="005574DC"/>
    <w:rsid w:val="0057665D"/>
    <w:rsid w:val="00576FB7"/>
    <w:rsid w:val="00585556"/>
    <w:rsid w:val="00585C8F"/>
    <w:rsid w:val="00595CBD"/>
    <w:rsid w:val="005A5B12"/>
    <w:rsid w:val="005B478D"/>
    <w:rsid w:val="005F4062"/>
    <w:rsid w:val="005F7786"/>
    <w:rsid w:val="00607A5E"/>
    <w:rsid w:val="006142F3"/>
    <w:rsid w:val="00640CF3"/>
    <w:rsid w:val="0068148D"/>
    <w:rsid w:val="006D0EA7"/>
    <w:rsid w:val="006D4E63"/>
    <w:rsid w:val="006E3FB1"/>
    <w:rsid w:val="00710261"/>
    <w:rsid w:val="0072213B"/>
    <w:rsid w:val="00733FB0"/>
    <w:rsid w:val="00740CFA"/>
    <w:rsid w:val="007472DD"/>
    <w:rsid w:val="007601E6"/>
    <w:rsid w:val="00761B59"/>
    <w:rsid w:val="007703B2"/>
    <w:rsid w:val="00773587"/>
    <w:rsid w:val="0077446A"/>
    <w:rsid w:val="00794295"/>
    <w:rsid w:val="007A2B18"/>
    <w:rsid w:val="007B76A8"/>
    <w:rsid w:val="007E37B4"/>
    <w:rsid w:val="007F0C6C"/>
    <w:rsid w:val="007F5629"/>
    <w:rsid w:val="008465C7"/>
    <w:rsid w:val="00855007"/>
    <w:rsid w:val="008618EA"/>
    <w:rsid w:val="00875C45"/>
    <w:rsid w:val="008940BE"/>
    <w:rsid w:val="00897311"/>
    <w:rsid w:val="008975C6"/>
    <w:rsid w:val="008A1532"/>
    <w:rsid w:val="008B096A"/>
    <w:rsid w:val="008C6A1D"/>
    <w:rsid w:val="008E1B92"/>
    <w:rsid w:val="008F6308"/>
    <w:rsid w:val="008F7528"/>
    <w:rsid w:val="00906771"/>
    <w:rsid w:val="00922A0A"/>
    <w:rsid w:val="009234A4"/>
    <w:rsid w:val="00927107"/>
    <w:rsid w:val="009306C6"/>
    <w:rsid w:val="0093544F"/>
    <w:rsid w:val="00937FD3"/>
    <w:rsid w:val="009445AA"/>
    <w:rsid w:val="00946872"/>
    <w:rsid w:val="009478D0"/>
    <w:rsid w:val="00967FC8"/>
    <w:rsid w:val="009826EE"/>
    <w:rsid w:val="00994F0B"/>
    <w:rsid w:val="009A26BE"/>
    <w:rsid w:val="009A325D"/>
    <w:rsid w:val="009B154E"/>
    <w:rsid w:val="009C233D"/>
    <w:rsid w:val="00A007F3"/>
    <w:rsid w:val="00A04C28"/>
    <w:rsid w:val="00A22B38"/>
    <w:rsid w:val="00A43C0B"/>
    <w:rsid w:val="00A620D4"/>
    <w:rsid w:val="00A67D75"/>
    <w:rsid w:val="00A71A1C"/>
    <w:rsid w:val="00A73772"/>
    <w:rsid w:val="00A82FAD"/>
    <w:rsid w:val="00A92295"/>
    <w:rsid w:val="00AA2448"/>
    <w:rsid w:val="00AA3FB0"/>
    <w:rsid w:val="00AB3943"/>
    <w:rsid w:val="00AD42C0"/>
    <w:rsid w:val="00AF094A"/>
    <w:rsid w:val="00B03EA3"/>
    <w:rsid w:val="00B23B3C"/>
    <w:rsid w:val="00B30966"/>
    <w:rsid w:val="00B3226D"/>
    <w:rsid w:val="00B44008"/>
    <w:rsid w:val="00B57A45"/>
    <w:rsid w:val="00B60C0B"/>
    <w:rsid w:val="00B7723D"/>
    <w:rsid w:val="00B77403"/>
    <w:rsid w:val="00B93D4B"/>
    <w:rsid w:val="00BC09D6"/>
    <w:rsid w:val="00BC53CF"/>
    <w:rsid w:val="00BD17D7"/>
    <w:rsid w:val="00BE65BB"/>
    <w:rsid w:val="00C176BE"/>
    <w:rsid w:val="00C255B5"/>
    <w:rsid w:val="00C27BDD"/>
    <w:rsid w:val="00C341E9"/>
    <w:rsid w:val="00C44FAA"/>
    <w:rsid w:val="00C943EC"/>
    <w:rsid w:val="00CA015A"/>
    <w:rsid w:val="00CA439B"/>
    <w:rsid w:val="00CA5B1E"/>
    <w:rsid w:val="00CB2550"/>
    <w:rsid w:val="00CB7A9F"/>
    <w:rsid w:val="00CD6214"/>
    <w:rsid w:val="00CD6B81"/>
    <w:rsid w:val="00CE04A7"/>
    <w:rsid w:val="00CE3E1D"/>
    <w:rsid w:val="00CF03AB"/>
    <w:rsid w:val="00D214B3"/>
    <w:rsid w:val="00D50072"/>
    <w:rsid w:val="00D50E3B"/>
    <w:rsid w:val="00D57445"/>
    <w:rsid w:val="00D62536"/>
    <w:rsid w:val="00D82C74"/>
    <w:rsid w:val="00D8652C"/>
    <w:rsid w:val="00DB7D93"/>
    <w:rsid w:val="00DC052E"/>
    <w:rsid w:val="00DC1F6C"/>
    <w:rsid w:val="00DD7CB0"/>
    <w:rsid w:val="00DE61DA"/>
    <w:rsid w:val="00DE6D20"/>
    <w:rsid w:val="00E02026"/>
    <w:rsid w:val="00E04EBC"/>
    <w:rsid w:val="00E226D7"/>
    <w:rsid w:val="00E23F64"/>
    <w:rsid w:val="00E362DA"/>
    <w:rsid w:val="00E64BC3"/>
    <w:rsid w:val="00E70692"/>
    <w:rsid w:val="00E775D3"/>
    <w:rsid w:val="00E83A3F"/>
    <w:rsid w:val="00E8593B"/>
    <w:rsid w:val="00EA12E2"/>
    <w:rsid w:val="00EA6D82"/>
    <w:rsid w:val="00EA75E6"/>
    <w:rsid w:val="00EB5F33"/>
    <w:rsid w:val="00ED5374"/>
    <w:rsid w:val="00ED68A5"/>
    <w:rsid w:val="00F13F59"/>
    <w:rsid w:val="00F455F4"/>
    <w:rsid w:val="00F51F22"/>
    <w:rsid w:val="00F555B4"/>
    <w:rsid w:val="00F90C43"/>
    <w:rsid w:val="00F94653"/>
    <w:rsid w:val="00FB3DAE"/>
    <w:rsid w:val="00FB774A"/>
    <w:rsid w:val="00FC7D3C"/>
    <w:rsid w:val="00FF1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A5E5B"/>
  <w15:docId w15:val="{8D9D8FFC-A458-4012-A072-50E6D7036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6A8"/>
    <w:pPr>
      <w:spacing w:after="0" w:line="240" w:lineRule="auto"/>
    </w:pPr>
    <w:rPr>
      <w:rFonts w:ascii="Times New Roman" w:eastAsia="Times New Roman" w:hAnsi="Times New Roman" w:cs="Times New Roman"/>
      <w:sz w:val="24"/>
      <w:szCs w:val="20"/>
    </w:rPr>
  </w:style>
  <w:style w:type="paragraph" w:styleId="Heading1">
    <w:name w:val="heading 1"/>
    <w:basedOn w:val="PlainText"/>
    <w:next w:val="Normal"/>
    <w:link w:val="Heading1Char"/>
    <w:uiPriority w:val="9"/>
    <w:qFormat/>
    <w:rsid w:val="009306C6"/>
    <w:pPr>
      <w:outlineLvl w:val="0"/>
    </w:pPr>
    <w:rPr>
      <w:rFonts w:ascii="Arial" w:hAnsi="Arial" w:cs="Arial"/>
      <w:b/>
      <w:sz w:val="24"/>
      <w:szCs w:val="24"/>
    </w:rPr>
  </w:style>
  <w:style w:type="paragraph" w:styleId="Heading2">
    <w:name w:val="heading 2"/>
    <w:basedOn w:val="Normal"/>
    <w:next w:val="Normal"/>
    <w:link w:val="Heading2Char"/>
    <w:uiPriority w:val="9"/>
    <w:qFormat/>
    <w:rsid w:val="00543FC6"/>
    <w:pPr>
      <w:keepNext/>
      <w:keepLines/>
      <w:spacing w:before="360" w:after="80" w:line="259" w:lineRule="auto"/>
      <w:outlineLvl w:val="1"/>
    </w:pPr>
    <w:rPr>
      <w:rFonts w:ascii="Calibri" w:eastAsia="Calibri" w:hAnsi="Calibri" w:cs="Calibri"/>
      <w:b/>
      <w:sz w:val="36"/>
      <w:szCs w:val="36"/>
    </w:rPr>
  </w:style>
  <w:style w:type="paragraph" w:styleId="Heading3">
    <w:name w:val="heading 3"/>
    <w:basedOn w:val="Normal"/>
    <w:next w:val="Normal"/>
    <w:link w:val="Heading3Char"/>
    <w:uiPriority w:val="9"/>
    <w:qFormat/>
    <w:rsid w:val="00543FC6"/>
    <w:pPr>
      <w:keepNext/>
      <w:keepLines/>
      <w:spacing w:before="280" w:after="80" w:line="259" w:lineRule="auto"/>
      <w:outlineLvl w:val="2"/>
    </w:pPr>
    <w:rPr>
      <w:rFonts w:ascii="Calibri" w:eastAsia="Calibri" w:hAnsi="Calibri" w:cs="Calibri"/>
      <w:b/>
      <w:sz w:val="28"/>
      <w:szCs w:val="28"/>
    </w:rPr>
  </w:style>
  <w:style w:type="paragraph" w:styleId="Heading4">
    <w:name w:val="heading 4"/>
    <w:basedOn w:val="Normal"/>
    <w:next w:val="Normal"/>
    <w:link w:val="Heading4Char"/>
    <w:uiPriority w:val="9"/>
    <w:qFormat/>
    <w:rsid w:val="00543FC6"/>
    <w:pPr>
      <w:keepNext/>
      <w:keepLines/>
      <w:spacing w:before="240" w:after="40" w:line="259" w:lineRule="auto"/>
      <w:outlineLvl w:val="3"/>
    </w:pPr>
    <w:rPr>
      <w:rFonts w:ascii="Calibri" w:eastAsia="Calibri" w:hAnsi="Calibri" w:cs="Calibri"/>
      <w:b/>
      <w:szCs w:val="24"/>
    </w:rPr>
  </w:style>
  <w:style w:type="paragraph" w:styleId="Heading5">
    <w:name w:val="heading 5"/>
    <w:basedOn w:val="Normal"/>
    <w:next w:val="Normal"/>
    <w:link w:val="Heading5Char"/>
    <w:uiPriority w:val="9"/>
    <w:qFormat/>
    <w:rsid w:val="00543FC6"/>
    <w:pPr>
      <w:keepNext/>
      <w:keepLines/>
      <w:spacing w:before="220" w:after="40" w:line="259" w:lineRule="auto"/>
      <w:outlineLvl w:val="4"/>
    </w:pPr>
    <w:rPr>
      <w:rFonts w:ascii="Calibri" w:eastAsia="Calibri" w:hAnsi="Calibri" w:cs="Calibri"/>
      <w:b/>
      <w:sz w:val="22"/>
      <w:szCs w:val="22"/>
    </w:rPr>
  </w:style>
  <w:style w:type="paragraph" w:styleId="Heading6">
    <w:name w:val="heading 6"/>
    <w:basedOn w:val="Normal"/>
    <w:next w:val="Normal"/>
    <w:link w:val="Heading6Char"/>
    <w:uiPriority w:val="9"/>
    <w:qFormat/>
    <w:rsid w:val="00543FC6"/>
    <w:pPr>
      <w:keepNext/>
      <w:keepLines/>
      <w:spacing w:before="200" w:after="40" w:line="259" w:lineRule="auto"/>
      <w:outlineLvl w:val="5"/>
    </w:pPr>
    <w:rPr>
      <w:rFonts w:ascii="Calibri" w:eastAsia="Calibri" w:hAnsi="Calibri" w:cs="Calibri"/>
      <w:b/>
      <w:sz w:val="20"/>
    </w:rPr>
  </w:style>
  <w:style w:type="paragraph" w:styleId="Heading7">
    <w:name w:val="heading 7"/>
    <w:basedOn w:val="Normal"/>
    <w:next w:val="Normal"/>
    <w:link w:val="Heading7Char"/>
    <w:uiPriority w:val="9"/>
    <w:semiHidden/>
    <w:unhideWhenUsed/>
    <w:qFormat/>
    <w:rsid w:val="00B60C0B"/>
    <w:pPr>
      <w:keepNext/>
      <w:keepLines/>
      <w:spacing w:before="40"/>
      <w:ind w:left="4320"/>
      <w:outlineLvl w:val="6"/>
    </w:pPr>
    <w:rPr>
      <w:rFonts w:asciiTheme="majorHAnsi" w:eastAsiaTheme="majorEastAsia" w:hAnsiTheme="majorHAnsi" w:cstheme="majorBidi"/>
      <w:i/>
      <w:iCs/>
      <w:color w:val="243F60" w:themeColor="accent1" w:themeShade="7F"/>
      <w:szCs w:val="24"/>
    </w:rPr>
  </w:style>
  <w:style w:type="paragraph" w:styleId="Heading8">
    <w:name w:val="heading 8"/>
    <w:basedOn w:val="Normal"/>
    <w:next w:val="Normal"/>
    <w:link w:val="Heading8Char"/>
    <w:uiPriority w:val="9"/>
    <w:semiHidden/>
    <w:unhideWhenUsed/>
    <w:qFormat/>
    <w:rsid w:val="00B60C0B"/>
    <w:pPr>
      <w:keepNext/>
      <w:keepLines/>
      <w:spacing w:before="40"/>
      <w:ind w:left="50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0C0B"/>
    <w:pPr>
      <w:keepNext/>
      <w:keepLines/>
      <w:spacing w:before="40"/>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Text1">
    <w:name w:val="Comment Text1"/>
    <w:uiPriority w:val="99"/>
    <w:rsid w:val="006D0EA7"/>
    <w:pPr>
      <w:spacing w:after="0" w:line="240" w:lineRule="auto"/>
    </w:pPr>
    <w:rPr>
      <w:rFonts w:ascii="Arial" w:eastAsia="Calibri" w:hAnsi="Arial" w:cs="Times New Roman"/>
      <w:color w:val="000000"/>
      <w:sz w:val="20"/>
      <w:szCs w:val="20"/>
    </w:rPr>
  </w:style>
  <w:style w:type="paragraph" w:customStyle="1" w:styleId="Weld">
    <w:name w:val="Weld"/>
    <w:rsid w:val="006D0EA7"/>
    <w:pPr>
      <w:spacing w:after="0" w:line="240" w:lineRule="auto"/>
      <w:jc w:val="center"/>
    </w:pPr>
    <w:rPr>
      <w:rFonts w:ascii="Arial Rounded MT Bold" w:eastAsia="Calibri" w:hAnsi="Arial Rounded MT Bold" w:cs="Times New Roman"/>
      <w:color w:val="000000"/>
      <w:sz w:val="16"/>
      <w:szCs w:val="20"/>
    </w:rPr>
  </w:style>
  <w:style w:type="paragraph" w:styleId="PlainText">
    <w:name w:val="Plain Text"/>
    <w:basedOn w:val="Normal"/>
    <w:link w:val="PlainTextChar"/>
    <w:uiPriority w:val="99"/>
    <w:rsid w:val="006D0EA7"/>
    <w:rPr>
      <w:rFonts w:ascii="Calibri" w:eastAsia="Calibri" w:hAnsi="Calibri"/>
      <w:sz w:val="22"/>
      <w:szCs w:val="21"/>
    </w:rPr>
  </w:style>
  <w:style w:type="character" w:customStyle="1" w:styleId="PlainTextChar">
    <w:name w:val="Plain Text Char"/>
    <w:basedOn w:val="DefaultParagraphFont"/>
    <w:link w:val="PlainText"/>
    <w:uiPriority w:val="99"/>
    <w:rsid w:val="006D0EA7"/>
    <w:rPr>
      <w:rFonts w:ascii="Calibri" w:eastAsia="Calibri" w:hAnsi="Calibri" w:cs="Times New Roman"/>
      <w:szCs w:val="21"/>
    </w:rPr>
  </w:style>
  <w:style w:type="paragraph" w:styleId="Header">
    <w:name w:val="header"/>
    <w:basedOn w:val="Normal"/>
    <w:link w:val="HeaderChar"/>
    <w:uiPriority w:val="99"/>
    <w:rsid w:val="006D0EA7"/>
    <w:pPr>
      <w:tabs>
        <w:tab w:val="center" w:pos="4680"/>
        <w:tab w:val="right" w:pos="9360"/>
      </w:tabs>
    </w:pPr>
  </w:style>
  <w:style w:type="character" w:customStyle="1" w:styleId="HeaderChar">
    <w:name w:val="Header Char"/>
    <w:basedOn w:val="DefaultParagraphFont"/>
    <w:link w:val="Header"/>
    <w:uiPriority w:val="99"/>
    <w:rsid w:val="006D0EA7"/>
    <w:rPr>
      <w:rFonts w:ascii="Times New Roman" w:eastAsia="Times New Roman" w:hAnsi="Times New Roman" w:cs="Times New Roman"/>
      <w:sz w:val="24"/>
      <w:szCs w:val="20"/>
    </w:rPr>
  </w:style>
  <w:style w:type="paragraph" w:customStyle="1" w:styleId="FreeForm">
    <w:name w:val="Free Form"/>
    <w:uiPriority w:val="99"/>
    <w:rsid w:val="006D0EA7"/>
    <w:pPr>
      <w:spacing w:after="0" w:line="240" w:lineRule="auto"/>
    </w:pPr>
    <w:rPr>
      <w:rFonts w:ascii="Helvetica" w:eastAsia="Times New Roman" w:hAnsi="Helvetica" w:cs="Times New Roman"/>
      <w:color w:val="000000"/>
      <w:sz w:val="24"/>
      <w:szCs w:val="20"/>
    </w:rPr>
  </w:style>
  <w:style w:type="paragraph" w:styleId="NormalWeb">
    <w:name w:val="Normal (Web)"/>
    <w:basedOn w:val="Normal"/>
    <w:uiPriority w:val="99"/>
    <w:rsid w:val="006D0EA7"/>
    <w:pPr>
      <w:spacing w:after="240"/>
    </w:pPr>
    <w:rPr>
      <w:rFonts w:eastAsia="Calibri"/>
      <w:szCs w:val="24"/>
    </w:rPr>
  </w:style>
  <w:style w:type="paragraph" w:customStyle="1" w:styleId="ExecOffice">
    <w:name w:val="Exec Office"/>
    <w:basedOn w:val="Normal"/>
    <w:rsid w:val="006D0EA7"/>
    <w:pPr>
      <w:framePr w:w="6927" w:hSpace="187" w:wrap="notBeside" w:vAnchor="text" w:hAnchor="page" w:x="3594" w:y="1"/>
      <w:jc w:val="center"/>
    </w:pPr>
    <w:rPr>
      <w:rFonts w:ascii="Arial" w:hAnsi="Arial"/>
      <w:sz w:val="28"/>
    </w:rPr>
  </w:style>
  <w:style w:type="paragraph" w:customStyle="1" w:styleId="Governor">
    <w:name w:val="Governor"/>
    <w:basedOn w:val="Normal"/>
    <w:rsid w:val="006D0EA7"/>
    <w:pPr>
      <w:framePr w:hSpace="187" w:wrap="notBeside" w:vAnchor="text" w:hAnchor="page" w:x="546" w:y="141"/>
      <w:spacing w:after="120"/>
      <w:jc w:val="center"/>
    </w:pPr>
    <w:rPr>
      <w:rFonts w:ascii="Arial Rounded MT Bold" w:hAnsi="Arial Rounded MT Bold"/>
      <w:sz w:val="14"/>
    </w:rPr>
  </w:style>
  <w:style w:type="paragraph" w:styleId="BalloonText">
    <w:name w:val="Balloon Text"/>
    <w:basedOn w:val="Normal"/>
    <w:link w:val="BalloonTextChar"/>
    <w:uiPriority w:val="99"/>
    <w:semiHidden/>
    <w:unhideWhenUsed/>
    <w:rsid w:val="006D0EA7"/>
    <w:rPr>
      <w:rFonts w:ascii="Tahoma" w:hAnsi="Tahoma" w:cs="Tahoma"/>
      <w:sz w:val="16"/>
      <w:szCs w:val="16"/>
    </w:rPr>
  </w:style>
  <w:style w:type="character" w:customStyle="1" w:styleId="BalloonTextChar">
    <w:name w:val="Balloon Text Char"/>
    <w:basedOn w:val="DefaultParagraphFont"/>
    <w:link w:val="BalloonText"/>
    <w:uiPriority w:val="99"/>
    <w:semiHidden/>
    <w:rsid w:val="006D0EA7"/>
    <w:rPr>
      <w:rFonts w:ascii="Tahoma" w:eastAsia="Times New Roman" w:hAnsi="Tahoma" w:cs="Tahoma"/>
      <w:sz w:val="16"/>
      <w:szCs w:val="16"/>
    </w:rPr>
  </w:style>
  <w:style w:type="paragraph" w:styleId="ListParagraph">
    <w:name w:val="List Paragraph"/>
    <w:basedOn w:val="Normal"/>
    <w:uiPriority w:val="34"/>
    <w:qFormat/>
    <w:rsid w:val="00D82C74"/>
    <w:pPr>
      <w:numPr>
        <w:numId w:val="31"/>
      </w:numPr>
      <w:spacing w:after="120"/>
    </w:pPr>
    <w:rPr>
      <w:rFonts w:ascii="Arial" w:hAnsi="Arial" w:cs="Arial"/>
      <w:szCs w:val="24"/>
    </w:rPr>
  </w:style>
  <w:style w:type="paragraph" w:customStyle="1" w:styleId="Default">
    <w:name w:val="Default"/>
    <w:rsid w:val="002C425A"/>
    <w:pPr>
      <w:autoSpaceDE w:val="0"/>
      <w:autoSpaceDN w:val="0"/>
      <w:adjustRightInd w:val="0"/>
      <w:spacing w:after="0" w:line="240" w:lineRule="auto"/>
    </w:pPr>
    <w:rPr>
      <w:rFonts w:ascii="Times New Roman" w:hAnsi="Times New Roman" w:cs="Times New Roman"/>
      <w:color w:val="000000"/>
      <w:sz w:val="24"/>
      <w:szCs w:val="24"/>
    </w:rPr>
  </w:style>
  <w:style w:type="paragraph" w:styleId="Footer">
    <w:name w:val="footer"/>
    <w:basedOn w:val="Normal"/>
    <w:link w:val="FooterChar"/>
    <w:uiPriority w:val="99"/>
    <w:unhideWhenUsed/>
    <w:rsid w:val="001C7104"/>
    <w:pPr>
      <w:tabs>
        <w:tab w:val="center" w:pos="4680"/>
        <w:tab w:val="right" w:pos="9360"/>
      </w:tabs>
    </w:pPr>
  </w:style>
  <w:style w:type="character" w:customStyle="1" w:styleId="FooterChar">
    <w:name w:val="Footer Char"/>
    <w:basedOn w:val="DefaultParagraphFont"/>
    <w:link w:val="Footer"/>
    <w:uiPriority w:val="99"/>
    <w:rsid w:val="001C7104"/>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9306C6"/>
    <w:rPr>
      <w:rFonts w:ascii="Arial" w:eastAsia="Calibri" w:hAnsi="Arial" w:cs="Arial"/>
      <w:b/>
      <w:sz w:val="24"/>
      <w:szCs w:val="24"/>
    </w:rPr>
  </w:style>
  <w:style w:type="paragraph" w:customStyle="1" w:styleId="ReportBody">
    <w:name w:val="Report Body"/>
    <w:basedOn w:val="Normal"/>
    <w:link w:val="ReportBodyChar"/>
    <w:qFormat/>
    <w:rsid w:val="009B154E"/>
    <w:rPr>
      <w:rFonts w:ascii="Calibri" w:hAnsi="Calibri"/>
      <w:szCs w:val="24"/>
      <w:shd w:val="clear" w:color="auto" w:fill="FFFFFF"/>
    </w:rPr>
  </w:style>
  <w:style w:type="character" w:customStyle="1" w:styleId="ReportBodyChar">
    <w:name w:val="Report Body Char"/>
    <w:basedOn w:val="DefaultParagraphFont"/>
    <w:link w:val="ReportBody"/>
    <w:rsid w:val="009B154E"/>
    <w:rPr>
      <w:rFonts w:ascii="Calibri" w:eastAsia="Times New Roman" w:hAnsi="Calibri" w:cs="Times New Roman"/>
      <w:sz w:val="24"/>
      <w:szCs w:val="24"/>
    </w:rPr>
  </w:style>
  <w:style w:type="character" w:customStyle="1" w:styleId="Heading2Char">
    <w:name w:val="Heading 2 Char"/>
    <w:basedOn w:val="DefaultParagraphFont"/>
    <w:link w:val="Heading2"/>
    <w:uiPriority w:val="9"/>
    <w:rsid w:val="00543FC6"/>
    <w:rPr>
      <w:rFonts w:ascii="Calibri" w:eastAsia="Calibri" w:hAnsi="Calibri" w:cs="Calibri"/>
      <w:b/>
      <w:sz w:val="36"/>
      <w:szCs w:val="36"/>
    </w:rPr>
  </w:style>
  <w:style w:type="character" w:customStyle="1" w:styleId="Heading3Char">
    <w:name w:val="Heading 3 Char"/>
    <w:basedOn w:val="DefaultParagraphFont"/>
    <w:link w:val="Heading3"/>
    <w:uiPriority w:val="9"/>
    <w:rsid w:val="00543FC6"/>
    <w:rPr>
      <w:rFonts w:ascii="Calibri" w:eastAsia="Calibri" w:hAnsi="Calibri" w:cs="Calibri"/>
      <w:b/>
      <w:sz w:val="28"/>
      <w:szCs w:val="28"/>
    </w:rPr>
  </w:style>
  <w:style w:type="character" w:customStyle="1" w:styleId="Heading4Char">
    <w:name w:val="Heading 4 Char"/>
    <w:basedOn w:val="DefaultParagraphFont"/>
    <w:link w:val="Heading4"/>
    <w:uiPriority w:val="9"/>
    <w:rsid w:val="00543FC6"/>
    <w:rPr>
      <w:rFonts w:ascii="Calibri" w:eastAsia="Calibri" w:hAnsi="Calibri" w:cs="Calibri"/>
      <w:b/>
      <w:sz w:val="24"/>
      <w:szCs w:val="24"/>
    </w:rPr>
  </w:style>
  <w:style w:type="character" w:customStyle="1" w:styleId="Heading5Char">
    <w:name w:val="Heading 5 Char"/>
    <w:basedOn w:val="DefaultParagraphFont"/>
    <w:link w:val="Heading5"/>
    <w:uiPriority w:val="9"/>
    <w:rsid w:val="00543FC6"/>
    <w:rPr>
      <w:rFonts w:ascii="Calibri" w:eastAsia="Calibri" w:hAnsi="Calibri" w:cs="Calibri"/>
      <w:b/>
    </w:rPr>
  </w:style>
  <w:style w:type="character" w:customStyle="1" w:styleId="Heading6Char">
    <w:name w:val="Heading 6 Char"/>
    <w:basedOn w:val="DefaultParagraphFont"/>
    <w:link w:val="Heading6"/>
    <w:uiPriority w:val="9"/>
    <w:rsid w:val="00543FC6"/>
    <w:rPr>
      <w:rFonts w:ascii="Calibri" w:eastAsia="Calibri" w:hAnsi="Calibri" w:cs="Calibri"/>
      <w:b/>
      <w:sz w:val="20"/>
      <w:szCs w:val="20"/>
    </w:rPr>
  </w:style>
  <w:style w:type="paragraph" w:styleId="Title">
    <w:name w:val="Title"/>
    <w:basedOn w:val="Normal"/>
    <w:next w:val="Normal"/>
    <w:link w:val="TitleChar"/>
    <w:uiPriority w:val="10"/>
    <w:qFormat/>
    <w:rsid w:val="004F0CD2"/>
    <w:pPr>
      <w:spacing w:line="800" w:lineRule="exact"/>
      <w:jc w:val="center"/>
    </w:pPr>
    <w:rPr>
      <w:rFonts w:ascii="Adobe Garamond Pro Bold" w:hAnsi="Adobe Garamond Pro Bold"/>
      <w:b/>
      <w:color w:val="043064"/>
      <w:sz w:val="72"/>
      <w:szCs w:val="72"/>
    </w:rPr>
  </w:style>
  <w:style w:type="character" w:customStyle="1" w:styleId="TitleChar">
    <w:name w:val="Title Char"/>
    <w:basedOn w:val="DefaultParagraphFont"/>
    <w:link w:val="Title"/>
    <w:uiPriority w:val="10"/>
    <w:rsid w:val="004F0CD2"/>
    <w:rPr>
      <w:rFonts w:ascii="Adobe Garamond Pro Bold" w:eastAsia="Times New Roman" w:hAnsi="Adobe Garamond Pro Bold" w:cs="Times New Roman"/>
      <w:b/>
      <w:color w:val="043064"/>
      <w:sz w:val="72"/>
      <w:szCs w:val="72"/>
    </w:rPr>
  </w:style>
  <w:style w:type="character" w:styleId="Hyperlink">
    <w:name w:val="Hyperlink"/>
    <w:basedOn w:val="DefaultParagraphFont"/>
    <w:uiPriority w:val="99"/>
    <w:unhideWhenUsed/>
    <w:rsid w:val="00543FC6"/>
    <w:rPr>
      <w:color w:val="0000FF" w:themeColor="hyperlink"/>
      <w:u w:val="single"/>
    </w:rPr>
  </w:style>
  <w:style w:type="table" w:styleId="TableGrid">
    <w:name w:val="Table Grid"/>
    <w:basedOn w:val="TableNormal"/>
    <w:uiPriority w:val="59"/>
    <w:rsid w:val="00543FC6"/>
    <w:pPr>
      <w:spacing w:after="0" w:line="240" w:lineRule="auto"/>
    </w:pPr>
    <w:rPr>
      <w:rFonts w:ascii="Calibri" w:eastAsia="Calibri" w:hAnsi="Calibri" w:cs="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6Colorful-Accent1">
    <w:name w:val="Grid Table 6 Colorful Accent 1"/>
    <w:basedOn w:val="TableNormal"/>
    <w:uiPriority w:val="51"/>
    <w:rsid w:val="00543FC6"/>
    <w:pPr>
      <w:spacing w:after="0" w:line="240" w:lineRule="auto"/>
    </w:pPr>
    <w:rPr>
      <w:rFonts w:ascii="Calibri" w:eastAsia="Calibri" w:hAnsi="Calibri" w:cs="Calibri"/>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543FC6"/>
    <w:pPr>
      <w:spacing w:after="0" w:line="240" w:lineRule="auto"/>
    </w:pPr>
    <w:rPr>
      <w:rFonts w:ascii="Calibri" w:eastAsia="Calibri" w:hAnsi="Calibri" w:cs="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Text">
    <w:name w:val="annotation text"/>
    <w:basedOn w:val="Normal"/>
    <w:link w:val="CommentTextChar"/>
    <w:uiPriority w:val="99"/>
    <w:unhideWhenUsed/>
    <w:rsid w:val="00543FC6"/>
    <w:pPr>
      <w:spacing w:after="160"/>
    </w:pPr>
    <w:rPr>
      <w:rFonts w:ascii="Calibri" w:eastAsia="Calibri" w:hAnsi="Calibri" w:cs="Calibri"/>
      <w:sz w:val="20"/>
    </w:rPr>
  </w:style>
  <w:style w:type="character" w:customStyle="1" w:styleId="CommentTextChar">
    <w:name w:val="Comment Text Char"/>
    <w:basedOn w:val="DefaultParagraphFont"/>
    <w:link w:val="CommentText"/>
    <w:uiPriority w:val="99"/>
    <w:rsid w:val="00543FC6"/>
    <w:rPr>
      <w:rFonts w:ascii="Calibri" w:eastAsia="Calibri" w:hAnsi="Calibri" w:cs="Calibri"/>
      <w:sz w:val="20"/>
      <w:szCs w:val="20"/>
    </w:rPr>
  </w:style>
  <w:style w:type="character" w:styleId="CommentReference">
    <w:name w:val="annotation reference"/>
    <w:basedOn w:val="DefaultParagraphFont"/>
    <w:uiPriority w:val="99"/>
    <w:semiHidden/>
    <w:unhideWhenUsed/>
    <w:rsid w:val="00543FC6"/>
    <w:rPr>
      <w:sz w:val="16"/>
      <w:szCs w:val="16"/>
    </w:rPr>
  </w:style>
  <w:style w:type="paragraph" w:styleId="EndnoteText">
    <w:name w:val="endnote text"/>
    <w:basedOn w:val="Normal"/>
    <w:link w:val="EndnoteTextChar"/>
    <w:uiPriority w:val="99"/>
    <w:unhideWhenUsed/>
    <w:rsid w:val="00543FC6"/>
    <w:rPr>
      <w:rFonts w:ascii="Calibri" w:eastAsia="Calibri" w:hAnsi="Calibri" w:cs="Calibri"/>
      <w:sz w:val="20"/>
    </w:rPr>
  </w:style>
  <w:style w:type="character" w:customStyle="1" w:styleId="EndnoteTextChar">
    <w:name w:val="Endnote Text Char"/>
    <w:basedOn w:val="DefaultParagraphFont"/>
    <w:link w:val="EndnoteText"/>
    <w:uiPriority w:val="99"/>
    <w:rsid w:val="00543FC6"/>
    <w:rPr>
      <w:rFonts w:ascii="Calibri" w:eastAsia="Calibri" w:hAnsi="Calibri" w:cs="Calibri"/>
      <w:sz w:val="20"/>
      <w:szCs w:val="20"/>
    </w:rPr>
  </w:style>
  <w:style w:type="character" w:styleId="EndnoteReference">
    <w:name w:val="endnote reference"/>
    <w:basedOn w:val="DefaultParagraphFont"/>
    <w:uiPriority w:val="99"/>
    <w:semiHidden/>
    <w:unhideWhenUsed/>
    <w:rsid w:val="00543FC6"/>
    <w:rPr>
      <w:vertAlign w:val="superscript"/>
    </w:rPr>
  </w:style>
  <w:style w:type="paragraph" w:styleId="CommentSubject">
    <w:name w:val="annotation subject"/>
    <w:basedOn w:val="CommentText"/>
    <w:next w:val="CommentText"/>
    <w:link w:val="CommentSubjectChar"/>
    <w:uiPriority w:val="99"/>
    <w:semiHidden/>
    <w:unhideWhenUsed/>
    <w:rsid w:val="00543FC6"/>
    <w:rPr>
      <w:b/>
      <w:bCs/>
    </w:rPr>
  </w:style>
  <w:style w:type="character" w:customStyle="1" w:styleId="CommentSubjectChar">
    <w:name w:val="Comment Subject Char"/>
    <w:basedOn w:val="CommentTextChar"/>
    <w:link w:val="CommentSubject"/>
    <w:uiPriority w:val="99"/>
    <w:semiHidden/>
    <w:rsid w:val="00543FC6"/>
    <w:rPr>
      <w:rFonts w:ascii="Calibri" w:eastAsia="Calibri" w:hAnsi="Calibri" w:cs="Calibri"/>
      <w:b/>
      <w:bCs/>
      <w:sz w:val="20"/>
      <w:szCs w:val="20"/>
    </w:rPr>
  </w:style>
  <w:style w:type="character" w:customStyle="1" w:styleId="UnresolvedMention1">
    <w:name w:val="Unresolved Mention1"/>
    <w:basedOn w:val="DefaultParagraphFont"/>
    <w:uiPriority w:val="99"/>
    <w:semiHidden/>
    <w:unhideWhenUsed/>
    <w:rsid w:val="00543FC6"/>
    <w:rPr>
      <w:color w:val="605E5C"/>
      <w:shd w:val="clear" w:color="auto" w:fill="E1DFDD"/>
    </w:rPr>
  </w:style>
  <w:style w:type="character" w:styleId="FollowedHyperlink">
    <w:name w:val="FollowedHyperlink"/>
    <w:basedOn w:val="DefaultParagraphFont"/>
    <w:uiPriority w:val="99"/>
    <w:semiHidden/>
    <w:unhideWhenUsed/>
    <w:rsid w:val="00543FC6"/>
    <w:rPr>
      <w:color w:val="800080" w:themeColor="followedHyperlink"/>
      <w:u w:val="single"/>
    </w:rPr>
  </w:style>
  <w:style w:type="character" w:styleId="FootnoteReference">
    <w:name w:val="footnote reference"/>
    <w:basedOn w:val="DefaultParagraphFont"/>
    <w:uiPriority w:val="99"/>
    <w:semiHidden/>
    <w:unhideWhenUsed/>
    <w:rsid w:val="00543FC6"/>
    <w:rPr>
      <w:vertAlign w:val="superscript"/>
    </w:rPr>
  </w:style>
  <w:style w:type="character" w:customStyle="1" w:styleId="FootnoteTextChar">
    <w:name w:val="Footnote Text Char"/>
    <w:basedOn w:val="DefaultParagraphFont"/>
    <w:link w:val="FootnoteText"/>
    <w:uiPriority w:val="99"/>
    <w:semiHidden/>
    <w:rsid w:val="00543FC6"/>
    <w:rPr>
      <w:sz w:val="20"/>
      <w:szCs w:val="20"/>
    </w:rPr>
  </w:style>
  <w:style w:type="paragraph" w:styleId="FootnoteText">
    <w:name w:val="footnote text"/>
    <w:basedOn w:val="Normal"/>
    <w:link w:val="FootnoteTextChar"/>
    <w:uiPriority w:val="99"/>
    <w:semiHidden/>
    <w:unhideWhenUsed/>
    <w:rsid w:val="00543FC6"/>
    <w:rPr>
      <w:rFonts w:asciiTheme="minorHAnsi" w:eastAsiaTheme="minorHAnsi" w:hAnsiTheme="minorHAnsi" w:cstheme="minorBidi"/>
      <w:sz w:val="20"/>
    </w:rPr>
  </w:style>
  <w:style w:type="character" w:customStyle="1" w:styleId="FootnoteTextChar1">
    <w:name w:val="Footnote Text Char1"/>
    <w:basedOn w:val="DefaultParagraphFont"/>
    <w:uiPriority w:val="99"/>
    <w:semiHidden/>
    <w:rsid w:val="00543FC6"/>
    <w:rPr>
      <w:rFonts w:ascii="Times New Roman" w:eastAsia="Times New Roman" w:hAnsi="Times New Roman" w:cs="Times New Roman"/>
      <w:sz w:val="20"/>
      <w:szCs w:val="20"/>
    </w:rPr>
  </w:style>
  <w:style w:type="character" w:customStyle="1" w:styleId="UnresolvedMention2">
    <w:name w:val="Unresolved Mention2"/>
    <w:basedOn w:val="DefaultParagraphFont"/>
    <w:uiPriority w:val="99"/>
    <w:semiHidden/>
    <w:unhideWhenUsed/>
    <w:rsid w:val="00543FC6"/>
    <w:rPr>
      <w:color w:val="605E5C"/>
      <w:shd w:val="clear" w:color="auto" w:fill="E1DFDD"/>
    </w:rPr>
  </w:style>
  <w:style w:type="paragraph" w:styleId="Revision">
    <w:name w:val="Revision"/>
    <w:hidden/>
    <w:uiPriority w:val="99"/>
    <w:semiHidden/>
    <w:rsid w:val="00543FC6"/>
    <w:pPr>
      <w:spacing w:after="0" w:line="240" w:lineRule="auto"/>
    </w:pPr>
    <w:rPr>
      <w:rFonts w:ascii="Calibri" w:eastAsia="Calibri" w:hAnsi="Calibri" w:cs="Calibri"/>
    </w:rPr>
  </w:style>
  <w:style w:type="table" w:styleId="GridTable6Colorful">
    <w:name w:val="Grid Table 6 Colorful"/>
    <w:basedOn w:val="TableNormal"/>
    <w:uiPriority w:val="51"/>
    <w:rsid w:val="00543FC6"/>
    <w:pPr>
      <w:spacing w:after="0" w:line="240" w:lineRule="auto"/>
    </w:pPr>
    <w:rPr>
      <w:rFonts w:ascii="Calibri" w:eastAsia="Calibri" w:hAnsi="Calibri" w:cs="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link w:val="NoSpacingChar"/>
    <w:uiPriority w:val="1"/>
    <w:qFormat/>
    <w:rsid w:val="00543FC6"/>
    <w:pPr>
      <w:spacing w:after="0" w:line="240" w:lineRule="auto"/>
    </w:pPr>
    <w:rPr>
      <w:rFonts w:ascii="Calibri" w:eastAsiaTheme="minorEastAsia" w:hAnsi="Calibri" w:cs="Calibri"/>
    </w:rPr>
  </w:style>
  <w:style w:type="character" w:customStyle="1" w:styleId="NoSpacingChar">
    <w:name w:val="No Spacing Char"/>
    <w:basedOn w:val="DefaultParagraphFont"/>
    <w:link w:val="NoSpacing"/>
    <w:uiPriority w:val="1"/>
    <w:rsid w:val="00543FC6"/>
    <w:rPr>
      <w:rFonts w:ascii="Calibri" w:eastAsiaTheme="minorEastAsia" w:hAnsi="Calibri" w:cs="Calibri"/>
    </w:rPr>
  </w:style>
  <w:style w:type="character" w:customStyle="1" w:styleId="UnresolvedMention3">
    <w:name w:val="Unresolved Mention3"/>
    <w:basedOn w:val="DefaultParagraphFont"/>
    <w:uiPriority w:val="99"/>
    <w:semiHidden/>
    <w:unhideWhenUsed/>
    <w:rsid w:val="00543FC6"/>
    <w:rPr>
      <w:color w:val="605E5C"/>
      <w:shd w:val="clear" w:color="auto" w:fill="E1DFDD"/>
    </w:rPr>
  </w:style>
  <w:style w:type="character" w:customStyle="1" w:styleId="UnresolvedMention4">
    <w:name w:val="Unresolved Mention4"/>
    <w:basedOn w:val="DefaultParagraphFont"/>
    <w:uiPriority w:val="99"/>
    <w:semiHidden/>
    <w:unhideWhenUsed/>
    <w:rsid w:val="00543FC6"/>
    <w:rPr>
      <w:color w:val="605E5C"/>
      <w:shd w:val="clear" w:color="auto" w:fill="E1DFDD"/>
    </w:rPr>
  </w:style>
  <w:style w:type="paragraph" w:styleId="Subtitle">
    <w:name w:val="Subtitle"/>
    <w:basedOn w:val="Normal"/>
    <w:next w:val="Normal"/>
    <w:link w:val="SubtitleChar"/>
    <w:uiPriority w:val="11"/>
    <w:qFormat/>
    <w:rsid w:val="00543FC6"/>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543FC6"/>
    <w:rPr>
      <w:rFonts w:ascii="Georgia" w:eastAsia="Georgia" w:hAnsi="Georgia" w:cs="Georgia"/>
      <w:i/>
      <w:color w:val="666666"/>
      <w:sz w:val="48"/>
      <w:szCs w:val="48"/>
    </w:rPr>
  </w:style>
  <w:style w:type="character" w:customStyle="1" w:styleId="Mention1">
    <w:name w:val="Mention1"/>
    <w:basedOn w:val="DefaultParagraphFont"/>
    <w:uiPriority w:val="99"/>
    <w:unhideWhenUsed/>
    <w:rsid w:val="00543FC6"/>
    <w:rPr>
      <w:color w:val="2B579A"/>
      <w:shd w:val="clear" w:color="auto" w:fill="E1DFDD"/>
    </w:rPr>
  </w:style>
  <w:style w:type="character" w:customStyle="1" w:styleId="Mention2">
    <w:name w:val="Mention2"/>
    <w:basedOn w:val="DefaultParagraphFont"/>
    <w:uiPriority w:val="99"/>
    <w:unhideWhenUsed/>
    <w:rsid w:val="00543FC6"/>
    <w:rPr>
      <w:color w:val="2B579A"/>
      <w:shd w:val="clear" w:color="auto" w:fill="E1DFDD"/>
    </w:rPr>
  </w:style>
  <w:style w:type="paragraph" w:styleId="TOCHeading">
    <w:name w:val="TOC Heading"/>
    <w:basedOn w:val="Heading1"/>
    <w:next w:val="Normal"/>
    <w:uiPriority w:val="39"/>
    <w:unhideWhenUsed/>
    <w:qFormat/>
    <w:rsid w:val="00543FC6"/>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543FC6"/>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543FC6"/>
    <w:pPr>
      <w:spacing w:after="100" w:line="259" w:lineRule="auto"/>
    </w:pPr>
    <w:rPr>
      <w:rFonts w:asciiTheme="minorHAnsi" w:eastAsiaTheme="minorEastAsia" w:hAnsiTheme="minorHAnsi"/>
      <w:sz w:val="22"/>
      <w:szCs w:val="22"/>
    </w:rPr>
  </w:style>
  <w:style w:type="character" w:customStyle="1" w:styleId="ui-provider">
    <w:name w:val="ui-provider"/>
    <w:basedOn w:val="DefaultParagraphFont"/>
    <w:rsid w:val="00543FC6"/>
  </w:style>
  <w:style w:type="character" w:customStyle="1" w:styleId="Heading7Char">
    <w:name w:val="Heading 7 Char"/>
    <w:basedOn w:val="DefaultParagraphFont"/>
    <w:link w:val="Heading7"/>
    <w:uiPriority w:val="9"/>
    <w:semiHidden/>
    <w:rsid w:val="00B60C0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B60C0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60C0B"/>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unhideWhenUsed/>
    <w:rsid w:val="00B60C0B"/>
    <w:pPr>
      <w:tabs>
        <w:tab w:val="left" w:pos="384"/>
      </w:tabs>
      <w:spacing w:after="240"/>
      <w:ind w:left="384" w:hanging="384"/>
    </w:pPr>
    <w:rPr>
      <w:rFonts w:asciiTheme="minorHAnsi" w:eastAsiaTheme="minorHAnsi" w:hAnsiTheme="minorHAnsi" w:cstheme="minorHAnsi"/>
      <w:szCs w:val="24"/>
    </w:rPr>
  </w:style>
  <w:style w:type="character" w:styleId="Mention">
    <w:name w:val="Mention"/>
    <w:basedOn w:val="DefaultParagraphFont"/>
    <w:uiPriority w:val="99"/>
    <w:unhideWhenUsed/>
    <w:rsid w:val="00B60C0B"/>
    <w:rPr>
      <w:color w:val="2B579A"/>
      <w:shd w:val="clear" w:color="auto" w:fill="E6E6E6"/>
    </w:rPr>
  </w:style>
  <w:style w:type="character" w:styleId="UnresolvedMention">
    <w:name w:val="Unresolved Mention"/>
    <w:basedOn w:val="DefaultParagraphFont"/>
    <w:uiPriority w:val="99"/>
    <w:unhideWhenUsed/>
    <w:rsid w:val="00B60C0B"/>
    <w:rPr>
      <w:color w:val="605E5C"/>
      <w:shd w:val="clear" w:color="auto" w:fill="E1DFDD"/>
    </w:rPr>
  </w:style>
  <w:style w:type="table" w:styleId="GridTable5Dark-Accent1">
    <w:name w:val="Grid Table 5 Dark Accent 1"/>
    <w:basedOn w:val="TableNormal"/>
    <w:uiPriority w:val="50"/>
    <w:rsid w:val="00B60C0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RecommendationBox">
    <w:name w:val="Recommendation Box"/>
    <w:basedOn w:val="Normal"/>
    <w:link w:val="RecommendationBoxChar"/>
    <w:qFormat/>
    <w:rsid w:val="00B60C0B"/>
    <w:pPr>
      <w:pBdr>
        <w:top w:val="single" w:sz="4" w:space="1" w:color="auto"/>
        <w:left w:val="single" w:sz="4" w:space="4" w:color="auto"/>
        <w:bottom w:val="single" w:sz="4" w:space="1" w:color="auto"/>
        <w:right w:val="single" w:sz="4" w:space="4" w:color="auto"/>
      </w:pBdr>
      <w:shd w:val="clear" w:color="auto" w:fill="F2F2F2" w:themeFill="background1" w:themeFillShade="F2"/>
      <w:spacing w:after="160"/>
    </w:pPr>
    <w:rPr>
      <w:rFonts w:asciiTheme="minorHAnsi" w:eastAsiaTheme="minorHAnsi" w:hAnsiTheme="minorHAnsi" w:cstheme="minorHAnsi"/>
      <w:b/>
      <w:bCs/>
      <w:szCs w:val="24"/>
    </w:rPr>
  </w:style>
  <w:style w:type="paragraph" w:customStyle="1" w:styleId="Issue">
    <w:name w:val="Issue"/>
    <w:basedOn w:val="Normal"/>
    <w:link w:val="IssueChar"/>
    <w:qFormat/>
    <w:rsid w:val="00B60C0B"/>
    <w:pPr>
      <w:spacing w:after="160"/>
    </w:pPr>
    <w:rPr>
      <w:rFonts w:asciiTheme="minorHAnsi" w:eastAsiaTheme="minorHAnsi" w:hAnsiTheme="minorHAnsi" w:cstheme="minorHAnsi"/>
      <w:b/>
      <w:bCs/>
      <w:szCs w:val="24"/>
    </w:rPr>
  </w:style>
  <w:style w:type="character" w:customStyle="1" w:styleId="RecommendationBoxChar">
    <w:name w:val="Recommendation Box Char"/>
    <w:basedOn w:val="DefaultParagraphFont"/>
    <w:link w:val="RecommendationBox"/>
    <w:rsid w:val="00B60C0B"/>
    <w:rPr>
      <w:rFonts w:cstheme="minorHAnsi"/>
      <w:b/>
      <w:bCs/>
      <w:sz w:val="24"/>
      <w:szCs w:val="24"/>
      <w:shd w:val="clear" w:color="auto" w:fill="F2F2F2" w:themeFill="background1" w:themeFillShade="F2"/>
    </w:rPr>
  </w:style>
  <w:style w:type="paragraph" w:styleId="Caption">
    <w:name w:val="caption"/>
    <w:basedOn w:val="Normal"/>
    <w:next w:val="Normal"/>
    <w:uiPriority w:val="35"/>
    <w:unhideWhenUsed/>
    <w:qFormat/>
    <w:rsid w:val="00B60C0B"/>
    <w:pPr>
      <w:spacing w:after="200"/>
    </w:pPr>
    <w:rPr>
      <w:rFonts w:asciiTheme="minorHAnsi" w:eastAsiaTheme="minorHAnsi" w:hAnsiTheme="minorHAnsi" w:cstheme="minorHAnsi"/>
      <w:i/>
      <w:iCs/>
      <w:color w:val="1F497D" w:themeColor="text2"/>
      <w:sz w:val="18"/>
      <w:szCs w:val="18"/>
    </w:rPr>
  </w:style>
  <w:style w:type="character" w:customStyle="1" w:styleId="IssueChar">
    <w:name w:val="Issue Char"/>
    <w:basedOn w:val="DefaultParagraphFont"/>
    <w:link w:val="Issue"/>
    <w:rsid w:val="00B60C0B"/>
    <w:rPr>
      <w:rFonts w:cstheme="minorHAns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1.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malegislature.gov/Laws/GeneralLaws/PartI/TitleXVI/Chapter111/Section224"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malegislature.gov/Laws/GeneralLaws/PartI/TitleXVI/Chapter111/Section22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mass.gov/orgs/special-commission-on-local-and-regional-public-health"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chart" Target="charts/chart1.xml"/><Relationship Id="rId27" Type="http://schemas.openxmlformats.org/officeDocument/2006/relationships/footer" Target="footer7.xml"/></Relationships>
</file>

<file path=word/charts/_rels/chart1.xml.rels><?xml version="1.0" encoding="UTF-8" standalone="yes"?>
<Relationships xmlns="http://schemas.openxmlformats.org/package/2006/relationships"><Relationship Id="rId3" Type="http://schemas.openxmlformats.org/officeDocument/2006/relationships/oleObject" Target="https://massgov.sharepoint.com/sites/EHS-Teams-DPH_DVIP/Shared%20Documents/IPCP%20Falls/2022%20Commission%20Report/Data/Updated%20SER%20Data_2-11-22.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73495342339523"/>
          <c:y val="5.9854067671198892E-2"/>
          <c:w val="0.797256794513589"/>
          <c:h val="0.78526990209873959"/>
        </c:manualLayout>
      </c:layout>
      <c:lineChart>
        <c:grouping val="standard"/>
        <c:varyColors val="0"/>
        <c:ser>
          <c:idx val="0"/>
          <c:order val="0"/>
          <c:tx>
            <c:strRef>
              <c:f>'[Older Adult Fall Deaths_2010_2019.xlsx]SEX_AGEGRP_2010-2020'!$H$6</c:f>
              <c:strCache>
                <c:ptCount val="1"/>
                <c:pt idx="0">
                  <c:v>65-74</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4.2903748359580052E-2"/>
                  <c:y val="-3.35235780091246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C98-4E7E-8C0F-66D2F920B51D}"/>
                </c:ext>
              </c:extLst>
            </c:dLbl>
            <c:dLbl>
              <c:idx val="1"/>
              <c:delete val="1"/>
              <c:extLst>
                <c:ext xmlns:c15="http://schemas.microsoft.com/office/drawing/2012/chart" uri="{CE6537A1-D6FC-4f65-9D91-7224C49458BB}"/>
                <c:ext xmlns:c16="http://schemas.microsoft.com/office/drawing/2014/chart" uri="{C3380CC4-5D6E-409C-BE32-E72D297353CC}">
                  <c16:uniqueId val="{00000001-8C98-4E7E-8C0F-66D2F920B51D}"/>
                </c:ext>
              </c:extLst>
            </c:dLbl>
            <c:dLbl>
              <c:idx val="2"/>
              <c:delete val="1"/>
              <c:extLst>
                <c:ext xmlns:c15="http://schemas.microsoft.com/office/drawing/2012/chart" uri="{CE6537A1-D6FC-4f65-9D91-7224C49458BB}"/>
                <c:ext xmlns:c16="http://schemas.microsoft.com/office/drawing/2014/chart" uri="{C3380CC4-5D6E-409C-BE32-E72D297353CC}">
                  <c16:uniqueId val="{00000002-8C98-4E7E-8C0F-66D2F920B51D}"/>
                </c:ext>
              </c:extLst>
            </c:dLbl>
            <c:dLbl>
              <c:idx val="3"/>
              <c:delete val="1"/>
              <c:extLst>
                <c:ext xmlns:c15="http://schemas.microsoft.com/office/drawing/2012/chart" uri="{CE6537A1-D6FC-4f65-9D91-7224C49458BB}"/>
                <c:ext xmlns:c16="http://schemas.microsoft.com/office/drawing/2014/chart" uri="{C3380CC4-5D6E-409C-BE32-E72D297353CC}">
                  <c16:uniqueId val="{00000003-8C98-4E7E-8C0F-66D2F920B51D}"/>
                </c:ext>
              </c:extLst>
            </c:dLbl>
            <c:dLbl>
              <c:idx val="4"/>
              <c:delete val="1"/>
              <c:extLst>
                <c:ext xmlns:c15="http://schemas.microsoft.com/office/drawing/2012/chart" uri="{CE6537A1-D6FC-4f65-9D91-7224C49458BB}"/>
                <c:ext xmlns:c16="http://schemas.microsoft.com/office/drawing/2014/chart" uri="{C3380CC4-5D6E-409C-BE32-E72D297353CC}">
                  <c16:uniqueId val="{00000004-8C98-4E7E-8C0F-66D2F920B51D}"/>
                </c:ext>
              </c:extLst>
            </c:dLbl>
            <c:dLbl>
              <c:idx val="5"/>
              <c:delete val="1"/>
              <c:extLst>
                <c:ext xmlns:c15="http://schemas.microsoft.com/office/drawing/2012/chart" uri="{CE6537A1-D6FC-4f65-9D91-7224C49458BB}"/>
                <c:ext xmlns:c16="http://schemas.microsoft.com/office/drawing/2014/chart" uri="{C3380CC4-5D6E-409C-BE32-E72D297353CC}">
                  <c16:uniqueId val="{00000005-8C98-4E7E-8C0F-66D2F920B51D}"/>
                </c:ext>
              </c:extLst>
            </c:dLbl>
            <c:dLbl>
              <c:idx val="6"/>
              <c:delete val="1"/>
              <c:extLst>
                <c:ext xmlns:c15="http://schemas.microsoft.com/office/drawing/2012/chart" uri="{CE6537A1-D6FC-4f65-9D91-7224C49458BB}"/>
                <c:ext xmlns:c16="http://schemas.microsoft.com/office/drawing/2014/chart" uri="{C3380CC4-5D6E-409C-BE32-E72D297353CC}">
                  <c16:uniqueId val="{00000006-8C98-4E7E-8C0F-66D2F920B51D}"/>
                </c:ext>
              </c:extLst>
            </c:dLbl>
            <c:dLbl>
              <c:idx val="7"/>
              <c:delete val="1"/>
              <c:extLst>
                <c:ext xmlns:c15="http://schemas.microsoft.com/office/drawing/2012/chart" uri="{CE6537A1-D6FC-4f65-9D91-7224C49458BB}"/>
                <c:ext xmlns:c16="http://schemas.microsoft.com/office/drawing/2014/chart" uri="{C3380CC4-5D6E-409C-BE32-E72D297353CC}">
                  <c16:uniqueId val="{00000007-8C98-4E7E-8C0F-66D2F920B51D}"/>
                </c:ext>
              </c:extLst>
            </c:dLbl>
            <c:dLbl>
              <c:idx val="8"/>
              <c:delete val="1"/>
              <c:extLst>
                <c:ext xmlns:c15="http://schemas.microsoft.com/office/drawing/2012/chart" uri="{CE6537A1-D6FC-4f65-9D91-7224C49458BB}"/>
                <c:ext xmlns:c16="http://schemas.microsoft.com/office/drawing/2014/chart" uri="{C3380CC4-5D6E-409C-BE32-E72D297353CC}">
                  <c16:uniqueId val="{00000008-8C98-4E7E-8C0F-66D2F920B51D}"/>
                </c:ext>
              </c:extLst>
            </c:dLbl>
            <c:dLbl>
              <c:idx val="9"/>
              <c:delete val="1"/>
              <c:extLst>
                <c:ext xmlns:c15="http://schemas.microsoft.com/office/drawing/2012/chart" uri="{CE6537A1-D6FC-4f65-9D91-7224C49458BB}"/>
                <c:ext xmlns:c16="http://schemas.microsoft.com/office/drawing/2014/chart" uri="{C3380CC4-5D6E-409C-BE32-E72D297353CC}">
                  <c16:uniqueId val="{00000009-8C98-4E7E-8C0F-66D2F920B51D}"/>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'[Older Adult Fall Deaths_2010_2019.xlsx]SEX_AGEGRP_2010-2020'!$I$2:$S$2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'[Older Adult Fall Deaths_2010_2019.xlsx]SEX_AGEGRP_2010-2020'!$I$6:$S$6</c:f>
              <c:numCache>
                <c:formatCode>General</c:formatCode>
                <c:ptCount val="11"/>
                <c:pt idx="0">
                  <c:v>12.050555544158751</c:v>
                </c:pt>
                <c:pt idx="1">
                  <c:v>14.298602771698135</c:v>
                </c:pt>
                <c:pt idx="2">
                  <c:v>11.528299757513246</c:v>
                </c:pt>
                <c:pt idx="3">
                  <c:v>11.455285340688039</c:v>
                </c:pt>
                <c:pt idx="4">
                  <c:v>10.18716912986582</c:v>
                </c:pt>
                <c:pt idx="5">
                  <c:v>14.259729014501891</c:v>
                </c:pt>
                <c:pt idx="6">
                  <c:v>14.498048550038199</c:v>
                </c:pt>
                <c:pt idx="7">
                  <c:v>15.560822422992779</c:v>
                </c:pt>
                <c:pt idx="8">
                  <c:v>16.038130816879246</c:v>
                </c:pt>
                <c:pt idx="9">
                  <c:v>18.306800359799194</c:v>
                </c:pt>
                <c:pt idx="10">
                  <c:v>18.306800359799194</c:v>
                </c:pt>
              </c:numCache>
            </c:numRef>
          </c:val>
          <c:smooth val="0"/>
          <c:extLst>
            <c:ext xmlns:c16="http://schemas.microsoft.com/office/drawing/2014/chart" uri="{C3380CC4-5D6E-409C-BE32-E72D297353CC}">
              <c16:uniqueId val="{0000000A-8C98-4E7E-8C0F-66D2F920B51D}"/>
            </c:ext>
          </c:extLst>
        </c:ser>
        <c:ser>
          <c:idx val="1"/>
          <c:order val="1"/>
          <c:tx>
            <c:strRef>
              <c:f>'[Older Adult Fall Deaths_2010_2019.xlsx]SEX_AGEGRP_2010-2020'!$H$7</c:f>
              <c:strCache>
                <c:ptCount val="1"/>
                <c:pt idx="0">
                  <c:v>75-84</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C98-4E7E-8C0F-66D2F920B51D}"/>
                </c:ext>
              </c:extLst>
            </c:dLbl>
            <c:dLbl>
              <c:idx val="1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C98-4E7E-8C0F-66D2F920B51D}"/>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'[Older Adult Fall Deaths_2010_2019.xlsx]SEX_AGEGRP_2010-2020'!$I$2:$S$2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'[Older Adult Fall Deaths_2010_2019.xlsx]SEX_AGEGRP_2010-2020'!$I$7:$S$7</c:f>
              <c:numCache>
                <c:formatCode>General</c:formatCode>
                <c:ptCount val="11"/>
                <c:pt idx="0">
                  <c:v>48.829684173558405</c:v>
                </c:pt>
                <c:pt idx="1">
                  <c:v>56.466477523591962</c:v>
                </c:pt>
                <c:pt idx="2">
                  <c:v>54.774186629980797</c:v>
                </c:pt>
                <c:pt idx="3">
                  <c:v>59.612118745862219</c:v>
                </c:pt>
                <c:pt idx="4">
                  <c:v>60.424965113924543</c:v>
                </c:pt>
                <c:pt idx="5">
                  <c:v>59.472196132557812</c:v>
                </c:pt>
                <c:pt idx="6">
                  <c:v>60.46704209996421</c:v>
                </c:pt>
                <c:pt idx="7">
                  <c:v>59.524110434129788</c:v>
                </c:pt>
                <c:pt idx="8">
                  <c:v>68.585625871930958</c:v>
                </c:pt>
                <c:pt idx="9">
                  <c:v>75.033309329267937</c:v>
                </c:pt>
                <c:pt idx="10">
                  <c:v>73.526616370848899</c:v>
                </c:pt>
              </c:numCache>
            </c:numRef>
          </c:val>
          <c:smooth val="0"/>
          <c:extLst>
            <c:ext xmlns:c16="http://schemas.microsoft.com/office/drawing/2014/chart" uri="{C3380CC4-5D6E-409C-BE32-E72D297353CC}">
              <c16:uniqueId val="{0000000D-8C98-4E7E-8C0F-66D2F920B51D}"/>
            </c:ext>
          </c:extLst>
        </c:ser>
        <c:ser>
          <c:idx val="2"/>
          <c:order val="2"/>
          <c:tx>
            <c:strRef>
              <c:f>'[Older Adult Fall Deaths_2010_2019.xlsx]SEX_AGEGRP_2010-2020'!$H$8</c:f>
              <c:strCache>
                <c:ptCount val="1"/>
                <c:pt idx="0">
                  <c:v>85+</c:v>
                </c:pt>
              </c:strCache>
            </c:strRef>
          </c:tx>
          <c:spPr>
            <a:ln w="28575" cap="rnd">
              <a:solidFill>
                <a:srgbClr val="00B050"/>
              </a:solidFill>
              <a:round/>
            </a:ln>
            <a:effectLst/>
          </c:spPr>
          <c:marker>
            <c:symbol val="circle"/>
            <c:size val="5"/>
            <c:spPr>
              <a:solidFill>
                <a:srgbClr val="00B050"/>
              </a:solidFill>
              <a:ln w="9525">
                <a:solidFill>
                  <a:srgbClr val="00B050"/>
                </a:solidFill>
              </a:ln>
              <a:effectLst/>
            </c:spPr>
          </c:marker>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8C98-4E7E-8C0F-66D2F920B51D}"/>
                </c:ext>
              </c:extLst>
            </c:dLbl>
            <c:dLbl>
              <c:idx val="1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C98-4E7E-8C0F-66D2F920B51D}"/>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'[Older Adult Fall Deaths_2010_2019.xlsx]SEX_AGEGRP_2010-2020'!$I$2:$S$2</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'[Older Adult Fall Deaths_2010_2019.xlsx]SEX_AGEGRP_2010-2020'!$I$8:$S$8</c:f>
              <c:numCache>
                <c:formatCode>General</c:formatCode>
                <c:ptCount val="11"/>
                <c:pt idx="0">
                  <c:v>159.79587868628116</c:v>
                </c:pt>
                <c:pt idx="1">
                  <c:v>187.69058138101761</c:v>
                </c:pt>
                <c:pt idx="2">
                  <c:v>202.99195905960917</c:v>
                </c:pt>
                <c:pt idx="3">
                  <c:v>198.07481614770995</c:v>
                </c:pt>
                <c:pt idx="4">
                  <c:v>183.37112380197337</c:v>
                </c:pt>
                <c:pt idx="5">
                  <c:v>223.6022023645728</c:v>
                </c:pt>
                <c:pt idx="6">
                  <c:v>213.06201836944729</c:v>
                </c:pt>
                <c:pt idx="7">
                  <c:v>274.77214509636849</c:v>
                </c:pt>
                <c:pt idx="8">
                  <c:v>294.58945613016931</c:v>
                </c:pt>
                <c:pt idx="9">
                  <c:v>327.74191670269613</c:v>
                </c:pt>
                <c:pt idx="10">
                  <c:v>337.65471569559429</c:v>
                </c:pt>
              </c:numCache>
            </c:numRef>
          </c:val>
          <c:smooth val="0"/>
          <c:extLst>
            <c:ext xmlns:c16="http://schemas.microsoft.com/office/drawing/2014/chart" uri="{C3380CC4-5D6E-409C-BE32-E72D297353CC}">
              <c16:uniqueId val="{00000010-8C98-4E7E-8C0F-66D2F920B51D}"/>
            </c:ext>
          </c:extLst>
        </c:ser>
        <c:dLbls>
          <c:showLegendKey val="0"/>
          <c:showVal val="0"/>
          <c:showCatName val="0"/>
          <c:showSerName val="0"/>
          <c:showPercent val="0"/>
          <c:showBubbleSize val="0"/>
        </c:dLbls>
        <c:marker val="1"/>
        <c:smooth val="0"/>
        <c:axId val="658534736"/>
        <c:axId val="658535392"/>
      </c:lineChart>
      <c:catAx>
        <c:axId val="658534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8535392"/>
        <c:crosses val="autoZero"/>
        <c:auto val="1"/>
        <c:lblAlgn val="ctr"/>
        <c:lblOffset val="100"/>
        <c:noMultiLvlLbl val="0"/>
      </c:catAx>
      <c:valAx>
        <c:axId val="658535392"/>
        <c:scaling>
          <c:orientation val="minMax"/>
          <c:max val="35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Age-specific Rate per 100,000</a:t>
                </a:r>
              </a:p>
            </c:rich>
          </c:tx>
          <c:layout>
            <c:manualLayout>
              <c:xMode val="edge"/>
              <c:yMode val="edge"/>
              <c:x val="1.3888888888888888E-2"/>
              <c:y val="0.18022346165062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8534736"/>
        <c:crosses val="autoZero"/>
        <c:crossBetween val="between"/>
      </c:valAx>
      <c:spPr>
        <a:noFill/>
        <a:ln>
          <a:noFill/>
        </a:ln>
        <a:effectLst/>
      </c:spPr>
    </c:plotArea>
    <c:legend>
      <c:legendPos val="b"/>
      <c:layout>
        <c:manualLayout>
          <c:xMode val="edge"/>
          <c:yMode val="edge"/>
          <c:x val="0.19461166816979275"/>
          <c:y val="3.8736650314147983E-2"/>
          <c:w val="0.60845989382153776"/>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15" ma:contentTypeDescription="Create a new document." ma:contentTypeScope="" ma:versionID="24c2bb1c0cba158153d4bc285116ae2d">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763b5808595b8fd59ce0c181848fc0ac"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c65f59-3358-4bc0-a420-5c5e0af3d77f}" ma:internalName="TaxCatchAll" ma:showField="CatchAllData" ma:web="3681058a-78c6-45c7-bc37-ed8082d13a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681058a-78c6-45c7-bc37-ed8082d13ab2" xsi:nil="true"/>
    <lcf76f155ced4ddcb4097134ff3c332f xmlns="84e97cf7-d201-4266-b669-9750d8c82d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8E0864-A499-498B-8582-3323A88F6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19055-36CA-485C-AF53-A990397868AB}">
  <ds:schemaRefs>
    <ds:schemaRef ds:uri="http://schemas.openxmlformats.org/officeDocument/2006/bibliography"/>
  </ds:schemaRefs>
</ds:datastoreItem>
</file>

<file path=customXml/itemProps3.xml><?xml version="1.0" encoding="utf-8"?>
<ds:datastoreItem xmlns:ds="http://schemas.openxmlformats.org/officeDocument/2006/customXml" ds:itemID="{886EFD52-3E0E-4BD4-B100-3D03FE7A8B58}">
  <ds:schemaRefs>
    <ds:schemaRef ds:uri="http://schemas.microsoft.com/office/2006/metadata/properties"/>
    <ds:schemaRef ds:uri="http://schemas.microsoft.com/office/infopath/2007/PartnerControls"/>
    <ds:schemaRef ds:uri="3681058a-78c6-45c7-bc37-ed8082d13ab2"/>
    <ds:schemaRef ds:uri="84e97cf7-d201-4266-b669-9750d8c82d63"/>
  </ds:schemaRefs>
</ds:datastoreItem>
</file>

<file path=customXml/itemProps4.xml><?xml version="1.0" encoding="utf-8"?>
<ds:datastoreItem xmlns:ds="http://schemas.openxmlformats.org/officeDocument/2006/customXml" ds:itemID="{7654FF61-D6AF-4D20-A02D-4BA9AA9F6C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13776</Words>
  <Characters>78524</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92116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Thomas.Mangan@MassMail.State.MA.US</dc:creator>
  <cp:lastModifiedBy>Harrison, Deborah (EHS)</cp:lastModifiedBy>
  <cp:revision>2</cp:revision>
  <dcterms:created xsi:type="dcterms:W3CDTF">2023-12-08T17:11:00Z</dcterms:created>
  <dcterms:modified xsi:type="dcterms:W3CDTF">2023-12-08T17:11:00Z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y fmtid="{D5CDD505-2E9C-101B-9397-08002B2CF9AE}" pid="3" name="MediaServiceImageTags">
    <vt:lpwstr/>
  </property>
</Properties>
</file>