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85D7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36"/>
          <w:szCs w:val="20"/>
        </w:rPr>
      </w:pPr>
      <w:r w:rsidRPr="00576564">
        <w:rPr>
          <w:rFonts w:ascii="Arial" w:eastAsia="Times New Roman" w:hAnsi="Arial" w:cs="Times New Roman"/>
          <w:sz w:val="36"/>
          <w:szCs w:val="20"/>
        </w:rPr>
        <w:t>The Commonwealth of Massachusetts</w:t>
      </w:r>
    </w:p>
    <w:p w14:paraId="12B88005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576564">
        <w:rPr>
          <w:rFonts w:ascii="Arial" w:eastAsia="Times New Roman" w:hAnsi="Arial" w:cs="Times New Roman"/>
          <w:sz w:val="28"/>
          <w:szCs w:val="20"/>
        </w:rPr>
        <w:t>Executive Office of Health and Human Services</w:t>
      </w:r>
    </w:p>
    <w:p w14:paraId="4B13FD68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576564">
        <w:rPr>
          <w:rFonts w:ascii="Arial" w:eastAsia="Times New Roman" w:hAnsi="Arial" w:cs="Times New Roman"/>
          <w:sz w:val="28"/>
          <w:szCs w:val="20"/>
        </w:rPr>
        <w:t>Department of Public Health</w:t>
      </w:r>
    </w:p>
    <w:p w14:paraId="58ED6475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576564">
        <w:rPr>
          <w:rFonts w:ascii="Arial" w:eastAsia="Times New Roman" w:hAnsi="Arial" w:cs="Times New Roman"/>
          <w:sz w:val="28"/>
          <w:szCs w:val="20"/>
        </w:rPr>
        <w:t>Bureau of Health Professions Licensure</w:t>
      </w:r>
    </w:p>
    <w:p w14:paraId="2BB2DF71" w14:textId="6B8B1551" w:rsidR="00576564" w:rsidRPr="00576564" w:rsidRDefault="0087401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874014">
        <w:rPr>
          <w:rFonts w:ascii="Arial" w:eastAsia="Times New Roman" w:hAnsi="Arial" w:cs="Times New Roman"/>
          <w:sz w:val="28"/>
          <w:szCs w:val="20"/>
        </w:rPr>
        <w:t>250 Washington Street, Boston, MA 02108-4619</w:t>
      </w:r>
    </w:p>
    <w:p w14:paraId="0832AEBF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576564">
        <w:rPr>
          <w:rFonts w:ascii="Arial" w:eastAsia="Times New Roman" w:hAnsi="Arial" w:cs="Arial"/>
          <w:sz w:val="18"/>
          <w:szCs w:val="18"/>
        </w:rPr>
        <w:t>Tel: 617-973-0800</w:t>
      </w:r>
    </w:p>
    <w:p w14:paraId="1B668DCF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r w:rsidRPr="00576564">
        <w:rPr>
          <w:rFonts w:ascii="Arial" w:eastAsia="Times New Roman" w:hAnsi="Arial" w:cs="Arial"/>
          <w:sz w:val="18"/>
          <w:szCs w:val="18"/>
          <w:lang w:val="fr-FR"/>
        </w:rPr>
        <w:t>TTY : 617-973-0988</w:t>
      </w:r>
    </w:p>
    <w:p w14:paraId="485B0F6C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hyperlink r:id="rId8" w:history="1">
        <w:r w:rsidRPr="00576564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686B782D" w14:textId="77777777" w:rsidR="00576564" w:rsidRPr="00576564" w:rsidRDefault="00576564" w:rsidP="00576564">
      <w:pPr>
        <w:framePr w:w="6926" w:hSpace="187" w:wrap="notBeside" w:vAnchor="page" w:hAnchor="page" w:x="2334" w:y="18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7DEE3D4C" w14:textId="77777777" w:rsidR="00576564" w:rsidRPr="00576564" w:rsidRDefault="00576564" w:rsidP="00576564">
      <w:pPr>
        <w:framePr w:w="1927" w:hSpace="180" w:wrap="auto" w:vAnchor="text" w:hAnchor="page" w:x="391" w:y="-359"/>
        <w:spacing w:after="0" w:line="240" w:lineRule="auto"/>
        <w:rPr>
          <w:rFonts w:ascii="LinePrinter" w:eastAsia="Times New Roman" w:hAnsi="LinePrinter" w:cs="Times New Roman"/>
          <w:sz w:val="24"/>
          <w:szCs w:val="20"/>
        </w:rPr>
      </w:pPr>
      <w:r>
        <w:rPr>
          <w:rFonts w:ascii="LinePrinter" w:eastAsia="Times New Roman" w:hAnsi="LinePrinter" w:cs="Times New Roman"/>
          <w:noProof/>
          <w:sz w:val="24"/>
          <w:szCs w:val="20"/>
        </w:rPr>
        <w:drawing>
          <wp:inline distT="0" distB="0" distL="0" distR="0" wp14:anchorId="2CE4C89E" wp14:editId="5FF129D7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27C7A" w14:textId="77777777" w:rsidR="00576564" w:rsidRPr="00576564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8"/>
          <w:szCs w:val="28"/>
        </w:rPr>
      </w:pPr>
      <w:r w:rsidRPr="00576564">
        <w:rPr>
          <w:rFonts w:ascii="Arial" w:eastAsia="Times New Roman" w:hAnsi="Arial" w:cs="Arial"/>
          <w:b/>
          <w:sz w:val="28"/>
          <w:szCs w:val="28"/>
        </w:rPr>
        <w:t>Board of Registration in Pharmacy</w:t>
      </w:r>
    </w:p>
    <w:p w14:paraId="555E3580" w14:textId="77777777" w:rsidR="00576564" w:rsidRPr="00576564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8"/>
          <w:szCs w:val="28"/>
        </w:rPr>
      </w:pPr>
    </w:p>
    <w:p w14:paraId="1A375FE5" w14:textId="5910A2E0" w:rsidR="00576564" w:rsidRPr="0095662D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4"/>
          <w:szCs w:val="24"/>
        </w:rPr>
      </w:pPr>
      <w:r w:rsidRPr="00576564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DD7E15" w:rsidRPr="0095662D">
        <w:rPr>
          <w:rFonts w:ascii="Arial" w:eastAsia="Times New Roman" w:hAnsi="Arial" w:cs="Arial"/>
          <w:b/>
          <w:sz w:val="24"/>
          <w:szCs w:val="24"/>
        </w:rPr>
        <w:t xml:space="preserve">Policy </w:t>
      </w:r>
      <w:r w:rsidR="00DD7E15" w:rsidRPr="002E2444">
        <w:rPr>
          <w:rFonts w:ascii="Arial" w:eastAsia="Times New Roman" w:hAnsi="Arial" w:cs="Arial"/>
          <w:b/>
          <w:sz w:val="24"/>
          <w:szCs w:val="24"/>
        </w:rPr>
        <w:t>202</w:t>
      </w:r>
      <w:r w:rsidR="000C67EF" w:rsidRPr="002E2444">
        <w:rPr>
          <w:rFonts w:ascii="Arial" w:eastAsia="Times New Roman" w:hAnsi="Arial" w:cs="Arial"/>
          <w:b/>
          <w:sz w:val="24"/>
          <w:szCs w:val="24"/>
        </w:rPr>
        <w:t>3</w:t>
      </w:r>
      <w:r w:rsidR="00DD7E15" w:rsidRPr="002E2444">
        <w:rPr>
          <w:rFonts w:ascii="Arial" w:eastAsia="Times New Roman" w:hAnsi="Arial" w:cs="Arial"/>
          <w:b/>
          <w:sz w:val="24"/>
          <w:szCs w:val="24"/>
        </w:rPr>
        <w:t>-</w:t>
      </w:r>
      <w:r w:rsidR="002E2444" w:rsidRPr="002E2444">
        <w:rPr>
          <w:rFonts w:ascii="Arial" w:eastAsia="Times New Roman" w:hAnsi="Arial" w:cs="Arial"/>
          <w:b/>
          <w:sz w:val="24"/>
          <w:szCs w:val="24"/>
        </w:rPr>
        <w:t>07</w:t>
      </w:r>
      <w:r w:rsidRPr="002E2444">
        <w:rPr>
          <w:rFonts w:ascii="Arial" w:eastAsia="Times New Roman" w:hAnsi="Arial" w:cs="Arial"/>
          <w:b/>
          <w:sz w:val="24"/>
          <w:szCs w:val="24"/>
        </w:rPr>
        <w:t>:</w:t>
      </w:r>
      <w:r w:rsidRPr="0095662D">
        <w:rPr>
          <w:rFonts w:ascii="Arial" w:eastAsia="Times New Roman" w:hAnsi="Arial" w:cs="Arial"/>
          <w:b/>
          <w:sz w:val="24"/>
          <w:szCs w:val="24"/>
        </w:rPr>
        <w:t xml:space="preserve"> Non-Sterile Compounding</w:t>
      </w:r>
    </w:p>
    <w:p w14:paraId="59669959" w14:textId="77777777" w:rsidR="00576564" w:rsidRPr="0095662D" w:rsidRDefault="00576564" w:rsidP="00576564">
      <w:pPr>
        <w:spacing w:after="0" w:line="240" w:lineRule="auto"/>
        <w:ind w:left="1440" w:firstLine="720"/>
        <w:rPr>
          <w:rFonts w:ascii="Arial" w:eastAsia="Times New Roman" w:hAnsi="Arial" w:cs="Arial"/>
          <w:b/>
          <w:sz w:val="24"/>
          <w:szCs w:val="24"/>
        </w:rPr>
      </w:pPr>
    </w:p>
    <w:p w14:paraId="574E0323" w14:textId="11D2101F" w:rsidR="00B559DC" w:rsidRPr="004C35C4" w:rsidRDefault="009B6316" w:rsidP="0095662D">
      <w:p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T</w:t>
      </w:r>
      <w:r w:rsidR="00576564" w:rsidRPr="0095662D">
        <w:rPr>
          <w:rFonts w:ascii="Arial" w:eastAsia="Times New Roman" w:hAnsi="Arial" w:cs="Arial"/>
          <w:sz w:val="24"/>
          <w:szCs w:val="24"/>
        </w:rPr>
        <w:t>he Board of Registration in Pharmacy (</w:t>
      </w:r>
      <w:r w:rsidR="00E265F4" w:rsidRPr="0095662D">
        <w:rPr>
          <w:rFonts w:ascii="Arial" w:eastAsia="Times New Roman" w:hAnsi="Arial" w:cs="Arial"/>
          <w:sz w:val="24"/>
          <w:szCs w:val="24"/>
        </w:rPr>
        <w:t>“</w:t>
      </w:r>
      <w:r w:rsidR="00576564" w:rsidRPr="0095662D">
        <w:rPr>
          <w:rFonts w:ascii="Arial" w:eastAsia="Times New Roman" w:hAnsi="Arial" w:cs="Arial"/>
          <w:sz w:val="24"/>
          <w:szCs w:val="24"/>
        </w:rPr>
        <w:t>Board</w:t>
      </w:r>
      <w:r w:rsidR="00E265F4" w:rsidRPr="0095662D">
        <w:rPr>
          <w:rFonts w:ascii="Arial" w:eastAsia="Times New Roman" w:hAnsi="Arial" w:cs="Arial"/>
          <w:sz w:val="24"/>
          <w:szCs w:val="24"/>
        </w:rPr>
        <w:t>”</w:t>
      </w:r>
      <w:r w:rsidR="00576564" w:rsidRPr="0095662D">
        <w:rPr>
          <w:rFonts w:ascii="Arial" w:eastAsia="Times New Roman" w:hAnsi="Arial" w:cs="Arial"/>
          <w:sz w:val="24"/>
          <w:szCs w:val="24"/>
        </w:rPr>
        <w:t xml:space="preserve">) </w:t>
      </w:r>
      <w:r w:rsidR="00615AB0">
        <w:rPr>
          <w:rFonts w:ascii="Arial" w:eastAsia="Times New Roman" w:hAnsi="Arial" w:cs="Arial"/>
          <w:sz w:val="24"/>
          <w:szCs w:val="24"/>
        </w:rPr>
        <w:t xml:space="preserve">is </w:t>
      </w:r>
      <w:r w:rsidR="00576564" w:rsidRPr="0095662D">
        <w:rPr>
          <w:rFonts w:ascii="Arial" w:eastAsia="Times New Roman" w:hAnsi="Arial" w:cs="Arial"/>
          <w:sz w:val="24"/>
          <w:szCs w:val="24"/>
        </w:rPr>
        <w:t>provid</w:t>
      </w:r>
      <w:r w:rsidR="00615AB0">
        <w:rPr>
          <w:rFonts w:ascii="Arial" w:eastAsia="Times New Roman" w:hAnsi="Arial" w:cs="Arial"/>
          <w:sz w:val="24"/>
          <w:szCs w:val="24"/>
        </w:rPr>
        <w:t>ing</w:t>
      </w:r>
      <w:r w:rsidR="00576564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A733EC" w:rsidRPr="0095662D">
        <w:rPr>
          <w:rFonts w:ascii="Arial" w:eastAsia="Times New Roman" w:hAnsi="Arial" w:cs="Arial"/>
          <w:sz w:val="24"/>
          <w:szCs w:val="24"/>
        </w:rPr>
        <w:t>a</w:t>
      </w:r>
      <w:r w:rsidRPr="0095662D">
        <w:rPr>
          <w:rFonts w:ascii="Arial" w:eastAsia="Times New Roman" w:hAnsi="Arial" w:cs="Arial"/>
          <w:sz w:val="24"/>
          <w:szCs w:val="24"/>
        </w:rPr>
        <w:t>n</w:t>
      </w:r>
      <w:r w:rsidR="00A733EC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Pr="0095662D">
        <w:rPr>
          <w:rFonts w:ascii="Arial" w:eastAsia="Times New Roman" w:hAnsi="Arial" w:cs="Arial"/>
          <w:sz w:val="24"/>
          <w:szCs w:val="24"/>
        </w:rPr>
        <w:t xml:space="preserve">overview </w:t>
      </w:r>
      <w:r w:rsidR="00832890" w:rsidRPr="0095662D">
        <w:rPr>
          <w:rFonts w:ascii="Arial" w:eastAsia="Times New Roman" w:hAnsi="Arial" w:cs="Arial"/>
          <w:sz w:val="24"/>
          <w:szCs w:val="24"/>
        </w:rPr>
        <w:t xml:space="preserve">of requirements </w:t>
      </w:r>
      <w:r w:rsidR="00576564" w:rsidRPr="0095662D">
        <w:rPr>
          <w:rFonts w:ascii="Arial" w:eastAsia="Times New Roman" w:hAnsi="Arial" w:cs="Arial"/>
          <w:sz w:val="24"/>
          <w:szCs w:val="24"/>
        </w:rPr>
        <w:t>for non-sterile compounding</w:t>
      </w:r>
      <w:r w:rsidR="001F5F88" w:rsidRPr="0095662D">
        <w:rPr>
          <w:rFonts w:ascii="Arial" w:eastAsia="Times New Roman" w:hAnsi="Arial" w:cs="Arial"/>
          <w:sz w:val="24"/>
          <w:szCs w:val="24"/>
        </w:rPr>
        <w:t xml:space="preserve"> by Board</w:t>
      </w:r>
      <w:r w:rsidR="00615AB0">
        <w:rPr>
          <w:rFonts w:ascii="Arial" w:eastAsia="Times New Roman" w:hAnsi="Arial" w:cs="Arial"/>
          <w:sz w:val="24"/>
          <w:szCs w:val="24"/>
        </w:rPr>
        <w:t>-</w:t>
      </w:r>
      <w:r w:rsidR="001F5F88" w:rsidRPr="0095662D">
        <w:rPr>
          <w:rFonts w:ascii="Arial" w:eastAsia="Times New Roman" w:hAnsi="Arial" w:cs="Arial"/>
          <w:sz w:val="24"/>
          <w:szCs w:val="24"/>
        </w:rPr>
        <w:t>licensed pharmacies.</w:t>
      </w:r>
      <w:r w:rsidRPr="0095662D">
        <w:rPr>
          <w:rFonts w:ascii="Arial" w:eastAsia="Times New Roman" w:hAnsi="Arial" w:cs="Arial"/>
          <w:sz w:val="24"/>
          <w:szCs w:val="24"/>
        </w:rPr>
        <w:t xml:space="preserve"> This is not intended to be an exhaustive list. Licensees are expected to adhere to </w:t>
      </w:r>
      <w:r w:rsidR="0095662D">
        <w:rPr>
          <w:rFonts w:ascii="Arial" w:eastAsia="Times New Roman" w:hAnsi="Arial" w:cs="Arial"/>
          <w:sz w:val="24"/>
          <w:szCs w:val="24"/>
        </w:rPr>
        <w:t xml:space="preserve">the </w:t>
      </w:r>
      <w:r w:rsidR="0095662D" w:rsidRPr="0095662D">
        <w:rPr>
          <w:rFonts w:ascii="Arial" w:eastAsia="Times New Roman" w:hAnsi="Arial" w:cs="Arial"/>
          <w:sz w:val="24"/>
          <w:szCs w:val="24"/>
        </w:rPr>
        <w:t>United States Pharmacopeia (“</w:t>
      </w:r>
      <w:r w:rsidRPr="0095662D">
        <w:rPr>
          <w:rFonts w:ascii="Arial" w:eastAsia="Times New Roman" w:hAnsi="Arial" w:cs="Arial"/>
          <w:sz w:val="24"/>
          <w:szCs w:val="24"/>
        </w:rPr>
        <w:t>USP</w:t>
      </w:r>
      <w:r w:rsidR="0095662D" w:rsidRPr="0095662D">
        <w:rPr>
          <w:rFonts w:ascii="Arial" w:eastAsia="Times New Roman" w:hAnsi="Arial" w:cs="Arial"/>
          <w:sz w:val="24"/>
          <w:szCs w:val="24"/>
        </w:rPr>
        <w:t>”)</w:t>
      </w:r>
      <w:r w:rsidRPr="0095662D">
        <w:rPr>
          <w:rFonts w:ascii="Arial" w:eastAsia="Times New Roman" w:hAnsi="Arial" w:cs="Arial"/>
          <w:sz w:val="24"/>
          <w:szCs w:val="24"/>
        </w:rPr>
        <w:t>, and any state and federal requirements.</w:t>
      </w:r>
      <w:r w:rsidR="008A79B0">
        <w:rPr>
          <w:rFonts w:ascii="Arial" w:eastAsia="Times New Roman" w:hAnsi="Arial" w:cs="Arial"/>
          <w:sz w:val="24"/>
          <w:szCs w:val="24"/>
        </w:rPr>
        <w:t xml:space="preserve"> </w:t>
      </w:r>
      <w:r w:rsidR="008A79B0" w:rsidRPr="004C35C4">
        <w:rPr>
          <w:rFonts w:ascii="Arial" w:eastAsia="Times New Roman" w:hAnsi="Arial" w:cs="Arial"/>
          <w:sz w:val="24"/>
          <w:szCs w:val="24"/>
          <w:u w:val="single"/>
        </w:rPr>
        <w:t>Except for complex non-sterile compounding, all pharmacies licensed by the Board are expected to engage in non-sterile compounding in accordance with Board regulations.</w:t>
      </w:r>
    </w:p>
    <w:p w14:paraId="71FCEF54" w14:textId="77777777" w:rsidR="00576564" w:rsidRPr="0095662D" w:rsidRDefault="00576564" w:rsidP="0095662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9680B81" w14:textId="20CE2CD5" w:rsidR="00C20F6E" w:rsidRPr="0095662D" w:rsidRDefault="00C20F6E" w:rsidP="0095662D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b/>
          <w:sz w:val="24"/>
          <w:szCs w:val="24"/>
          <w:u w:val="single"/>
        </w:rPr>
        <w:t>Definitions</w:t>
      </w:r>
    </w:p>
    <w:p w14:paraId="209ABE4C" w14:textId="77777777" w:rsidR="00C20F6E" w:rsidRPr="0095662D" w:rsidRDefault="00C20F6E" w:rsidP="0095662D">
      <w:pPr>
        <w:pStyle w:val="ListParagraph"/>
        <w:spacing w:after="0"/>
        <w:ind w:left="1080"/>
        <w:jc w:val="both"/>
        <w:rPr>
          <w:rFonts w:ascii="Arial" w:eastAsia="Times New Roman" w:hAnsi="Arial" w:cs="Arial"/>
          <w:sz w:val="24"/>
          <w:szCs w:val="24"/>
        </w:rPr>
      </w:pPr>
    </w:p>
    <w:p w14:paraId="0F7669CC" w14:textId="27E5717C" w:rsidR="00576564" w:rsidRPr="0095662D" w:rsidRDefault="00576564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b/>
          <w:sz w:val="24"/>
          <w:szCs w:val="24"/>
          <w:u w:val="single"/>
        </w:rPr>
        <w:t>Non-sterile compounding</w:t>
      </w:r>
      <w:r w:rsidRPr="0095662D">
        <w:rPr>
          <w:rFonts w:ascii="Arial" w:eastAsia="Times New Roman" w:hAnsi="Arial" w:cs="Arial"/>
          <w:sz w:val="24"/>
          <w:szCs w:val="24"/>
        </w:rPr>
        <w:t xml:space="preserve"> is defined as </w:t>
      </w:r>
      <w:r w:rsidR="00821BEF" w:rsidRPr="0095662D">
        <w:rPr>
          <w:rFonts w:ascii="Arial" w:eastAsia="Times New Roman" w:hAnsi="Arial" w:cs="Arial"/>
          <w:sz w:val="24"/>
          <w:szCs w:val="24"/>
        </w:rPr>
        <w:t xml:space="preserve">the process of </w:t>
      </w:r>
      <w:r w:rsidRPr="0095662D">
        <w:rPr>
          <w:rFonts w:ascii="Arial" w:eastAsia="Times New Roman" w:hAnsi="Arial" w:cs="Arial"/>
          <w:sz w:val="24"/>
          <w:szCs w:val="24"/>
        </w:rPr>
        <w:t xml:space="preserve">combining, admixing, diluting, pooling, reconstituting other than as provided in the manufacturer’s labeling, or otherwise altering a drug or bulk drug substance to create a non-sterile </w:t>
      </w:r>
      <w:r w:rsidR="00C92FE3" w:rsidRPr="0095662D">
        <w:rPr>
          <w:rFonts w:ascii="Arial" w:eastAsia="Times New Roman" w:hAnsi="Arial" w:cs="Arial"/>
          <w:sz w:val="24"/>
          <w:szCs w:val="24"/>
        </w:rPr>
        <w:t>preparation</w:t>
      </w:r>
      <w:r w:rsidR="00E265F4" w:rsidRPr="0095662D">
        <w:rPr>
          <w:rFonts w:ascii="Arial" w:hAnsi="Arial" w:cs="Arial"/>
        </w:rPr>
        <w:t xml:space="preserve"> </w:t>
      </w:r>
      <w:r w:rsidR="00E265F4" w:rsidRPr="0095662D">
        <w:rPr>
          <w:rFonts w:ascii="Arial" w:eastAsia="Times New Roman" w:hAnsi="Arial" w:cs="Arial"/>
          <w:sz w:val="24"/>
          <w:szCs w:val="24"/>
        </w:rPr>
        <w:t>(</w:t>
      </w:r>
      <w:r w:rsidR="00C92FE3" w:rsidRPr="0095662D">
        <w:rPr>
          <w:rFonts w:ascii="Arial" w:eastAsia="Times New Roman" w:hAnsi="Arial" w:cs="Arial"/>
          <w:sz w:val="24"/>
          <w:szCs w:val="24"/>
        </w:rPr>
        <w:t xml:space="preserve">adapted from </w:t>
      </w:r>
      <w:r w:rsidR="00E265F4" w:rsidRPr="0095662D">
        <w:rPr>
          <w:rFonts w:ascii="Arial" w:eastAsia="Times New Roman" w:hAnsi="Arial" w:cs="Arial"/>
          <w:sz w:val="24"/>
          <w:szCs w:val="24"/>
        </w:rPr>
        <w:t>USP &lt;795&gt;)</w:t>
      </w:r>
      <w:r w:rsidR="00A733EC" w:rsidRPr="0095662D">
        <w:rPr>
          <w:rFonts w:ascii="Arial" w:eastAsia="Times New Roman" w:hAnsi="Arial" w:cs="Arial"/>
          <w:sz w:val="24"/>
          <w:szCs w:val="24"/>
        </w:rPr>
        <w:t>.</w:t>
      </w:r>
    </w:p>
    <w:p w14:paraId="4E709060" w14:textId="77777777" w:rsidR="00C20F6E" w:rsidRPr="0095662D" w:rsidRDefault="00C20F6E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0F04F54A" w14:textId="14AEB0CE" w:rsidR="00375C76" w:rsidRDefault="00C20F6E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b/>
          <w:sz w:val="24"/>
          <w:szCs w:val="24"/>
          <w:u w:val="single"/>
        </w:rPr>
        <w:t>Complex non-sterile compounding</w:t>
      </w:r>
      <w:r w:rsidRPr="0095662D">
        <w:rPr>
          <w:rFonts w:ascii="Arial" w:eastAsia="Times New Roman" w:hAnsi="Arial" w:cs="Arial"/>
          <w:sz w:val="24"/>
          <w:szCs w:val="24"/>
        </w:rPr>
        <w:t xml:space="preserve">  </w:t>
      </w:r>
      <w:r w:rsidR="00A733EC" w:rsidRPr="0095662D">
        <w:rPr>
          <w:rFonts w:ascii="Arial" w:eastAsia="Times New Roman" w:hAnsi="Arial" w:cs="Arial"/>
          <w:sz w:val="24"/>
          <w:szCs w:val="24"/>
        </w:rPr>
        <w:t xml:space="preserve">is defined as the </w:t>
      </w:r>
      <w:r w:rsidRPr="0095662D">
        <w:rPr>
          <w:rFonts w:ascii="Arial" w:eastAsia="Times New Roman" w:hAnsi="Arial" w:cs="Arial"/>
          <w:sz w:val="24"/>
          <w:szCs w:val="24"/>
        </w:rPr>
        <w:t>compounding of drug preparations which require special training, a special environment or special facilities or equipment or the use of compounding techniques and procedures that may present an elevated risk to the compounder or the patient</w:t>
      </w:r>
      <w:r w:rsidRPr="0095662D" w:rsidDel="00F60EA5">
        <w:rPr>
          <w:rFonts w:ascii="Arial" w:eastAsia="Times New Roman" w:hAnsi="Arial" w:cs="Arial"/>
          <w:sz w:val="24"/>
          <w:szCs w:val="24"/>
        </w:rPr>
        <w:t xml:space="preserve"> </w:t>
      </w:r>
      <w:r w:rsidRPr="0095662D">
        <w:rPr>
          <w:rFonts w:ascii="Arial" w:eastAsia="Times New Roman" w:hAnsi="Arial" w:cs="Arial"/>
          <w:sz w:val="24"/>
          <w:szCs w:val="24"/>
        </w:rPr>
        <w:t>(</w:t>
      </w:r>
      <w:hyperlink r:id="rId10" w:history="1">
        <w:r w:rsidRPr="0095662D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MGL </w:t>
        </w:r>
        <w:r w:rsidR="00AA23E2" w:rsidRPr="0095662D">
          <w:rPr>
            <w:rStyle w:val="Hyperlink"/>
            <w:rFonts w:ascii="Arial" w:eastAsia="Times New Roman" w:hAnsi="Arial" w:cs="Arial"/>
            <w:sz w:val="24"/>
            <w:szCs w:val="24"/>
          </w:rPr>
          <w:t>c.</w:t>
        </w:r>
        <w:r w:rsidRPr="0095662D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112 </w:t>
        </w:r>
        <w:r w:rsidR="00A35E10" w:rsidRPr="0095662D">
          <w:rPr>
            <w:rStyle w:val="Hyperlink"/>
            <w:rFonts w:ascii="Arial" w:eastAsia="Times New Roman" w:hAnsi="Arial" w:cs="Arial"/>
            <w:sz w:val="24"/>
            <w:szCs w:val="24"/>
          </w:rPr>
          <w:t>§</w:t>
        </w:r>
        <w:r w:rsidRPr="0095662D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39D</w:t>
        </w:r>
      </w:hyperlink>
      <w:r w:rsidRPr="0095662D">
        <w:rPr>
          <w:rFonts w:ascii="Arial" w:eastAsia="Times New Roman" w:hAnsi="Arial" w:cs="Arial"/>
          <w:sz w:val="24"/>
          <w:szCs w:val="24"/>
        </w:rPr>
        <w:t>)</w:t>
      </w:r>
      <w:r w:rsidR="00EF72CB" w:rsidRPr="0095662D">
        <w:rPr>
          <w:rFonts w:ascii="Arial" w:eastAsia="Times New Roman" w:hAnsi="Arial" w:cs="Arial"/>
          <w:sz w:val="24"/>
          <w:szCs w:val="24"/>
        </w:rPr>
        <w:t xml:space="preserve">. </w:t>
      </w:r>
      <w:r w:rsidR="00042B2C" w:rsidRPr="0095662D">
        <w:rPr>
          <w:rFonts w:ascii="Arial" w:eastAsia="Times New Roman" w:hAnsi="Arial" w:cs="Arial"/>
          <w:sz w:val="24"/>
          <w:szCs w:val="24"/>
        </w:rPr>
        <w:t xml:space="preserve">This type of compounding requires an additional specialty license. </w:t>
      </w:r>
      <w:r w:rsidR="005D3EF7" w:rsidRPr="0095662D">
        <w:rPr>
          <w:rFonts w:ascii="Arial" w:eastAsia="Times New Roman" w:hAnsi="Arial" w:cs="Arial"/>
          <w:sz w:val="24"/>
          <w:szCs w:val="24"/>
        </w:rPr>
        <w:t>See section VII below.</w:t>
      </w:r>
    </w:p>
    <w:p w14:paraId="59E1C17B" w14:textId="77777777" w:rsidR="004C35C4" w:rsidRPr="0095662D" w:rsidRDefault="004C35C4" w:rsidP="004C35C4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9BBD202" w14:textId="33DEF38A" w:rsidR="00C20F6E" w:rsidRPr="0095662D" w:rsidRDefault="00764FE2" w:rsidP="0095662D">
      <w:pPr>
        <w:spacing w:after="0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t>Note</w:t>
      </w:r>
      <w:r w:rsidRPr="0095662D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EF72CB" w:rsidRPr="0095662D">
        <w:rPr>
          <w:rFonts w:ascii="Arial" w:eastAsia="Times New Roman" w:hAnsi="Arial" w:cs="Arial"/>
          <w:b/>
          <w:bCs/>
          <w:sz w:val="24"/>
          <w:szCs w:val="24"/>
        </w:rPr>
        <w:t xml:space="preserve">The Board considers the compounding of </w:t>
      </w:r>
      <w:r w:rsidR="0095662D" w:rsidRPr="0095662D">
        <w:rPr>
          <w:rFonts w:ascii="Arial" w:eastAsia="Times New Roman" w:hAnsi="Arial" w:cs="Arial"/>
          <w:b/>
          <w:bCs/>
          <w:sz w:val="24"/>
          <w:szCs w:val="24"/>
        </w:rPr>
        <w:t>National Institute for Occupational Safety and Health</w:t>
      </w:r>
      <w:r w:rsidR="0095662D">
        <w:rPr>
          <w:rFonts w:ascii="Arial" w:eastAsia="Times New Roman" w:hAnsi="Arial" w:cs="Arial"/>
          <w:b/>
          <w:bCs/>
          <w:sz w:val="24"/>
          <w:szCs w:val="24"/>
        </w:rPr>
        <w:t xml:space="preserve"> (“</w:t>
      </w:r>
      <w:r w:rsidR="00EF72CB" w:rsidRPr="0095662D">
        <w:rPr>
          <w:rFonts w:ascii="Arial" w:eastAsia="Times New Roman" w:hAnsi="Arial" w:cs="Arial"/>
          <w:b/>
          <w:bCs/>
          <w:sz w:val="24"/>
          <w:szCs w:val="24"/>
        </w:rPr>
        <w:t>NIOSH</w:t>
      </w:r>
      <w:r w:rsidR="0095662D">
        <w:rPr>
          <w:rFonts w:ascii="Arial" w:eastAsia="Times New Roman" w:hAnsi="Arial" w:cs="Arial"/>
          <w:b/>
          <w:bCs/>
          <w:sz w:val="24"/>
          <w:szCs w:val="24"/>
        </w:rPr>
        <w:t>”)</w:t>
      </w:r>
      <w:r w:rsidR="00EF72CB" w:rsidRPr="0095662D">
        <w:rPr>
          <w:rFonts w:ascii="Arial" w:eastAsia="Times New Roman" w:hAnsi="Arial" w:cs="Arial"/>
          <w:b/>
          <w:bCs/>
          <w:sz w:val="24"/>
          <w:szCs w:val="24"/>
        </w:rPr>
        <w:t xml:space="preserve"> drug containing preparations or other hazardous agents to be complex non-sterile compounding.</w:t>
      </w:r>
    </w:p>
    <w:p w14:paraId="7B1DF117" w14:textId="77777777" w:rsidR="00821BEF" w:rsidRPr="0095662D" w:rsidRDefault="00821BEF" w:rsidP="0095662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40AE89F0" w14:textId="732FE4AB" w:rsidR="00C20F6E" w:rsidRPr="0095662D" w:rsidRDefault="00C20F6E" w:rsidP="0095662D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t>General</w:t>
      </w:r>
    </w:p>
    <w:p w14:paraId="6CEA8FE8" w14:textId="77777777" w:rsidR="00375C76" w:rsidRPr="0095662D" w:rsidRDefault="00375C76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2F242FD4" w14:textId="3774AB56" w:rsidR="00DA0C22" w:rsidRDefault="00040630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1C1FC0">
        <w:rPr>
          <w:rFonts w:ascii="Arial" w:eastAsia="Times New Roman" w:hAnsi="Arial" w:cs="Arial"/>
          <w:sz w:val="24"/>
          <w:szCs w:val="24"/>
        </w:rPr>
        <w:t xml:space="preserve">Pharmacies must have </w:t>
      </w:r>
      <w:r w:rsidR="00DA0C22" w:rsidRPr="001C1FC0">
        <w:rPr>
          <w:rFonts w:ascii="Arial" w:eastAsia="Times New Roman" w:hAnsi="Arial" w:cs="Arial"/>
          <w:sz w:val="24"/>
          <w:szCs w:val="24"/>
        </w:rPr>
        <w:t xml:space="preserve">policies and procedures </w:t>
      </w:r>
      <w:r w:rsidR="00D5762C">
        <w:rPr>
          <w:rFonts w:ascii="Arial" w:eastAsia="Times New Roman" w:hAnsi="Arial" w:cs="Arial"/>
          <w:sz w:val="24"/>
          <w:szCs w:val="24"/>
        </w:rPr>
        <w:t>for</w:t>
      </w:r>
      <w:r w:rsidR="00DA0C22" w:rsidRPr="001C1FC0">
        <w:rPr>
          <w:rFonts w:ascii="Arial" w:eastAsia="Times New Roman" w:hAnsi="Arial" w:cs="Arial"/>
          <w:sz w:val="24"/>
          <w:szCs w:val="24"/>
        </w:rPr>
        <w:t xml:space="preserve"> non-sterile compounding</w:t>
      </w:r>
      <w:r w:rsidR="004D1304" w:rsidRPr="001C1FC0">
        <w:rPr>
          <w:rFonts w:ascii="Arial" w:eastAsia="Times New Roman" w:hAnsi="Arial" w:cs="Arial"/>
          <w:sz w:val="24"/>
          <w:szCs w:val="24"/>
        </w:rPr>
        <w:t xml:space="preserve">, including </w:t>
      </w:r>
      <w:r w:rsidR="00C03C86" w:rsidRPr="001C1FC0">
        <w:rPr>
          <w:rFonts w:ascii="Arial" w:eastAsia="Times New Roman" w:hAnsi="Arial" w:cs="Arial"/>
          <w:sz w:val="24"/>
          <w:szCs w:val="24"/>
        </w:rPr>
        <w:t>personal protective equipment (</w:t>
      </w:r>
      <w:r w:rsidR="001C1FC0" w:rsidRPr="001C1FC0">
        <w:rPr>
          <w:rFonts w:ascii="Arial" w:eastAsia="Times New Roman" w:hAnsi="Arial" w:cs="Arial"/>
          <w:sz w:val="24"/>
          <w:szCs w:val="24"/>
        </w:rPr>
        <w:t>“</w:t>
      </w:r>
      <w:r w:rsidR="00C03C86" w:rsidRPr="001C1FC0">
        <w:rPr>
          <w:rFonts w:ascii="Arial" w:eastAsia="Times New Roman" w:hAnsi="Arial" w:cs="Arial"/>
          <w:sz w:val="24"/>
          <w:szCs w:val="24"/>
        </w:rPr>
        <w:t>PPE</w:t>
      </w:r>
      <w:r w:rsidR="001C1FC0" w:rsidRPr="001C1FC0">
        <w:rPr>
          <w:rFonts w:ascii="Arial" w:eastAsia="Times New Roman" w:hAnsi="Arial" w:cs="Arial"/>
          <w:sz w:val="24"/>
          <w:szCs w:val="24"/>
        </w:rPr>
        <w:t>”</w:t>
      </w:r>
      <w:r w:rsidR="00C03C86" w:rsidRPr="001C1FC0">
        <w:rPr>
          <w:rFonts w:ascii="Arial" w:eastAsia="Times New Roman" w:hAnsi="Arial" w:cs="Arial"/>
          <w:sz w:val="24"/>
          <w:szCs w:val="24"/>
        </w:rPr>
        <w:t>)</w:t>
      </w:r>
      <w:r w:rsidR="006A245D">
        <w:rPr>
          <w:rFonts w:ascii="Arial" w:eastAsia="Times New Roman" w:hAnsi="Arial" w:cs="Arial"/>
          <w:sz w:val="24"/>
          <w:szCs w:val="24"/>
        </w:rPr>
        <w:t xml:space="preserve"> and</w:t>
      </w:r>
      <w:r w:rsidR="00C03C86" w:rsidRPr="001C1FC0">
        <w:rPr>
          <w:rFonts w:ascii="Arial" w:eastAsia="Times New Roman" w:hAnsi="Arial" w:cs="Arial"/>
          <w:sz w:val="24"/>
          <w:szCs w:val="24"/>
        </w:rPr>
        <w:t xml:space="preserve"> </w:t>
      </w:r>
      <w:r w:rsidR="004D1304" w:rsidRPr="001C1FC0">
        <w:rPr>
          <w:rFonts w:ascii="Arial" w:eastAsia="Times New Roman" w:hAnsi="Arial" w:cs="Arial"/>
          <w:sz w:val="24"/>
          <w:szCs w:val="24"/>
        </w:rPr>
        <w:t>training,</w:t>
      </w:r>
      <w:r w:rsidR="00DA0C22" w:rsidRPr="001C1FC0">
        <w:rPr>
          <w:rFonts w:ascii="Arial" w:eastAsia="Times New Roman" w:hAnsi="Arial" w:cs="Arial"/>
          <w:sz w:val="24"/>
          <w:szCs w:val="24"/>
        </w:rPr>
        <w:t xml:space="preserve"> based on the </w:t>
      </w:r>
      <w:r w:rsidR="000D2928" w:rsidRPr="001C1FC0">
        <w:rPr>
          <w:rFonts w:ascii="Arial" w:eastAsia="Times New Roman" w:hAnsi="Arial" w:cs="Arial"/>
          <w:sz w:val="24"/>
          <w:szCs w:val="24"/>
        </w:rPr>
        <w:t>type</w:t>
      </w:r>
      <w:r w:rsidR="00DA0C22" w:rsidRPr="001C1FC0">
        <w:rPr>
          <w:rFonts w:ascii="Arial" w:eastAsia="Times New Roman" w:hAnsi="Arial" w:cs="Arial"/>
          <w:sz w:val="24"/>
          <w:szCs w:val="24"/>
        </w:rPr>
        <w:t xml:space="preserve"> of compounding</w:t>
      </w:r>
      <w:r w:rsidRPr="001C1FC0">
        <w:rPr>
          <w:rFonts w:ascii="Arial" w:eastAsia="Times New Roman" w:hAnsi="Arial" w:cs="Arial"/>
          <w:sz w:val="24"/>
          <w:szCs w:val="24"/>
        </w:rPr>
        <w:t xml:space="preserve"> performed.</w:t>
      </w:r>
      <w:r w:rsidR="00C03C86" w:rsidRPr="001C1FC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DAE725F" w14:textId="2EAB3BEA" w:rsidR="0029478C" w:rsidRDefault="00513F70" w:rsidP="00513F70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513F70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Note</w:t>
      </w:r>
      <w:r w:rsidRPr="00513F70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13F70">
        <w:rPr>
          <w:rFonts w:ascii="Arial" w:eastAsia="Times New Roman" w:hAnsi="Arial" w:cs="Arial"/>
          <w:sz w:val="24"/>
          <w:szCs w:val="24"/>
        </w:rPr>
        <w:t xml:space="preserve"> The requirement of USP &lt;795&gt; for a “designated person” may be fulfilled by the pharmacy’s Manager of Record or any licensed pharmacist on-site.</w:t>
      </w:r>
    </w:p>
    <w:p w14:paraId="64941EF4" w14:textId="77777777" w:rsidR="00513F70" w:rsidRPr="0095662D" w:rsidRDefault="00513F70" w:rsidP="00513F70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708AB0CD" w14:textId="6DBDB3EA" w:rsidR="007D0C8A" w:rsidRPr="007A6A2A" w:rsidRDefault="00040630" w:rsidP="007A6A2A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7A6A2A">
        <w:rPr>
          <w:rFonts w:ascii="Arial" w:eastAsia="Times New Roman" w:hAnsi="Arial" w:cs="Arial"/>
          <w:sz w:val="24"/>
          <w:szCs w:val="24"/>
        </w:rPr>
        <w:t>Pa</w:t>
      </w:r>
      <w:r w:rsidR="00C20F6E" w:rsidRPr="007A6A2A">
        <w:rPr>
          <w:rFonts w:ascii="Arial" w:eastAsia="Times New Roman" w:hAnsi="Arial" w:cs="Arial"/>
          <w:sz w:val="24"/>
          <w:szCs w:val="24"/>
        </w:rPr>
        <w:t>tient</w:t>
      </w:r>
      <w:r w:rsidR="00385144" w:rsidRPr="007A6A2A">
        <w:rPr>
          <w:rFonts w:ascii="Arial" w:eastAsia="Times New Roman" w:hAnsi="Arial" w:cs="Arial"/>
          <w:sz w:val="24"/>
          <w:szCs w:val="24"/>
        </w:rPr>
        <w:t>-</w:t>
      </w:r>
      <w:r w:rsidR="00C20F6E" w:rsidRPr="007A6A2A">
        <w:rPr>
          <w:rFonts w:ascii="Arial" w:eastAsia="Times New Roman" w:hAnsi="Arial" w:cs="Arial"/>
          <w:sz w:val="24"/>
          <w:szCs w:val="24"/>
        </w:rPr>
        <w:t xml:space="preserve">specific prescriptions are required </w:t>
      </w:r>
      <w:r w:rsidRPr="007A6A2A">
        <w:rPr>
          <w:rFonts w:ascii="Arial" w:eastAsia="Times New Roman" w:hAnsi="Arial" w:cs="Arial"/>
          <w:sz w:val="24"/>
          <w:szCs w:val="24"/>
        </w:rPr>
        <w:t>to dispense any</w:t>
      </w:r>
      <w:r w:rsidR="00C20F6E" w:rsidRPr="007A6A2A">
        <w:rPr>
          <w:rFonts w:ascii="Arial" w:eastAsia="Times New Roman" w:hAnsi="Arial" w:cs="Arial"/>
          <w:sz w:val="24"/>
          <w:szCs w:val="24"/>
        </w:rPr>
        <w:t xml:space="preserve"> compounded preparation</w:t>
      </w:r>
      <w:r w:rsidR="00321475" w:rsidRPr="007A6A2A">
        <w:rPr>
          <w:rFonts w:ascii="Arial" w:eastAsia="Times New Roman" w:hAnsi="Arial" w:cs="Arial"/>
          <w:sz w:val="24"/>
          <w:szCs w:val="24"/>
        </w:rPr>
        <w:t xml:space="preserve"> into</w:t>
      </w:r>
      <w:r w:rsidR="003C596C" w:rsidRPr="007A6A2A">
        <w:rPr>
          <w:rFonts w:ascii="Arial" w:eastAsia="Times New Roman" w:hAnsi="Arial" w:cs="Arial"/>
          <w:sz w:val="24"/>
          <w:szCs w:val="24"/>
        </w:rPr>
        <w:t>, within,</w:t>
      </w:r>
      <w:r w:rsidR="00321475" w:rsidRPr="007A6A2A">
        <w:rPr>
          <w:rFonts w:ascii="Arial" w:eastAsia="Times New Roman" w:hAnsi="Arial" w:cs="Arial"/>
          <w:sz w:val="24"/>
          <w:szCs w:val="24"/>
        </w:rPr>
        <w:t xml:space="preserve"> or from Massachusetts.</w:t>
      </w:r>
    </w:p>
    <w:p w14:paraId="3E54B58D" w14:textId="6EC84E0C" w:rsidR="008A79B0" w:rsidRDefault="00146DB5" w:rsidP="00385144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385144">
        <w:rPr>
          <w:rFonts w:ascii="Arial" w:eastAsia="Times New Roman" w:hAnsi="Arial" w:cs="Arial"/>
          <w:b/>
          <w:bCs/>
          <w:sz w:val="24"/>
          <w:szCs w:val="24"/>
          <w:u w:val="single"/>
        </w:rPr>
        <w:t>N</w:t>
      </w:r>
      <w:r w:rsidR="00385144" w:rsidRPr="00385144">
        <w:rPr>
          <w:rFonts w:ascii="Arial" w:eastAsia="Times New Roman" w:hAnsi="Arial" w:cs="Arial"/>
          <w:b/>
          <w:bCs/>
          <w:sz w:val="24"/>
          <w:szCs w:val="24"/>
          <w:u w:val="single"/>
        </w:rPr>
        <w:t>ote</w:t>
      </w:r>
      <w:r>
        <w:rPr>
          <w:rFonts w:ascii="Arial" w:eastAsia="Times New Roman" w:hAnsi="Arial" w:cs="Arial"/>
          <w:sz w:val="24"/>
          <w:szCs w:val="24"/>
        </w:rPr>
        <w:t>: Flavoring may be added upon request of the patient or their agent</w:t>
      </w:r>
      <w:r w:rsidR="00385144">
        <w:rPr>
          <w:rFonts w:ascii="Arial" w:eastAsia="Times New Roman" w:hAnsi="Arial" w:cs="Arial"/>
          <w:sz w:val="24"/>
          <w:szCs w:val="24"/>
        </w:rPr>
        <w:t xml:space="preserve"> </w:t>
      </w:r>
      <w:r w:rsidR="00A239EC">
        <w:rPr>
          <w:rFonts w:ascii="Arial" w:eastAsia="Times New Roman" w:hAnsi="Arial" w:cs="Arial"/>
          <w:sz w:val="24"/>
          <w:szCs w:val="24"/>
        </w:rPr>
        <w:t>for Schedule VI medications</w:t>
      </w:r>
      <w:r w:rsidR="00BF5992">
        <w:rPr>
          <w:rFonts w:ascii="Arial" w:eastAsia="Times New Roman" w:hAnsi="Arial" w:cs="Arial"/>
          <w:sz w:val="24"/>
          <w:szCs w:val="24"/>
        </w:rPr>
        <w:t xml:space="preserve"> even</w:t>
      </w:r>
      <w:r w:rsidR="00A239EC">
        <w:rPr>
          <w:rFonts w:ascii="Arial" w:eastAsia="Times New Roman" w:hAnsi="Arial" w:cs="Arial"/>
          <w:sz w:val="24"/>
          <w:szCs w:val="24"/>
        </w:rPr>
        <w:t xml:space="preserve"> </w:t>
      </w:r>
      <w:r w:rsidR="00D7214E">
        <w:rPr>
          <w:rFonts w:ascii="Arial" w:eastAsia="Times New Roman" w:hAnsi="Arial" w:cs="Arial"/>
          <w:sz w:val="24"/>
          <w:szCs w:val="24"/>
        </w:rPr>
        <w:t>if it has not been requested by the prescriber</w:t>
      </w:r>
      <w:r w:rsidR="00385144">
        <w:rPr>
          <w:rFonts w:ascii="Arial" w:eastAsia="Times New Roman" w:hAnsi="Arial" w:cs="Arial"/>
          <w:sz w:val="24"/>
          <w:szCs w:val="24"/>
        </w:rPr>
        <w:t>.</w:t>
      </w:r>
      <w:r w:rsidR="00C03C86">
        <w:rPr>
          <w:rFonts w:ascii="Arial" w:eastAsia="Times New Roman" w:hAnsi="Arial" w:cs="Arial"/>
          <w:sz w:val="24"/>
          <w:szCs w:val="24"/>
        </w:rPr>
        <w:t xml:space="preserve"> </w:t>
      </w:r>
      <w:r w:rsidR="003F2C3D">
        <w:rPr>
          <w:rFonts w:ascii="Arial" w:eastAsia="Times New Roman" w:hAnsi="Arial" w:cs="Arial"/>
          <w:sz w:val="24"/>
          <w:szCs w:val="24"/>
        </w:rPr>
        <w:t xml:space="preserve">The prescription may be updated with this information in accordance with </w:t>
      </w:r>
      <w:hyperlink r:id="rId11" w:history="1">
        <w:r w:rsidR="003F2C3D" w:rsidRPr="00A239EC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Policy 2018-01: </w:t>
        </w:r>
        <w:r w:rsidR="003F2C3D" w:rsidRPr="00A239EC">
          <w:rPr>
            <w:rStyle w:val="Hyperlink"/>
            <w:rFonts w:ascii="Arial" w:hAnsi="Arial" w:cs="Arial"/>
            <w:i/>
            <w:iCs/>
            <w:sz w:val="24"/>
            <w:szCs w:val="24"/>
          </w:rPr>
          <w:t>Permitted Prescription Changes and Additions</w:t>
        </w:r>
      </w:hyperlink>
      <w:r w:rsidR="003F2C3D" w:rsidRPr="00A239EC">
        <w:rPr>
          <w:rFonts w:ascii="Arial" w:eastAsia="Times New Roman" w:hAnsi="Arial" w:cs="Arial"/>
          <w:sz w:val="24"/>
          <w:szCs w:val="24"/>
        </w:rPr>
        <w:t>.</w:t>
      </w:r>
    </w:p>
    <w:p w14:paraId="202E653C" w14:textId="77777777" w:rsidR="007D0C8A" w:rsidRPr="00A239EC" w:rsidRDefault="007D0C8A" w:rsidP="00385144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0E6071CD" w14:textId="1AD2E414" w:rsidR="007A611C" w:rsidRDefault="00E0200A" w:rsidP="007A611C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hyperlink r:id="rId12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In accordance with M</w:t>
        </w:r>
        <w:r w:rsidR="007A611C" w:rsidRPr="00D03C06">
          <w:rPr>
            <w:rStyle w:val="Hyperlink"/>
            <w:rFonts w:ascii="Arial" w:eastAsia="Times New Roman" w:hAnsi="Arial" w:cs="Arial"/>
            <w:sz w:val="24"/>
            <w:szCs w:val="24"/>
          </w:rPr>
          <w:t>GL c.112 § 39D</w:t>
        </w:r>
      </w:hyperlink>
      <w:r>
        <w:rPr>
          <w:rStyle w:val="Hyperlink"/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c</w:t>
      </w:r>
      <w:r w:rsidR="00A96D49" w:rsidRPr="007931EC">
        <w:rPr>
          <w:rFonts w:ascii="Arial" w:eastAsia="Times New Roman" w:hAnsi="Arial" w:cs="Arial"/>
          <w:sz w:val="24"/>
          <w:szCs w:val="24"/>
        </w:rPr>
        <w:t>opies of c</w:t>
      </w:r>
      <w:r w:rsidR="00665245" w:rsidRPr="007A611C">
        <w:rPr>
          <w:rFonts w:ascii="Arial" w:eastAsia="Times New Roman" w:hAnsi="Arial" w:cs="Arial"/>
          <w:sz w:val="24"/>
          <w:szCs w:val="24"/>
        </w:rPr>
        <w:t xml:space="preserve">ommercially available, </w:t>
      </w:r>
      <w:r w:rsidR="00804503" w:rsidRPr="007A611C">
        <w:rPr>
          <w:rFonts w:ascii="Arial" w:eastAsia="Times New Roman" w:hAnsi="Arial" w:cs="Arial"/>
          <w:sz w:val="24"/>
          <w:szCs w:val="24"/>
        </w:rPr>
        <w:t xml:space="preserve">Food and Drug Administration (“FDA”) </w:t>
      </w:r>
      <w:r w:rsidR="00665245" w:rsidRPr="007A611C">
        <w:rPr>
          <w:rFonts w:ascii="Arial" w:eastAsia="Times New Roman" w:hAnsi="Arial" w:cs="Arial"/>
          <w:sz w:val="24"/>
          <w:szCs w:val="24"/>
        </w:rPr>
        <w:t>approved drugs or drug preparations</w:t>
      </w:r>
      <w:r w:rsidR="007A611C">
        <w:rPr>
          <w:rFonts w:ascii="Arial" w:eastAsia="Times New Roman" w:hAnsi="Arial" w:cs="Arial"/>
          <w:sz w:val="24"/>
          <w:szCs w:val="24"/>
        </w:rPr>
        <w:t>,</w:t>
      </w:r>
      <w:r w:rsidR="00A96D49" w:rsidRPr="007A611C">
        <w:rPr>
          <w:rFonts w:ascii="Arial" w:eastAsia="Times New Roman" w:hAnsi="Arial" w:cs="Arial"/>
          <w:sz w:val="24"/>
          <w:szCs w:val="24"/>
        </w:rPr>
        <w:t xml:space="preserve"> </w:t>
      </w:r>
      <w:r w:rsidR="007D0C8A">
        <w:rPr>
          <w:rFonts w:ascii="Arial" w:eastAsia="Times New Roman" w:hAnsi="Arial" w:cs="Arial"/>
          <w:sz w:val="24"/>
          <w:szCs w:val="24"/>
        </w:rPr>
        <w:t>including those for veterinary use</w:t>
      </w:r>
      <w:r w:rsidR="007A611C">
        <w:rPr>
          <w:rFonts w:ascii="Arial" w:eastAsia="Times New Roman" w:hAnsi="Arial" w:cs="Arial"/>
          <w:sz w:val="24"/>
          <w:szCs w:val="24"/>
        </w:rPr>
        <w:t>,</w:t>
      </w:r>
      <w:r w:rsidR="007A611C" w:rsidRPr="007A611C" w:rsidDel="007A611C">
        <w:rPr>
          <w:rFonts w:ascii="Arial" w:eastAsia="Times New Roman" w:hAnsi="Arial" w:cs="Arial"/>
          <w:sz w:val="24"/>
          <w:szCs w:val="24"/>
        </w:rPr>
        <w:t xml:space="preserve"> </w:t>
      </w:r>
      <w:r w:rsidR="00A96D49" w:rsidRPr="007A611C">
        <w:rPr>
          <w:rFonts w:ascii="Arial" w:eastAsia="Times New Roman" w:hAnsi="Arial" w:cs="Arial"/>
          <w:sz w:val="24"/>
          <w:szCs w:val="24"/>
        </w:rPr>
        <w:t xml:space="preserve">may not be compounded </w:t>
      </w:r>
      <w:r w:rsidR="00665245" w:rsidRPr="007A611C">
        <w:rPr>
          <w:rFonts w:ascii="Arial" w:eastAsia="Times New Roman" w:hAnsi="Arial" w:cs="Arial"/>
          <w:sz w:val="24"/>
          <w:szCs w:val="24"/>
        </w:rPr>
        <w:t xml:space="preserve">except to meet </w:t>
      </w:r>
      <w:r w:rsidR="00A96D49" w:rsidRPr="007A611C">
        <w:rPr>
          <w:rFonts w:ascii="Arial" w:eastAsia="Times New Roman" w:hAnsi="Arial" w:cs="Arial"/>
          <w:sz w:val="24"/>
          <w:szCs w:val="24"/>
        </w:rPr>
        <w:t xml:space="preserve">the unique medical need of an individual patient by </w:t>
      </w:r>
      <w:r w:rsidR="00A96D49" w:rsidRPr="005456B8">
        <w:rPr>
          <w:rFonts w:ascii="Arial" w:eastAsia="Times New Roman" w:hAnsi="Arial" w:cs="Arial"/>
          <w:sz w:val="24"/>
          <w:szCs w:val="24"/>
        </w:rPr>
        <w:t xml:space="preserve">producing a </w:t>
      </w:r>
      <w:r w:rsidR="00A96D49" w:rsidRPr="007A611C">
        <w:rPr>
          <w:rFonts w:ascii="Arial" w:eastAsia="Times New Roman" w:hAnsi="Arial" w:cs="Arial"/>
          <w:sz w:val="24"/>
          <w:szCs w:val="24"/>
          <w:u w:val="single"/>
        </w:rPr>
        <w:t>significant difference</w:t>
      </w:r>
      <w:r w:rsidR="00A96D49" w:rsidRPr="007A611C">
        <w:rPr>
          <w:rFonts w:ascii="Arial" w:eastAsia="Times New Roman" w:hAnsi="Arial" w:cs="Arial"/>
          <w:sz w:val="24"/>
          <w:szCs w:val="24"/>
        </w:rPr>
        <w:t xml:space="preserve"> between the compounded drug preparation and a comparable commercially available drug</w:t>
      </w:r>
      <w:r w:rsidR="007A611C">
        <w:rPr>
          <w:rFonts w:ascii="Arial" w:eastAsia="Times New Roman" w:hAnsi="Arial" w:cs="Arial"/>
          <w:sz w:val="24"/>
          <w:szCs w:val="24"/>
        </w:rPr>
        <w:t>. This must</w:t>
      </w:r>
      <w:r w:rsidR="00A96D49" w:rsidRPr="007A611C">
        <w:rPr>
          <w:rFonts w:ascii="Arial" w:eastAsia="Times New Roman" w:hAnsi="Arial" w:cs="Arial"/>
          <w:sz w:val="24"/>
          <w:szCs w:val="24"/>
        </w:rPr>
        <w:t xml:space="preserve"> </w:t>
      </w:r>
      <w:r w:rsidR="007A611C">
        <w:rPr>
          <w:rFonts w:ascii="Arial" w:eastAsia="Times New Roman" w:hAnsi="Arial" w:cs="Arial"/>
          <w:sz w:val="24"/>
          <w:szCs w:val="24"/>
        </w:rPr>
        <w:t>be</w:t>
      </w:r>
      <w:r w:rsidR="008A1CF3" w:rsidRPr="007A611C">
        <w:rPr>
          <w:rFonts w:ascii="Arial" w:eastAsia="Times New Roman" w:hAnsi="Arial" w:cs="Arial"/>
          <w:sz w:val="24"/>
          <w:szCs w:val="24"/>
        </w:rPr>
        <w:t xml:space="preserve"> justified </w:t>
      </w:r>
      <w:r w:rsidR="007A611C">
        <w:rPr>
          <w:rFonts w:ascii="Arial" w:eastAsia="Times New Roman" w:hAnsi="Arial" w:cs="Arial"/>
          <w:sz w:val="24"/>
          <w:szCs w:val="24"/>
        </w:rPr>
        <w:t>with</w:t>
      </w:r>
      <w:r w:rsidR="008A1CF3" w:rsidRPr="007A611C">
        <w:rPr>
          <w:rFonts w:ascii="Arial" w:eastAsia="Times New Roman" w:hAnsi="Arial" w:cs="Arial"/>
          <w:sz w:val="24"/>
          <w:szCs w:val="24"/>
        </w:rPr>
        <w:t xml:space="preserve"> a </w:t>
      </w:r>
      <w:r w:rsidR="008A1CF3" w:rsidRPr="005456B8">
        <w:rPr>
          <w:rFonts w:ascii="Arial" w:eastAsia="Times New Roman" w:hAnsi="Arial" w:cs="Arial"/>
          <w:sz w:val="24"/>
          <w:szCs w:val="24"/>
          <w:u w:val="single"/>
        </w:rPr>
        <w:t>documented medical need as determined by the prescribing practitioner</w:t>
      </w:r>
      <w:r w:rsidR="008A1CF3" w:rsidRPr="007A611C">
        <w:rPr>
          <w:rFonts w:ascii="Arial" w:eastAsia="Times New Roman" w:hAnsi="Arial" w:cs="Arial"/>
          <w:sz w:val="24"/>
          <w:szCs w:val="24"/>
        </w:rPr>
        <w:t xml:space="preserve"> </w:t>
      </w:r>
      <w:r w:rsidR="007A611C" w:rsidRPr="007A611C">
        <w:rPr>
          <w:rFonts w:ascii="Arial" w:eastAsia="Times New Roman" w:hAnsi="Arial" w:cs="Arial"/>
          <w:sz w:val="24"/>
          <w:szCs w:val="24"/>
        </w:rPr>
        <w:t xml:space="preserve">including, but not limited to, the removal of a dye for medical reasons, a change in strength, </w:t>
      </w:r>
      <w:r w:rsidR="00BF5992">
        <w:rPr>
          <w:rFonts w:ascii="Arial" w:eastAsia="Times New Roman" w:hAnsi="Arial" w:cs="Arial"/>
          <w:sz w:val="24"/>
          <w:szCs w:val="24"/>
        </w:rPr>
        <w:t xml:space="preserve">or </w:t>
      </w:r>
      <w:r w:rsidR="007A611C" w:rsidRPr="007A611C">
        <w:rPr>
          <w:rFonts w:ascii="Arial" w:eastAsia="Times New Roman" w:hAnsi="Arial" w:cs="Arial"/>
          <w:sz w:val="24"/>
          <w:szCs w:val="24"/>
        </w:rPr>
        <w:t>a change in dosage, form</w:t>
      </w:r>
      <w:r w:rsidR="006450BD">
        <w:rPr>
          <w:rFonts w:ascii="Arial" w:eastAsia="Times New Roman" w:hAnsi="Arial" w:cs="Arial"/>
          <w:sz w:val="24"/>
          <w:szCs w:val="24"/>
        </w:rPr>
        <w:t>,</w:t>
      </w:r>
      <w:r w:rsidR="007A611C" w:rsidRPr="007A611C">
        <w:rPr>
          <w:rFonts w:ascii="Arial" w:eastAsia="Times New Roman" w:hAnsi="Arial" w:cs="Arial"/>
          <w:sz w:val="24"/>
          <w:szCs w:val="24"/>
        </w:rPr>
        <w:t xml:space="preserve"> or delivery mechanism</w:t>
      </w:r>
      <w:r w:rsidR="00A96D49" w:rsidRPr="007A611C">
        <w:rPr>
          <w:rFonts w:ascii="Arial" w:eastAsia="Times New Roman" w:hAnsi="Arial" w:cs="Arial"/>
          <w:sz w:val="24"/>
          <w:szCs w:val="24"/>
        </w:rPr>
        <w:t xml:space="preserve">. </w:t>
      </w:r>
      <w:r w:rsidR="00615AB0">
        <w:rPr>
          <w:rFonts w:ascii="Arial" w:eastAsia="Times New Roman" w:hAnsi="Arial" w:cs="Arial"/>
          <w:sz w:val="24"/>
          <w:szCs w:val="24"/>
        </w:rPr>
        <w:t xml:space="preserve">Cost is not a suitable justification. </w:t>
      </w:r>
      <w:r w:rsidR="008A1CF3" w:rsidRPr="007A611C">
        <w:rPr>
          <w:rFonts w:ascii="Arial" w:eastAsia="Times New Roman" w:hAnsi="Arial" w:cs="Arial"/>
          <w:sz w:val="24"/>
          <w:szCs w:val="24"/>
        </w:rPr>
        <w:t xml:space="preserve">Regarding </w:t>
      </w:r>
      <w:r w:rsidR="007A611C" w:rsidRPr="007A611C">
        <w:rPr>
          <w:rFonts w:ascii="Arial" w:eastAsia="Times New Roman" w:hAnsi="Arial" w:cs="Arial"/>
          <w:sz w:val="24"/>
          <w:szCs w:val="24"/>
        </w:rPr>
        <w:t xml:space="preserve">the </w:t>
      </w:r>
      <w:r w:rsidR="008A1CF3" w:rsidRPr="007A611C">
        <w:rPr>
          <w:rFonts w:ascii="Arial" w:eastAsia="Times New Roman" w:hAnsi="Arial" w:cs="Arial"/>
          <w:sz w:val="24"/>
          <w:szCs w:val="24"/>
        </w:rPr>
        <w:t xml:space="preserve">compounding of a </w:t>
      </w:r>
      <w:r w:rsidR="007A611C" w:rsidRPr="007A611C">
        <w:rPr>
          <w:rFonts w:ascii="Arial" w:eastAsia="Times New Roman" w:hAnsi="Arial" w:cs="Arial"/>
          <w:sz w:val="24"/>
          <w:szCs w:val="24"/>
        </w:rPr>
        <w:t>copy of a drug, s</w:t>
      </w:r>
      <w:r w:rsidR="00665245" w:rsidRPr="007A611C">
        <w:rPr>
          <w:rFonts w:ascii="Arial" w:eastAsia="Times New Roman" w:hAnsi="Arial" w:cs="Arial"/>
          <w:sz w:val="24"/>
          <w:szCs w:val="24"/>
        </w:rPr>
        <w:t xml:space="preserve">ee </w:t>
      </w:r>
      <w:hyperlink r:id="rId13" w:history="1">
        <w:r w:rsidR="0000106E" w:rsidRPr="007A611C">
          <w:rPr>
            <w:rStyle w:val="Hyperlink"/>
            <w:rFonts w:ascii="Arial" w:eastAsia="Times New Roman" w:hAnsi="Arial" w:cs="Arial"/>
            <w:sz w:val="24"/>
            <w:szCs w:val="24"/>
          </w:rPr>
          <w:t>P</w:t>
        </w:r>
        <w:r w:rsidR="00665245" w:rsidRPr="007A611C">
          <w:rPr>
            <w:rStyle w:val="Hyperlink"/>
            <w:rFonts w:ascii="Arial" w:eastAsia="Times New Roman" w:hAnsi="Arial" w:cs="Arial"/>
            <w:sz w:val="24"/>
            <w:szCs w:val="24"/>
          </w:rPr>
          <w:t>olicy</w:t>
        </w:r>
        <w:r w:rsidR="0000106E" w:rsidRPr="007A611C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2020-02: </w:t>
        </w:r>
        <w:r w:rsidR="0000106E" w:rsidRPr="007A611C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Compounding Copies of Commercially Available Drugs</w:t>
        </w:r>
      </w:hyperlink>
      <w:r w:rsidR="0000106E" w:rsidRPr="007A611C">
        <w:rPr>
          <w:rFonts w:ascii="Arial" w:eastAsia="Times New Roman" w:hAnsi="Arial" w:cs="Arial"/>
          <w:sz w:val="24"/>
          <w:szCs w:val="24"/>
        </w:rPr>
        <w:t>.</w:t>
      </w:r>
    </w:p>
    <w:p w14:paraId="5064E722" w14:textId="77777777" w:rsidR="005456B8" w:rsidRDefault="005456B8" w:rsidP="005456B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B329BE3" w14:textId="028FEBC2" w:rsidR="007D0C8A" w:rsidRPr="007D0C8A" w:rsidRDefault="00AA1203" w:rsidP="007D0C8A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A1203">
        <w:rPr>
          <w:rFonts w:ascii="Arial" w:eastAsia="Times New Roman" w:hAnsi="Arial" w:cs="Arial"/>
          <w:sz w:val="24"/>
          <w:szCs w:val="24"/>
        </w:rPr>
        <w:t xml:space="preserve">In exercising the pharmacist’s corresponding responsibility, </w:t>
      </w:r>
      <w:proofErr w:type="gramStart"/>
      <w:r w:rsidRPr="00AA1203">
        <w:rPr>
          <w:rFonts w:ascii="Arial" w:eastAsia="Times New Roman" w:hAnsi="Arial" w:cs="Arial"/>
          <w:sz w:val="24"/>
          <w:szCs w:val="24"/>
        </w:rPr>
        <w:t>evaluate</w:t>
      </w:r>
      <w:proofErr w:type="gramEnd"/>
      <w:r w:rsidRPr="00AA1203">
        <w:rPr>
          <w:rFonts w:ascii="Arial" w:eastAsia="Times New Roman" w:hAnsi="Arial" w:cs="Arial"/>
          <w:sz w:val="24"/>
          <w:szCs w:val="24"/>
        </w:rPr>
        <w:t xml:space="preserve"> each prescription utilizing sound clinical judgement to determine whether a compound, or any active ingredient(s) in the compound, is necessary and appropriate.</w:t>
      </w:r>
    </w:p>
    <w:p w14:paraId="3A865C36" w14:textId="77777777" w:rsidR="007D0C8A" w:rsidRPr="007D0C8A" w:rsidRDefault="007D0C8A" w:rsidP="007D0C8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0860915" w14:textId="22EA39F7" w:rsidR="00736F30" w:rsidRDefault="00736F30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Pharmacies may provide emergency kits (“e-kit</w:t>
      </w:r>
      <w:r w:rsidR="00A17036" w:rsidRPr="0095662D">
        <w:rPr>
          <w:rFonts w:ascii="Arial" w:eastAsia="Times New Roman" w:hAnsi="Arial" w:cs="Arial"/>
          <w:sz w:val="24"/>
          <w:szCs w:val="24"/>
        </w:rPr>
        <w:t>s</w:t>
      </w:r>
      <w:r w:rsidRPr="0095662D">
        <w:rPr>
          <w:rFonts w:ascii="Arial" w:eastAsia="Times New Roman" w:hAnsi="Arial" w:cs="Arial"/>
          <w:sz w:val="24"/>
          <w:szCs w:val="24"/>
        </w:rPr>
        <w:t xml:space="preserve">”) containing limited quantities of Schedule VI compounded medications to a licensed veterinarian for the purpose of direct administration or dispensing in emergency situations in accordance with </w:t>
      </w:r>
      <w:hyperlink r:id="rId14" w:history="1">
        <w:r w:rsidR="0000106E" w:rsidRPr="0000106E">
          <w:rPr>
            <w:rStyle w:val="Hyperlink"/>
            <w:rFonts w:ascii="Arial" w:eastAsia="Times New Roman" w:hAnsi="Arial" w:cs="Arial"/>
            <w:sz w:val="24"/>
            <w:szCs w:val="24"/>
          </w:rPr>
          <w:t>P</w:t>
        </w:r>
        <w:r w:rsidRPr="0000106E">
          <w:rPr>
            <w:rStyle w:val="Hyperlink"/>
            <w:rFonts w:ascii="Arial" w:eastAsia="Times New Roman" w:hAnsi="Arial" w:cs="Arial"/>
            <w:sz w:val="24"/>
            <w:szCs w:val="24"/>
          </w:rPr>
          <w:t>olicy</w:t>
        </w:r>
        <w:r w:rsidR="0000106E" w:rsidRPr="0000106E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2019-06: </w:t>
        </w:r>
        <w:r w:rsidR="0000106E" w:rsidRPr="0000106E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Compounded Emergency Medications for Veterinarian Use</w:t>
        </w:r>
      </w:hyperlink>
      <w:r w:rsidR="0000106E">
        <w:rPr>
          <w:rFonts w:ascii="Arial" w:eastAsia="Times New Roman" w:hAnsi="Arial" w:cs="Arial"/>
          <w:sz w:val="24"/>
          <w:szCs w:val="24"/>
        </w:rPr>
        <w:t>.</w:t>
      </w:r>
    </w:p>
    <w:p w14:paraId="6D6BBEDF" w14:textId="77777777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A3966C7" w14:textId="76F0394E" w:rsidR="00736F30" w:rsidRPr="002150B5" w:rsidRDefault="00736F30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Ph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armacies may participate in research </w:t>
      </w:r>
      <w:r w:rsidRPr="0095662D">
        <w:rPr>
          <w:rFonts w:ascii="Arial" w:eastAsia="Times New Roman" w:hAnsi="Arial" w:cs="Arial"/>
          <w:sz w:val="24"/>
          <w:szCs w:val="24"/>
        </w:rPr>
        <w:t xml:space="preserve">drug 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studies with compounded medications in accordance with </w:t>
      </w:r>
      <w:hyperlink r:id="rId15" w:history="1">
        <w:r w:rsidR="0000106E" w:rsidRPr="0000106E">
          <w:rPr>
            <w:rStyle w:val="Hyperlink"/>
            <w:rFonts w:ascii="Arial" w:eastAsia="Times New Roman" w:hAnsi="Arial" w:cs="Arial"/>
            <w:sz w:val="24"/>
            <w:szCs w:val="24"/>
          </w:rPr>
          <w:t>P</w:t>
        </w:r>
        <w:r w:rsidR="00665245" w:rsidRPr="0000106E">
          <w:rPr>
            <w:rStyle w:val="Hyperlink"/>
            <w:rFonts w:ascii="Arial" w:eastAsia="Times New Roman" w:hAnsi="Arial" w:cs="Arial"/>
            <w:sz w:val="24"/>
            <w:szCs w:val="24"/>
          </w:rPr>
          <w:t>olicy</w:t>
        </w:r>
        <w:r w:rsidR="0000106E" w:rsidRPr="0000106E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2018-06: </w:t>
        </w:r>
        <w:r w:rsidR="0000106E" w:rsidRPr="0000106E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Retail Pharmacy Participation in Research Drug Studies</w:t>
        </w:r>
      </w:hyperlink>
      <w:r w:rsidR="0000106E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293F1F74" w14:textId="77777777" w:rsidR="002150B5" w:rsidRPr="002150B5" w:rsidRDefault="002150B5" w:rsidP="002150B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B2583D4" w14:textId="77777777" w:rsidR="002150B5" w:rsidRDefault="002150B5" w:rsidP="002150B5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EAB8B6C" w14:textId="77777777" w:rsidR="002150B5" w:rsidRPr="0095662D" w:rsidRDefault="002150B5" w:rsidP="002150B5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F77760C" w14:textId="77777777" w:rsidR="00C20F6E" w:rsidRPr="0095662D" w:rsidRDefault="00C20F6E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08BC3ADF" w14:textId="6F8A11D9" w:rsidR="00A96D49" w:rsidRPr="0095662D" w:rsidRDefault="00A96D49" w:rsidP="0095662D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Non-Sterile Compounding Process</w:t>
      </w:r>
      <w:r w:rsidR="004E6B8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48442649" w14:textId="77777777" w:rsidR="00CB05BC" w:rsidRPr="0095662D" w:rsidRDefault="00CB05BC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13DE32DD" w14:textId="1BC1ECA4" w:rsidR="00415CB3" w:rsidRDefault="00415CB3" w:rsidP="0095662D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A</w:t>
      </w:r>
      <w:r w:rsidR="00590847">
        <w:rPr>
          <w:rFonts w:ascii="Arial" w:eastAsia="Times New Roman" w:hAnsi="Arial" w:cs="Arial"/>
          <w:sz w:val="24"/>
          <w:szCs w:val="24"/>
        </w:rPr>
        <w:t>s outlined in USP &lt;795&gt;, a</w:t>
      </w:r>
      <w:r w:rsidRPr="0095662D">
        <w:rPr>
          <w:rFonts w:ascii="Arial" w:eastAsia="Times New Roman" w:hAnsi="Arial" w:cs="Arial"/>
          <w:sz w:val="24"/>
          <w:szCs w:val="24"/>
        </w:rPr>
        <w:t xml:space="preserve"> pharmacy must follow a </w:t>
      </w:r>
      <w:r w:rsidRPr="003B1827">
        <w:rPr>
          <w:rFonts w:ascii="Arial" w:eastAsia="Times New Roman" w:hAnsi="Arial" w:cs="Arial"/>
          <w:sz w:val="24"/>
          <w:szCs w:val="24"/>
        </w:rPr>
        <w:t>master formulation record</w:t>
      </w:r>
      <w:r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BD01EB" w:rsidRPr="0095662D">
        <w:rPr>
          <w:rFonts w:ascii="Arial" w:eastAsia="Times New Roman" w:hAnsi="Arial" w:cs="Arial"/>
          <w:sz w:val="24"/>
          <w:szCs w:val="24"/>
        </w:rPr>
        <w:t>(i.e.</w:t>
      </w:r>
      <w:r w:rsidR="00193478" w:rsidRPr="0095662D">
        <w:rPr>
          <w:rFonts w:ascii="Arial" w:eastAsia="Times New Roman" w:hAnsi="Arial" w:cs="Arial"/>
          <w:sz w:val="24"/>
          <w:szCs w:val="24"/>
        </w:rPr>
        <w:t>,</w:t>
      </w:r>
      <w:r w:rsidR="00BD01EB" w:rsidRPr="0095662D">
        <w:rPr>
          <w:rFonts w:ascii="Arial" w:eastAsia="Times New Roman" w:hAnsi="Arial" w:cs="Arial"/>
          <w:sz w:val="24"/>
          <w:szCs w:val="24"/>
        </w:rPr>
        <w:t xml:space="preserve"> formulation sheet) </w:t>
      </w:r>
      <w:r w:rsidR="00F84912" w:rsidRPr="00F84912">
        <w:rPr>
          <w:rFonts w:ascii="Arial" w:eastAsia="Times New Roman" w:hAnsi="Arial" w:cs="Arial"/>
          <w:sz w:val="24"/>
          <w:szCs w:val="24"/>
        </w:rPr>
        <w:t xml:space="preserve">that </w:t>
      </w:r>
      <w:r w:rsidR="00F84912">
        <w:rPr>
          <w:rFonts w:ascii="Arial" w:eastAsia="Times New Roman" w:hAnsi="Arial" w:cs="Arial"/>
          <w:sz w:val="24"/>
          <w:szCs w:val="24"/>
        </w:rPr>
        <w:t>includes</w:t>
      </w:r>
      <w:r w:rsidR="00F84912" w:rsidRPr="00F84912">
        <w:rPr>
          <w:rFonts w:ascii="Arial" w:eastAsia="Times New Roman" w:hAnsi="Arial" w:cs="Arial"/>
          <w:sz w:val="24"/>
          <w:szCs w:val="24"/>
        </w:rPr>
        <w:t xml:space="preserve"> any quality control procedures (e.g., visual inspection, etc.)</w:t>
      </w:r>
      <w:r w:rsidR="00F84912">
        <w:rPr>
          <w:rFonts w:ascii="Arial" w:eastAsia="Times New Roman" w:hAnsi="Arial" w:cs="Arial"/>
          <w:sz w:val="24"/>
          <w:szCs w:val="24"/>
        </w:rPr>
        <w:t xml:space="preserve"> </w:t>
      </w:r>
      <w:r w:rsidRPr="0095662D">
        <w:rPr>
          <w:rFonts w:ascii="Arial" w:eastAsia="Times New Roman" w:hAnsi="Arial" w:cs="Arial"/>
          <w:sz w:val="24"/>
          <w:szCs w:val="24"/>
        </w:rPr>
        <w:t>each time it prepares a compounded non-sterile preparation. The master formulations must be based on USP standards as well as any relevant scientific data and / or direct validation testing, as applicable.</w:t>
      </w:r>
      <w:r w:rsidR="001856F3" w:rsidRPr="0095662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21FAB1" w14:textId="77777777" w:rsidR="0029478C" w:rsidRPr="0095662D" w:rsidRDefault="0029478C" w:rsidP="0029478C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</w:p>
    <w:p w14:paraId="5D447FE8" w14:textId="6E9B5774" w:rsidR="00A96D49" w:rsidRDefault="00DB1F9C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S</w:t>
      </w:r>
      <w:r w:rsidR="00A96D49" w:rsidRPr="0095662D">
        <w:rPr>
          <w:rFonts w:ascii="Arial" w:eastAsia="Times New Roman" w:hAnsi="Arial" w:cs="Arial"/>
          <w:sz w:val="24"/>
          <w:szCs w:val="24"/>
        </w:rPr>
        <w:t xml:space="preserve">imple reconstitution of </w:t>
      </w:r>
      <w:r w:rsidR="00B04316" w:rsidRPr="0095662D">
        <w:rPr>
          <w:rFonts w:ascii="Arial" w:eastAsia="Times New Roman" w:hAnsi="Arial" w:cs="Arial"/>
          <w:sz w:val="24"/>
          <w:szCs w:val="24"/>
        </w:rPr>
        <w:t xml:space="preserve">FDA approved, conventionally manufactured non-sterile drug products </w:t>
      </w:r>
      <w:r w:rsidRPr="0095662D">
        <w:rPr>
          <w:rFonts w:ascii="Arial" w:eastAsia="Times New Roman" w:hAnsi="Arial" w:cs="Arial"/>
          <w:sz w:val="24"/>
          <w:szCs w:val="24"/>
          <w:u w:val="single"/>
        </w:rPr>
        <w:t>in accordance with manufacturer package insert instructions</w:t>
      </w:r>
      <w:r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A96D49" w:rsidRPr="0095662D">
        <w:rPr>
          <w:rFonts w:ascii="Arial" w:eastAsia="Times New Roman" w:hAnsi="Arial" w:cs="Arial"/>
          <w:sz w:val="24"/>
          <w:szCs w:val="24"/>
        </w:rPr>
        <w:t>is not considered compounding</w:t>
      </w:r>
      <w:r w:rsidRPr="0095662D">
        <w:rPr>
          <w:rFonts w:ascii="Arial" w:eastAsia="Times New Roman" w:hAnsi="Arial" w:cs="Arial"/>
          <w:sz w:val="24"/>
          <w:szCs w:val="24"/>
        </w:rPr>
        <w:t>.</w:t>
      </w:r>
      <w:r w:rsidR="00B04316" w:rsidRPr="0095662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8C5CA2" w14:textId="77777777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BB41B67" w14:textId="6C256BF4" w:rsidR="00507A3B" w:rsidRDefault="00507A3B" w:rsidP="0095662D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Flavoring agent</w:t>
      </w:r>
      <w:r w:rsidR="00B04316" w:rsidRPr="0095662D">
        <w:rPr>
          <w:rFonts w:ascii="Arial" w:eastAsia="Times New Roman" w:hAnsi="Arial" w:cs="Arial"/>
          <w:sz w:val="24"/>
          <w:szCs w:val="24"/>
        </w:rPr>
        <w:t>(</w:t>
      </w:r>
      <w:r w:rsidRPr="0095662D">
        <w:rPr>
          <w:rFonts w:ascii="Arial" w:eastAsia="Times New Roman" w:hAnsi="Arial" w:cs="Arial"/>
          <w:sz w:val="24"/>
          <w:szCs w:val="24"/>
        </w:rPr>
        <w:t>s</w:t>
      </w:r>
      <w:r w:rsidR="00B04316" w:rsidRPr="0095662D">
        <w:rPr>
          <w:rFonts w:ascii="Arial" w:eastAsia="Times New Roman" w:hAnsi="Arial" w:cs="Arial"/>
          <w:sz w:val="24"/>
          <w:szCs w:val="24"/>
        </w:rPr>
        <w:t>)</w:t>
      </w:r>
      <w:r w:rsidRPr="0095662D">
        <w:rPr>
          <w:rFonts w:ascii="Arial" w:eastAsia="Times New Roman" w:hAnsi="Arial" w:cs="Arial"/>
          <w:sz w:val="24"/>
          <w:szCs w:val="24"/>
        </w:rPr>
        <w:t xml:space="preserve"> added to conventionally manufactured non-sterile </w:t>
      </w:r>
      <w:r w:rsidR="002724F9" w:rsidRPr="0095662D">
        <w:rPr>
          <w:rFonts w:ascii="Arial" w:eastAsia="Times New Roman" w:hAnsi="Arial" w:cs="Arial"/>
          <w:sz w:val="24"/>
          <w:szCs w:val="24"/>
        </w:rPr>
        <w:t>drug pr</w:t>
      </w:r>
      <w:r w:rsidR="009A10F8" w:rsidRPr="0095662D">
        <w:rPr>
          <w:rFonts w:ascii="Arial" w:eastAsia="Times New Roman" w:hAnsi="Arial" w:cs="Arial"/>
          <w:sz w:val="24"/>
          <w:szCs w:val="24"/>
        </w:rPr>
        <w:t>oducts</w:t>
      </w:r>
      <w:r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2724F9" w:rsidRPr="0095662D">
        <w:rPr>
          <w:rFonts w:ascii="Arial" w:eastAsia="Times New Roman" w:hAnsi="Arial" w:cs="Arial"/>
          <w:sz w:val="24"/>
          <w:szCs w:val="24"/>
        </w:rPr>
        <w:t xml:space="preserve">is considered compounding. </w:t>
      </w:r>
      <w:r w:rsidR="00A3762C" w:rsidRPr="0095662D">
        <w:rPr>
          <w:rFonts w:ascii="Arial" w:eastAsia="Times New Roman" w:hAnsi="Arial" w:cs="Arial"/>
          <w:sz w:val="24"/>
          <w:szCs w:val="24"/>
        </w:rPr>
        <w:t xml:space="preserve">In addition to a policy and procedure, a pharmacy must </w:t>
      </w:r>
      <w:r w:rsidR="006E4785" w:rsidRPr="0095662D">
        <w:rPr>
          <w:rFonts w:ascii="Arial" w:eastAsia="Times New Roman" w:hAnsi="Arial" w:cs="Arial"/>
          <w:sz w:val="24"/>
          <w:szCs w:val="24"/>
        </w:rPr>
        <w:t>ensure</w:t>
      </w:r>
      <w:r w:rsidRPr="0095662D">
        <w:rPr>
          <w:rFonts w:ascii="Arial" w:eastAsia="Times New Roman" w:hAnsi="Arial" w:cs="Arial"/>
          <w:sz w:val="24"/>
          <w:szCs w:val="24"/>
        </w:rPr>
        <w:t xml:space="preserve"> that the addition of the flavoring agent does not </w:t>
      </w:r>
      <w:r w:rsidR="008470A8">
        <w:rPr>
          <w:rFonts w:ascii="Arial" w:eastAsia="Times New Roman" w:hAnsi="Arial" w:cs="Arial"/>
          <w:sz w:val="24"/>
          <w:szCs w:val="24"/>
        </w:rPr>
        <w:t xml:space="preserve">affect stability or </w:t>
      </w:r>
      <w:r w:rsidRPr="0095662D">
        <w:rPr>
          <w:rFonts w:ascii="Arial" w:eastAsia="Times New Roman" w:hAnsi="Arial" w:cs="Arial"/>
          <w:sz w:val="24"/>
          <w:szCs w:val="24"/>
        </w:rPr>
        <w:t xml:space="preserve">alter the </w:t>
      </w:r>
      <w:r w:rsidR="002724F9" w:rsidRPr="0095662D">
        <w:rPr>
          <w:rFonts w:ascii="Arial" w:eastAsia="Times New Roman" w:hAnsi="Arial" w:cs="Arial"/>
          <w:sz w:val="24"/>
          <w:szCs w:val="24"/>
        </w:rPr>
        <w:t xml:space="preserve">final </w:t>
      </w:r>
      <w:r w:rsidRPr="0095662D">
        <w:rPr>
          <w:rFonts w:ascii="Arial" w:eastAsia="Times New Roman" w:hAnsi="Arial" w:cs="Arial"/>
          <w:sz w:val="24"/>
          <w:szCs w:val="24"/>
        </w:rPr>
        <w:t xml:space="preserve">concentration </w:t>
      </w:r>
      <w:r w:rsidR="008470A8">
        <w:rPr>
          <w:rFonts w:ascii="Arial" w:eastAsia="Times New Roman" w:hAnsi="Arial" w:cs="Arial"/>
          <w:sz w:val="24"/>
          <w:szCs w:val="24"/>
        </w:rPr>
        <w:t>beyond the parameters outlined in USP &lt;795&gt;</w:t>
      </w:r>
      <w:r w:rsidR="002724F9" w:rsidRPr="0095662D">
        <w:rPr>
          <w:rFonts w:ascii="Arial" w:eastAsia="Times New Roman" w:hAnsi="Arial" w:cs="Arial"/>
          <w:sz w:val="24"/>
          <w:szCs w:val="24"/>
        </w:rPr>
        <w:t>.</w:t>
      </w:r>
      <w:r w:rsidR="00146DB5">
        <w:rPr>
          <w:rFonts w:ascii="Arial" w:eastAsia="Times New Roman" w:hAnsi="Arial" w:cs="Arial"/>
          <w:sz w:val="24"/>
          <w:szCs w:val="24"/>
        </w:rPr>
        <w:t xml:space="preserve"> Available scientific data or studies</w:t>
      </w:r>
      <w:r w:rsidR="00385144">
        <w:rPr>
          <w:rFonts w:ascii="Arial" w:eastAsia="Times New Roman" w:hAnsi="Arial" w:cs="Arial"/>
          <w:sz w:val="24"/>
          <w:szCs w:val="24"/>
        </w:rPr>
        <w:t>, whether published or unpublished,</w:t>
      </w:r>
      <w:r w:rsidR="00146DB5">
        <w:rPr>
          <w:rFonts w:ascii="Arial" w:eastAsia="Times New Roman" w:hAnsi="Arial" w:cs="Arial"/>
          <w:sz w:val="24"/>
          <w:szCs w:val="24"/>
        </w:rPr>
        <w:t xml:space="preserve"> may be utilized for this purpose.</w:t>
      </w:r>
    </w:p>
    <w:p w14:paraId="17A36D8C" w14:textId="77777777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BDC1F21" w14:textId="263DA690" w:rsidR="00307B19" w:rsidRDefault="00307B19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B</w:t>
      </w:r>
      <w:r w:rsidR="00A96D49" w:rsidRPr="0095662D">
        <w:rPr>
          <w:rFonts w:ascii="Arial" w:eastAsia="Times New Roman" w:hAnsi="Arial" w:cs="Arial"/>
          <w:sz w:val="24"/>
          <w:szCs w:val="24"/>
        </w:rPr>
        <w:t xml:space="preserve">reaking or splitting </w:t>
      </w:r>
      <w:r w:rsidR="00AA76AA" w:rsidRPr="0095662D">
        <w:rPr>
          <w:rFonts w:ascii="Arial" w:eastAsia="Times New Roman" w:hAnsi="Arial" w:cs="Arial"/>
          <w:sz w:val="24"/>
          <w:szCs w:val="24"/>
        </w:rPr>
        <w:t xml:space="preserve">non-hazardous </w:t>
      </w:r>
      <w:r w:rsidR="00A96D49" w:rsidRPr="0095662D">
        <w:rPr>
          <w:rFonts w:ascii="Arial" w:eastAsia="Times New Roman" w:hAnsi="Arial" w:cs="Arial"/>
          <w:sz w:val="24"/>
          <w:szCs w:val="24"/>
        </w:rPr>
        <w:t>drugs is not considered compounding</w:t>
      </w:r>
      <w:r w:rsidR="00AA76AA" w:rsidRPr="0095662D">
        <w:rPr>
          <w:rFonts w:ascii="Arial" w:eastAsia="Times New Roman" w:hAnsi="Arial" w:cs="Arial"/>
          <w:sz w:val="24"/>
          <w:szCs w:val="24"/>
        </w:rPr>
        <w:t>.</w:t>
      </w:r>
      <w:r w:rsidR="00A96D49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AA76AA" w:rsidRPr="0095662D">
        <w:rPr>
          <w:rFonts w:ascii="Arial" w:eastAsia="Times New Roman" w:hAnsi="Arial" w:cs="Arial"/>
          <w:sz w:val="24"/>
          <w:szCs w:val="24"/>
        </w:rPr>
        <w:t xml:space="preserve">However, </w:t>
      </w:r>
      <w:r w:rsidR="00A96D49" w:rsidRPr="0095662D">
        <w:rPr>
          <w:rFonts w:ascii="Arial" w:eastAsia="Times New Roman" w:hAnsi="Arial" w:cs="Arial"/>
          <w:sz w:val="24"/>
          <w:szCs w:val="24"/>
        </w:rPr>
        <w:t xml:space="preserve">USP &lt;800&gt; must be followed </w:t>
      </w:r>
      <w:r w:rsidRPr="0095662D">
        <w:rPr>
          <w:rFonts w:ascii="Arial" w:eastAsia="Times New Roman" w:hAnsi="Arial" w:cs="Arial"/>
          <w:sz w:val="24"/>
          <w:szCs w:val="24"/>
        </w:rPr>
        <w:t>to perform these activities</w:t>
      </w:r>
      <w:r w:rsidR="00AA76AA" w:rsidRPr="0095662D">
        <w:rPr>
          <w:rFonts w:ascii="Arial" w:eastAsia="Times New Roman" w:hAnsi="Arial" w:cs="Arial"/>
          <w:sz w:val="24"/>
          <w:szCs w:val="24"/>
        </w:rPr>
        <w:t xml:space="preserve"> with hazardous drugs (“HD”)</w:t>
      </w:r>
      <w:r w:rsidRPr="0095662D">
        <w:rPr>
          <w:rFonts w:ascii="Arial" w:eastAsia="Times New Roman" w:hAnsi="Arial" w:cs="Arial"/>
          <w:sz w:val="24"/>
          <w:szCs w:val="24"/>
        </w:rPr>
        <w:t>. S</w:t>
      </w:r>
      <w:r w:rsidR="00A96D49" w:rsidRPr="0095662D">
        <w:rPr>
          <w:rFonts w:ascii="Arial" w:eastAsia="Times New Roman" w:hAnsi="Arial" w:cs="Arial"/>
          <w:sz w:val="24"/>
          <w:szCs w:val="24"/>
        </w:rPr>
        <w:t xml:space="preserve">ee </w:t>
      </w:r>
      <w:hyperlink r:id="rId16" w:history="1">
        <w:r w:rsidR="0000106E" w:rsidRPr="0000106E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Advisory: </w:t>
        </w:r>
        <w:r w:rsidR="0000106E" w:rsidRPr="0000106E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USP &lt;800&gt; in Community Pharmacies</w:t>
        </w:r>
      </w:hyperlink>
      <w:r w:rsidR="0000106E">
        <w:rPr>
          <w:rFonts w:ascii="Arial" w:eastAsia="Times New Roman" w:hAnsi="Arial" w:cs="Arial"/>
          <w:sz w:val="24"/>
          <w:szCs w:val="24"/>
        </w:rPr>
        <w:t>.</w:t>
      </w:r>
    </w:p>
    <w:p w14:paraId="714C35FC" w14:textId="77777777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A11D74C" w14:textId="6558731D" w:rsidR="00A96D49" w:rsidRDefault="00307B19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B1827">
        <w:rPr>
          <w:rFonts w:ascii="Arial" w:eastAsia="Times New Roman" w:hAnsi="Arial" w:cs="Arial"/>
          <w:sz w:val="24"/>
          <w:szCs w:val="24"/>
        </w:rPr>
        <w:t>Pre-measured compounding kits</w:t>
      </w:r>
      <w:r w:rsidRPr="0095662D">
        <w:rPr>
          <w:rFonts w:ascii="Arial" w:eastAsia="Times New Roman" w:hAnsi="Arial" w:cs="Arial"/>
          <w:sz w:val="24"/>
          <w:szCs w:val="24"/>
        </w:rPr>
        <w:t xml:space="preserve"> are still considered compounding and all relevant USP standards must be followed.  </w:t>
      </w:r>
    </w:p>
    <w:p w14:paraId="2C55F012" w14:textId="77777777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E628C7D" w14:textId="5EEE5021" w:rsidR="00C0486D" w:rsidRDefault="00C0486D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Active Pharmaceutical Ingredients (“API”)</w:t>
      </w:r>
      <w:r w:rsidR="00C6575E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Pr="0095662D">
        <w:rPr>
          <w:rFonts w:ascii="Arial" w:eastAsia="Times New Roman" w:hAnsi="Arial" w:cs="Arial"/>
          <w:sz w:val="24"/>
          <w:szCs w:val="24"/>
        </w:rPr>
        <w:t>must be obtained from a facility that is registered by the FDA.</w:t>
      </w:r>
    </w:p>
    <w:p w14:paraId="383C8656" w14:textId="296993FF" w:rsidR="00E847FE" w:rsidRPr="0095662D" w:rsidRDefault="00E847FE" w:rsidP="0095662D">
      <w:pPr>
        <w:spacing w:after="0"/>
        <w:ind w:left="10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662D">
        <w:rPr>
          <w:rFonts w:ascii="Arial" w:eastAsia="Times New Roman" w:hAnsi="Arial" w:cs="Arial"/>
          <w:b/>
          <w:sz w:val="24"/>
          <w:szCs w:val="24"/>
          <w:u w:val="single"/>
        </w:rPr>
        <w:t>Note</w:t>
      </w:r>
      <w:r w:rsidRPr="0095662D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5A4961" w:rsidRPr="0095662D">
        <w:rPr>
          <w:rFonts w:ascii="Arial" w:eastAsia="Times New Roman" w:hAnsi="Arial" w:cs="Arial"/>
          <w:bCs/>
          <w:sz w:val="24"/>
          <w:szCs w:val="24"/>
        </w:rPr>
        <w:t>E</w:t>
      </w:r>
      <w:r w:rsidRPr="0095662D">
        <w:rPr>
          <w:rFonts w:ascii="Arial" w:eastAsia="Times New Roman" w:hAnsi="Arial" w:cs="Arial"/>
          <w:bCs/>
          <w:sz w:val="24"/>
          <w:szCs w:val="24"/>
        </w:rPr>
        <w:t xml:space="preserve">xtreme caution </w:t>
      </w:r>
      <w:r w:rsidR="005A4961" w:rsidRPr="0095662D">
        <w:rPr>
          <w:rFonts w:ascii="Arial" w:eastAsia="Times New Roman" w:hAnsi="Arial" w:cs="Arial"/>
          <w:bCs/>
          <w:sz w:val="24"/>
          <w:szCs w:val="24"/>
        </w:rPr>
        <w:t>must be exercised to</w:t>
      </w:r>
      <w:r w:rsidRPr="0095662D">
        <w:rPr>
          <w:rFonts w:ascii="Arial" w:eastAsia="Times New Roman" w:hAnsi="Arial" w:cs="Arial"/>
          <w:bCs/>
          <w:sz w:val="24"/>
          <w:szCs w:val="24"/>
        </w:rPr>
        <w:t xml:space="preserve"> assur</w:t>
      </w:r>
      <w:r w:rsidR="005A4961" w:rsidRPr="0095662D">
        <w:rPr>
          <w:rFonts w:ascii="Arial" w:eastAsia="Times New Roman" w:hAnsi="Arial" w:cs="Arial"/>
          <w:bCs/>
          <w:sz w:val="24"/>
          <w:szCs w:val="24"/>
        </w:rPr>
        <w:t>e</w:t>
      </w:r>
      <w:r w:rsidRPr="0095662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A4961" w:rsidRPr="0095662D">
        <w:rPr>
          <w:rFonts w:ascii="Arial" w:eastAsia="Times New Roman" w:hAnsi="Arial" w:cs="Arial"/>
          <w:bCs/>
          <w:sz w:val="24"/>
          <w:szCs w:val="24"/>
        </w:rPr>
        <w:t>correct</w:t>
      </w:r>
      <w:r w:rsidRPr="0095662D">
        <w:rPr>
          <w:rFonts w:ascii="Arial" w:eastAsia="Times New Roman" w:hAnsi="Arial" w:cs="Arial"/>
          <w:bCs/>
          <w:sz w:val="24"/>
          <w:szCs w:val="24"/>
        </w:rPr>
        <w:t xml:space="preserve"> dosages </w:t>
      </w:r>
      <w:r w:rsidR="005A4961" w:rsidRPr="0095662D">
        <w:rPr>
          <w:rFonts w:ascii="Arial" w:eastAsia="Times New Roman" w:hAnsi="Arial" w:cs="Arial"/>
          <w:bCs/>
          <w:sz w:val="24"/>
          <w:szCs w:val="24"/>
        </w:rPr>
        <w:t>are</w:t>
      </w:r>
      <w:r w:rsidRPr="0095662D">
        <w:rPr>
          <w:rFonts w:ascii="Arial" w:eastAsia="Times New Roman" w:hAnsi="Arial" w:cs="Arial"/>
          <w:bCs/>
          <w:sz w:val="24"/>
          <w:szCs w:val="24"/>
        </w:rPr>
        <w:t xml:space="preserve"> compound</w:t>
      </w:r>
      <w:r w:rsidR="005A4961" w:rsidRPr="0095662D">
        <w:rPr>
          <w:rFonts w:ascii="Arial" w:eastAsia="Times New Roman" w:hAnsi="Arial" w:cs="Arial"/>
          <w:bCs/>
          <w:sz w:val="24"/>
          <w:szCs w:val="24"/>
        </w:rPr>
        <w:t>ed when using</w:t>
      </w:r>
      <w:r w:rsidRPr="0095662D">
        <w:rPr>
          <w:rFonts w:ascii="Arial" w:eastAsia="Times New Roman" w:hAnsi="Arial" w:cs="Arial"/>
          <w:bCs/>
          <w:sz w:val="24"/>
          <w:szCs w:val="24"/>
        </w:rPr>
        <w:t xml:space="preserve"> API powders by verifying </w:t>
      </w:r>
      <w:r w:rsidR="005A4961" w:rsidRPr="0095662D">
        <w:rPr>
          <w:rFonts w:ascii="Arial" w:eastAsia="Times New Roman" w:hAnsi="Arial" w:cs="Arial"/>
          <w:bCs/>
          <w:sz w:val="24"/>
          <w:szCs w:val="24"/>
        </w:rPr>
        <w:t xml:space="preserve">whether </w:t>
      </w:r>
      <w:r w:rsidRPr="0095662D">
        <w:rPr>
          <w:rFonts w:ascii="Arial" w:eastAsia="Times New Roman" w:hAnsi="Arial" w:cs="Arial"/>
          <w:bCs/>
          <w:sz w:val="24"/>
          <w:szCs w:val="24"/>
        </w:rPr>
        <w:t>the API is a pure powder or a trituration (dilution).</w:t>
      </w:r>
    </w:p>
    <w:p w14:paraId="6B96E117" w14:textId="7A6FBA96" w:rsidR="00A96D49" w:rsidRPr="0095662D" w:rsidRDefault="00E847FE" w:rsidP="0095662D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49437574" w14:textId="7E38957D" w:rsidR="00C20F6E" w:rsidRPr="0095662D" w:rsidRDefault="00C20F6E" w:rsidP="0095662D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t>Facility and Equipment</w:t>
      </w:r>
    </w:p>
    <w:p w14:paraId="5BCBE740" w14:textId="77777777" w:rsidR="00EC654C" w:rsidRPr="0095662D" w:rsidRDefault="00EC654C" w:rsidP="0095662D">
      <w:pPr>
        <w:pStyle w:val="ListParagraph"/>
        <w:spacing w:after="0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7FC3AC" w14:textId="76DC1459" w:rsidR="005B4782" w:rsidRDefault="00AB3202" w:rsidP="0095662D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131B33" w:rsidRPr="00131B33">
        <w:rPr>
          <w:rFonts w:ascii="Arial" w:eastAsia="Times New Roman" w:hAnsi="Arial" w:cs="Arial"/>
          <w:sz w:val="24"/>
          <w:szCs w:val="24"/>
        </w:rPr>
        <w:t>harmacies not engaged in complex non-sterile compounding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31B33">
        <w:rPr>
          <w:rFonts w:ascii="Arial" w:eastAsia="Times New Roman" w:hAnsi="Arial" w:cs="Arial"/>
          <w:sz w:val="24"/>
          <w:szCs w:val="24"/>
        </w:rPr>
        <w:t xml:space="preserve">must </w:t>
      </w:r>
      <w:r>
        <w:rPr>
          <w:rFonts w:ascii="Arial" w:eastAsia="Times New Roman" w:hAnsi="Arial" w:cs="Arial"/>
          <w:sz w:val="24"/>
          <w:szCs w:val="24"/>
        </w:rPr>
        <w:t>have</w:t>
      </w:r>
      <w:r w:rsidR="005B4782" w:rsidRPr="0095662D">
        <w:rPr>
          <w:rFonts w:ascii="Arial" w:eastAsia="Times New Roman" w:hAnsi="Arial" w:cs="Arial"/>
          <w:sz w:val="24"/>
          <w:szCs w:val="24"/>
        </w:rPr>
        <w:t xml:space="preserve"> a designated compounding area that </w:t>
      </w:r>
      <w:r w:rsidR="00ED4EAA">
        <w:rPr>
          <w:rFonts w:ascii="Arial" w:eastAsia="Times New Roman" w:hAnsi="Arial" w:cs="Arial"/>
          <w:sz w:val="24"/>
          <w:szCs w:val="24"/>
        </w:rPr>
        <w:t>should have</w:t>
      </w:r>
      <w:r w:rsidR="00ED4EAA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5B4782" w:rsidRPr="0095662D">
        <w:rPr>
          <w:rFonts w:ascii="Arial" w:eastAsia="Times New Roman" w:hAnsi="Arial" w:cs="Arial"/>
          <w:sz w:val="24"/>
          <w:szCs w:val="24"/>
        </w:rPr>
        <w:t>at least 10 square feet of counter space</w:t>
      </w:r>
      <w:r w:rsidR="00EE15AD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131B33">
        <w:rPr>
          <w:rFonts w:ascii="Arial" w:eastAsia="Times New Roman" w:hAnsi="Arial" w:cs="Arial"/>
          <w:sz w:val="24"/>
          <w:szCs w:val="24"/>
        </w:rPr>
        <w:t>that</w:t>
      </w:r>
      <w:r w:rsidR="00131B33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3626B6" w:rsidRPr="0095662D">
        <w:rPr>
          <w:rFonts w:ascii="Arial" w:eastAsia="Times New Roman" w:hAnsi="Arial" w:cs="Arial"/>
          <w:sz w:val="24"/>
          <w:szCs w:val="24"/>
        </w:rPr>
        <w:t xml:space="preserve">should </w:t>
      </w:r>
      <w:r w:rsidR="00EE15AD" w:rsidRPr="0095662D">
        <w:rPr>
          <w:rFonts w:ascii="Arial" w:eastAsia="Times New Roman" w:hAnsi="Arial" w:cs="Arial"/>
          <w:sz w:val="24"/>
          <w:szCs w:val="24"/>
        </w:rPr>
        <w:t>not have carpeting</w:t>
      </w:r>
      <w:r w:rsidR="005B4782" w:rsidRPr="0095662D">
        <w:rPr>
          <w:rFonts w:ascii="Arial" w:eastAsia="Times New Roman" w:hAnsi="Arial" w:cs="Arial"/>
          <w:sz w:val="24"/>
          <w:szCs w:val="24"/>
        </w:rPr>
        <w:t xml:space="preserve">. This area </w:t>
      </w:r>
      <w:r w:rsidR="00AA76AA" w:rsidRPr="0095662D">
        <w:rPr>
          <w:rFonts w:ascii="Arial" w:eastAsia="Times New Roman" w:hAnsi="Arial" w:cs="Arial"/>
          <w:sz w:val="24"/>
          <w:szCs w:val="24"/>
        </w:rPr>
        <w:t xml:space="preserve">must </w:t>
      </w:r>
      <w:r w:rsidR="005B4782" w:rsidRPr="0095662D">
        <w:rPr>
          <w:rFonts w:ascii="Arial" w:eastAsia="Times New Roman" w:hAnsi="Arial" w:cs="Arial"/>
          <w:sz w:val="24"/>
          <w:szCs w:val="24"/>
        </w:rPr>
        <w:t>be separated or otherwise protected from water sources (i.e.</w:t>
      </w:r>
      <w:r w:rsidR="00193478" w:rsidRPr="0095662D">
        <w:rPr>
          <w:rFonts w:ascii="Arial" w:eastAsia="Times New Roman" w:hAnsi="Arial" w:cs="Arial"/>
          <w:sz w:val="24"/>
          <w:szCs w:val="24"/>
        </w:rPr>
        <w:t>,</w:t>
      </w:r>
      <w:r w:rsidR="005B4782" w:rsidRPr="0095662D">
        <w:rPr>
          <w:rFonts w:ascii="Arial" w:eastAsia="Times New Roman" w:hAnsi="Arial" w:cs="Arial"/>
          <w:sz w:val="24"/>
          <w:szCs w:val="24"/>
        </w:rPr>
        <w:t xml:space="preserve"> sink).</w:t>
      </w:r>
    </w:p>
    <w:p w14:paraId="32FDA36A" w14:textId="1188B34C" w:rsidR="00146DB5" w:rsidRDefault="00093494" w:rsidP="00093494">
      <w:pPr>
        <w:pStyle w:val="ListParagraph"/>
        <w:spacing w:after="0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093494">
        <w:rPr>
          <w:rFonts w:ascii="Arial" w:eastAsia="Times New Roman" w:hAnsi="Arial" w:cs="Arial"/>
          <w:b/>
          <w:bCs/>
          <w:sz w:val="24"/>
          <w:szCs w:val="24"/>
          <w:u w:val="single"/>
        </w:rPr>
        <w:t>Note</w:t>
      </w:r>
      <w:r w:rsidR="00146DB5">
        <w:rPr>
          <w:rFonts w:ascii="Arial" w:eastAsia="Times New Roman" w:hAnsi="Arial" w:cs="Arial"/>
          <w:sz w:val="24"/>
          <w:szCs w:val="24"/>
        </w:rPr>
        <w:t xml:space="preserve">: Flavoring agents may be added in </w:t>
      </w:r>
      <w:r w:rsidR="004E7E8C">
        <w:rPr>
          <w:rFonts w:ascii="Arial" w:eastAsia="Times New Roman" w:hAnsi="Arial" w:cs="Arial"/>
          <w:sz w:val="24"/>
          <w:szCs w:val="24"/>
        </w:rPr>
        <w:t xml:space="preserve">a </w:t>
      </w:r>
      <w:r w:rsidR="00146DB5">
        <w:rPr>
          <w:rFonts w:ascii="Arial" w:eastAsia="Times New Roman" w:hAnsi="Arial" w:cs="Arial"/>
          <w:sz w:val="24"/>
          <w:szCs w:val="24"/>
        </w:rPr>
        <w:t>separate designated area (e.g., reconstitution area)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692DB9D" w14:textId="2E893E7D" w:rsidR="005A4961" w:rsidRDefault="008B1572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lastRenderedPageBreak/>
        <w:t>Surfaces in c</w:t>
      </w:r>
      <w:r w:rsidR="0016042E" w:rsidRPr="0095662D">
        <w:rPr>
          <w:rFonts w:ascii="Arial" w:eastAsia="Times New Roman" w:hAnsi="Arial" w:cs="Arial"/>
          <w:sz w:val="24"/>
          <w:szCs w:val="24"/>
        </w:rPr>
        <w:t>ompounding area</w:t>
      </w:r>
      <w:r w:rsidRPr="0095662D">
        <w:rPr>
          <w:rFonts w:ascii="Arial" w:eastAsia="Times New Roman" w:hAnsi="Arial" w:cs="Arial"/>
          <w:sz w:val="24"/>
          <w:szCs w:val="24"/>
        </w:rPr>
        <w:t>s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193478" w:rsidRPr="0095662D">
        <w:rPr>
          <w:rFonts w:ascii="Arial" w:eastAsia="Times New Roman" w:hAnsi="Arial" w:cs="Arial"/>
          <w:sz w:val="24"/>
          <w:szCs w:val="24"/>
        </w:rPr>
        <w:t>must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 be smooth, seamless, impervious, free from cracks and crevices, and non-shedding to facilitate cleaning</w:t>
      </w:r>
      <w:r w:rsidR="0016042E" w:rsidRPr="0095662D">
        <w:rPr>
          <w:rFonts w:ascii="Arial" w:eastAsia="Times New Roman" w:hAnsi="Arial" w:cs="Arial"/>
          <w:sz w:val="24"/>
          <w:szCs w:val="24"/>
        </w:rPr>
        <w:t>.</w:t>
      </w:r>
      <w:r w:rsidR="005B4782" w:rsidRPr="0095662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AF7EA7" w14:textId="002B6E33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0EF991F" w14:textId="7E5E8B1A" w:rsidR="00846229" w:rsidRDefault="00EE64FB" w:rsidP="0095662D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5230EA">
        <w:rPr>
          <w:rFonts w:ascii="Arial" w:eastAsia="Times New Roman" w:hAnsi="Arial" w:cs="Arial"/>
          <w:sz w:val="24"/>
          <w:szCs w:val="24"/>
        </w:rPr>
        <w:t>h</w:t>
      </w:r>
      <w:r w:rsidR="006115DB">
        <w:rPr>
          <w:rFonts w:ascii="Arial" w:eastAsia="Times New Roman" w:hAnsi="Arial" w:cs="Arial"/>
          <w:sz w:val="24"/>
          <w:szCs w:val="24"/>
        </w:rPr>
        <w:t xml:space="preserve">e Board </w:t>
      </w:r>
      <w:r w:rsidR="005230EA">
        <w:rPr>
          <w:rFonts w:ascii="Arial" w:eastAsia="Times New Roman" w:hAnsi="Arial" w:cs="Arial"/>
          <w:sz w:val="24"/>
          <w:szCs w:val="24"/>
        </w:rPr>
        <w:t>does not intend to</w:t>
      </w:r>
      <w:r w:rsidR="006115DB">
        <w:rPr>
          <w:rFonts w:ascii="Arial" w:eastAsia="Times New Roman" w:hAnsi="Arial" w:cs="Arial"/>
          <w:sz w:val="24"/>
          <w:szCs w:val="24"/>
        </w:rPr>
        <w:t xml:space="preserve"> enforce the cleaning and sanitizing requirements of USP </w:t>
      </w:r>
      <w:r w:rsidR="00494A27">
        <w:rPr>
          <w:rFonts w:ascii="Arial" w:eastAsia="Times New Roman" w:hAnsi="Arial" w:cs="Arial"/>
          <w:sz w:val="24"/>
          <w:szCs w:val="24"/>
        </w:rPr>
        <w:t>&lt;</w:t>
      </w:r>
      <w:r w:rsidR="006115DB">
        <w:rPr>
          <w:rFonts w:ascii="Arial" w:eastAsia="Times New Roman" w:hAnsi="Arial" w:cs="Arial"/>
          <w:sz w:val="24"/>
          <w:szCs w:val="24"/>
        </w:rPr>
        <w:t>795</w:t>
      </w:r>
      <w:r w:rsidR="00494A27">
        <w:rPr>
          <w:rFonts w:ascii="Arial" w:eastAsia="Times New Roman" w:hAnsi="Arial" w:cs="Arial"/>
          <w:sz w:val="24"/>
          <w:szCs w:val="24"/>
        </w:rPr>
        <w:t>&gt;</w:t>
      </w:r>
      <w:r w:rsidR="006115DB">
        <w:rPr>
          <w:rFonts w:ascii="Arial" w:eastAsia="Times New Roman" w:hAnsi="Arial" w:cs="Arial"/>
          <w:sz w:val="24"/>
          <w:szCs w:val="24"/>
        </w:rPr>
        <w:t xml:space="preserve"> </w:t>
      </w:r>
      <w:r w:rsidR="00C35FE5">
        <w:rPr>
          <w:rFonts w:ascii="Arial" w:eastAsia="Times New Roman" w:hAnsi="Arial" w:cs="Arial"/>
          <w:sz w:val="24"/>
          <w:szCs w:val="24"/>
        </w:rPr>
        <w:t xml:space="preserve">for pharmacies that are not engaged in complex non-sterile compounding, </w:t>
      </w:r>
      <w:r w:rsidR="005230EA">
        <w:rPr>
          <w:rFonts w:ascii="Arial" w:eastAsia="Times New Roman" w:hAnsi="Arial" w:cs="Arial"/>
          <w:sz w:val="24"/>
          <w:szCs w:val="24"/>
        </w:rPr>
        <w:t>provided</w:t>
      </w:r>
      <w:r w:rsidR="006115DB">
        <w:rPr>
          <w:rFonts w:ascii="Arial" w:eastAsia="Times New Roman" w:hAnsi="Arial" w:cs="Arial"/>
          <w:sz w:val="24"/>
          <w:szCs w:val="24"/>
        </w:rPr>
        <w:t xml:space="preserve"> the</w:t>
      </w:r>
      <w:r w:rsidR="006115DB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846229" w:rsidRPr="0095662D">
        <w:rPr>
          <w:rFonts w:ascii="Arial" w:eastAsia="Times New Roman" w:hAnsi="Arial" w:cs="Arial"/>
          <w:sz w:val="24"/>
          <w:szCs w:val="24"/>
        </w:rPr>
        <w:t>facilit</w:t>
      </w:r>
      <w:r w:rsidR="006115DB">
        <w:rPr>
          <w:rFonts w:ascii="Arial" w:eastAsia="Times New Roman" w:hAnsi="Arial" w:cs="Arial"/>
          <w:sz w:val="24"/>
          <w:szCs w:val="24"/>
        </w:rPr>
        <w:t>y</w:t>
      </w:r>
      <w:r w:rsidR="0098138F">
        <w:rPr>
          <w:rFonts w:ascii="Arial" w:eastAsia="Times New Roman" w:hAnsi="Arial" w:cs="Arial"/>
          <w:sz w:val="24"/>
          <w:szCs w:val="24"/>
        </w:rPr>
        <w:t>,</w:t>
      </w:r>
      <w:r w:rsidR="00846229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98138F" w:rsidRPr="0098138F">
        <w:rPr>
          <w:rFonts w:ascii="Arial" w:eastAsia="Times New Roman" w:hAnsi="Arial" w:cs="Arial"/>
          <w:sz w:val="24"/>
          <w:szCs w:val="24"/>
        </w:rPr>
        <w:t>including sinks, utensils, and equipment</w:t>
      </w:r>
      <w:r w:rsidR="0098138F">
        <w:rPr>
          <w:rFonts w:ascii="Arial" w:eastAsia="Times New Roman" w:hAnsi="Arial" w:cs="Arial"/>
          <w:sz w:val="24"/>
          <w:szCs w:val="24"/>
        </w:rPr>
        <w:t>,</w:t>
      </w:r>
      <w:r w:rsidR="0098138F" w:rsidRPr="0098138F">
        <w:rPr>
          <w:rFonts w:ascii="Arial" w:eastAsia="Times New Roman" w:hAnsi="Arial" w:cs="Arial"/>
          <w:sz w:val="24"/>
          <w:szCs w:val="24"/>
        </w:rPr>
        <w:t xml:space="preserve"> </w:t>
      </w:r>
      <w:r w:rsidR="006115DB">
        <w:rPr>
          <w:rFonts w:ascii="Arial" w:eastAsia="Times New Roman" w:hAnsi="Arial" w:cs="Arial"/>
          <w:sz w:val="24"/>
          <w:szCs w:val="24"/>
        </w:rPr>
        <w:t xml:space="preserve">is </w:t>
      </w:r>
      <w:r w:rsidR="00846229" w:rsidRPr="0095662D">
        <w:rPr>
          <w:rFonts w:ascii="Arial" w:eastAsia="Times New Roman" w:hAnsi="Arial" w:cs="Arial"/>
          <w:sz w:val="24"/>
          <w:szCs w:val="24"/>
        </w:rPr>
        <w:t xml:space="preserve">maintained in a clean and sanitary manner. Review the </w:t>
      </w:r>
      <w:hyperlink r:id="rId17" w:history="1">
        <w:r w:rsidR="00846229" w:rsidRPr="0095662D">
          <w:rPr>
            <w:rStyle w:val="Hyperlink"/>
            <w:rFonts w:ascii="Arial" w:eastAsia="Times New Roman" w:hAnsi="Arial" w:cs="Arial"/>
            <w:sz w:val="24"/>
            <w:szCs w:val="24"/>
          </w:rPr>
          <w:t>FDA’s Insanitary Conditions at Compounding Facilities guidance document</w:t>
        </w:r>
      </w:hyperlink>
      <w:r w:rsidR="00846229" w:rsidRPr="0095662D">
        <w:rPr>
          <w:rFonts w:ascii="Arial" w:eastAsia="Times New Roman" w:hAnsi="Arial" w:cs="Arial"/>
          <w:sz w:val="24"/>
          <w:szCs w:val="24"/>
        </w:rPr>
        <w:t>.</w:t>
      </w:r>
    </w:p>
    <w:p w14:paraId="7BB06907" w14:textId="77777777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2022666" w14:textId="321E3E2C" w:rsidR="00665245" w:rsidRDefault="00846229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Equipment used for compounding must be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 in </w:t>
      </w:r>
      <w:r w:rsidR="00413BBF" w:rsidRPr="0095662D">
        <w:rPr>
          <w:rFonts w:ascii="Arial" w:eastAsia="Times New Roman" w:hAnsi="Arial" w:cs="Arial"/>
          <w:sz w:val="24"/>
          <w:szCs w:val="24"/>
        </w:rPr>
        <w:t xml:space="preserve">a </w:t>
      </w:r>
      <w:r w:rsidR="00665245" w:rsidRPr="0095662D">
        <w:rPr>
          <w:rFonts w:ascii="Arial" w:eastAsia="Times New Roman" w:hAnsi="Arial" w:cs="Arial"/>
          <w:sz w:val="24"/>
          <w:szCs w:val="24"/>
        </w:rPr>
        <w:t>good state of repair</w:t>
      </w:r>
      <w:r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665245" w:rsidRPr="0095662D">
        <w:rPr>
          <w:rFonts w:ascii="Arial" w:eastAsia="Times New Roman" w:hAnsi="Arial" w:cs="Arial"/>
          <w:sz w:val="24"/>
          <w:szCs w:val="24"/>
        </w:rPr>
        <w:t>and properly maintained</w:t>
      </w:r>
      <w:r w:rsidRPr="0095662D">
        <w:rPr>
          <w:rFonts w:ascii="Arial" w:eastAsia="Times New Roman" w:hAnsi="Arial" w:cs="Arial"/>
          <w:sz w:val="24"/>
          <w:szCs w:val="24"/>
        </w:rPr>
        <w:t>.</w:t>
      </w:r>
    </w:p>
    <w:p w14:paraId="52DAA7E7" w14:textId="77777777" w:rsidR="008E15BA" w:rsidRDefault="008E15BA" w:rsidP="008E15BA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48B53C90" w14:textId="77777777" w:rsidR="0029478C" w:rsidRDefault="007B6985" w:rsidP="00E1117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9478C">
        <w:rPr>
          <w:rFonts w:ascii="Arial" w:eastAsia="Times New Roman" w:hAnsi="Arial" w:cs="Arial"/>
          <w:sz w:val="24"/>
          <w:szCs w:val="24"/>
        </w:rPr>
        <w:t>S</w:t>
      </w:r>
      <w:r w:rsidR="005B4782" w:rsidRPr="0029478C">
        <w:rPr>
          <w:rFonts w:ascii="Arial" w:eastAsia="Times New Roman" w:hAnsi="Arial" w:cs="Arial"/>
          <w:sz w:val="24"/>
          <w:szCs w:val="24"/>
        </w:rPr>
        <w:t xml:space="preserve">cales / balances </w:t>
      </w:r>
      <w:r w:rsidRPr="0029478C">
        <w:rPr>
          <w:rFonts w:ascii="Arial" w:eastAsia="Times New Roman" w:hAnsi="Arial" w:cs="Arial"/>
          <w:sz w:val="24"/>
          <w:szCs w:val="24"/>
        </w:rPr>
        <w:t xml:space="preserve">must be properly maintained and sealed at least </w:t>
      </w:r>
      <w:r w:rsidRPr="0029478C">
        <w:rPr>
          <w:rFonts w:ascii="Arial" w:eastAsia="Times New Roman" w:hAnsi="Arial" w:cs="Arial"/>
          <w:sz w:val="24"/>
          <w:szCs w:val="24"/>
          <w:u w:val="single"/>
        </w:rPr>
        <w:t>once per calendar year</w:t>
      </w:r>
      <w:r w:rsidRPr="0029478C">
        <w:rPr>
          <w:rFonts w:ascii="Arial" w:eastAsia="Times New Roman" w:hAnsi="Arial" w:cs="Arial"/>
          <w:sz w:val="24"/>
          <w:szCs w:val="24"/>
        </w:rPr>
        <w:t xml:space="preserve">. See </w:t>
      </w:r>
      <w:hyperlink r:id="rId18" w:history="1">
        <w:r w:rsidRPr="0029478C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newsletter </w:t>
        </w:r>
        <w:r w:rsidR="0000106E" w:rsidRPr="0029478C">
          <w:rPr>
            <w:rStyle w:val="Hyperlink"/>
            <w:rFonts w:ascii="Arial" w:eastAsia="Times New Roman" w:hAnsi="Arial" w:cs="Arial"/>
            <w:sz w:val="24"/>
            <w:szCs w:val="24"/>
          </w:rPr>
          <w:t>article</w:t>
        </w:r>
      </w:hyperlink>
      <w:r w:rsidR="0000106E" w:rsidRPr="0029478C">
        <w:rPr>
          <w:rFonts w:ascii="Arial" w:eastAsia="Times New Roman" w:hAnsi="Arial" w:cs="Arial"/>
          <w:sz w:val="24"/>
          <w:szCs w:val="24"/>
        </w:rPr>
        <w:t xml:space="preserve"> </w:t>
      </w:r>
      <w:r w:rsidRPr="0029478C">
        <w:rPr>
          <w:rFonts w:ascii="Arial" w:eastAsia="Times New Roman" w:hAnsi="Arial" w:cs="Arial"/>
          <w:sz w:val="24"/>
          <w:szCs w:val="24"/>
        </w:rPr>
        <w:t>for details</w:t>
      </w:r>
      <w:r w:rsidR="0000106E" w:rsidRPr="0029478C">
        <w:rPr>
          <w:rFonts w:ascii="Arial" w:eastAsia="Times New Roman" w:hAnsi="Arial" w:cs="Arial"/>
          <w:sz w:val="24"/>
          <w:szCs w:val="24"/>
        </w:rPr>
        <w:t>.</w:t>
      </w:r>
    </w:p>
    <w:p w14:paraId="60E5C808" w14:textId="77777777" w:rsidR="002002C5" w:rsidRDefault="002002C5" w:rsidP="00131B33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E181851" w14:textId="2592E0CE" w:rsidR="00665245" w:rsidRDefault="007B6985" w:rsidP="00E1117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9478C">
        <w:rPr>
          <w:rFonts w:ascii="Arial" w:eastAsia="Times New Roman" w:hAnsi="Arial" w:cs="Arial"/>
          <w:sz w:val="24"/>
          <w:szCs w:val="24"/>
        </w:rPr>
        <w:t>S</w:t>
      </w:r>
      <w:r w:rsidR="00665245" w:rsidRPr="0029478C">
        <w:rPr>
          <w:rFonts w:ascii="Arial" w:eastAsia="Times New Roman" w:hAnsi="Arial" w:cs="Arial"/>
          <w:sz w:val="24"/>
          <w:szCs w:val="24"/>
        </w:rPr>
        <w:t>pace</w:t>
      </w:r>
      <w:r w:rsidRPr="0029478C">
        <w:rPr>
          <w:rFonts w:ascii="Arial" w:eastAsia="Times New Roman" w:hAnsi="Arial" w:cs="Arial"/>
          <w:sz w:val="24"/>
          <w:szCs w:val="24"/>
        </w:rPr>
        <w:t>, equipment, and materials</w:t>
      </w:r>
      <w:r w:rsidR="00665245" w:rsidRPr="0029478C">
        <w:rPr>
          <w:rFonts w:ascii="Arial" w:eastAsia="Times New Roman" w:hAnsi="Arial" w:cs="Arial"/>
          <w:sz w:val="24"/>
          <w:szCs w:val="24"/>
        </w:rPr>
        <w:t xml:space="preserve"> </w:t>
      </w:r>
      <w:r w:rsidR="005A4961" w:rsidRPr="0029478C">
        <w:rPr>
          <w:rFonts w:ascii="Arial" w:eastAsia="Times New Roman" w:hAnsi="Arial" w:cs="Arial"/>
          <w:sz w:val="24"/>
          <w:szCs w:val="24"/>
        </w:rPr>
        <w:t>must</w:t>
      </w:r>
      <w:r w:rsidR="00665245" w:rsidRPr="0029478C">
        <w:rPr>
          <w:rFonts w:ascii="Arial" w:eastAsia="Times New Roman" w:hAnsi="Arial" w:cs="Arial"/>
          <w:sz w:val="24"/>
          <w:szCs w:val="24"/>
        </w:rPr>
        <w:t xml:space="preserve"> be designed, arranged, and used in a way that minimizes </w:t>
      </w:r>
      <w:r w:rsidRPr="0029478C">
        <w:rPr>
          <w:rFonts w:ascii="Arial" w:eastAsia="Times New Roman" w:hAnsi="Arial" w:cs="Arial"/>
          <w:sz w:val="24"/>
          <w:szCs w:val="24"/>
        </w:rPr>
        <w:t xml:space="preserve">errors and </w:t>
      </w:r>
      <w:r w:rsidR="00665245" w:rsidRPr="0029478C">
        <w:rPr>
          <w:rFonts w:ascii="Arial" w:eastAsia="Times New Roman" w:hAnsi="Arial" w:cs="Arial"/>
          <w:sz w:val="24"/>
          <w:szCs w:val="24"/>
        </w:rPr>
        <w:t>cross-contamination</w:t>
      </w:r>
      <w:r w:rsidRPr="0029478C">
        <w:rPr>
          <w:rFonts w:ascii="Arial" w:eastAsia="Times New Roman" w:hAnsi="Arial" w:cs="Arial"/>
          <w:sz w:val="24"/>
          <w:szCs w:val="24"/>
        </w:rPr>
        <w:t>.</w:t>
      </w:r>
    </w:p>
    <w:p w14:paraId="03FC99B3" w14:textId="77777777" w:rsidR="0029478C" w:rsidRPr="0029478C" w:rsidRDefault="0029478C" w:rsidP="0029478C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23B6EC4" w14:textId="15237D52" w:rsidR="0035181A" w:rsidRDefault="00C35FE5" w:rsidP="005D2984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35181A" w:rsidRPr="0035181A">
        <w:rPr>
          <w:rFonts w:ascii="Arial" w:eastAsia="Times New Roman" w:hAnsi="Arial" w:cs="Arial"/>
          <w:sz w:val="24"/>
          <w:szCs w:val="24"/>
        </w:rPr>
        <w:t xml:space="preserve">he Board does not intend to enforce the USP &lt;795&gt; temperature monitoring requirements for storage rooms </w:t>
      </w:r>
      <w:r>
        <w:rPr>
          <w:rFonts w:ascii="Arial" w:eastAsia="Times New Roman" w:hAnsi="Arial" w:cs="Arial"/>
          <w:sz w:val="24"/>
          <w:szCs w:val="24"/>
        </w:rPr>
        <w:t>of</w:t>
      </w:r>
      <w:r w:rsidRPr="00C35FE5">
        <w:rPr>
          <w:rFonts w:ascii="Arial" w:eastAsia="Times New Roman" w:hAnsi="Arial" w:cs="Arial"/>
          <w:sz w:val="24"/>
          <w:szCs w:val="24"/>
        </w:rPr>
        <w:t xml:space="preserve"> pharmacies that are not engaged in complex non-sterile compounding, </w:t>
      </w:r>
      <w:r w:rsidR="0035181A" w:rsidRPr="0035181A">
        <w:rPr>
          <w:rFonts w:ascii="Arial" w:eastAsia="Times New Roman" w:hAnsi="Arial" w:cs="Arial"/>
          <w:sz w:val="24"/>
          <w:szCs w:val="24"/>
        </w:rPr>
        <w:t xml:space="preserve">provided that temperatures are maintained within USP standards. </w:t>
      </w:r>
    </w:p>
    <w:p w14:paraId="18B1E4C6" w14:textId="77777777" w:rsidR="0035181A" w:rsidRPr="0035181A" w:rsidRDefault="0035181A" w:rsidP="005D298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A4DF90D" w14:textId="59B5B7CF" w:rsidR="00665245" w:rsidRPr="0095662D" w:rsidRDefault="00835C1D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Before beginning any </w:t>
      </w:r>
      <w:r w:rsidR="00665245" w:rsidRPr="0095662D">
        <w:rPr>
          <w:rFonts w:ascii="Arial" w:eastAsia="Times New Roman" w:hAnsi="Arial" w:cs="Arial"/>
          <w:sz w:val="24"/>
          <w:szCs w:val="24"/>
        </w:rPr>
        <w:t>renovations</w:t>
      </w:r>
      <w:r w:rsidRPr="0095662D">
        <w:rPr>
          <w:rFonts w:ascii="Arial" w:eastAsia="Times New Roman" w:hAnsi="Arial" w:cs="Arial"/>
          <w:sz w:val="24"/>
          <w:szCs w:val="24"/>
        </w:rPr>
        <w:t>, r</w:t>
      </w:r>
      <w:r w:rsidR="00665245" w:rsidRPr="0095662D">
        <w:rPr>
          <w:rFonts w:ascii="Arial" w:eastAsia="Times New Roman" w:hAnsi="Arial" w:cs="Arial"/>
          <w:sz w:val="24"/>
          <w:szCs w:val="24"/>
        </w:rPr>
        <w:t>etail pharmac</w:t>
      </w:r>
      <w:r w:rsidRPr="0095662D">
        <w:rPr>
          <w:rFonts w:ascii="Arial" w:eastAsia="Times New Roman" w:hAnsi="Arial" w:cs="Arial"/>
          <w:sz w:val="24"/>
          <w:szCs w:val="24"/>
        </w:rPr>
        <w:t>ies must apply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Pr="0095662D">
        <w:rPr>
          <w:rFonts w:ascii="Arial" w:eastAsia="Times New Roman" w:hAnsi="Arial" w:cs="Arial"/>
          <w:sz w:val="24"/>
          <w:szCs w:val="24"/>
        </w:rPr>
        <w:t>for approval</w:t>
      </w:r>
      <w:r w:rsidR="0000106E">
        <w:rPr>
          <w:rFonts w:ascii="Arial" w:eastAsia="Times New Roman" w:hAnsi="Arial" w:cs="Arial"/>
          <w:sz w:val="24"/>
          <w:szCs w:val="24"/>
        </w:rPr>
        <w:t>.</w:t>
      </w:r>
    </w:p>
    <w:p w14:paraId="6DF93C8F" w14:textId="77777777" w:rsidR="00BD64AB" w:rsidRPr="0095662D" w:rsidRDefault="00BD64AB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5132F7C9" w14:textId="11EE1E20" w:rsidR="00C20F6E" w:rsidRPr="0095662D" w:rsidRDefault="00C20F6E" w:rsidP="0095662D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t>Labeling / BUDs</w:t>
      </w:r>
    </w:p>
    <w:p w14:paraId="77065DD4" w14:textId="77777777" w:rsidR="007B6985" w:rsidRPr="0095662D" w:rsidRDefault="007B6985" w:rsidP="0095662D">
      <w:pPr>
        <w:pStyle w:val="ListParagraph"/>
        <w:spacing w:after="0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9D647B2" w14:textId="4BBADB83" w:rsidR="00665245" w:rsidRDefault="00C24CBB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84E72">
        <w:rPr>
          <w:rFonts w:ascii="Arial" w:eastAsia="Times New Roman" w:hAnsi="Arial" w:cs="Arial"/>
          <w:sz w:val="24"/>
          <w:szCs w:val="24"/>
        </w:rPr>
        <w:t>Beyond use dates (“</w:t>
      </w:r>
      <w:r w:rsidR="00665245" w:rsidRPr="00684E72">
        <w:rPr>
          <w:rFonts w:ascii="Arial" w:eastAsia="Times New Roman" w:hAnsi="Arial" w:cs="Arial"/>
          <w:sz w:val="24"/>
          <w:szCs w:val="24"/>
        </w:rPr>
        <w:t>BUD</w:t>
      </w:r>
      <w:r w:rsidRPr="00684E72">
        <w:rPr>
          <w:rFonts w:ascii="Arial" w:eastAsia="Times New Roman" w:hAnsi="Arial" w:cs="Arial"/>
          <w:sz w:val="24"/>
          <w:szCs w:val="24"/>
        </w:rPr>
        <w:t>”)</w:t>
      </w:r>
      <w:r w:rsidR="00665245" w:rsidRPr="00684E72">
        <w:rPr>
          <w:rFonts w:ascii="Arial" w:eastAsia="Times New Roman" w:hAnsi="Arial" w:cs="Arial"/>
          <w:sz w:val="24"/>
          <w:szCs w:val="24"/>
        </w:rPr>
        <w:t xml:space="preserve"> must be </w:t>
      </w:r>
      <w:r w:rsidRPr="00684E72">
        <w:rPr>
          <w:rFonts w:ascii="Arial" w:eastAsia="Times New Roman" w:hAnsi="Arial" w:cs="Arial"/>
          <w:sz w:val="24"/>
          <w:szCs w:val="24"/>
        </w:rPr>
        <w:t xml:space="preserve">assigned </w:t>
      </w:r>
      <w:r w:rsidR="00665245" w:rsidRPr="00684E72">
        <w:rPr>
          <w:rFonts w:ascii="Arial" w:eastAsia="Times New Roman" w:hAnsi="Arial" w:cs="Arial"/>
          <w:sz w:val="24"/>
          <w:szCs w:val="24"/>
        </w:rPr>
        <w:t>in accordance with</w:t>
      </w:r>
      <w:r w:rsidR="005A4961" w:rsidRPr="00684E72">
        <w:rPr>
          <w:rFonts w:ascii="Arial" w:eastAsia="Times New Roman" w:hAnsi="Arial" w:cs="Arial"/>
          <w:sz w:val="24"/>
          <w:szCs w:val="24"/>
        </w:rPr>
        <w:t xml:space="preserve"> the most current</w:t>
      </w:r>
      <w:r w:rsidR="00665245" w:rsidRPr="00684E72">
        <w:rPr>
          <w:rFonts w:ascii="Arial" w:eastAsia="Times New Roman" w:hAnsi="Arial" w:cs="Arial"/>
          <w:sz w:val="24"/>
          <w:szCs w:val="24"/>
        </w:rPr>
        <w:t xml:space="preserve"> </w:t>
      </w:r>
      <w:r w:rsidR="00115873" w:rsidRPr="00684E72">
        <w:rPr>
          <w:rFonts w:ascii="Arial" w:eastAsia="Times New Roman" w:hAnsi="Arial" w:cs="Arial"/>
          <w:sz w:val="24"/>
          <w:szCs w:val="24"/>
        </w:rPr>
        <w:t xml:space="preserve">USP </w:t>
      </w:r>
      <w:r w:rsidR="00665245" w:rsidRPr="00684E72">
        <w:rPr>
          <w:rFonts w:ascii="Arial" w:eastAsia="Times New Roman" w:hAnsi="Arial" w:cs="Arial"/>
          <w:sz w:val="24"/>
          <w:szCs w:val="24"/>
        </w:rPr>
        <w:t>&lt;795&gt;</w:t>
      </w:r>
      <w:r w:rsidRPr="00684E72">
        <w:rPr>
          <w:rFonts w:ascii="Arial" w:eastAsia="Times New Roman" w:hAnsi="Arial" w:cs="Arial"/>
          <w:sz w:val="24"/>
          <w:szCs w:val="24"/>
        </w:rPr>
        <w:t>.</w:t>
      </w:r>
      <w:r w:rsidRPr="0095662D">
        <w:rPr>
          <w:rFonts w:ascii="Arial" w:eastAsia="Times New Roman" w:hAnsi="Arial" w:cs="Arial"/>
          <w:sz w:val="24"/>
          <w:szCs w:val="24"/>
        </w:rPr>
        <w:t xml:space="preserve"> Assure that BUDs are appropriately assigned and are 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not defaulted to </w:t>
      </w:r>
      <w:r w:rsidR="00115873" w:rsidRPr="0095662D">
        <w:rPr>
          <w:rFonts w:ascii="Arial" w:eastAsia="Times New Roman" w:hAnsi="Arial" w:cs="Arial"/>
          <w:sz w:val="24"/>
          <w:szCs w:val="24"/>
        </w:rPr>
        <w:t>one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 year</w:t>
      </w:r>
      <w:r w:rsidRPr="0095662D">
        <w:rPr>
          <w:rFonts w:ascii="Arial" w:eastAsia="Times New Roman" w:hAnsi="Arial" w:cs="Arial"/>
          <w:sz w:val="24"/>
          <w:szCs w:val="24"/>
        </w:rPr>
        <w:t>.</w:t>
      </w:r>
    </w:p>
    <w:p w14:paraId="13E20F20" w14:textId="77777777" w:rsidR="0029478C" w:rsidRDefault="0029478C" w:rsidP="0029478C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C9A122B" w14:textId="610A3AB7" w:rsidR="00665245" w:rsidRPr="002150B5" w:rsidRDefault="00C24CBB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I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n addition to standard prescription labeling, a statement that the </w:t>
      </w:r>
      <w:r w:rsidR="009A10F8" w:rsidRPr="0095662D">
        <w:rPr>
          <w:rFonts w:ascii="Arial" w:eastAsia="Times New Roman" w:hAnsi="Arial" w:cs="Arial"/>
          <w:sz w:val="24"/>
          <w:szCs w:val="24"/>
        </w:rPr>
        <w:t xml:space="preserve">preparation </w:t>
      </w:r>
      <w:r w:rsidR="00665245" w:rsidRPr="0095662D">
        <w:rPr>
          <w:rFonts w:ascii="Arial" w:eastAsia="Times New Roman" w:hAnsi="Arial" w:cs="Arial"/>
          <w:sz w:val="24"/>
          <w:szCs w:val="24"/>
        </w:rPr>
        <w:t>is a non-sterile compounded drug preparation</w:t>
      </w:r>
      <w:r w:rsidR="00510021" w:rsidRPr="0095662D">
        <w:rPr>
          <w:rFonts w:ascii="Arial" w:eastAsia="Times New Roman" w:hAnsi="Arial" w:cs="Arial"/>
          <w:sz w:val="24"/>
          <w:szCs w:val="24"/>
        </w:rPr>
        <w:t xml:space="preserve"> must also be included </w:t>
      </w:r>
      <w:r w:rsidR="00665245" w:rsidRPr="0095662D">
        <w:rPr>
          <w:rFonts w:ascii="Arial" w:eastAsia="Times New Roman" w:hAnsi="Arial" w:cs="Arial"/>
          <w:sz w:val="24"/>
          <w:szCs w:val="24"/>
        </w:rPr>
        <w:t>(</w:t>
      </w:r>
      <w:hyperlink r:id="rId19" w:history="1">
        <w:r w:rsidR="00665245" w:rsidRPr="00D03C06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MGL </w:t>
        </w:r>
        <w:r w:rsidR="00510021" w:rsidRPr="00D03C06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c. </w:t>
        </w:r>
        <w:r w:rsidR="00665245" w:rsidRPr="00D03C06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94C </w:t>
        </w:r>
        <w:r w:rsidR="003C596C" w:rsidRPr="00D03C06">
          <w:rPr>
            <w:rStyle w:val="Hyperlink"/>
            <w:rFonts w:ascii="Arial" w:eastAsia="Times New Roman" w:hAnsi="Arial" w:cs="Arial"/>
            <w:sz w:val="24"/>
            <w:szCs w:val="24"/>
          </w:rPr>
          <w:t>§</w:t>
        </w:r>
        <w:r w:rsidR="00665245" w:rsidRPr="00D03C06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21</w:t>
        </w:r>
      </w:hyperlink>
      <w:r w:rsidR="00665245" w:rsidRPr="0095662D">
        <w:rPr>
          <w:rFonts w:ascii="Arial" w:eastAsia="Times New Roman" w:hAnsi="Arial" w:cs="Arial"/>
          <w:sz w:val="24"/>
          <w:szCs w:val="24"/>
        </w:rPr>
        <w:t>)</w:t>
      </w:r>
      <w:r w:rsidR="00510021" w:rsidRPr="0095662D">
        <w:rPr>
          <w:rFonts w:ascii="Arial" w:eastAsia="Times New Roman" w:hAnsi="Arial" w:cs="Arial"/>
          <w:sz w:val="24"/>
          <w:szCs w:val="24"/>
        </w:rPr>
        <w:t>.</w:t>
      </w:r>
      <w:r w:rsidR="00CC21FE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EA4F5D" w:rsidRPr="00682707">
        <w:rPr>
          <w:rFonts w:ascii="Arial" w:eastAsia="Times New Roman" w:hAnsi="Arial" w:cs="Arial"/>
          <w:sz w:val="24"/>
          <w:szCs w:val="24"/>
          <w:u w:val="single"/>
        </w:rPr>
        <w:t>If applicable, a</w:t>
      </w:r>
      <w:r w:rsidR="00CC21FE" w:rsidRPr="00682707">
        <w:rPr>
          <w:rFonts w:ascii="Arial" w:eastAsia="Times New Roman" w:hAnsi="Arial" w:cs="Arial"/>
          <w:sz w:val="24"/>
          <w:szCs w:val="24"/>
          <w:u w:val="single"/>
        </w:rPr>
        <w:t xml:space="preserve"> statement that the product was flavored </w:t>
      </w:r>
      <w:r w:rsidR="006F42CA" w:rsidRPr="00682707">
        <w:rPr>
          <w:rFonts w:ascii="Arial" w:eastAsia="Times New Roman" w:hAnsi="Arial" w:cs="Arial"/>
          <w:sz w:val="24"/>
          <w:szCs w:val="24"/>
          <w:u w:val="single"/>
        </w:rPr>
        <w:t xml:space="preserve">(e.g., auxiliary label, noted on label, etc.) </w:t>
      </w:r>
      <w:r w:rsidR="00CC21FE" w:rsidRPr="00682707">
        <w:rPr>
          <w:rFonts w:ascii="Arial" w:eastAsia="Times New Roman" w:hAnsi="Arial" w:cs="Arial"/>
          <w:sz w:val="24"/>
          <w:szCs w:val="24"/>
          <w:u w:val="single"/>
        </w:rPr>
        <w:t xml:space="preserve">must </w:t>
      </w:r>
      <w:r w:rsidR="009A10F8" w:rsidRPr="00682707">
        <w:rPr>
          <w:rFonts w:ascii="Arial" w:eastAsia="Times New Roman" w:hAnsi="Arial" w:cs="Arial"/>
          <w:sz w:val="24"/>
          <w:szCs w:val="24"/>
          <w:u w:val="single"/>
        </w:rPr>
        <w:t xml:space="preserve">also </w:t>
      </w:r>
      <w:r w:rsidR="00472958" w:rsidRPr="00682707">
        <w:rPr>
          <w:rFonts w:ascii="Arial" w:eastAsia="Times New Roman" w:hAnsi="Arial" w:cs="Arial"/>
          <w:sz w:val="24"/>
          <w:szCs w:val="24"/>
          <w:u w:val="single"/>
        </w:rPr>
        <w:t xml:space="preserve">be </w:t>
      </w:r>
      <w:r w:rsidR="00CC21FE" w:rsidRPr="00682707">
        <w:rPr>
          <w:rFonts w:ascii="Arial" w:eastAsia="Times New Roman" w:hAnsi="Arial" w:cs="Arial"/>
          <w:sz w:val="24"/>
          <w:szCs w:val="24"/>
          <w:u w:val="single"/>
        </w:rPr>
        <w:t xml:space="preserve">included on the </w:t>
      </w:r>
      <w:r w:rsidR="00472958" w:rsidRPr="00682707">
        <w:rPr>
          <w:rFonts w:ascii="Arial" w:eastAsia="Times New Roman" w:hAnsi="Arial" w:cs="Arial"/>
          <w:sz w:val="24"/>
          <w:szCs w:val="24"/>
          <w:u w:val="single"/>
        </w:rPr>
        <w:t xml:space="preserve">patient’s </w:t>
      </w:r>
      <w:r w:rsidR="00CC21FE" w:rsidRPr="00682707">
        <w:rPr>
          <w:rFonts w:ascii="Arial" w:eastAsia="Times New Roman" w:hAnsi="Arial" w:cs="Arial"/>
          <w:sz w:val="24"/>
          <w:szCs w:val="24"/>
          <w:u w:val="single"/>
        </w:rPr>
        <w:t>container.</w:t>
      </w:r>
    </w:p>
    <w:p w14:paraId="0E2271E6" w14:textId="77777777" w:rsidR="002150B5" w:rsidRPr="002150B5" w:rsidRDefault="002150B5" w:rsidP="002150B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460D7A87" w14:textId="77777777" w:rsidR="002150B5" w:rsidRDefault="002150B5" w:rsidP="002150B5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8661CD6" w14:textId="77777777" w:rsidR="002150B5" w:rsidRDefault="002150B5" w:rsidP="002150B5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7141F82" w14:textId="77777777" w:rsidR="002150B5" w:rsidRPr="002150B5" w:rsidRDefault="002150B5" w:rsidP="002150B5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1763EBD" w14:textId="77777777" w:rsidR="002150B5" w:rsidRPr="002150B5" w:rsidRDefault="002150B5" w:rsidP="002150B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9C18FFB" w14:textId="4CA348CE" w:rsidR="00C20F6E" w:rsidRPr="0095662D" w:rsidRDefault="00C20F6E" w:rsidP="0095662D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Documentation</w:t>
      </w:r>
    </w:p>
    <w:p w14:paraId="2F2CF74E" w14:textId="77777777" w:rsidR="00C24CBB" w:rsidRPr="0095662D" w:rsidRDefault="00C24CBB" w:rsidP="0095662D">
      <w:pPr>
        <w:pStyle w:val="ListParagraph"/>
        <w:spacing w:after="0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B96796E" w14:textId="626B050E" w:rsidR="00793193" w:rsidRDefault="000104FB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A</w:t>
      </w:r>
      <w:r w:rsidR="00793193" w:rsidRPr="0095662D">
        <w:rPr>
          <w:rFonts w:ascii="Arial" w:eastAsia="Times New Roman" w:hAnsi="Arial" w:cs="Arial"/>
          <w:sz w:val="24"/>
          <w:szCs w:val="24"/>
        </w:rPr>
        <w:t xml:space="preserve"> reconstitution log (or </w:t>
      </w:r>
      <w:r w:rsidR="00847C6D" w:rsidRPr="0095662D">
        <w:rPr>
          <w:rFonts w:ascii="Arial" w:eastAsia="Times New Roman" w:hAnsi="Arial" w:cs="Arial"/>
          <w:sz w:val="24"/>
          <w:szCs w:val="24"/>
        </w:rPr>
        <w:t xml:space="preserve">similar </w:t>
      </w:r>
      <w:r w:rsidR="00793193" w:rsidRPr="0095662D">
        <w:rPr>
          <w:rFonts w:ascii="Arial" w:eastAsia="Times New Roman" w:hAnsi="Arial" w:cs="Arial"/>
          <w:sz w:val="24"/>
          <w:szCs w:val="24"/>
        </w:rPr>
        <w:t xml:space="preserve">documentation) for the preparation of commercially available products (e.g., antibiotic suspensions, erythromycin-benzoyl peroxide gel, etc.) </w:t>
      </w:r>
      <w:r w:rsidRPr="0095662D">
        <w:rPr>
          <w:rFonts w:ascii="Arial" w:eastAsia="Times New Roman" w:hAnsi="Arial" w:cs="Arial"/>
          <w:sz w:val="24"/>
          <w:szCs w:val="24"/>
        </w:rPr>
        <w:t>is recommended.</w:t>
      </w:r>
    </w:p>
    <w:p w14:paraId="3EADE066" w14:textId="77777777" w:rsidR="0029478C" w:rsidRPr="0095662D" w:rsidRDefault="0029478C" w:rsidP="0029478C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18DCF2FA" w14:textId="31EE25C9" w:rsidR="00793193" w:rsidRPr="0095662D" w:rsidRDefault="002E1E73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E</w:t>
      </w:r>
      <w:r w:rsidR="00793193" w:rsidRPr="0095662D">
        <w:rPr>
          <w:rFonts w:ascii="Arial" w:eastAsia="Times New Roman" w:hAnsi="Arial" w:cs="Arial"/>
          <w:sz w:val="24"/>
          <w:szCs w:val="24"/>
        </w:rPr>
        <w:t xml:space="preserve">ach </w:t>
      </w:r>
      <w:r w:rsidRPr="0095662D">
        <w:rPr>
          <w:rFonts w:ascii="Arial" w:eastAsia="Times New Roman" w:hAnsi="Arial" w:cs="Arial"/>
          <w:sz w:val="24"/>
          <w:szCs w:val="24"/>
        </w:rPr>
        <w:t xml:space="preserve">compounded </w:t>
      </w:r>
      <w:r w:rsidR="00531F01" w:rsidRPr="0095662D">
        <w:rPr>
          <w:rFonts w:ascii="Arial" w:eastAsia="Times New Roman" w:hAnsi="Arial" w:cs="Arial"/>
          <w:sz w:val="24"/>
          <w:szCs w:val="24"/>
        </w:rPr>
        <w:t xml:space="preserve">non-sterile </w:t>
      </w:r>
      <w:r w:rsidR="00793193" w:rsidRPr="0095662D">
        <w:rPr>
          <w:rFonts w:ascii="Arial" w:eastAsia="Times New Roman" w:hAnsi="Arial" w:cs="Arial"/>
          <w:sz w:val="24"/>
          <w:szCs w:val="24"/>
        </w:rPr>
        <w:t>preparation must be documented on a compounding record (</w:t>
      </w:r>
      <w:r w:rsidR="001F299B" w:rsidRPr="0095662D">
        <w:rPr>
          <w:rFonts w:ascii="Arial" w:eastAsia="Times New Roman" w:hAnsi="Arial" w:cs="Arial"/>
          <w:sz w:val="24"/>
          <w:szCs w:val="24"/>
        </w:rPr>
        <w:t>i.e.</w:t>
      </w:r>
      <w:r w:rsidR="00193478" w:rsidRPr="0095662D">
        <w:rPr>
          <w:rFonts w:ascii="Arial" w:eastAsia="Times New Roman" w:hAnsi="Arial" w:cs="Arial"/>
          <w:sz w:val="24"/>
          <w:szCs w:val="24"/>
        </w:rPr>
        <w:t>,</w:t>
      </w:r>
      <w:r w:rsidR="00793193" w:rsidRPr="0095662D">
        <w:rPr>
          <w:rFonts w:ascii="Arial" w:eastAsia="Times New Roman" w:hAnsi="Arial" w:cs="Arial"/>
          <w:sz w:val="24"/>
          <w:szCs w:val="24"/>
        </w:rPr>
        <w:t xml:space="preserve"> compounding log)</w:t>
      </w:r>
      <w:r w:rsidR="00531F01" w:rsidRPr="0095662D">
        <w:rPr>
          <w:rFonts w:ascii="Arial" w:eastAsia="Times New Roman" w:hAnsi="Arial" w:cs="Arial"/>
          <w:sz w:val="24"/>
          <w:szCs w:val="24"/>
        </w:rPr>
        <w:t>.</w:t>
      </w:r>
    </w:p>
    <w:p w14:paraId="2BB9EC92" w14:textId="1EDB4C47" w:rsidR="00EF72CB" w:rsidRDefault="00F1039B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t>Note</w:t>
      </w:r>
      <w:r w:rsidRPr="0095662D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95662D">
        <w:rPr>
          <w:rFonts w:ascii="Arial" w:eastAsia="Times New Roman" w:hAnsi="Arial" w:cs="Arial"/>
          <w:sz w:val="24"/>
          <w:szCs w:val="24"/>
        </w:rPr>
        <w:t xml:space="preserve"> The c</w:t>
      </w:r>
      <w:r w:rsidR="00EF72CB" w:rsidRPr="0095662D">
        <w:rPr>
          <w:rFonts w:ascii="Arial" w:eastAsia="Times New Roman" w:hAnsi="Arial" w:cs="Arial"/>
          <w:sz w:val="24"/>
          <w:szCs w:val="24"/>
        </w:rPr>
        <w:t>ompounding record serve</w:t>
      </w:r>
      <w:r w:rsidRPr="0095662D">
        <w:rPr>
          <w:rFonts w:ascii="Arial" w:eastAsia="Times New Roman" w:hAnsi="Arial" w:cs="Arial"/>
          <w:sz w:val="24"/>
          <w:szCs w:val="24"/>
        </w:rPr>
        <w:t>s</w:t>
      </w:r>
      <w:r w:rsidR="00EF72CB" w:rsidRPr="0095662D">
        <w:rPr>
          <w:rFonts w:ascii="Arial" w:eastAsia="Times New Roman" w:hAnsi="Arial" w:cs="Arial"/>
          <w:sz w:val="24"/>
          <w:szCs w:val="24"/>
        </w:rPr>
        <w:t xml:space="preserve"> as the accountability documentation as required by </w:t>
      </w:r>
      <w:bookmarkStart w:id="0" w:name="_Hlk183533809"/>
      <w:r w:rsidR="006450BD">
        <w:fldChar w:fldCharType="begin"/>
      </w:r>
      <w:r w:rsidR="006450BD">
        <w:instrText>HYPERLINK "https://malegislature.gov/Laws/GeneralLaws/PartI/TitleXVI/Chapter112/Section39D"</w:instrText>
      </w:r>
      <w:r w:rsidR="006450BD">
        <w:fldChar w:fldCharType="separate"/>
      </w:r>
      <w:r w:rsidR="001E4A4E" w:rsidRPr="00D03C06">
        <w:rPr>
          <w:rStyle w:val="Hyperlink"/>
          <w:rFonts w:ascii="Arial" w:eastAsia="Times New Roman" w:hAnsi="Arial" w:cs="Arial"/>
          <w:sz w:val="24"/>
          <w:szCs w:val="24"/>
        </w:rPr>
        <w:t xml:space="preserve">MGL c.112 </w:t>
      </w:r>
      <w:r w:rsidR="003C596C" w:rsidRPr="00D03C06">
        <w:rPr>
          <w:rStyle w:val="Hyperlink"/>
          <w:rFonts w:ascii="Arial" w:eastAsia="Times New Roman" w:hAnsi="Arial" w:cs="Arial"/>
          <w:sz w:val="24"/>
          <w:szCs w:val="24"/>
        </w:rPr>
        <w:t>§</w:t>
      </w:r>
      <w:r w:rsidR="001E4A4E" w:rsidRPr="00D03C06">
        <w:rPr>
          <w:rStyle w:val="Hyperlink"/>
          <w:rFonts w:ascii="Arial" w:eastAsia="Times New Roman" w:hAnsi="Arial" w:cs="Arial"/>
          <w:sz w:val="24"/>
          <w:szCs w:val="24"/>
        </w:rPr>
        <w:t xml:space="preserve"> 39D</w:t>
      </w:r>
      <w:r w:rsidR="006450BD">
        <w:rPr>
          <w:rStyle w:val="Hyperlink"/>
          <w:rFonts w:ascii="Arial" w:eastAsia="Times New Roman" w:hAnsi="Arial" w:cs="Arial"/>
          <w:sz w:val="24"/>
          <w:szCs w:val="24"/>
        </w:rPr>
        <w:fldChar w:fldCharType="end"/>
      </w:r>
      <w:bookmarkEnd w:id="0"/>
      <w:r w:rsidR="001E4A4E" w:rsidRPr="0095662D">
        <w:rPr>
          <w:rFonts w:ascii="Arial" w:eastAsia="Times New Roman" w:hAnsi="Arial" w:cs="Arial"/>
          <w:sz w:val="24"/>
          <w:szCs w:val="24"/>
        </w:rPr>
        <w:t>.</w:t>
      </w:r>
    </w:p>
    <w:p w14:paraId="55418968" w14:textId="77777777" w:rsidR="0029478C" w:rsidRPr="0095662D" w:rsidRDefault="0029478C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0E95F904" w14:textId="4E9345C0" w:rsidR="007928A5" w:rsidRPr="0095662D" w:rsidRDefault="001856F3" w:rsidP="0095662D">
      <w:pPr>
        <w:pStyle w:val="ListParagraph"/>
        <w:numPr>
          <w:ilvl w:val="1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In the case of </w:t>
      </w:r>
      <w:r w:rsidR="00677B51" w:rsidRPr="00677B51">
        <w:rPr>
          <w:rFonts w:ascii="Arial" w:eastAsia="Times New Roman" w:hAnsi="Arial" w:cs="Arial"/>
          <w:b/>
          <w:bCs/>
          <w:sz w:val="24"/>
          <w:szCs w:val="24"/>
        </w:rPr>
        <w:t>pre-measured compounding kits</w:t>
      </w:r>
      <w:r w:rsidR="00677B51" w:rsidRPr="00677B51">
        <w:rPr>
          <w:rFonts w:ascii="Arial" w:eastAsia="Times New Roman" w:hAnsi="Arial" w:cs="Arial"/>
          <w:sz w:val="24"/>
          <w:szCs w:val="24"/>
        </w:rPr>
        <w:t xml:space="preserve"> </w:t>
      </w:r>
      <w:r w:rsidR="00677B51">
        <w:rPr>
          <w:rFonts w:ascii="Arial" w:eastAsia="Times New Roman" w:hAnsi="Arial" w:cs="Arial"/>
          <w:sz w:val="24"/>
          <w:szCs w:val="24"/>
        </w:rPr>
        <w:t xml:space="preserve">and </w:t>
      </w:r>
      <w:r w:rsidR="007928A5" w:rsidRPr="003B1827">
        <w:rPr>
          <w:rFonts w:ascii="Arial" w:eastAsia="Times New Roman" w:hAnsi="Arial" w:cs="Arial"/>
          <w:b/>
          <w:bCs/>
          <w:sz w:val="24"/>
          <w:szCs w:val="24"/>
        </w:rPr>
        <w:t>flavoring agents</w:t>
      </w:r>
      <w:r w:rsidR="007928A5" w:rsidRPr="0095662D">
        <w:rPr>
          <w:rFonts w:ascii="Arial" w:eastAsia="Times New Roman" w:hAnsi="Arial" w:cs="Arial"/>
          <w:sz w:val="24"/>
          <w:szCs w:val="24"/>
        </w:rPr>
        <w:t xml:space="preserve"> added to conventionally manufactured non-sterile </w:t>
      </w:r>
      <w:r w:rsidR="00AA76AA" w:rsidRPr="0095662D">
        <w:rPr>
          <w:rFonts w:ascii="Arial" w:eastAsia="Times New Roman" w:hAnsi="Arial" w:cs="Arial"/>
          <w:sz w:val="24"/>
          <w:szCs w:val="24"/>
        </w:rPr>
        <w:t xml:space="preserve">drug </w:t>
      </w:r>
      <w:r w:rsidR="007928A5" w:rsidRPr="0095662D">
        <w:rPr>
          <w:rFonts w:ascii="Arial" w:eastAsia="Times New Roman" w:hAnsi="Arial" w:cs="Arial"/>
          <w:sz w:val="24"/>
          <w:szCs w:val="24"/>
        </w:rPr>
        <w:t>product</w:t>
      </w:r>
      <w:r w:rsidR="00AA76AA" w:rsidRPr="0095662D">
        <w:rPr>
          <w:rFonts w:ascii="Arial" w:eastAsia="Times New Roman" w:hAnsi="Arial" w:cs="Arial"/>
          <w:sz w:val="24"/>
          <w:szCs w:val="24"/>
        </w:rPr>
        <w:t>s</w:t>
      </w:r>
      <w:r w:rsidRPr="0095662D">
        <w:rPr>
          <w:rFonts w:ascii="Arial" w:eastAsia="Times New Roman" w:hAnsi="Arial" w:cs="Arial"/>
          <w:sz w:val="24"/>
          <w:szCs w:val="24"/>
        </w:rPr>
        <w:t xml:space="preserve">, the </w:t>
      </w:r>
      <w:r w:rsidR="00895187" w:rsidRPr="00895187">
        <w:rPr>
          <w:rFonts w:ascii="Arial" w:eastAsia="Times New Roman" w:hAnsi="Arial" w:cs="Arial"/>
          <w:sz w:val="24"/>
          <w:szCs w:val="24"/>
        </w:rPr>
        <w:t>compounding record may also serve as the master formulation record</w:t>
      </w:r>
      <w:r w:rsidR="00D17260">
        <w:rPr>
          <w:rFonts w:ascii="Arial" w:eastAsia="Times New Roman" w:hAnsi="Arial" w:cs="Arial"/>
          <w:sz w:val="24"/>
          <w:szCs w:val="24"/>
        </w:rPr>
        <w:t xml:space="preserve"> and may be in the form of a log sheet</w:t>
      </w:r>
      <w:r w:rsidR="00895187">
        <w:rPr>
          <w:rFonts w:ascii="Arial" w:eastAsia="Times New Roman" w:hAnsi="Arial" w:cs="Arial"/>
          <w:sz w:val="24"/>
          <w:szCs w:val="24"/>
        </w:rPr>
        <w:t xml:space="preserve">. The </w:t>
      </w:r>
      <w:r w:rsidR="00415505">
        <w:rPr>
          <w:rFonts w:ascii="Arial" w:eastAsia="Times New Roman" w:hAnsi="Arial" w:cs="Arial"/>
          <w:sz w:val="24"/>
          <w:szCs w:val="24"/>
        </w:rPr>
        <w:t xml:space="preserve">following information must be </w:t>
      </w:r>
      <w:r w:rsidR="007D46F9">
        <w:rPr>
          <w:rFonts w:ascii="Arial" w:eastAsia="Times New Roman" w:hAnsi="Arial" w:cs="Arial"/>
          <w:sz w:val="24"/>
          <w:szCs w:val="24"/>
        </w:rPr>
        <w:t>documented and be readily retrievable</w:t>
      </w:r>
      <w:r w:rsidR="007928A5" w:rsidRPr="0095662D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A7ECC92" w14:textId="0CED034E" w:rsidR="007928A5" w:rsidRPr="0095662D" w:rsidRDefault="007928A5" w:rsidP="0095662D">
      <w:pPr>
        <w:pStyle w:val="ListParagraph"/>
        <w:numPr>
          <w:ilvl w:val="2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date of preparation</w:t>
      </w:r>
      <w:r w:rsidR="0095662D">
        <w:rPr>
          <w:rFonts w:ascii="Arial" w:eastAsia="Times New Roman" w:hAnsi="Arial" w:cs="Arial"/>
          <w:sz w:val="24"/>
          <w:szCs w:val="24"/>
        </w:rPr>
        <w:t>;</w:t>
      </w:r>
    </w:p>
    <w:p w14:paraId="5D7AC6C4" w14:textId="65F39FD9" w:rsidR="007928A5" w:rsidRPr="0095662D" w:rsidRDefault="007928A5" w:rsidP="0095662D">
      <w:pPr>
        <w:pStyle w:val="ListParagraph"/>
        <w:numPr>
          <w:ilvl w:val="2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prescription number</w:t>
      </w:r>
      <w:r w:rsidR="0095662D">
        <w:rPr>
          <w:rFonts w:ascii="Arial" w:eastAsia="Times New Roman" w:hAnsi="Arial" w:cs="Arial"/>
          <w:sz w:val="24"/>
          <w:szCs w:val="24"/>
        </w:rPr>
        <w:t>;</w:t>
      </w:r>
    </w:p>
    <w:p w14:paraId="4A284337" w14:textId="38B70557" w:rsidR="007928A5" w:rsidRDefault="007928A5" w:rsidP="0095662D">
      <w:pPr>
        <w:pStyle w:val="ListParagraph"/>
        <w:numPr>
          <w:ilvl w:val="2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name, vendor </w:t>
      </w:r>
      <w:r w:rsidR="00415505">
        <w:rPr>
          <w:rFonts w:ascii="Arial" w:eastAsia="Times New Roman" w:hAnsi="Arial" w:cs="Arial"/>
          <w:sz w:val="24"/>
          <w:szCs w:val="24"/>
        </w:rPr>
        <w:t>/</w:t>
      </w:r>
      <w:r w:rsidRPr="0095662D">
        <w:rPr>
          <w:rFonts w:ascii="Arial" w:eastAsia="Times New Roman" w:hAnsi="Arial" w:cs="Arial"/>
          <w:sz w:val="24"/>
          <w:szCs w:val="24"/>
        </w:rPr>
        <w:t xml:space="preserve"> manufacturer</w:t>
      </w:r>
      <w:r w:rsidR="008815C3">
        <w:rPr>
          <w:rFonts w:ascii="Arial" w:eastAsia="Times New Roman" w:hAnsi="Arial" w:cs="Arial"/>
          <w:sz w:val="24"/>
          <w:szCs w:val="24"/>
        </w:rPr>
        <w:t xml:space="preserve"> </w:t>
      </w:r>
      <w:r w:rsidR="00415505">
        <w:rPr>
          <w:rFonts w:ascii="Arial" w:eastAsia="Times New Roman" w:hAnsi="Arial" w:cs="Arial"/>
          <w:sz w:val="24"/>
          <w:szCs w:val="24"/>
        </w:rPr>
        <w:t>/</w:t>
      </w:r>
      <w:r w:rsidR="007D46F9">
        <w:rPr>
          <w:rFonts w:ascii="Arial" w:eastAsia="Times New Roman" w:hAnsi="Arial" w:cs="Arial"/>
          <w:sz w:val="24"/>
          <w:szCs w:val="24"/>
        </w:rPr>
        <w:t xml:space="preserve"> NDC</w:t>
      </w:r>
      <w:r w:rsidRPr="0095662D">
        <w:rPr>
          <w:rFonts w:ascii="Arial" w:eastAsia="Times New Roman" w:hAnsi="Arial" w:cs="Arial"/>
          <w:sz w:val="24"/>
          <w:szCs w:val="24"/>
        </w:rPr>
        <w:t>, lot number, and expiration date of each component</w:t>
      </w:r>
      <w:r w:rsidR="0095662D">
        <w:rPr>
          <w:rFonts w:ascii="Arial" w:eastAsia="Times New Roman" w:hAnsi="Arial" w:cs="Arial"/>
          <w:sz w:val="24"/>
          <w:szCs w:val="24"/>
        </w:rPr>
        <w:t>;</w:t>
      </w:r>
    </w:p>
    <w:p w14:paraId="05A7720C" w14:textId="2B595C36" w:rsidR="007928A5" w:rsidRPr="0095662D" w:rsidRDefault="007928A5" w:rsidP="0095662D">
      <w:pPr>
        <w:pStyle w:val="ListParagraph"/>
        <w:numPr>
          <w:ilvl w:val="2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a</w:t>
      </w:r>
      <w:r w:rsidR="00D17260">
        <w:rPr>
          <w:rFonts w:ascii="Arial" w:eastAsia="Times New Roman" w:hAnsi="Arial" w:cs="Arial"/>
          <w:sz w:val="24"/>
          <w:szCs w:val="24"/>
        </w:rPr>
        <w:t>ny</w:t>
      </w:r>
      <w:r w:rsidRPr="0095662D">
        <w:rPr>
          <w:rFonts w:ascii="Arial" w:eastAsia="Times New Roman" w:hAnsi="Arial" w:cs="Arial"/>
          <w:sz w:val="24"/>
          <w:szCs w:val="24"/>
        </w:rPr>
        <w:t xml:space="preserve"> relevant calculations and quantities/volumes of additives (e.g., water, flavoring agent(s), etc.)</w:t>
      </w:r>
      <w:r w:rsidR="0095662D">
        <w:rPr>
          <w:rFonts w:ascii="Arial" w:eastAsia="Times New Roman" w:hAnsi="Arial" w:cs="Arial"/>
          <w:sz w:val="24"/>
          <w:szCs w:val="24"/>
        </w:rPr>
        <w:t>;</w:t>
      </w:r>
    </w:p>
    <w:p w14:paraId="03CEDA67" w14:textId="00B3B698" w:rsidR="007928A5" w:rsidRPr="0095662D" w:rsidRDefault="007928A5" w:rsidP="0095662D">
      <w:pPr>
        <w:pStyle w:val="ListParagraph"/>
        <w:numPr>
          <w:ilvl w:val="2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462716">
        <w:rPr>
          <w:rFonts w:ascii="Arial" w:eastAsia="Times New Roman" w:hAnsi="Arial" w:cs="Arial"/>
          <w:sz w:val="24"/>
          <w:szCs w:val="24"/>
        </w:rPr>
        <w:t>BUD</w:t>
      </w:r>
      <w:r w:rsidRPr="0095662D">
        <w:rPr>
          <w:rFonts w:ascii="Arial" w:eastAsia="Times New Roman" w:hAnsi="Arial" w:cs="Arial"/>
          <w:sz w:val="24"/>
          <w:szCs w:val="24"/>
        </w:rPr>
        <w:t xml:space="preserve"> and </w:t>
      </w:r>
      <w:r w:rsidR="00D17260">
        <w:rPr>
          <w:rFonts w:ascii="Arial" w:eastAsia="Times New Roman" w:hAnsi="Arial" w:cs="Arial"/>
          <w:sz w:val="24"/>
          <w:szCs w:val="24"/>
        </w:rPr>
        <w:t xml:space="preserve">any  special </w:t>
      </w:r>
      <w:r w:rsidRPr="0095662D">
        <w:rPr>
          <w:rFonts w:ascii="Arial" w:eastAsia="Times New Roman" w:hAnsi="Arial" w:cs="Arial"/>
          <w:sz w:val="24"/>
          <w:szCs w:val="24"/>
        </w:rPr>
        <w:t>storage requirements</w:t>
      </w:r>
      <w:r w:rsidR="00D17260">
        <w:rPr>
          <w:rFonts w:ascii="Arial" w:eastAsia="Times New Roman" w:hAnsi="Arial" w:cs="Arial"/>
          <w:sz w:val="24"/>
          <w:szCs w:val="24"/>
        </w:rPr>
        <w:t xml:space="preserve"> (e.g., refrigerate)</w:t>
      </w:r>
      <w:r w:rsidR="0095662D">
        <w:rPr>
          <w:rFonts w:ascii="Arial" w:eastAsia="Times New Roman" w:hAnsi="Arial" w:cs="Arial"/>
          <w:sz w:val="24"/>
          <w:szCs w:val="24"/>
        </w:rPr>
        <w:t>; and</w:t>
      </w:r>
      <w:r w:rsidRPr="0095662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19D630E" w14:textId="2C30EFDF" w:rsidR="007928A5" w:rsidRDefault="00415505" w:rsidP="0095662D">
      <w:pPr>
        <w:pStyle w:val="ListParagraph"/>
        <w:numPr>
          <w:ilvl w:val="2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identifier (e.g., </w:t>
      </w:r>
      <w:r w:rsidR="007928A5" w:rsidRPr="0095662D">
        <w:rPr>
          <w:rFonts w:ascii="Arial" w:eastAsia="Times New Roman" w:hAnsi="Arial" w:cs="Arial"/>
          <w:sz w:val="24"/>
          <w:szCs w:val="24"/>
        </w:rPr>
        <w:t>name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AE16B6" w:rsidRPr="00CC6C94">
        <w:rPr>
          <w:rFonts w:ascii="Arial" w:eastAsia="Times New Roman" w:hAnsi="Arial" w:cs="Arial"/>
          <w:sz w:val="24"/>
          <w:szCs w:val="24"/>
        </w:rPr>
        <w:t>initials</w:t>
      </w:r>
      <w:r>
        <w:rPr>
          <w:rFonts w:ascii="Arial" w:eastAsia="Times New Roman" w:hAnsi="Arial" w:cs="Arial"/>
          <w:sz w:val="24"/>
          <w:szCs w:val="24"/>
        </w:rPr>
        <w:t>, etc.)</w:t>
      </w:r>
      <w:r w:rsidR="007928A5" w:rsidRPr="0095662D">
        <w:rPr>
          <w:rFonts w:ascii="Arial" w:eastAsia="Times New Roman" w:hAnsi="Arial" w:cs="Arial"/>
          <w:sz w:val="24"/>
          <w:szCs w:val="24"/>
        </w:rPr>
        <w:t xml:space="preserve"> of individual who prepared the product (e.g., reconstitution, etc.)</w:t>
      </w:r>
      <w:r w:rsidR="0095662D">
        <w:rPr>
          <w:rFonts w:ascii="Arial" w:eastAsia="Times New Roman" w:hAnsi="Arial" w:cs="Arial"/>
          <w:sz w:val="24"/>
          <w:szCs w:val="24"/>
        </w:rPr>
        <w:t>.</w:t>
      </w:r>
    </w:p>
    <w:p w14:paraId="38E54E68" w14:textId="77777777" w:rsidR="0029478C" w:rsidRPr="0095662D" w:rsidRDefault="0029478C" w:rsidP="0029478C">
      <w:pPr>
        <w:pStyle w:val="ListParagraph"/>
        <w:ind w:left="900"/>
        <w:jc w:val="both"/>
        <w:rPr>
          <w:rFonts w:ascii="Arial" w:eastAsia="Times New Roman" w:hAnsi="Arial" w:cs="Arial"/>
          <w:sz w:val="24"/>
          <w:szCs w:val="24"/>
        </w:rPr>
      </w:pPr>
    </w:p>
    <w:p w14:paraId="32DA5906" w14:textId="21408390" w:rsidR="00AB0625" w:rsidRPr="0095662D" w:rsidRDefault="00F1039B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  <w:u w:val="single"/>
        </w:rPr>
        <w:t>A</w:t>
      </w:r>
      <w:r w:rsidR="00665245" w:rsidRPr="0095662D">
        <w:rPr>
          <w:rFonts w:ascii="Arial" w:eastAsia="Times New Roman" w:hAnsi="Arial" w:cs="Arial"/>
          <w:sz w:val="24"/>
          <w:szCs w:val="24"/>
          <w:u w:val="single"/>
        </w:rPr>
        <w:t>ll pharmacies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 are required to </w:t>
      </w:r>
      <w:r w:rsidRPr="0095662D">
        <w:rPr>
          <w:rFonts w:ascii="Arial" w:eastAsia="Times New Roman" w:hAnsi="Arial" w:cs="Arial"/>
          <w:sz w:val="24"/>
          <w:szCs w:val="24"/>
        </w:rPr>
        <w:t>maintain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 a defective drug log</w:t>
      </w:r>
      <w:r w:rsidR="00AB0625" w:rsidRPr="0095662D">
        <w:rPr>
          <w:rFonts w:ascii="Arial" w:eastAsia="Times New Roman" w:hAnsi="Arial" w:cs="Arial"/>
          <w:sz w:val="24"/>
          <w:szCs w:val="24"/>
        </w:rPr>
        <w:t xml:space="preserve"> for </w:t>
      </w:r>
      <w:r w:rsidR="001C0AD0" w:rsidRPr="0095662D">
        <w:rPr>
          <w:rFonts w:ascii="Arial" w:eastAsia="Times New Roman" w:hAnsi="Arial" w:cs="Arial"/>
          <w:sz w:val="24"/>
          <w:szCs w:val="24"/>
        </w:rPr>
        <w:t xml:space="preserve">any </w:t>
      </w:r>
      <w:r w:rsidR="00AB0625" w:rsidRPr="0095662D">
        <w:rPr>
          <w:rFonts w:ascii="Arial" w:eastAsia="Times New Roman" w:hAnsi="Arial" w:cs="Arial"/>
          <w:sz w:val="24"/>
          <w:szCs w:val="24"/>
        </w:rPr>
        <w:t>compounded drug preparation</w:t>
      </w:r>
      <w:r w:rsidR="001C0AD0" w:rsidRPr="0095662D">
        <w:rPr>
          <w:rFonts w:ascii="Arial" w:eastAsia="Times New Roman" w:hAnsi="Arial" w:cs="Arial"/>
          <w:sz w:val="24"/>
          <w:szCs w:val="24"/>
        </w:rPr>
        <w:t xml:space="preserve"> that is or may be defective</w:t>
      </w:r>
      <w:r w:rsidRPr="0095662D">
        <w:rPr>
          <w:rFonts w:ascii="Arial" w:eastAsia="Times New Roman" w:hAnsi="Arial" w:cs="Arial"/>
          <w:sz w:val="24"/>
          <w:szCs w:val="24"/>
        </w:rPr>
        <w:t>. S</w:t>
      </w:r>
      <w:r w:rsidR="00665245" w:rsidRPr="0095662D">
        <w:rPr>
          <w:rFonts w:ascii="Arial" w:eastAsia="Times New Roman" w:hAnsi="Arial" w:cs="Arial"/>
          <w:sz w:val="24"/>
          <w:szCs w:val="24"/>
        </w:rPr>
        <w:t xml:space="preserve">ee </w:t>
      </w:r>
      <w:hyperlink r:id="rId20" w:history="1">
        <w:r w:rsidR="007A6A2A" w:rsidRPr="007A6A2A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Policy 2024-04: </w:t>
        </w:r>
        <w:r w:rsidR="007A6A2A" w:rsidRPr="00A67A80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Defective Drug Preparations</w:t>
        </w:r>
      </w:hyperlink>
      <w:r w:rsidRPr="0095662D">
        <w:rPr>
          <w:rFonts w:ascii="Arial" w:eastAsia="Times New Roman" w:hAnsi="Arial" w:cs="Arial"/>
          <w:sz w:val="24"/>
          <w:szCs w:val="24"/>
        </w:rPr>
        <w:t xml:space="preserve"> for details</w:t>
      </w:r>
      <w:r w:rsidR="00D03C06">
        <w:rPr>
          <w:rFonts w:ascii="Arial" w:eastAsia="Times New Roman" w:hAnsi="Arial" w:cs="Arial"/>
          <w:sz w:val="24"/>
          <w:szCs w:val="24"/>
        </w:rPr>
        <w:t>.</w:t>
      </w:r>
    </w:p>
    <w:p w14:paraId="5E0137C4" w14:textId="77777777" w:rsidR="005A4961" w:rsidRPr="0095662D" w:rsidRDefault="005A4961" w:rsidP="0095662D">
      <w:pPr>
        <w:pStyle w:val="ListParagraph"/>
        <w:spacing w:after="0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00E6AC55" w14:textId="185A97A7" w:rsidR="00D7799C" w:rsidRPr="0095662D" w:rsidRDefault="00D7799C" w:rsidP="0095662D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Complex Non-Sterile Compounding </w:t>
      </w:r>
    </w:p>
    <w:p w14:paraId="6678A1CE" w14:textId="77777777" w:rsidR="00764FE2" w:rsidRPr="0095662D" w:rsidRDefault="00764FE2" w:rsidP="0095662D">
      <w:pPr>
        <w:pStyle w:val="ListParagraph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E89A292" w14:textId="0697FC48" w:rsidR="00D7799C" w:rsidRDefault="00615AB0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D7799C" w:rsidRPr="0095662D">
        <w:rPr>
          <w:rFonts w:ascii="Arial" w:eastAsia="Times New Roman" w:hAnsi="Arial" w:cs="Arial"/>
          <w:sz w:val="24"/>
          <w:szCs w:val="24"/>
        </w:rPr>
        <w:t xml:space="preserve">n additional </w:t>
      </w:r>
      <w:hyperlink r:id="rId21" w:history="1">
        <w:r w:rsidR="00D7799C" w:rsidRPr="00D03C06">
          <w:rPr>
            <w:rStyle w:val="Hyperlink"/>
            <w:rFonts w:ascii="Arial" w:eastAsia="Times New Roman" w:hAnsi="Arial" w:cs="Arial"/>
            <w:sz w:val="24"/>
            <w:szCs w:val="24"/>
          </w:rPr>
          <w:t>pharmacy specialty license</w:t>
        </w:r>
      </w:hyperlink>
      <w:r w:rsidR="00D7799C" w:rsidRPr="0095662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is</w:t>
      </w:r>
      <w:r w:rsidR="003626B6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D7799C" w:rsidRPr="0095662D">
        <w:rPr>
          <w:rFonts w:ascii="Arial" w:eastAsia="Times New Roman" w:hAnsi="Arial" w:cs="Arial"/>
          <w:sz w:val="24"/>
          <w:szCs w:val="24"/>
        </w:rPr>
        <w:t>required to prepare</w:t>
      </w:r>
      <w:r w:rsidR="00BF5992">
        <w:rPr>
          <w:rFonts w:ascii="Arial" w:eastAsia="Times New Roman" w:hAnsi="Arial" w:cs="Arial"/>
          <w:sz w:val="24"/>
          <w:szCs w:val="24"/>
        </w:rPr>
        <w:t xml:space="preserve"> and dispense</w:t>
      </w:r>
      <w:r w:rsidR="00D7799C" w:rsidRPr="0095662D">
        <w:rPr>
          <w:rFonts w:ascii="Arial" w:eastAsia="Times New Roman" w:hAnsi="Arial" w:cs="Arial"/>
          <w:sz w:val="24"/>
          <w:szCs w:val="24"/>
        </w:rPr>
        <w:t xml:space="preserve"> complex non-sterile preparations</w:t>
      </w:r>
      <w:r w:rsidR="00BF5992">
        <w:rPr>
          <w:rFonts w:ascii="Arial" w:eastAsia="Times New Roman" w:hAnsi="Arial" w:cs="Arial"/>
          <w:sz w:val="24"/>
          <w:szCs w:val="24"/>
        </w:rPr>
        <w:t xml:space="preserve"> into, within, or from Massachusetts</w:t>
      </w:r>
      <w:r w:rsidR="00D03C06">
        <w:rPr>
          <w:rFonts w:ascii="Arial" w:eastAsia="Times New Roman" w:hAnsi="Arial" w:cs="Arial"/>
          <w:sz w:val="24"/>
          <w:szCs w:val="24"/>
        </w:rPr>
        <w:t>.</w:t>
      </w:r>
      <w:r w:rsidR="00D03C06" w:rsidRPr="0095662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E9F515" w14:textId="77777777" w:rsidR="0029478C" w:rsidRPr="0095662D" w:rsidRDefault="0029478C" w:rsidP="0029478C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4AB5341A" w14:textId="4EFBBDB0" w:rsidR="00AE0011" w:rsidRPr="0095662D" w:rsidRDefault="00AE0011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color w:val="0000FF" w:themeColor="hyperlink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The Board considers the following to be examples of complex non-sterile compounding (not all inclusive):</w:t>
      </w:r>
    </w:p>
    <w:p w14:paraId="249CA9E1" w14:textId="0790E1F3" w:rsidR="00AE0011" w:rsidRPr="0095662D" w:rsidRDefault="008464A3" w:rsidP="0095662D">
      <w:pPr>
        <w:pStyle w:val="ListParagraph"/>
        <w:numPr>
          <w:ilvl w:val="2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c</w:t>
      </w:r>
      <w:r w:rsidR="00AE0011" w:rsidRPr="0095662D">
        <w:rPr>
          <w:rFonts w:ascii="Arial" w:eastAsia="Times New Roman" w:hAnsi="Arial" w:cs="Arial"/>
          <w:sz w:val="24"/>
          <w:szCs w:val="24"/>
        </w:rPr>
        <w:t xml:space="preserve">ompounding of NIOSH drug containing preparations or other hazardous </w:t>
      </w:r>
      <w:r w:rsidRPr="0095662D">
        <w:rPr>
          <w:rFonts w:ascii="Arial" w:eastAsia="Times New Roman" w:hAnsi="Arial" w:cs="Arial"/>
          <w:sz w:val="24"/>
          <w:szCs w:val="24"/>
        </w:rPr>
        <w:t>agents;</w:t>
      </w:r>
    </w:p>
    <w:p w14:paraId="62090C91" w14:textId="6BA18025" w:rsidR="00AE0011" w:rsidRPr="0095662D" w:rsidRDefault="008C0701" w:rsidP="0095662D">
      <w:pPr>
        <w:pStyle w:val="ListParagraph"/>
        <w:numPr>
          <w:ilvl w:val="2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u</w:t>
      </w:r>
      <w:r w:rsidR="00AE0011" w:rsidRPr="0095662D">
        <w:rPr>
          <w:rFonts w:ascii="Arial" w:eastAsia="Times New Roman" w:hAnsi="Arial" w:cs="Arial"/>
          <w:sz w:val="24"/>
          <w:szCs w:val="24"/>
        </w:rPr>
        <w:t xml:space="preserve">se of complex calculations such as accounting for loss on drying, salt conversions, </w:t>
      </w:r>
      <w:r w:rsidRPr="0095662D">
        <w:rPr>
          <w:rFonts w:ascii="Arial" w:eastAsia="Times New Roman" w:hAnsi="Arial" w:cs="Arial"/>
          <w:sz w:val="24"/>
          <w:szCs w:val="24"/>
        </w:rPr>
        <w:t xml:space="preserve">multiple aliquots, </w:t>
      </w:r>
      <w:r w:rsidR="00AE0011" w:rsidRPr="0095662D">
        <w:rPr>
          <w:rFonts w:ascii="Arial" w:eastAsia="Times New Roman" w:hAnsi="Arial" w:cs="Arial"/>
          <w:sz w:val="24"/>
          <w:szCs w:val="24"/>
        </w:rPr>
        <w:t>etc.</w:t>
      </w:r>
      <w:r w:rsidRPr="0095662D">
        <w:rPr>
          <w:rFonts w:ascii="Arial" w:eastAsia="Times New Roman" w:hAnsi="Arial" w:cs="Arial"/>
          <w:sz w:val="24"/>
          <w:szCs w:val="24"/>
        </w:rPr>
        <w:t>; and</w:t>
      </w:r>
    </w:p>
    <w:p w14:paraId="103405DF" w14:textId="0DF97B97" w:rsidR="00AE0011" w:rsidRPr="0095662D" w:rsidRDefault="008C0701" w:rsidP="0095662D">
      <w:pPr>
        <w:pStyle w:val="ListParagraph"/>
        <w:numPr>
          <w:ilvl w:val="2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lastRenderedPageBreak/>
        <w:t>pr</w:t>
      </w:r>
      <w:r w:rsidR="00AE0011" w:rsidRPr="0095662D">
        <w:rPr>
          <w:rFonts w:ascii="Arial" w:eastAsia="Times New Roman" w:hAnsi="Arial" w:cs="Arial"/>
          <w:sz w:val="24"/>
          <w:szCs w:val="24"/>
        </w:rPr>
        <w:t xml:space="preserve">eparation of </w:t>
      </w:r>
      <w:r w:rsidRPr="0095662D">
        <w:rPr>
          <w:rFonts w:ascii="Arial" w:eastAsia="Times New Roman" w:hAnsi="Arial" w:cs="Arial"/>
          <w:sz w:val="24"/>
          <w:szCs w:val="24"/>
        </w:rPr>
        <w:t xml:space="preserve">the following </w:t>
      </w:r>
      <w:r w:rsidR="00AE0011" w:rsidRPr="0095662D">
        <w:rPr>
          <w:rFonts w:ascii="Arial" w:eastAsia="Times New Roman" w:hAnsi="Arial" w:cs="Arial"/>
          <w:sz w:val="24"/>
          <w:szCs w:val="24"/>
        </w:rPr>
        <w:t>dosage forms:</w:t>
      </w:r>
    </w:p>
    <w:p w14:paraId="36D204C5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transdermal dosage forms </w:t>
      </w:r>
    </w:p>
    <w:p w14:paraId="320DBB5B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capsules</w:t>
      </w:r>
    </w:p>
    <w:p w14:paraId="53D957F7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suppositories</w:t>
      </w:r>
    </w:p>
    <w:p w14:paraId="54108AA0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troches</w:t>
      </w:r>
    </w:p>
    <w:p w14:paraId="19A30B8C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lollipops</w:t>
      </w:r>
    </w:p>
    <w:p w14:paraId="1EFEB129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sublingual dosage forms</w:t>
      </w:r>
    </w:p>
    <w:p w14:paraId="2BDF2752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tablets</w:t>
      </w:r>
    </w:p>
    <w:p w14:paraId="2AF43BD3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tablet triturates</w:t>
      </w:r>
    </w:p>
    <w:p w14:paraId="76A7C89E" w14:textId="77777777" w:rsidR="00AE0011" w:rsidRPr="0095662D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>modified-release preparations</w:t>
      </w:r>
    </w:p>
    <w:p w14:paraId="2F545B22" w14:textId="746C11A0" w:rsidR="0007783E" w:rsidRPr="0029478C" w:rsidRDefault="00AE0011" w:rsidP="0095662D">
      <w:pPr>
        <w:pStyle w:val="ListParagraph"/>
        <w:numPr>
          <w:ilvl w:val="3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other dosage forms intended to deliver systemic effects (inserts, nasal sprays, nasal irrigations, certain gels, etc.)  </w:t>
      </w:r>
    </w:p>
    <w:p w14:paraId="70ED0FA6" w14:textId="77777777" w:rsidR="0029478C" w:rsidRPr="0095662D" w:rsidRDefault="0029478C" w:rsidP="0029478C">
      <w:pPr>
        <w:pStyle w:val="ListParagraph"/>
        <w:spacing w:after="0"/>
        <w:ind w:left="180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CC56963" w14:textId="541E7DF7" w:rsidR="00576564" w:rsidRPr="0095662D" w:rsidRDefault="00103553" w:rsidP="0095662D">
      <w:pPr>
        <w:pStyle w:val="ListParagraph"/>
        <w:numPr>
          <w:ilvl w:val="1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A</w:t>
      </w:r>
      <w:r w:rsidR="002744FD" w:rsidRPr="0095662D">
        <w:rPr>
          <w:rFonts w:ascii="Arial" w:eastAsia="Times New Roman" w:hAnsi="Arial" w:cs="Arial"/>
          <w:sz w:val="24"/>
          <w:szCs w:val="24"/>
        </w:rPr>
        <w:t>ddition</w:t>
      </w:r>
      <w:r w:rsidRPr="0095662D">
        <w:rPr>
          <w:rFonts w:ascii="Arial" w:eastAsia="Times New Roman" w:hAnsi="Arial" w:cs="Arial"/>
          <w:sz w:val="24"/>
          <w:szCs w:val="24"/>
        </w:rPr>
        <w:t xml:space="preserve">al requirements for pharmacies </w:t>
      </w:r>
      <w:r w:rsidR="009A10F8" w:rsidRPr="0095662D">
        <w:rPr>
          <w:rFonts w:ascii="Arial" w:eastAsia="Times New Roman" w:hAnsi="Arial" w:cs="Arial"/>
          <w:sz w:val="24"/>
          <w:szCs w:val="24"/>
        </w:rPr>
        <w:t xml:space="preserve">and pharmacists </w:t>
      </w:r>
      <w:r w:rsidRPr="0095662D">
        <w:rPr>
          <w:rFonts w:ascii="Arial" w:eastAsia="Times New Roman" w:hAnsi="Arial" w:cs="Arial"/>
          <w:sz w:val="24"/>
          <w:szCs w:val="24"/>
        </w:rPr>
        <w:t>engaged in complex non-sterile compounding</w:t>
      </w:r>
      <w:r w:rsidR="002744FD" w:rsidRPr="0095662D">
        <w:rPr>
          <w:rFonts w:ascii="Arial" w:eastAsia="Times New Roman" w:hAnsi="Arial" w:cs="Arial"/>
          <w:sz w:val="24"/>
          <w:szCs w:val="24"/>
        </w:rPr>
        <w:t>:</w:t>
      </w:r>
    </w:p>
    <w:p w14:paraId="39EE0109" w14:textId="0AC81BCD" w:rsidR="002744FD" w:rsidRPr="0095662D" w:rsidRDefault="002744FD" w:rsidP="0095662D">
      <w:pPr>
        <w:pStyle w:val="ListParagraph"/>
        <w:numPr>
          <w:ilvl w:val="2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dedicated</w:t>
      </w:r>
      <w:r w:rsidR="00103553" w:rsidRPr="0095662D">
        <w:rPr>
          <w:rFonts w:ascii="Arial" w:eastAsia="Times New Roman" w:hAnsi="Arial" w:cs="Arial"/>
          <w:sz w:val="24"/>
          <w:szCs w:val="24"/>
        </w:rPr>
        <w:t xml:space="preserve"> compounding</w:t>
      </w:r>
      <w:r w:rsidRPr="0095662D">
        <w:rPr>
          <w:rFonts w:ascii="Arial" w:eastAsia="Times New Roman" w:hAnsi="Arial" w:cs="Arial"/>
          <w:sz w:val="24"/>
          <w:szCs w:val="24"/>
        </w:rPr>
        <w:t xml:space="preserve"> room </w:t>
      </w:r>
      <w:r w:rsidR="00D47CB0" w:rsidRPr="0095662D">
        <w:rPr>
          <w:rFonts w:ascii="Arial" w:eastAsia="Times New Roman" w:hAnsi="Arial" w:cs="Arial"/>
          <w:sz w:val="24"/>
          <w:szCs w:val="24"/>
        </w:rPr>
        <w:t>will be required</w:t>
      </w:r>
      <w:r w:rsidR="00103553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527E11" w:rsidRPr="0095662D">
        <w:rPr>
          <w:rFonts w:ascii="Arial" w:eastAsia="Times New Roman" w:hAnsi="Arial" w:cs="Arial"/>
          <w:sz w:val="24"/>
          <w:szCs w:val="24"/>
        </w:rPr>
        <w:t>for complex non-sterile compounding</w:t>
      </w:r>
      <w:r w:rsidR="009A10F8" w:rsidRPr="0095662D">
        <w:rPr>
          <w:rFonts w:ascii="Arial" w:eastAsia="Times New Roman" w:hAnsi="Arial" w:cs="Arial"/>
          <w:sz w:val="24"/>
          <w:szCs w:val="24"/>
        </w:rPr>
        <w:t>,</w:t>
      </w:r>
      <w:r w:rsidR="00527E11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103553" w:rsidRPr="0095662D">
        <w:rPr>
          <w:rFonts w:ascii="Arial" w:eastAsia="Times New Roman" w:hAnsi="Arial" w:cs="Arial"/>
          <w:sz w:val="24"/>
          <w:szCs w:val="24"/>
        </w:rPr>
        <w:t>but</w:t>
      </w:r>
      <w:r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60611E" w:rsidRPr="0095662D">
        <w:rPr>
          <w:rFonts w:ascii="Arial" w:eastAsia="Times New Roman" w:hAnsi="Arial" w:cs="Arial"/>
          <w:sz w:val="24"/>
          <w:szCs w:val="24"/>
        </w:rPr>
        <w:t xml:space="preserve">is </w:t>
      </w:r>
      <w:r w:rsidR="00D47CB0" w:rsidRPr="0095662D">
        <w:rPr>
          <w:rFonts w:ascii="Arial" w:eastAsia="Times New Roman" w:hAnsi="Arial" w:cs="Arial"/>
          <w:sz w:val="24"/>
          <w:szCs w:val="24"/>
        </w:rPr>
        <w:t xml:space="preserve">currently </w:t>
      </w:r>
      <w:r w:rsidRPr="0095662D">
        <w:rPr>
          <w:rFonts w:ascii="Arial" w:eastAsia="Times New Roman" w:hAnsi="Arial" w:cs="Arial"/>
          <w:sz w:val="24"/>
          <w:szCs w:val="24"/>
        </w:rPr>
        <w:t xml:space="preserve">required for </w:t>
      </w:r>
      <w:r w:rsidR="00103553" w:rsidRPr="0095662D">
        <w:rPr>
          <w:rFonts w:ascii="Arial" w:eastAsia="Times New Roman" w:hAnsi="Arial" w:cs="Arial"/>
          <w:sz w:val="24"/>
          <w:szCs w:val="24"/>
        </w:rPr>
        <w:t>HD</w:t>
      </w:r>
      <w:r w:rsidRPr="0095662D">
        <w:rPr>
          <w:rFonts w:ascii="Arial" w:eastAsia="Times New Roman" w:hAnsi="Arial" w:cs="Arial"/>
          <w:sz w:val="24"/>
          <w:szCs w:val="24"/>
        </w:rPr>
        <w:t xml:space="preserve"> compounding (</w:t>
      </w:r>
      <w:r w:rsidR="0060611E" w:rsidRPr="0095662D">
        <w:rPr>
          <w:rFonts w:ascii="Arial" w:eastAsia="Times New Roman" w:hAnsi="Arial" w:cs="Arial"/>
          <w:sz w:val="24"/>
          <w:szCs w:val="24"/>
        </w:rPr>
        <w:t>i.e.</w:t>
      </w:r>
      <w:r w:rsidR="00193478" w:rsidRPr="0095662D">
        <w:rPr>
          <w:rFonts w:ascii="Arial" w:eastAsia="Times New Roman" w:hAnsi="Arial" w:cs="Arial"/>
          <w:sz w:val="24"/>
          <w:szCs w:val="24"/>
        </w:rPr>
        <w:t>,</w:t>
      </w:r>
      <w:r w:rsidR="0060611E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Pr="0095662D">
        <w:rPr>
          <w:rFonts w:ascii="Arial" w:eastAsia="Times New Roman" w:hAnsi="Arial" w:cs="Arial"/>
          <w:sz w:val="24"/>
          <w:szCs w:val="24"/>
        </w:rPr>
        <w:t>containment secondary engineering control</w:t>
      </w:r>
      <w:r w:rsidR="00103553" w:rsidRPr="0095662D">
        <w:rPr>
          <w:rFonts w:ascii="Arial" w:eastAsia="Times New Roman" w:hAnsi="Arial" w:cs="Arial"/>
          <w:sz w:val="24"/>
          <w:szCs w:val="24"/>
        </w:rPr>
        <w:t xml:space="preserve"> with containment primary engineering control</w:t>
      </w:r>
      <w:proofErr w:type="gramStart"/>
      <w:r w:rsidR="00103553" w:rsidRPr="0095662D">
        <w:rPr>
          <w:rFonts w:ascii="Arial" w:eastAsia="Times New Roman" w:hAnsi="Arial" w:cs="Arial"/>
          <w:sz w:val="24"/>
          <w:szCs w:val="24"/>
        </w:rPr>
        <w:t>)</w:t>
      </w:r>
      <w:r w:rsidR="00F662EA" w:rsidRPr="0095662D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5E73AC2" w14:textId="4FB7D3A9" w:rsidR="002744FD" w:rsidRPr="0095662D" w:rsidRDefault="002744FD" w:rsidP="0095662D">
      <w:pPr>
        <w:pStyle w:val="ListParagraph"/>
        <w:numPr>
          <w:ilvl w:val="2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HD and non-HD </w:t>
      </w:r>
      <w:r w:rsidR="00103553" w:rsidRPr="0095662D">
        <w:rPr>
          <w:rFonts w:ascii="Arial" w:eastAsia="Times New Roman" w:hAnsi="Arial" w:cs="Arial"/>
          <w:sz w:val="24"/>
          <w:szCs w:val="24"/>
        </w:rPr>
        <w:t xml:space="preserve">non-sterile compounding </w:t>
      </w:r>
      <w:r w:rsidR="00D47CB0" w:rsidRPr="0095662D">
        <w:rPr>
          <w:rFonts w:ascii="Arial" w:eastAsia="Times New Roman" w:hAnsi="Arial" w:cs="Arial"/>
          <w:sz w:val="24"/>
          <w:szCs w:val="24"/>
        </w:rPr>
        <w:t xml:space="preserve">may not </w:t>
      </w:r>
      <w:r w:rsidRPr="0095662D">
        <w:rPr>
          <w:rFonts w:ascii="Arial" w:eastAsia="Times New Roman" w:hAnsi="Arial" w:cs="Arial"/>
          <w:sz w:val="24"/>
          <w:szCs w:val="24"/>
        </w:rPr>
        <w:t xml:space="preserve">occur in the same room or </w:t>
      </w:r>
      <w:r w:rsidR="00103553" w:rsidRPr="0095662D">
        <w:rPr>
          <w:rFonts w:ascii="Arial" w:eastAsia="Times New Roman" w:hAnsi="Arial" w:cs="Arial"/>
          <w:sz w:val="24"/>
          <w:szCs w:val="24"/>
        </w:rPr>
        <w:t xml:space="preserve">primary engineering control. A </w:t>
      </w:r>
      <w:r w:rsidRPr="0095662D">
        <w:rPr>
          <w:rFonts w:ascii="Arial" w:eastAsia="Times New Roman" w:hAnsi="Arial" w:cs="Arial"/>
          <w:sz w:val="24"/>
          <w:szCs w:val="24"/>
        </w:rPr>
        <w:t xml:space="preserve">separate room with </w:t>
      </w:r>
      <w:r w:rsidR="00103553" w:rsidRPr="0095662D">
        <w:rPr>
          <w:rFonts w:ascii="Arial" w:eastAsia="Times New Roman" w:hAnsi="Arial" w:cs="Arial"/>
          <w:sz w:val="24"/>
          <w:szCs w:val="24"/>
        </w:rPr>
        <w:t xml:space="preserve">a </w:t>
      </w:r>
      <w:r w:rsidRPr="0095662D">
        <w:rPr>
          <w:rFonts w:ascii="Arial" w:eastAsia="Times New Roman" w:hAnsi="Arial" w:cs="Arial"/>
          <w:sz w:val="24"/>
          <w:szCs w:val="24"/>
        </w:rPr>
        <w:t>separate containment hood</w:t>
      </w:r>
      <w:r w:rsidR="00103553" w:rsidRPr="0095662D">
        <w:rPr>
          <w:rFonts w:ascii="Arial" w:eastAsia="Times New Roman" w:hAnsi="Arial" w:cs="Arial"/>
          <w:sz w:val="24"/>
          <w:szCs w:val="24"/>
        </w:rPr>
        <w:t>(</w:t>
      </w:r>
      <w:r w:rsidRPr="0095662D">
        <w:rPr>
          <w:rFonts w:ascii="Arial" w:eastAsia="Times New Roman" w:hAnsi="Arial" w:cs="Arial"/>
          <w:sz w:val="24"/>
          <w:szCs w:val="24"/>
        </w:rPr>
        <w:t>s</w:t>
      </w:r>
      <w:r w:rsidR="00103553" w:rsidRPr="0095662D">
        <w:rPr>
          <w:rFonts w:ascii="Arial" w:eastAsia="Times New Roman" w:hAnsi="Arial" w:cs="Arial"/>
          <w:sz w:val="24"/>
          <w:szCs w:val="24"/>
        </w:rPr>
        <w:t>) is</w:t>
      </w:r>
      <w:r w:rsidRPr="0095662D">
        <w:rPr>
          <w:rFonts w:ascii="Arial" w:eastAsia="Times New Roman" w:hAnsi="Arial" w:cs="Arial"/>
          <w:sz w:val="24"/>
          <w:szCs w:val="24"/>
        </w:rPr>
        <w:t xml:space="preserve"> required for HD compounding</w:t>
      </w:r>
      <w:r w:rsidR="00103553" w:rsidRPr="0095662D">
        <w:rPr>
          <w:rFonts w:ascii="Arial" w:eastAsia="Times New Roman" w:hAnsi="Arial" w:cs="Arial"/>
          <w:sz w:val="24"/>
          <w:szCs w:val="24"/>
        </w:rPr>
        <w:t xml:space="preserve"> (</w:t>
      </w:r>
      <w:r w:rsidRPr="0095662D">
        <w:rPr>
          <w:rFonts w:ascii="Arial" w:eastAsia="Times New Roman" w:hAnsi="Arial" w:cs="Arial"/>
          <w:sz w:val="24"/>
          <w:szCs w:val="24"/>
        </w:rPr>
        <w:t xml:space="preserve">per </w:t>
      </w:r>
      <w:r w:rsidR="00C944F5" w:rsidRPr="0095662D">
        <w:rPr>
          <w:rFonts w:ascii="Arial" w:eastAsia="Times New Roman" w:hAnsi="Arial" w:cs="Arial"/>
          <w:sz w:val="24"/>
          <w:szCs w:val="24"/>
        </w:rPr>
        <w:t xml:space="preserve">USP </w:t>
      </w:r>
      <w:r w:rsidRPr="0095662D">
        <w:rPr>
          <w:rFonts w:ascii="Arial" w:eastAsia="Times New Roman" w:hAnsi="Arial" w:cs="Arial"/>
          <w:sz w:val="24"/>
          <w:szCs w:val="24"/>
        </w:rPr>
        <w:t>&lt;800&gt;</w:t>
      </w:r>
      <w:r w:rsidR="00103553" w:rsidRPr="0095662D">
        <w:rPr>
          <w:rFonts w:ascii="Arial" w:eastAsia="Times New Roman" w:hAnsi="Arial" w:cs="Arial"/>
          <w:sz w:val="24"/>
          <w:szCs w:val="24"/>
        </w:rPr>
        <w:t>)</w:t>
      </w:r>
      <w:r w:rsidR="00F662EA" w:rsidRPr="0095662D">
        <w:rPr>
          <w:rFonts w:ascii="Arial" w:eastAsia="Times New Roman" w:hAnsi="Arial" w:cs="Arial"/>
          <w:sz w:val="24"/>
          <w:szCs w:val="24"/>
        </w:rPr>
        <w:t>;</w:t>
      </w:r>
    </w:p>
    <w:p w14:paraId="408F63DC" w14:textId="77777777" w:rsidR="00EE15AD" w:rsidRPr="0095662D" w:rsidRDefault="00F662EA" w:rsidP="0095662D">
      <w:pPr>
        <w:pStyle w:val="ListParagraph"/>
        <w:numPr>
          <w:ilvl w:val="2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>c</w:t>
      </w:r>
      <w:r w:rsidR="003A0936" w:rsidRPr="0095662D">
        <w:rPr>
          <w:rFonts w:ascii="Arial" w:eastAsia="Times New Roman" w:hAnsi="Arial" w:cs="Arial"/>
          <w:sz w:val="24"/>
          <w:szCs w:val="24"/>
        </w:rPr>
        <w:t>ompound</w:t>
      </w:r>
      <w:r w:rsidR="00516960" w:rsidRPr="0095662D">
        <w:rPr>
          <w:rFonts w:ascii="Arial" w:eastAsia="Times New Roman" w:hAnsi="Arial" w:cs="Arial"/>
          <w:sz w:val="24"/>
          <w:szCs w:val="24"/>
        </w:rPr>
        <w:t>ing</w:t>
      </w:r>
      <w:r w:rsidR="003A0936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516960" w:rsidRPr="0095662D">
        <w:rPr>
          <w:rFonts w:ascii="Arial" w:eastAsia="Times New Roman" w:hAnsi="Arial" w:cs="Arial"/>
          <w:sz w:val="24"/>
          <w:szCs w:val="24"/>
        </w:rPr>
        <w:t>of non-sterile preparations u</w:t>
      </w:r>
      <w:r w:rsidR="003A0936" w:rsidRPr="0095662D">
        <w:rPr>
          <w:rFonts w:ascii="Arial" w:eastAsia="Times New Roman" w:hAnsi="Arial" w:cs="Arial"/>
          <w:sz w:val="24"/>
          <w:szCs w:val="24"/>
        </w:rPr>
        <w:t>sing bulk drug substances</w:t>
      </w:r>
      <w:r w:rsidR="00516960" w:rsidRPr="0095662D">
        <w:rPr>
          <w:rFonts w:ascii="Arial" w:eastAsia="Times New Roman" w:hAnsi="Arial" w:cs="Arial"/>
          <w:sz w:val="24"/>
          <w:szCs w:val="24"/>
        </w:rPr>
        <w:t xml:space="preserve"> must comply with FDA’s guidance “</w:t>
      </w:r>
      <w:hyperlink r:id="rId22" w:history="1">
        <w:r w:rsidR="00516960" w:rsidRPr="0095662D">
          <w:rPr>
            <w:rStyle w:val="Hyperlink"/>
            <w:rFonts w:ascii="Arial" w:eastAsia="Times New Roman" w:hAnsi="Arial" w:cs="Arial"/>
            <w:sz w:val="24"/>
            <w:szCs w:val="24"/>
          </w:rPr>
          <w:t>Bulk Drug Substances Used in Compounding Under Section 503A of the FD&amp;C Act</w:t>
        </w:r>
      </w:hyperlink>
      <w:r w:rsidR="00764FE2" w:rsidRPr="0095662D">
        <w:rPr>
          <w:rFonts w:ascii="Arial" w:eastAsia="Times New Roman" w:hAnsi="Arial" w:cs="Arial"/>
          <w:sz w:val="24"/>
          <w:szCs w:val="24"/>
        </w:rPr>
        <w:t>”;</w:t>
      </w:r>
      <w:r w:rsidR="00516960" w:rsidRPr="0095662D">
        <w:rPr>
          <w:rFonts w:ascii="Arial" w:eastAsia="Times New Roman" w:hAnsi="Arial" w:cs="Arial"/>
          <w:sz w:val="24"/>
          <w:szCs w:val="24"/>
        </w:rPr>
        <w:t xml:space="preserve"> </w:t>
      </w:r>
      <w:r w:rsidR="00764FE2" w:rsidRPr="0095662D">
        <w:rPr>
          <w:rFonts w:ascii="Arial" w:eastAsia="Times New Roman" w:hAnsi="Arial" w:cs="Arial"/>
          <w:sz w:val="24"/>
          <w:szCs w:val="24"/>
        </w:rPr>
        <w:t>b</w:t>
      </w:r>
      <w:r w:rsidR="00516960" w:rsidRPr="0095662D">
        <w:rPr>
          <w:rFonts w:ascii="Arial" w:eastAsia="Times New Roman" w:hAnsi="Arial" w:cs="Arial"/>
          <w:sz w:val="24"/>
          <w:szCs w:val="24"/>
        </w:rPr>
        <w:t>ulk drug substances must be accompanied by a valid certificate of analysis</w:t>
      </w:r>
      <w:r w:rsidRPr="0095662D">
        <w:rPr>
          <w:rFonts w:ascii="Arial" w:eastAsia="Times New Roman" w:hAnsi="Arial" w:cs="Arial"/>
          <w:sz w:val="24"/>
          <w:szCs w:val="24"/>
        </w:rPr>
        <w:t>;</w:t>
      </w:r>
    </w:p>
    <w:p w14:paraId="5F1F8607" w14:textId="0FB616D3" w:rsidR="00D47CB0" w:rsidRPr="0095662D" w:rsidRDefault="00D47CB0" w:rsidP="0095662D">
      <w:pPr>
        <w:pStyle w:val="ListParagraph"/>
        <w:numPr>
          <w:ilvl w:val="2"/>
          <w:numId w:val="14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retail complex non-sterile compounding pharmacies licensed by the Board </w:t>
      </w:r>
      <w:r w:rsidR="00615AB0">
        <w:rPr>
          <w:rFonts w:ascii="Arial" w:eastAsia="Times New Roman" w:hAnsi="Arial" w:cs="Arial"/>
          <w:sz w:val="24"/>
          <w:szCs w:val="24"/>
        </w:rPr>
        <w:t>are</w:t>
      </w:r>
      <w:r w:rsidRPr="0095662D">
        <w:rPr>
          <w:rFonts w:ascii="Arial" w:eastAsia="Times New Roman" w:hAnsi="Arial" w:cs="Arial"/>
          <w:sz w:val="24"/>
          <w:szCs w:val="24"/>
        </w:rPr>
        <w:t xml:space="preserve"> required to report volume and distribution data each calendar year</w:t>
      </w:r>
      <w:r w:rsidR="00615AB0">
        <w:rPr>
          <w:rFonts w:ascii="Arial" w:eastAsia="Times New Roman" w:hAnsi="Arial" w:cs="Arial"/>
          <w:sz w:val="24"/>
          <w:szCs w:val="24"/>
        </w:rPr>
        <w:t xml:space="preserve"> upon renewal</w:t>
      </w:r>
      <w:r w:rsidRPr="0095662D">
        <w:rPr>
          <w:rFonts w:ascii="Arial" w:eastAsia="Times New Roman" w:hAnsi="Arial" w:cs="Arial"/>
          <w:sz w:val="24"/>
          <w:szCs w:val="24"/>
        </w:rPr>
        <w:t>; and</w:t>
      </w:r>
      <w:r w:rsidR="00615AB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294B355" w14:textId="5CE35D4C" w:rsidR="00EE15AD" w:rsidRPr="0095662D" w:rsidRDefault="0007783E" w:rsidP="0095662D">
      <w:pPr>
        <w:pStyle w:val="ListParagraph"/>
        <w:numPr>
          <w:ilvl w:val="2"/>
          <w:numId w:val="14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sz w:val="24"/>
          <w:szCs w:val="24"/>
        </w:rPr>
        <w:t xml:space="preserve">pharmacists </w:t>
      </w:r>
      <w:r w:rsidR="00193478" w:rsidRPr="0095662D">
        <w:rPr>
          <w:rFonts w:ascii="Arial" w:eastAsia="Times New Roman" w:hAnsi="Arial" w:cs="Arial"/>
          <w:sz w:val="24"/>
          <w:szCs w:val="24"/>
        </w:rPr>
        <w:t xml:space="preserve">who oversee or </w:t>
      </w:r>
      <w:r w:rsidRPr="0095662D">
        <w:rPr>
          <w:rFonts w:ascii="Arial" w:eastAsia="Times New Roman" w:hAnsi="Arial" w:cs="Arial"/>
          <w:sz w:val="24"/>
          <w:szCs w:val="24"/>
        </w:rPr>
        <w:t xml:space="preserve">engage in complex non-sterile compounding must obtain 3 </w:t>
      </w:r>
      <w:r w:rsidR="00F741CF" w:rsidRPr="0095662D">
        <w:rPr>
          <w:rFonts w:ascii="Arial" w:eastAsia="Times New Roman" w:hAnsi="Arial" w:cs="Arial"/>
          <w:sz w:val="24"/>
          <w:szCs w:val="24"/>
        </w:rPr>
        <w:t>continuing education hours</w:t>
      </w:r>
      <w:r w:rsidRPr="0095662D">
        <w:rPr>
          <w:rFonts w:ascii="Arial" w:eastAsia="Times New Roman" w:hAnsi="Arial" w:cs="Arial"/>
          <w:sz w:val="24"/>
          <w:szCs w:val="24"/>
        </w:rPr>
        <w:t xml:space="preserve"> in non-sterile compounding each </w:t>
      </w:r>
      <w:r w:rsidR="00F662EA" w:rsidRPr="0095662D">
        <w:rPr>
          <w:rFonts w:ascii="Arial" w:eastAsia="Times New Roman" w:hAnsi="Arial" w:cs="Arial"/>
          <w:sz w:val="24"/>
          <w:szCs w:val="24"/>
        </w:rPr>
        <w:t xml:space="preserve">calendar </w:t>
      </w:r>
      <w:r w:rsidRPr="0095662D">
        <w:rPr>
          <w:rFonts w:ascii="Arial" w:eastAsia="Times New Roman" w:hAnsi="Arial" w:cs="Arial"/>
          <w:sz w:val="24"/>
          <w:szCs w:val="24"/>
        </w:rPr>
        <w:t>year</w:t>
      </w:r>
      <w:r w:rsidR="003C596C" w:rsidRPr="0095662D">
        <w:rPr>
          <w:rFonts w:ascii="Arial" w:eastAsia="Times New Roman" w:hAnsi="Arial" w:cs="Arial"/>
          <w:sz w:val="24"/>
          <w:szCs w:val="24"/>
        </w:rPr>
        <w:t xml:space="preserve"> (see the Board’s </w:t>
      </w:r>
      <w:r w:rsidR="00F60946" w:rsidRPr="0095662D">
        <w:rPr>
          <w:rFonts w:ascii="Arial" w:eastAsia="Times New Roman" w:hAnsi="Arial" w:cs="Arial"/>
          <w:sz w:val="24"/>
          <w:szCs w:val="24"/>
        </w:rPr>
        <w:t>Continuing Education (CE) Requirements</w:t>
      </w:r>
      <w:r w:rsidR="003C596C" w:rsidRPr="0095662D">
        <w:rPr>
          <w:rFonts w:ascii="Arial" w:eastAsia="Times New Roman" w:hAnsi="Arial" w:cs="Arial"/>
          <w:sz w:val="24"/>
          <w:szCs w:val="24"/>
        </w:rPr>
        <w:t xml:space="preserve"> </w:t>
      </w:r>
      <w:hyperlink r:id="rId23" w:history="1">
        <w:r w:rsidR="003C596C" w:rsidRPr="0095662D">
          <w:rPr>
            <w:rStyle w:val="Hyperlink"/>
            <w:rFonts w:ascii="Arial" w:eastAsia="Times New Roman" w:hAnsi="Arial" w:cs="Arial"/>
            <w:sz w:val="24"/>
            <w:szCs w:val="24"/>
          </w:rPr>
          <w:t>p</w:t>
        </w:r>
        <w:r w:rsidR="00F60946" w:rsidRPr="0095662D">
          <w:rPr>
            <w:rStyle w:val="Hyperlink"/>
            <w:rFonts w:ascii="Arial" w:eastAsia="Times New Roman" w:hAnsi="Arial" w:cs="Arial"/>
            <w:sz w:val="24"/>
            <w:szCs w:val="24"/>
          </w:rPr>
          <w:t>olicy</w:t>
        </w:r>
      </w:hyperlink>
      <w:r w:rsidR="00F60946" w:rsidRPr="0095662D">
        <w:rPr>
          <w:rFonts w:ascii="Arial" w:eastAsia="Times New Roman" w:hAnsi="Arial" w:cs="Arial"/>
          <w:sz w:val="24"/>
          <w:szCs w:val="24"/>
        </w:rPr>
        <w:t xml:space="preserve"> for details)</w:t>
      </w:r>
      <w:r w:rsidR="00D47CB0" w:rsidRPr="0095662D">
        <w:rPr>
          <w:rFonts w:ascii="Arial" w:eastAsia="Times New Roman" w:hAnsi="Arial" w:cs="Arial"/>
          <w:sz w:val="24"/>
          <w:szCs w:val="24"/>
        </w:rPr>
        <w:t>.</w:t>
      </w:r>
    </w:p>
    <w:p w14:paraId="55EDE790" w14:textId="56B8D58F" w:rsidR="002744FD" w:rsidRDefault="002744FD" w:rsidP="004C35C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BE5C258" w14:textId="77777777" w:rsidR="004C35C4" w:rsidRPr="0095662D" w:rsidRDefault="004C35C4" w:rsidP="003772B1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3BBA07F1" w14:textId="33E59F8E" w:rsidR="00C357A7" w:rsidRPr="0095662D" w:rsidRDefault="00DD7E15" w:rsidP="0095662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662D">
        <w:rPr>
          <w:rFonts w:ascii="Arial" w:eastAsia="Times New Roman" w:hAnsi="Arial" w:cs="Arial"/>
          <w:b/>
          <w:sz w:val="24"/>
          <w:szCs w:val="24"/>
        </w:rPr>
        <w:t xml:space="preserve">Please direct any questions to: </w:t>
      </w:r>
      <w:hyperlink r:id="rId24" w:history="1">
        <w:r w:rsidRPr="0095662D">
          <w:rPr>
            <w:rStyle w:val="Hyperlink"/>
            <w:rFonts w:ascii="Arial" w:eastAsia="Times New Roman" w:hAnsi="Arial" w:cs="Arial"/>
            <w:b/>
            <w:sz w:val="24"/>
            <w:szCs w:val="24"/>
          </w:rPr>
          <w:t>Pharmacy.Admin@mass.gov</w:t>
        </w:r>
      </w:hyperlink>
    </w:p>
    <w:sectPr w:rsidR="00C357A7" w:rsidRPr="0095662D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47BB" w14:textId="77777777" w:rsidR="00821BEF" w:rsidRDefault="00821BEF" w:rsidP="00821BEF">
      <w:pPr>
        <w:spacing w:after="0" w:line="240" w:lineRule="auto"/>
      </w:pPr>
      <w:r>
        <w:separator/>
      </w:r>
    </w:p>
  </w:endnote>
  <w:endnote w:type="continuationSeparator" w:id="0">
    <w:p w14:paraId="045D8A6E" w14:textId="77777777" w:rsidR="00821BEF" w:rsidRDefault="00821BEF" w:rsidP="0082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14B1" w14:textId="455CFA9C" w:rsidR="00C155F3" w:rsidRPr="00C84114" w:rsidRDefault="00C155F3" w:rsidP="00C155F3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C84114">
      <w:rPr>
        <w:rFonts w:ascii="Arial" w:eastAsia="Times New Roman" w:hAnsi="Arial" w:cs="Arial"/>
        <w:sz w:val="20"/>
        <w:szCs w:val="20"/>
      </w:rPr>
      <w:t>Adopted:</w:t>
    </w:r>
    <w:r w:rsidR="0000106E" w:rsidRPr="00C84114">
      <w:rPr>
        <w:rFonts w:ascii="Arial" w:eastAsia="Times New Roman" w:hAnsi="Arial" w:cs="Arial"/>
        <w:sz w:val="20"/>
        <w:szCs w:val="20"/>
      </w:rPr>
      <w:t xml:space="preserve"> </w:t>
    </w:r>
    <w:r w:rsidR="003877DF" w:rsidRPr="00C84114">
      <w:rPr>
        <w:rFonts w:ascii="Arial" w:eastAsia="Times New Roman" w:hAnsi="Arial" w:cs="Arial"/>
        <w:sz w:val="20"/>
        <w:szCs w:val="20"/>
      </w:rPr>
      <w:t>5/4/23</w:t>
    </w:r>
    <w:r w:rsidR="00BD64AB" w:rsidRPr="00C84114">
      <w:rPr>
        <w:rFonts w:ascii="Arial" w:eastAsia="Times New Roman" w:hAnsi="Arial" w:cs="Arial"/>
        <w:sz w:val="20"/>
        <w:szCs w:val="20"/>
      </w:rPr>
      <w:t>; Revised: 12/7/23</w:t>
    </w:r>
    <w:r w:rsidR="00BA0980" w:rsidRPr="00C84114">
      <w:rPr>
        <w:rFonts w:ascii="Arial" w:eastAsia="Times New Roman" w:hAnsi="Arial" w:cs="Arial"/>
        <w:sz w:val="20"/>
        <w:szCs w:val="20"/>
      </w:rPr>
      <w:t>; 2/1/24</w:t>
    </w:r>
    <w:r w:rsidR="003D183A">
      <w:rPr>
        <w:rFonts w:ascii="Arial" w:eastAsia="Times New Roman" w:hAnsi="Arial" w:cs="Arial"/>
        <w:sz w:val="20"/>
        <w:szCs w:val="20"/>
      </w:rPr>
      <w:t>; 5/2/24</w:t>
    </w:r>
    <w:r w:rsidR="002150B5">
      <w:rPr>
        <w:rFonts w:ascii="Arial" w:eastAsia="Times New Roman" w:hAnsi="Arial" w:cs="Arial"/>
        <w:sz w:val="20"/>
        <w:szCs w:val="20"/>
      </w:rPr>
      <w:t>; 1/9/25</w:t>
    </w:r>
    <w:r w:rsidR="00843A4C">
      <w:rPr>
        <w:rFonts w:ascii="Arial" w:eastAsia="Times New Roman" w:hAnsi="Arial" w:cs="Arial"/>
        <w:sz w:val="20"/>
        <w:szCs w:val="20"/>
      </w:rPr>
      <w:t>; 2/6/25</w:t>
    </w:r>
    <w:r w:rsidRPr="00C84114">
      <w:rPr>
        <w:rFonts w:ascii="Arial" w:eastAsia="Times New Roman" w:hAnsi="Arial" w:cs="Arial"/>
        <w:sz w:val="20"/>
        <w:szCs w:val="20"/>
      </w:rPr>
      <w:tab/>
      <w:t xml:space="preserve">Page </w:t>
    </w:r>
    <w:r w:rsidRPr="00C84114">
      <w:rPr>
        <w:rFonts w:ascii="Arial" w:eastAsia="Times New Roman" w:hAnsi="Arial" w:cs="Arial"/>
        <w:b/>
        <w:sz w:val="20"/>
        <w:szCs w:val="20"/>
      </w:rPr>
      <w:fldChar w:fldCharType="begin"/>
    </w:r>
    <w:r w:rsidRPr="00C84114">
      <w:rPr>
        <w:rFonts w:ascii="Arial" w:eastAsia="Times New Roman" w:hAnsi="Arial" w:cs="Arial"/>
        <w:b/>
        <w:sz w:val="20"/>
        <w:szCs w:val="20"/>
      </w:rPr>
      <w:instrText xml:space="preserve"> PAGE  \* Arabic  \* MERGEFORMAT </w:instrText>
    </w:r>
    <w:r w:rsidRPr="00C84114">
      <w:rPr>
        <w:rFonts w:ascii="Arial" w:eastAsia="Times New Roman" w:hAnsi="Arial" w:cs="Arial"/>
        <w:b/>
        <w:sz w:val="20"/>
        <w:szCs w:val="20"/>
      </w:rPr>
      <w:fldChar w:fldCharType="separate"/>
    </w:r>
    <w:r w:rsidR="00BE6D22" w:rsidRPr="00C84114">
      <w:rPr>
        <w:rFonts w:ascii="Arial" w:eastAsia="Times New Roman" w:hAnsi="Arial" w:cs="Arial"/>
        <w:b/>
        <w:noProof/>
        <w:sz w:val="20"/>
        <w:szCs w:val="20"/>
      </w:rPr>
      <w:t>5</w:t>
    </w:r>
    <w:r w:rsidRPr="00C84114">
      <w:rPr>
        <w:rFonts w:ascii="Arial" w:eastAsia="Times New Roman" w:hAnsi="Arial" w:cs="Arial"/>
        <w:b/>
        <w:sz w:val="20"/>
        <w:szCs w:val="20"/>
      </w:rPr>
      <w:fldChar w:fldCharType="end"/>
    </w:r>
    <w:r w:rsidRPr="00C84114">
      <w:rPr>
        <w:rFonts w:ascii="Arial" w:eastAsia="Times New Roman" w:hAnsi="Arial" w:cs="Arial"/>
        <w:sz w:val="20"/>
        <w:szCs w:val="20"/>
      </w:rPr>
      <w:t xml:space="preserve"> of </w:t>
    </w:r>
    <w:r w:rsidRPr="00C84114">
      <w:rPr>
        <w:rFonts w:ascii="Arial" w:eastAsia="Times New Roman" w:hAnsi="Arial" w:cs="Arial"/>
        <w:b/>
        <w:sz w:val="20"/>
        <w:szCs w:val="20"/>
      </w:rPr>
      <w:fldChar w:fldCharType="begin"/>
    </w:r>
    <w:r w:rsidRPr="00C84114">
      <w:rPr>
        <w:rFonts w:ascii="Arial" w:eastAsia="Times New Roman" w:hAnsi="Arial" w:cs="Arial"/>
        <w:b/>
        <w:sz w:val="20"/>
        <w:szCs w:val="20"/>
      </w:rPr>
      <w:instrText xml:space="preserve"> NUMPAGES  \* Arabic  \* MERGEFORMAT </w:instrText>
    </w:r>
    <w:r w:rsidRPr="00C84114">
      <w:rPr>
        <w:rFonts w:ascii="Arial" w:eastAsia="Times New Roman" w:hAnsi="Arial" w:cs="Arial"/>
        <w:b/>
        <w:sz w:val="20"/>
        <w:szCs w:val="20"/>
      </w:rPr>
      <w:fldChar w:fldCharType="separate"/>
    </w:r>
    <w:r w:rsidR="00BE6D22" w:rsidRPr="00C84114">
      <w:rPr>
        <w:rFonts w:ascii="Arial" w:eastAsia="Times New Roman" w:hAnsi="Arial" w:cs="Arial"/>
        <w:b/>
        <w:noProof/>
        <w:sz w:val="20"/>
        <w:szCs w:val="20"/>
      </w:rPr>
      <w:t>5</w:t>
    </w:r>
    <w:r w:rsidRPr="00C84114">
      <w:rPr>
        <w:rFonts w:ascii="Arial" w:eastAsia="Times New Roman" w:hAnsi="Arial" w:cs="Arial"/>
        <w:b/>
        <w:sz w:val="20"/>
        <w:szCs w:val="20"/>
      </w:rPr>
      <w:fldChar w:fldCharType="end"/>
    </w:r>
    <w:r w:rsidRPr="00C84114">
      <w:rPr>
        <w:rFonts w:ascii="Arial" w:eastAsia="Times New Roman" w:hAnsi="Arial" w:cs="Arial"/>
        <w:sz w:val="20"/>
        <w:szCs w:val="20"/>
      </w:rPr>
      <w:t xml:space="preserve"> </w:t>
    </w:r>
  </w:p>
  <w:p w14:paraId="5F0D7E0E" w14:textId="77777777" w:rsidR="00821BEF" w:rsidRDefault="00821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606D" w14:textId="77777777" w:rsidR="00821BEF" w:rsidRDefault="00821BEF" w:rsidP="00821BEF">
      <w:pPr>
        <w:spacing w:after="0" w:line="240" w:lineRule="auto"/>
      </w:pPr>
      <w:r>
        <w:separator/>
      </w:r>
    </w:p>
  </w:footnote>
  <w:footnote w:type="continuationSeparator" w:id="0">
    <w:p w14:paraId="3D4F3466" w14:textId="77777777" w:rsidR="00821BEF" w:rsidRDefault="00821BEF" w:rsidP="0082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DC6"/>
    <w:multiLevelType w:val="hybridMultilevel"/>
    <w:tmpl w:val="7C5C521C"/>
    <w:lvl w:ilvl="0" w:tplc="952077FC">
      <w:start w:val="1"/>
      <w:numFmt w:val="bullet"/>
      <w:lvlText w:val="•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DCF40D6"/>
    <w:multiLevelType w:val="hybridMultilevel"/>
    <w:tmpl w:val="47B0B998"/>
    <w:lvl w:ilvl="0" w:tplc="9258D38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F81AB1DC">
      <w:start w:val="1"/>
      <w:numFmt w:val="upperLetter"/>
      <w:lvlText w:val="%2."/>
      <w:lvlJc w:val="left"/>
      <w:pPr>
        <w:ind w:left="720" w:hanging="360"/>
      </w:pPr>
      <w:rPr>
        <w:color w:val="auto"/>
      </w:rPr>
    </w:lvl>
    <w:lvl w:ilvl="2" w:tplc="60921CAE">
      <w:start w:val="1"/>
      <w:numFmt w:val="decimal"/>
      <w:suff w:val="space"/>
      <w:lvlText w:val="%3."/>
      <w:lvlJc w:val="left"/>
      <w:pPr>
        <w:ind w:left="900" w:firstLine="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D0249"/>
    <w:multiLevelType w:val="multilevel"/>
    <w:tmpl w:val="97FE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74D8E"/>
    <w:multiLevelType w:val="hybridMultilevel"/>
    <w:tmpl w:val="175EAF8A"/>
    <w:lvl w:ilvl="0" w:tplc="D94E2AFE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C4BF7"/>
    <w:multiLevelType w:val="hybridMultilevel"/>
    <w:tmpl w:val="EF9CF642"/>
    <w:lvl w:ilvl="0" w:tplc="952077F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5B23FE"/>
    <w:multiLevelType w:val="hybridMultilevel"/>
    <w:tmpl w:val="41BC389A"/>
    <w:lvl w:ilvl="0" w:tplc="952077FC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506BE"/>
    <w:multiLevelType w:val="hybridMultilevel"/>
    <w:tmpl w:val="8A9E32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7256B6"/>
    <w:multiLevelType w:val="hybridMultilevel"/>
    <w:tmpl w:val="056AFA08"/>
    <w:lvl w:ilvl="0" w:tplc="C234F0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27A2"/>
    <w:multiLevelType w:val="multilevel"/>
    <w:tmpl w:val="327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964A8"/>
    <w:multiLevelType w:val="hybridMultilevel"/>
    <w:tmpl w:val="56DEF5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4A31C3"/>
    <w:multiLevelType w:val="hybridMultilevel"/>
    <w:tmpl w:val="B9B04B94"/>
    <w:lvl w:ilvl="0" w:tplc="C2C0D36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1C2B1A"/>
    <w:multiLevelType w:val="hybridMultilevel"/>
    <w:tmpl w:val="850C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C29F2"/>
    <w:multiLevelType w:val="hybridMultilevel"/>
    <w:tmpl w:val="0338C618"/>
    <w:lvl w:ilvl="0" w:tplc="FF005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9419195">
    <w:abstractNumId w:val="6"/>
  </w:num>
  <w:num w:numId="2" w16cid:durableId="176123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853989">
    <w:abstractNumId w:val="8"/>
  </w:num>
  <w:num w:numId="4" w16cid:durableId="939995187">
    <w:abstractNumId w:val="2"/>
  </w:num>
  <w:num w:numId="5" w16cid:durableId="1849635903">
    <w:abstractNumId w:val="12"/>
  </w:num>
  <w:num w:numId="6" w16cid:durableId="714964548">
    <w:abstractNumId w:val="5"/>
  </w:num>
  <w:num w:numId="7" w16cid:durableId="129132100">
    <w:abstractNumId w:val="0"/>
  </w:num>
  <w:num w:numId="8" w16cid:durableId="1149514446">
    <w:abstractNumId w:val="4"/>
  </w:num>
  <w:num w:numId="9" w16cid:durableId="1518734333">
    <w:abstractNumId w:val="7"/>
  </w:num>
  <w:num w:numId="10" w16cid:durableId="403072474">
    <w:abstractNumId w:val="10"/>
  </w:num>
  <w:num w:numId="11" w16cid:durableId="41101574">
    <w:abstractNumId w:val="3"/>
  </w:num>
  <w:num w:numId="12" w16cid:durableId="606498873">
    <w:abstractNumId w:val="9"/>
  </w:num>
  <w:num w:numId="13" w16cid:durableId="2010791839">
    <w:abstractNumId w:val="11"/>
  </w:num>
  <w:num w:numId="14" w16cid:durableId="189303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564"/>
    <w:rsid w:val="0000106E"/>
    <w:rsid w:val="00002C12"/>
    <w:rsid w:val="00006D7E"/>
    <w:rsid w:val="000104FB"/>
    <w:rsid w:val="00023DB9"/>
    <w:rsid w:val="00027664"/>
    <w:rsid w:val="00040630"/>
    <w:rsid w:val="00042B2C"/>
    <w:rsid w:val="000434A9"/>
    <w:rsid w:val="00044D28"/>
    <w:rsid w:val="00055DF3"/>
    <w:rsid w:val="0007783E"/>
    <w:rsid w:val="00084F2A"/>
    <w:rsid w:val="00093494"/>
    <w:rsid w:val="00093F71"/>
    <w:rsid w:val="000C35CF"/>
    <w:rsid w:val="000C67EF"/>
    <w:rsid w:val="000D0345"/>
    <w:rsid w:val="000D2928"/>
    <w:rsid w:val="000E5385"/>
    <w:rsid w:val="000F1436"/>
    <w:rsid w:val="00103553"/>
    <w:rsid w:val="00113F64"/>
    <w:rsid w:val="00115873"/>
    <w:rsid w:val="0012338A"/>
    <w:rsid w:val="00126830"/>
    <w:rsid w:val="00131B33"/>
    <w:rsid w:val="00133DC1"/>
    <w:rsid w:val="00134F53"/>
    <w:rsid w:val="0014068D"/>
    <w:rsid w:val="00146DB5"/>
    <w:rsid w:val="001516B5"/>
    <w:rsid w:val="0015282C"/>
    <w:rsid w:val="00152AFE"/>
    <w:rsid w:val="00153F89"/>
    <w:rsid w:val="00160415"/>
    <w:rsid w:val="0016042E"/>
    <w:rsid w:val="00162BD6"/>
    <w:rsid w:val="0016429F"/>
    <w:rsid w:val="00165267"/>
    <w:rsid w:val="001856F3"/>
    <w:rsid w:val="00187DCA"/>
    <w:rsid w:val="00191EA6"/>
    <w:rsid w:val="00193478"/>
    <w:rsid w:val="001A58CB"/>
    <w:rsid w:val="001B15D2"/>
    <w:rsid w:val="001C0AD0"/>
    <w:rsid w:val="001C1FC0"/>
    <w:rsid w:val="001C2AA1"/>
    <w:rsid w:val="001C4D99"/>
    <w:rsid w:val="001E4A4E"/>
    <w:rsid w:val="001F299B"/>
    <w:rsid w:val="001F587D"/>
    <w:rsid w:val="001F5F88"/>
    <w:rsid w:val="002002C5"/>
    <w:rsid w:val="002150B5"/>
    <w:rsid w:val="002303F1"/>
    <w:rsid w:val="00270F59"/>
    <w:rsid w:val="002724F9"/>
    <w:rsid w:val="002744FD"/>
    <w:rsid w:val="002823C4"/>
    <w:rsid w:val="00294559"/>
    <w:rsid w:val="0029478C"/>
    <w:rsid w:val="002A0412"/>
    <w:rsid w:val="002D0ACE"/>
    <w:rsid w:val="002E1E73"/>
    <w:rsid w:val="002E2444"/>
    <w:rsid w:val="002E38FA"/>
    <w:rsid w:val="00307B19"/>
    <w:rsid w:val="00321475"/>
    <w:rsid w:val="00324EBF"/>
    <w:rsid w:val="0032540A"/>
    <w:rsid w:val="0034039D"/>
    <w:rsid w:val="0035181A"/>
    <w:rsid w:val="00361666"/>
    <w:rsid w:val="003626B6"/>
    <w:rsid w:val="00375C76"/>
    <w:rsid w:val="003772B1"/>
    <w:rsid w:val="00385144"/>
    <w:rsid w:val="003877DF"/>
    <w:rsid w:val="003A0936"/>
    <w:rsid w:val="003A147B"/>
    <w:rsid w:val="003B1827"/>
    <w:rsid w:val="003C596C"/>
    <w:rsid w:val="003C7F22"/>
    <w:rsid w:val="003D183A"/>
    <w:rsid w:val="003D2064"/>
    <w:rsid w:val="003D529A"/>
    <w:rsid w:val="003E5CF1"/>
    <w:rsid w:val="003F2C3D"/>
    <w:rsid w:val="003F6868"/>
    <w:rsid w:val="00403D96"/>
    <w:rsid w:val="00413BA9"/>
    <w:rsid w:val="00413BBF"/>
    <w:rsid w:val="00415505"/>
    <w:rsid w:val="00415CB3"/>
    <w:rsid w:val="00424245"/>
    <w:rsid w:val="00424415"/>
    <w:rsid w:val="004541F6"/>
    <w:rsid w:val="00462716"/>
    <w:rsid w:val="0046672F"/>
    <w:rsid w:val="00472958"/>
    <w:rsid w:val="00494A27"/>
    <w:rsid w:val="00494EA0"/>
    <w:rsid w:val="004A1881"/>
    <w:rsid w:val="004A190F"/>
    <w:rsid w:val="004A239D"/>
    <w:rsid w:val="004A64E9"/>
    <w:rsid w:val="004B09F4"/>
    <w:rsid w:val="004C0F1B"/>
    <w:rsid w:val="004C1AF5"/>
    <w:rsid w:val="004C35C4"/>
    <w:rsid w:val="004C6632"/>
    <w:rsid w:val="004D1304"/>
    <w:rsid w:val="004D3D94"/>
    <w:rsid w:val="004E6B85"/>
    <w:rsid w:val="004E7E8C"/>
    <w:rsid w:val="004F5354"/>
    <w:rsid w:val="00501369"/>
    <w:rsid w:val="00507A3B"/>
    <w:rsid w:val="00510021"/>
    <w:rsid w:val="00513F70"/>
    <w:rsid w:val="00516960"/>
    <w:rsid w:val="005179CF"/>
    <w:rsid w:val="005230EA"/>
    <w:rsid w:val="00525D3B"/>
    <w:rsid w:val="00527E11"/>
    <w:rsid w:val="00531F01"/>
    <w:rsid w:val="00537D38"/>
    <w:rsid w:val="005456B8"/>
    <w:rsid w:val="00551752"/>
    <w:rsid w:val="00552DEE"/>
    <w:rsid w:val="00554CEC"/>
    <w:rsid w:val="00561EC1"/>
    <w:rsid w:val="00564DE5"/>
    <w:rsid w:val="005750E1"/>
    <w:rsid w:val="00576564"/>
    <w:rsid w:val="00581202"/>
    <w:rsid w:val="00590847"/>
    <w:rsid w:val="005A0118"/>
    <w:rsid w:val="005A3322"/>
    <w:rsid w:val="005A4961"/>
    <w:rsid w:val="005B1F6E"/>
    <w:rsid w:val="005B4782"/>
    <w:rsid w:val="005D2984"/>
    <w:rsid w:val="005D3EF7"/>
    <w:rsid w:val="005E5469"/>
    <w:rsid w:val="0060611E"/>
    <w:rsid w:val="006115DB"/>
    <w:rsid w:val="00615AB0"/>
    <w:rsid w:val="006220F1"/>
    <w:rsid w:val="00640F8D"/>
    <w:rsid w:val="006450BD"/>
    <w:rsid w:val="00651A06"/>
    <w:rsid w:val="00665245"/>
    <w:rsid w:val="00677B51"/>
    <w:rsid w:val="00682707"/>
    <w:rsid w:val="00682ACC"/>
    <w:rsid w:val="00684E72"/>
    <w:rsid w:val="00696BB0"/>
    <w:rsid w:val="00696E5C"/>
    <w:rsid w:val="006A245D"/>
    <w:rsid w:val="006A71DA"/>
    <w:rsid w:val="006D23CB"/>
    <w:rsid w:val="006D4B7D"/>
    <w:rsid w:val="006D7A0A"/>
    <w:rsid w:val="006E4785"/>
    <w:rsid w:val="006F0906"/>
    <w:rsid w:val="006F42CA"/>
    <w:rsid w:val="00705C63"/>
    <w:rsid w:val="007308AA"/>
    <w:rsid w:val="00736F30"/>
    <w:rsid w:val="00745736"/>
    <w:rsid w:val="00750AA2"/>
    <w:rsid w:val="00764FE2"/>
    <w:rsid w:val="00765354"/>
    <w:rsid w:val="00767541"/>
    <w:rsid w:val="00772651"/>
    <w:rsid w:val="00775B2B"/>
    <w:rsid w:val="007841E3"/>
    <w:rsid w:val="007928A5"/>
    <w:rsid w:val="00793193"/>
    <w:rsid w:val="00793EEF"/>
    <w:rsid w:val="00796A2E"/>
    <w:rsid w:val="00797BC0"/>
    <w:rsid w:val="007A611C"/>
    <w:rsid w:val="007A6A2A"/>
    <w:rsid w:val="007B6985"/>
    <w:rsid w:val="007C47DE"/>
    <w:rsid w:val="007D0AF3"/>
    <w:rsid w:val="007D0C8A"/>
    <w:rsid w:val="007D46F9"/>
    <w:rsid w:val="007D57BC"/>
    <w:rsid w:val="007D76A6"/>
    <w:rsid w:val="007F254C"/>
    <w:rsid w:val="007F701F"/>
    <w:rsid w:val="00801048"/>
    <w:rsid w:val="0080127A"/>
    <w:rsid w:val="00804503"/>
    <w:rsid w:val="00821483"/>
    <w:rsid w:val="00821BEF"/>
    <w:rsid w:val="00832890"/>
    <w:rsid w:val="00835C1D"/>
    <w:rsid w:val="00835F1F"/>
    <w:rsid w:val="008404D9"/>
    <w:rsid w:val="00840D08"/>
    <w:rsid w:val="0084122A"/>
    <w:rsid w:val="00843A4C"/>
    <w:rsid w:val="00846229"/>
    <w:rsid w:val="008464A3"/>
    <w:rsid w:val="008470A8"/>
    <w:rsid w:val="00847C6D"/>
    <w:rsid w:val="008707B3"/>
    <w:rsid w:val="00874014"/>
    <w:rsid w:val="008815C3"/>
    <w:rsid w:val="00895187"/>
    <w:rsid w:val="008A1CF3"/>
    <w:rsid w:val="008A79B0"/>
    <w:rsid w:val="008B1572"/>
    <w:rsid w:val="008B21E5"/>
    <w:rsid w:val="008B556C"/>
    <w:rsid w:val="008C0701"/>
    <w:rsid w:val="008C46C9"/>
    <w:rsid w:val="008C5D4A"/>
    <w:rsid w:val="008C72D4"/>
    <w:rsid w:val="008E15BA"/>
    <w:rsid w:val="009013DD"/>
    <w:rsid w:val="00922D17"/>
    <w:rsid w:val="0095662D"/>
    <w:rsid w:val="0098138F"/>
    <w:rsid w:val="00990901"/>
    <w:rsid w:val="00992F19"/>
    <w:rsid w:val="009A10F8"/>
    <w:rsid w:val="009A30AD"/>
    <w:rsid w:val="009B6316"/>
    <w:rsid w:val="009D29E9"/>
    <w:rsid w:val="00A02D65"/>
    <w:rsid w:val="00A047E7"/>
    <w:rsid w:val="00A07246"/>
    <w:rsid w:val="00A1249A"/>
    <w:rsid w:val="00A13728"/>
    <w:rsid w:val="00A17036"/>
    <w:rsid w:val="00A239EC"/>
    <w:rsid w:val="00A35E10"/>
    <w:rsid w:val="00A3762C"/>
    <w:rsid w:val="00A45FD2"/>
    <w:rsid w:val="00A53224"/>
    <w:rsid w:val="00A5358F"/>
    <w:rsid w:val="00A67A80"/>
    <w:rsid w:val="00A733EC"/>
    <w:rsid w:val="00A96D49"/>
    <w:rsid w:val="00AA069A"/>
    <w:rsid w:val="00AA1203"/>
    <w:rsid w:val="00AA23E2"/>
    <w:rsid w:val="00AA5BFC"/>
    <w:rsid w:val="00AA76AA"/>
    <w:rsid w:val="00AB0625"/>
    <w:rsid w:val="00AB3202"/>
    <w:rsid w:val="00AB52EE"/>
    <w:rsid w:val="00AD5770"/>
    <w:rsid w:val="00AD5BBA"/>
    <w:rsid w:val="00AE0011"/>
    <w:rsid w:val="00AE16B6"/>
    <w:rsid w:val="00AF1722"/>
    <w:rsid w:val="00AF21AD"/>
    <w:rsid w:val="00AF282A"/>
    <w:rsid w:val="00AF73C5"/>
    <w:rsid w:val="00B0030A"/>
    <w:rsid w:val="00B04316"/>
    <w:rsid w:val="00B22F13"/>
    <w:rsid w:val="00B31826"/>
    <w:rsid w:val="00B43337"/>
    <w:rsid w:val="00B477AE"/>
    <w:rsid w:val="00B559DC"/>
    <w:rsid w:val="00B7562D"/>
    <w:rsid w:val="00B75EA9"/>
    <w:rsid w:val="00BA02C0"/>
    <w:rsid w:val="00BA0980"/>
    <w:rsid w:val="00BA0CB5"/>
    <w:rsid w:val="00BA6891"/>
    <w:rsid w:val="00BC4B92"/>
    <w:rsid w:val="00BC77E2"/>
    <w:rsid w:val="00BD01EB"/>
    <w:rsid w:val="00BD64AB"/>
    <w:rsid w:val="00BE6D22"/>
    <w:rsid w:val="00BF5992"/>
    <w:rsid w:val="00C00874"/>
    <w:rsid w:val="00C00A6C"/>
    <w:rsid w:val="00C00BCF"/>
    <w:rsid w:val="00C03C86"/>
    <w:rsid w:val="00C0486D"/>
    <w:rsid w:val="00C05158"/>
    <w:rsid w:val="00C05776"/>
    <w:rsid w:val="00C155F3"/>
    <w:rsid w:val="00C1586E"/>
    <w:rsid w:val="00C20F6E"/>
    <w:rsid w:val="00C24CBB"/>
    <w:rsid w:val="00C357A7"/>
    <w:rsid w:val="00C35FE5"/>
    <w:rsid w:val="00C4283B"/>
    <w:rsid w:val="00C63E6C"/>
    <w:rsid w:val="00C6575E"/>
    <w:rsid w:val="00C67393"/>
    <w:rsid w:val="00C84114"/>
    <w:rsid w:val="00C92FE3"/>
    <w:rsid w:val="00C944F5"/>
    <w:rsid w:val="00CA49DD"/>
    <w:rsid w:val="00CA6690"/>
    <w:rsid w:val="00CB05BC"/>
    <w:rsid w:val="00CB0CF4"/>
    <w:rsid w:val="00CB750F"/>
    <w:rsid w:val="00CC184F"/>
    <w:rsid w:val="00CC21FE"/>
    <w:rsid w:val="00CC6C94"/>
    <w:rsid w:val="00CE0ED3"/>
    <w:rsid w:val="00CE59C4"/>
    <w:rsid w:val="00D03C06"/>
    <w:rsid w:val="00D11B65"/>
    <w:rsid w:val="00D17260"/>
    <w:rsid w:val="00D203CA"/>
    <w:rsid w:val="00D26EF8"/>
    <w:rsid w:val="00D47CB0"/>
    <w:rsid w:val="00D54BE0"/>
    <w:rsid w:val="00D5762C"/>
    <w:rsid w:val="00D618AC"/>
    <w:rsid w:val="00D66910"/>
    <w:rsid w:val="00D7214E"/>
    <w:rsid w:val="00D7799C"/>
    <w:rsid w:val="00D8392D"/>
    <w:rsid w:val="00DA0C22"/>
    <w:rsid w:val="00DB1F9C"/>
    <w:rsid w:val="00DD7E15"/>
    <w:rsid w:val="00DE37BF"/>
    <w:rsid w:val="00DE6495"/>
    <w:rsid w:val="00DE6AA4"/>
    <w:rsid w:val="00E0200A"/>
    <w:rsid w:val="00E04C66"/>
    <w:rsid w:val="00E14DAF"/>
    <w:rsid w:val="00E14E9E"/>
    <w:rsid w:val="00E15533"/>
    <w:rsid w:val="00E163FE"/>
    <w:rsid w:val="00E265F4"/>
    <w:rsid w:val="00E324FB"/>
    <w:rsid w:val="00E41423"/>
    <w:rsid w:val="00E847FE"/>
    <w:rsid w:val="00E8771E"/>
    <w:rsid w:val="00E9022E"/>
    <w:rsid w:val="00EA1FF5"/>
    <w:rsid w:val="00EA4F5D"/>
    <w:rsid w:val="00EC654C"/>
    <w:rsid w:val="00ED4EAA"/>
    <w:rsid w:val="00ED5FA6"/>
    <w:rsid w:val="00ED75A9"/>
    <w:rsid w:val="00EE15AD"/>
    <w:rsid w:val="00EE64FB"/>
    <w:rsid w:val="00EF72CB"/>
    <w:rsid w:val="00F03319"/>
    <w:rsid w:val="00F1039B"/>
    <w:rsid w:val="00F326C9"/>
    <w:rsid w:val="00F350C2"/>
    <w:rsid w:val="00F521ED"/>
    <w:rsid w:val="00F60946"/>
    <w:rsid w:val="00F659F9"/>
    <w:rsid w:val="00F662EA"/>
    <w:rsid w:val="00F67920"/>
    <w:rsid w:val="00F67C53"/>
    <w:rsid w:val="00F741CF"/>
    <w:rsid w:val="00F84912"/>
    <w:rsid w:val="00FA6357"/>
    <w:rsid w:val="00FB37AF"/>
    <w:rsid w:val="00FD780C"/>
    <w:rsid w:val="00FF12D4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5EF5B95C"/>
  <w15:docId w15:val="{49D5B526-1438-40F7-905D-4DF4606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765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65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6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0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0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34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08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BEF"/>
  </w:style>
  <w:style w:type="paragraph" w:styleId="Footer">
    <w:name w:val="footer"/>
    <w:basedOn w:val="Normal"/>
    <w:link w:val="FooterChar"/>
    <w:uiPriority w:val="99"/>
    <w:unhideWhenUsed/>
    <w:rsid w:val="0082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BEF"/>
  </w:style>
  <w:style w:type="paragraph" w:styleId="ListParagraph">
    <w:name w:val="List Paragraph"/>
    <w:basedOn w:val="Normal"/>
    <w:uiPriority w:val="34"/>
    <w:qFormat/>
    <w:rsid w:val="000F143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3F6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662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7E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7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yperlink" Target="https://www.mass.gov/doc/2020-02-compounding-copies-of-commercially-available-drugs-pdf/download" TargetMode="External"/><Relationship Id="rId18" Type="http://schemas.openxmlformats.org/officeDocument/2006/relationships/hyperlink" Target="https://nabp.pharmacy/wp-content/uploads/2016/06/Massachusetts-Newsletter-November-2019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ss.gov/pharmacy-licens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legislature.gov/Laws/GeneralLaws/PartI/TitleXVI/Chapter112/Section39D" TargetMode="External"/><Relationship Id="rId17" Type="http://schemas.openxmlformats.org/officeDocument/2006/relationships/hyperlink" Target="https://www.fda.gov/regulatory-information/search-fda-guidance-documents/insanitary-conditions-compounding-facilities-guidance-industry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usp-in-community-pharmacies-0/download" TargetMode="External"/><Relationship Id="rId20" Type="http://schemas.openxmlformats.org/officeDocument/2006/relationships/hyperlink" Target="https://www.mass.gov/doc/2024-04-defective-drug-preparations/downlo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2018-01-permitted-prescription-changes-and-additions-pdf/download" TargetMode="External"/><Relationship Id="rId24" Type="http://schemas.openxmlformats.org/officeDocument/2006/relationships/hyperlink" Target="mailto:Pharmacy.Admin@MassMail.State.M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doc/2018-06-retail-pharmacy-participation-in-research-drug-studies-pdf/download" TargetMode="External"/><Relationship Id="rId23" Type="http://schemas.openxmlformats.org/officeDocument/2006/relationships/hyperlink" Target="https://www.mass.gov/doc/2021-04-continuing-education-ce-requirements-pdf/download" TargetMode="External"/><Relationship Id="rId10" Type="http://schemas.openxmlformats.org/officeDocument/2006/relationships/hyperlink" Target="https://malegislature.gov/laws/generallaws/parti/titlexvi/chapter112/section39d" TargetMode="External"/><Relationship Id="rId19" Type="http://schemas.openxmlformats.org/officeDocument/2006/relationships/hyperlink" Target="https://malegislature.gov/Laws/GeneralLaws/PartI/TitleXV/Chapter94C/Section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mass.gov/doc/2019-06-compounded-emergency-medications-for-veterinarian-use-pdf/download" TargetMode="External"/><Relationship Id="rId22" Type="http://schemas.openxmlformats.org/officeDocument/2006/relationships/hyperlink" Target="https://www.fda.gov/drugs/human-drug-compounding/bulk-drug-substances-used-compounding-under-section-503a-fdc-ac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3938-F2F9-4479-9ECE-EA184B7F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Pantos, Megan (DPH)</dc:creator>
  <cp:lastModifiedBy>Chan, Michelle (DPH)</cp:lastModifiedBy>
  <cp:revision>3</cp:revision>
  <dcterms:created xsi:type="dcterms:W3CDTF">2025-02-06T13:46:00Z</dcterms:created>
  <dcterms:modified xsi:type="dcterms:W3CDTF">2025-02-06T13:48:00Z</dcterms:modified>
</cp:coreProperties>
</file>