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c="http://schemas.openxmlformats.org/drawingml/2006/chart" mc:Ignorable="w14 w15 w16se w16cid w16 w16cex w16sdtdh w16du wp14">
  <w:body>
    <w:p w:rsidR="00026281" w:rsidP="4FFD278A" w:rsidRDefault="00026281" w14:paraId="497AFB07" w14:textId="01AD6767">
      <w:pPr>
        <w:pStyle w:val="paragraph"/>
        <w:spacing w:before="0" w:beforeAutospacing="off" w:after="0" w:afterAutospacing="off"/>
        <w:textAlignment w:val="baseline"/>
        <w:rPr>
          <w:rFonts w:ascii="Segoe UI" w:hAnsi="Segoe UI" w:cs="Segoe UI"/>
          <w:sz w:val="18"/>
          <w:szCs w:val="18"/>
        </w:rPr>
      </w:pPr>
      <w:r w:rsidR="00026281">
        <w:rPr>
          <w:rStyle w:val="normaltextrun"/>
          <w:rFonts w:ascii="Aptos Display" w:hAnsi="Aptos Display" w:cs="Segoe UI"/>
          <w:b w:val="1"/>
          <w:bCs w:val="1"/>
          <w:color w:val="2F5496"/>
          <w:sz w:val="32"/>
          <w:szCs w:val="32"/>
          <w:shd w:val="clear" w:color="auto" w:fill="FFFFFF"/>
        </w:rPr>
        <w:t xml:space="preserve">2023 CHES Mental Health Report </w:t>
      </w:r>
      <w:r w:rsidR="7DD8ABE8">
        <w:rPr>
          <w:rStyle w:val="normaltextrun"/>
          <w:rFonts w:ascii="Aptos Display" w:hAnsi="Aptos Display" w:cs="Segoe UI"/>
          <w:b w:val="1"/>
          <w:bCs w:val="1"/>
          <w:color w:val="2F5496"/>
          <w:sz w:val="32"/>
          <w:szCs w:val="32"/>
          <w:shd w:val="clear" w:color="auto" w:fill="FFFFFF"/>
        </w:rPr>
        <w:t>-</w:t>
      </w:r>
      <w:r w:rsidR="00026281">
        <w:rPr>
          <w:rStyle w:val="normaltextrun"/>
          <w:rFonts w:ascii="Aptos Display" w:hAnsi="Aptos Display" w:cs="Segoe UI"/>
          <w:b w:val="1"/>
          <w:bCs w:val="1"/>
          <w:color w:val="2F5496"/>
          <w:sz w:val="32"/>
          <w:szCs w:val="32"/>
          <w:shd w:val="clear" w:color="auto" w:fill="FFFFFF"/>
        </w:rPr>
        <w:t xml:space="preserve"> Drivers of Mental Health Inequities</w:t>
      </w:r>
      <w:r w:rsidR="00026281">
        <w:rPr>
          <w:rStyle w:val="eop"/>
          <w:rFonts w:ascii="Aptos Display" w:hAnsi="Aptos Display" w:cs="Segoe UI"/>
          <w:color w:val="2F5496"/>
          <w:sz w:val="32"/>
          <w:szCs w:val="32"/>
        </w:rPr>
        <w:t> </w:t>
      </w:r>
    </w:p>
    <w:p w:rsidR="00026281" w:rsidP="00026281" w:rsidRDefault="004160A6" w14:paraId="0DFD22F3" w14:textId="5EF72167">
      <w:pPr>
        <w:pStyle w:val="paragraph"/>
        <w:spacing w:before="0" w:beforeAutospacing="0" w:after="0" w:afterAutospacing="0"/>
        <w:textAlignment w:val="baseline"/>
        <w:rPr>
          <w:rFonts w:ascii="Segoe UI" w:hAnsi="Segoe UI" w:cs="Segoe UI"/>
          <w:sz w:val="18"/>
          <w:szCs w:val="18"/>
        </w:rPr>
      </w:pPr>
      <w:r>
        <w:rPr>
          <w:rStyle w:val="normaltextrun"/>
          <w:rFonts w:ascii="Aptos Display" w:hAnsi="Aptos Display" w:cs="Segoe UI"/>
          <w:color w:val="2F5496"/>
          <w:sz w:val="32"/>
          <w:szCs w:val="32"/>
          <w:shd w:val="clear" w:color="auto" w:fill="FFFFFF"/>
        </w:rPr>
        <w:t>Discrimination</w:t>
      </w:r>
      <w:r w:rsidR="00026281">
        <w:rPr>
          <w:rStyle w:val="normaltextrun"/>
          <w:rFonts w:ascii="Aptos Display" w:hAnsi="Aptos Display" w:cs="Segoe UI"/>
          <w:color w:val="2F5496"/>
          <w:sz w:val="32"/>
          <w:szCs w:val="32"/>
          <w:shd w:val="clear" w:color="auto" w:fill="FFFFFF"/>
        </w:rPr>
        <w:t xml:space="preserve"> and Mental Health</w:t>
      </w:r>
      <w:r w:rsidR="00026281">
        <w:rPr>
          <w:rStyle w:val="eop"/>
          <w:rFonts w:ascii="Aptos Display" w:hAnsi="Aptos Display" w:cs="Segoe UI"/>
          <w:color w:val="2F5496"/>
          <w:sz w:val="32"/>
          <w:szCs w:val="32"/>
        </w:rPr>
        <w:t> </w:t>
      </w:r>
    </w:p>
    <w:p w:rsidRPr="002D2B06" w:rsidR="00612A05" w:rsidP="0D455A97" w:rsidRDefault="00FF2C07" w14:paraId="2C078E63" w14:textId="2B5548DF">
      <w:pPr>
        <w:rPr>
          <w:rFonts w:ascii="Aptos Light" w:hAnsi="Aptos Light"/>
        </w:rPr>
      </w:pPr>
      <w:r>
        <w:br/>
      </w:r>
      <w:r w:rsidRPr="0D455A97" w:rsidR="6EB8B880">
        <w:rPr>
          <w:rFonts w:ascii="Aptos Light" w:hAnsi="Aptos Light" w:eastAsia="Aptos Light" w:cs="Aptos Light"/>
        </w:rPr>
        <w:t xml:space="preserve">The CHEI Health Inequities Framework demonstrates that </w:t>
      </w:r>
      <w:r w:rsidRPr="0D455A97" w:rsidR="003B6122">
        <w:rPr>
          <w:rFonts w:ascii="Aptos Light" w:hAnsi="Aptos Light"/>
        </w:rPr>
        <w:t>there is no single pathway that leads to mental well-being and no single cause that fully explains why certain populations have worse mental health outcomes. Many individual-level, environmental, social, structural, and historical factors work together to influence overall mental health. This section will highlight findings from the 2023 CHES that help demonstrate how inequities in social opportunities, resources, and key exposures contribute to inequities in mental health outcomes.  </w:t>
      </w:r>
    </w:p>
    <w:p w:rsidRPr="002D2B06" w:rsidR="002D2B06" w:rsidP="002D2B06" w:rsidRDefault="002D2B06" w14:paraId="46921586" w14:textId="51DF2FA6">
      <w:pPr>
        <w:keepNext/>
        <w:keepLines/>
        <w:spacing w:before="160" w:after="80"/>
        <w:outlineLvl w:val="2"/>
        <w:rPr>
          <w:rFonts w:ascii="Aptos Light" w:hAnsi="Aptos Light" w:eastAsia="Yu Gothic Light" w:cs="Times New Roman"/>
          <w:b/>
          <w:bCs/>
          <w:color w:val="0F4761"/>
          <w:kern w:val="2"/>
          <w:sz w:val="24"/>
          <w:szCs w:val="24"/>
          <w14:ligatures w14:val="standardContextual"/>
        </w:rPr>
      </w:pPr>
      <w:bookmarkStart w:name="_Toc174622965" w:id="0"/>
      <w:r w:rsidRPr="002D2B06">
        <w:rPr>
          <w:rFonts w:ascii="Aptos Light" w:hAnsi="Aptos Light" w:eastAsia="Yu Gothic Light" w:cs="Times New Roman"/>
          <w:b/>
          <w:bCs/>
          <w:color w:val="0F4761"/>
          <w:kern w:val="2"/>
          <w:sz w:val="24"/>
          <w:szCs w:val="24"/>
          <w14:ligatures w14:val="standardContextual"/>
        </w:rPr>
        <w:t>Societal Resources</w:t>
      </w:r>
      <w:bookmarkEnd w:id="0"/>
    </w:p>
    <w:p w:rsidR="0041207C" w:rsidP="0041207C" w:rsidRDefault="0041207C" w14:paraId="48C4FF31" w14:textId="55A492E7">
      <w:pPr>
        <w:rPr>
          <w:rFonts w:ascii="Aptos Light" w:hAnsi="Aptos Light" w:eastAsia="Aptos" w:cs="Arial"/>
          <w:kern w:val="2"/>
          <w14:ligatures w14:val="standardContextual"/>
        </w:rPr>
      </w:pPr>
      <w:r w:rsidRPr="0041207C">
        <w:rPr>
          <w:rFonts w:ascii="Aptos Light" w:hAnsi="Aptos Light" w:eastAsia="Aptos" w:cs="Arial"/>
          <w:kern w:val="2"/>
          <w14:ligatures w14:val="standardContextual"/>
        </w:rPr>
        <w:t xml:space="preserve">Our social and physical environments are inseparably linked to our health. The health promoting and health impairing exposures we interact with in our daily lives have an important impact on our mental well-being and overall health. As illustrated in the CHEI Health Inequities Framework, patterns of exposures to these determinants of health are shaped by systems of oppression, leading to inequities in health. The 2023 CHES gathered information from residents on their experiences with many key exposures within their physical and social environments. </w:t>
      </w:r>
    </w:p>
    <w:p w:rsidRPr="0041207C" w:rsidR="0041207C" w:rsidP="0041207C" w:rsidRDefault="00DA41BE" w14:paraId="3A0F8255" w14:textId="58BBE603">
      <w:pPr>
        <w:rPr>
          <w:rFonts w:ascii="Aptos Light" w:hAnsi="Aptos Light" w:eastAsia="Aptos" w:cs="Arial"/>
          <w:kern w:val="2"/>
          <w14:ligatures w14:val="standardContextual"/>
        </w:rPr>
      </w:pPr>
      <w:r w:rsidRPr="002D2B06">
        <w:rPr>
          <w:rFonts w:ascii="Aptos Light" w:hAnsi="Aptos Light" w:eastAsia="Aptos" w:cs="Segoe UI"/>
          <w:noProof/>
          <w:color w:val="000000"/>
          <w:kern w:val="2"/>
          <w:sz w:val="18"/>
          <w:szCs w:val="18"/>
          <w14:ligatures w14:val="standardContextual"/>
        </w:rPr>
        <mc:AlternateContent>
          <mc:Choice Requires="wps">
            <w:drawing>
              <wp:anchor distT="0" distB="0" distL="114300" distR="114300" simplePos="0" relativeHeight="251658240" behindDoc="0" locked="0" layoutInCell="1" allowOverlap="1" wp14:anchorId="601288E2" wp14:editId="7DA78D21">
                <wp:simplePos x="0" y="0"/>
                <wp:positionH relativeFrom="column">
                  <wp:posOffset>3029445</wp:posOffset>
                </wp:positionH>
                <wp:positionV relativeFrom="paragraph">
                  <wp:posOffset>1610137</wp:posOffset>
                </wp:positionV>
                <wp:extent cx="1490573" cy="862982"/>
                <wp:effectExtent l="19050" t="19050" r="14605" b="13335"/>
                <wp:wrapNone/>
                <wp:docPr id="997077935" name="Rectangle 41"/>
                <wp:cNvGraphicFramePr/>
                <a:graphic xmlns:a="http://schemas.openxmlformats.org/drawingml/2006/main">
                  <a:graphicData uri="http://schemas.microsoft.com/office/word/2010/wordprocessingShape">
                    <wps:wsp>
                      <wps:cNvSpPr/>
                      <wps:spPr>
                        <a:xfrm>
                          <a:off x="0" y="0"/>
                          <a:ext cx="1490573" cy="862982"/>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17D1662">
              <v:rect id="Rectangle 41" style="position:absolute;margin-left:238.55pt;margin-top:126.8pt;width:117.35pt;height:6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00000" strokeweight="2.25pt" w14:anchorId="5087E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"/>
            </w:pict>
          </mc:Fallback>
        </mc:AlternateContent>
      </w:r>
      <w:r w:rsidRPr="001909FD" w:rsidR="00E33138">
        <w:rPr>
          <w:noProof/>
        </w:rPr>
        <w:drawing>
          <wp:inline distT="0" distB="0" distL="0" distR="0" wp14:anchorId="32FFF5A5" wp14:editId="52D933F0">
            <wp:extent cx="6107502" cy="2473539"/>
            <wp:effectExtent l="0" t="0" r="7620" b="3175"/>
            <wp:docPr id="695301585" name="Picture 48" descr="This figure displays the CHEI Health Inequities Framework, which shows the connection between systems of oppression and health outcomes and inequities. &#10;&#10;On the left side of the diagram are systems of oppression, like racism, sexism, ableism, heterosexism, classism, and other systems of oppression, These systems help shape and attribute value to social status categories, which in turn shape important drivers of health, including social status opportunities, societal resources, and key exposures. &#10;&#10;There is a red square surrounding the exposures box to show that the following section will be focused on key exposures such as environmental exposures, discrimination, and viol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301585" name="Picture 48" descr="This figure displays the CHEI Health Inequities Framework, which shows the connection between systems of oppression and health outcomes and inequities. &#10;&#10;On the left side of the diagram are systems of oppression, like racism, sexism, ableism, heterosexism, classism, and other systems of oppression, These systems help shape and attribute value to social status categories, which in turn shape important drivers of health, including social status opportunities, societal resources, and key exposures. &#10;&#10;There is a red square surrounding the exposures box to show that the following section will be focused on key exposures such as environmental exposures, discrimination, and violence. "/>
                    <pic:cNvPicPr/>
                  </pic:nvPicPr>
                  <pic:blipFill>
                    <a:blip r:embed="rId10"/>
                    <a:stretch>
                      <a:fillRect/>
                    </a:stretch>
                  </pic:blipFill>
                  <pic:spPr>
                    <a:xfrm>
                      <a:off x="0" y="0"/>
                      <a:ext cx="6139460" cy="2486482"/>
                    </a:xfrm>
                    <a:prstGeom prst="rect">
                      <a:avLst/>
                    </a:prstGeom>
                  </pic:spPr>
                </pic:pic>
              </a:graphicData>
            </a:graphic>
          </wp:inline>
        </w:drawing>
      </w:r>
    </w:p>
    <w:p w:rsidR="002D2B06" w:rsidP="002D2B06" w:rsidRDefault="002D2B06" w14:paraId="464876DE" w14:textId="17029286">
      <w:pPr>
        <w:ind w:left="720"/>
        <w:rPr>
          <w:rFonts w:ascii="Aptos Light" w:hAnsi="Aptos Light" w:eastAsia="Aptos" w:cs="Arial"/>
          <w:kern w:val="2"/>
          <w14:ligatures w14:val="standardContextual"/>
        </w:rPr>
      </w:pPr>
    </w:p>
    <w:p w:rsidRPr="00867D1E" w:rsidR="00867D1E" w:rsidP="00867D1E" w:rsidRDefault="00867D1E" w14:paraId="40550257" w14:textId="77777777">
      <w:pPr>
        <w:keepNext/>
        <w:keepLines/>
        <w:spacing w:before="80" w:after="40"/>
        <w:ind w:firstLine="720"/>
        <w:outlineLvl w:val="3"/>
        <w:rPr>
          <w:rFonts w:ascii="Aptos Light" w:hAnsi="Aptos Light" w:eastAsia="Yu Gothic Light" w:cs="Times New Roman"/>
          <w:b/>
          <w:bCs/>
          <w:i/>
          <w:iCs/>
          <w:color w:val="0F4761"/>
          <w:kern w:val="2"/>
          <w:sz w:val="24"/>
          <w:szCs w:val="24"/>
          <w14:ligatures w14:val="standardContextual"/>
        </w:rPr>
      </w:pPr>
      <w:bookmarkStart w:name="_Toc174622972" w:id="1"/>
      <w:r w:rsidRPr="00867D1E">
        <w:rPr>
          <w:rFonts w:ascii="Aptos Light" w:hAnsi="Aptos Light" w:eastAsia="Yu Gothic Light" w:cs="Times New Roman"/>
          <w:b/>
          <w:bCs/>
          <w:i/>
          <w:iCs/>
          <w:color w:val="0F4761"/>
          <w:kern w:val="2"/>
          <w:sz w:val="24"/>
          <w:szCs w:val="24"/>
          <w14:ligatures w14:val="standardContextual"/>
        </w:rPr>
        <w:t>Discrimination</w:t>
      </w:r>
      <w:bookmarkEnd w:id="1"/>
    </w:p>
    <w:p w:rsidRPr="00867D1E" w:rsidR="00867D1E" w:rsidP="00867D1E" w:rsidRDefault="00867D1E" w14:paraId="18479F8C" w14:textId="77777777">
      <w:pPr>
        <w:ind w:left="720"/>
        <w:rPr>
          <w:rFonts w:ascii="Aptos Light" w:hAnsi="Aptos Light" w:eastAsia="Aptos" w:cs="Arial"/>
          <w:kern w:val="2"/>
          <w14:ligatures w14:val="standardContextual"/>
        </w:rPr>
      </w:pPr>
      <w:r w:rsidRPr="00867D1E">
        <w:rPr>
          <w:rFonts w:ascii="Aptos Light" w:hAnsi="Aptos Light" w:eastAsia="Aptos" w:cs="Arial"/>
          <w:kern w:val="2"/>
          <w14:ligatures w14:val="standardContextual"/>
        </w:rPr>
        <w:t>Discrimination is differential treatment experienced by stigmatized groups and is the result of systems of oppression that shape our communities and environments. Within communities of color, discrimination is the result of institutional and cultural racism that help generate negative stereotypes</w:t>
      </w:r>
      <w:r w:rsidRPr="00867D1E">
        <w:rPr>
          <w:rFonts w:ascii="Aptos Light" w:hAnsi="Aptos Light" w:eastAsia="Aptos" w:cs="Arial"/>
          <w:kern w:val="2"/>
          <w:vertAlign w:val="superscript"/>
          <w14:ligatures w14:val="standardContextual"/>
        </w:rPr>
        <w:endnoteReference w:id="2"/>
      </w:r>
      <w:r w:rsidRPr="00867D1E">
        <w:rPr>
          <w:rFonts w:ascii="Aptos Light" w:hAnsi="Aptos Light" w:eastAsia="Aptos" w:cs="Arial"/>
          <w:kern w:val="2"/>
          <w14:ligatures w14:val="standardContextual"/>
        </w:rPr>
        <w:t>. Discrimination has been shown to be a risk factor for adverse mental and physical health outcomes and contributor to health disparities</w:t>
      </w:r>
      <w:r w:rsidRPr="00867D1E">
        <w:rPr>
          <w:rFonts w:ascii="Aptos Light" w:hAnsi="Aptos Light" w:eastAsia="Aptos" w:cs="Arial"/>
          <w:kern w:val="2"/>
          <w:vertAlign w:val="superscript"/>
          <w14:ligatures w14:val="standardContextual"/>
        </w:rPr>
        <w:endnoteReference w:id="3"/>
      </w:r>
      <w:r w:rsidRPr="00867D1E">
        <w:rPr>
          <w:rFonts w:ascii="Aptos Light" w:hAnsi="Aptos Light" w:eastAsia="Aptos" w:cs="Arial"/>
          <w:kern w:val="2"/>
          <w14:ligatures w14:val="standardContextual"/>
        </w:rPr>
        <w:t>. For example, internalized and interpersonal racism has been linked to psychosocial trauma, stress, and maladaptive coping behaviors</w:t>
      </w:r>
      <w:r w:rsidRPr="00867D1E">
        <w:rPr>
          <w:rFonts w:ascii="Aptos Light" w:hAnsi="Aptos Light" w:eastAsia="Aptos" w:cs="Arial"/>
          <w:kern w:val="2"/>
          <w:vertAlign w:val="superscript"/>
          <w14:ligatures w14:val="standardContextual"/>
        </w:rPr>
        <w:endnoteReference w:id="4"/>
      </w:r>
      <w:r w:rsidRPr="00867D1E">
        <w:rPr>
          <w:rFonts w:ascii="Aptos Light" w:hAnsi="Aptos Light" w:eastAsia="Aptos" w:cs="Arial"/>
          <w:kern w:val="2"/>
          <w14:ligatures w14:val="standardContextual"/>
        </w:rPr>
        <w:t xml:space="preserve">. </w:t>
      </w:r>
    </w:p>
    <w:p w:rsidRPr="00867D1E" w:rsidR="00867D1E" w:rsidP="00867D1E" w:rsidRDefault="00867D1E" w14:paraId="0EC06C78" w14:textId="77777777">
      <w:pPr>
        <w:ind w:left="720"/>
        <w:rPr>
          <w:rFonts w:ascii="Aptos Light" w:hAnsi="Aptos Light" w:eastAsia="Aptos" w:cs="Arial"/>
          <w:kern w:val="2"/>
          <w14:ligatures w14:val="standardContextual"/>
        </w:rPr>
      </w:pPr>
      <w:r w:rsidRPr="00867D1E">
        <w:rPr>
          <w:rFonts w:ascii="Aptos Light" w:hAnsi="Aptos Light" w:eastAsia="Aptos" w:cs="Arial"/>
          <w:kern w:val="2"/>
          <w14:ligatures w14:val="standardContextual"/>
        </w:rPr>
        <w:t xml:space="preserve">Despite being an important driver of health inequity, there is a general lack of public health data sources that quantify and qualify experiences of discrimination. The 2023 CHES helps to fill this surveillance gap by gathering data on experiences of discrimination and connecting them to mental health outcomes. </w:t>
      </w:r>
    </w:p>
    <w:p w:rsidR="00867D1E" w:rsidP="00867D1E" w:rsidRDefault="00867D1E" w14:paraId="070DEA53" w14:textId="77777777">
      <w:pPr>
        <w:ind w:left="720"/>
        <w:rPr>
          <w:rFonts w:ascii="Aptos Light" w:hAnsi="Aptos Light" w:eastAsia="Aptos" w:cs="Arial"/>
          <w:kern w:val="2"/>
          <w14:ligatures w14:val="standardContextual"/>
        </w:rPr>
      </w:pPr>
    </w:p>
    <w:p w:rsidR="00867D1E" w:rsidP="00867D1E" w:rsidRDefault="00867D1E" w14:paraId="2AD613B4" w14:textId="77777777">
      <w:pPr>
        <w:ind w:left="720"/>
        <w:rPr>
          <w:rFonts w:ascii="Aptos Light" w:hAnsi="Aptos Light" w:eastAsia="Aptos" w:cs="Arial"/>
          <w:kern w:val="2"/>
          <w14:ligatures w14:val="standardContextual"/>
        </w:rPr>
      </w:pPr>
    </w:p>
    <w:p w:rsidR="00867D1E" w:rsidP="00867D1E" w:rsidRDefault="00867D1E" w14:paraId="3AFB9220" w14:textId="77777777">
      <w:pPr>
        <w:ind w:left="720"/>
        <w:rPr>
          <w:rFonts w:ascii="Aptos Light" w:hAnsi="Aptos Light" w:eastAsia="Aptos" w:cs="Arial"/>
          <w:kern w:val="2"/>
          <w14:ligatures w14:val="standardContextual"/>
        </w:rPr>
      </w:pPr>
    </w:p>
    <w:p w:rsidRPr="00867D1E" w:rsidR="00867D1E" w:rsidP="00867D1E" w:rsidRDefault="00867D1E" w14:paraId="07F632AA" w14:textId="77777777">
      <w:pPr>
        <w:ind w:left="720"/>
        <w:rPr>
          <w:rFonts w:ascii="Aptos Light" w:hAnsi="Aptos Light" w:eastAsia="Aptos" w:cs="Arial"/>
          <w:kern w:val="2"/>
          <w14:ligatures w14:val="standardContextual"/>
        </w:rPr>
      </w:pPr>
    </w:p>
    <w:p w:rsidRPr="00867D1E" w:rsidR="00867D1E" w:rsidP="00867D1E" w:rsidRDefault="00867D1E" w14:paraId="3BE32481" w14:textId="77777777">
      <w:pPr>
        <w:spacing w:after="200" w:line="240" w:lineRule="auto"/>
        <w:ind w:firstLine="720"/>
        <w:rPr>
          <w:rFonts w:ascii="Aptos Light" w:hAnsi="Aptos Light" w:eastAsia="Aptos" w:cs="Arial"/>
          <w:i/>
          <w:iCs/>
          <w:color w:val="0E2841"/>
          <w:kern w:val="2"/>
          <w14:ligatures w14:val="standardContextual"/>
        </w:rPr>
      </w:pPr>
      <w:r w:rsidRPr="00867D1E">
        <w:rPr>
          <w:rFonts w:ascii="Aptos Light" w:hAnsi="Aptos Light" w:eastAsia="Aptos" w:cs="Arial"/>
          <w:i/>
          <w:iCs/>
          <w:color w:val="0E2841"/>
          <w:kern w:val="2"/>
          <w14:ligatures w14:val="standardContextual"/>
        </w:rPr>
        <w:t xml:space="preserve">Figure </w:t>
      </w:r>
      <w:r w:rsidRPr="00867D1E">
        <w:rPr>
          <w:rFonts w:ascii="Aptos Light" w:hAnsi="Aptos Light" w:eastAsia="Aptos" w:cs="Arial"/>
          <w:i/>
          <w:iCs/>
          <w:color w:val="0E2841"/>
          <w:kern w:val="2"/>
          <w14:ligatures w14:val="standardContextual"/>
        </w:rPr>
        <w:fldChar w:fldCharType="begin"/>
      </w:r>
      <w:r w:rsidRPr="00867D1E">
        <w:rPr>
          <w:rFonts w:ascii="Aptos Light" w:hAnsi="Aptos Light" w:eastAsia="Aptos" w:cs="Arial"/>
          <w:i/>
          <w:iCs/>
          <w:color w:val="0E2841"/>
          <w:kern w:val="2"/>
          <w14:ligatures w14:val="standardContextual"/>
        </w:rPr>
        <w:instrText xml:space="preserve"> SEQ Figure \* ARABIC </w:instrText>
      </w:r>
      <w:r w:rsidRPr="00867D1E">
        <w:rPr>
          <w:rFonts w:ascii="Aptos Light" w:hAnsi="Aptos Light" w:eastAsia="Aptos" w:cs="Arial"/>
          <w:i/>
          <w:iCs/>
          <w:color w:val="0E2841"/>
          <w:kern w:val="2"/>
          <w14:ligatures w14:val="standardContextual"/>
        </w:rPr>
        <w:fldChar w:fldCharType="separate"/>
      </w:r>
      <w:r w:rsidRPr="00867D1E">
        <w:rPr>
          <w:rFonts w:ascii="Aptos Light" w:hAnsi="Aptos Light" w:eastAsia="Aptos" w:cs="Arial"/>
          <w:i/>
          <w:iCs/>
          <w:noProof/>
          <w:color w:val="0E2841"/>
          <w:kern w:val="2"/>
          <w14:ligatures w14:val="standardContextual"/>
        </w:rPr>
        <w:t>18</w:t>
      </w:r>
      <w:r w:rsidRPr="00867D1E">
        <w:rPr>
          <w:rFonts w:ascii="Aptos Light" w:hAnsi="Aptos Light" w:eastAsia="Aptos" w:cs="Arial"/>
          <w:i/>
          <w:iCs/>
          <w:color w:val="0E2841"/>
          <w:kern w:val="2"/>
          <w14:ligatures w14:val="standardContextual"/>
        </w:rPr>
        <w:fldChar w:fldCharType="end"/>
      </w:r>
      <w:r w:rsidRPr="00867D1E">
        <w:rPr>
          <w:rFonts w:ascii="Aptos Light" w:hAnsi="Aptos Light" w:eastAsia="Aptos" w:cs="Arial"/>
          <w:i/>
          <w:iCs/>
          <w:color w:val="0E2841"/>
          <w:kern w:val="2"/>
          <w14:ligatures w14:val="standardContextual"/>
        </w:rPr>
        <w:t>. CHES 2023 - Experiences of Discrimination and Mental Health Indicators</w:t>
      </w:r>
    </w:p>
    <w:p w:rsidRPr="00867D1E" w:rsidR="00867D1E" w:rsidP="00867D1E" w:rsidRDefault="00867D1E" w14:paraId="13FC451A" w14:textId="77777777">
      <w:pPr>
        <w:ind w:left="720"/>
        <w:rPr>
          <w:rFonts w:ascii="Aptos Light" w:hAnsi="Aptos Light" w:eastAsia="Aptos" w:cs="Arial"/>
          <w:kern w:val="2"/>
          <w14:ligatures w14:val="standardContextual"/>
        </w:rPr>
      </w:pPr>
      <w:r w:rsidRPr="00867D1E">
        <w:rPr>
          <w:rFonts w:ascii="Aptos Light" w:hAnsi="Aptos Light" w:eastAsia="Aptos" w:cs="Arial"/>
          <w:noProof/>
          <w:kern w:val="2"/>
          <w14:ligatures w14:val="standardContextual"/>
        </w:rPr>
        <w:drawing>
          <wp:inline distT="0" distB="0" distL="0" distR="0" wp14:anchorId="0E004585" wp14:editId="3B77B7AA">
            <wp:extent cx="6372225" cy="2971800"/>
            <wp:effectExtent l="0" t="0" r="9525" b="0"/>
            <wp:docPr id="1140555756" name="Chart 1" descr="Figure 18 shows the association between experiences of discrimination and social isolation, suicidal ideation, and psychological distress. Overall, mental health outcomes were worse among those that experienced discrimination in the past 12 months. &#10;&#10;Among respondents who reported experiencing discrimination in the past 12 months, 29.7% reported social isolation, 18.1% reported suicidal ideation, and 57.5% reported psychological distress. &#10;&#10;Among respondents who reported experiencing discrimination but not in the past 12 months, 13.1% reported social isolation, 7.7% reported suicidal ideation, and 34.9% reported psychological distress. &#10;&#10;Among respondents who reported never experiencing discrimination, 7.4% reported social isolation, 4.4% reported suicidal ideation, and 21.2% reported psychological distress. &#10;">
              <a:extLst xmlns:a="http://schemas.openxmlformats.org/drawingml/2006/main">
                <a:ext uri="{FF2B5EF4-FFF2-40B4-BE49-F238E27FC236}">
                  <a16:creationId xmlns:a16="http://schemas.microsoft.com/office/drawing/2014/main" id="{64EABF50-0277-1231-473E-C693BEE7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867D1E" w:rsidR="00867D1E" w:rsidP="00867D1E" w:rsidRDefault="00867D1E" w14:paraId="4FF3C0EC" w14:textId="77777777">
      <w:pPr>
        <w:ind w:left="720"/>
        <w:rPr>
          <w:rFonts w:ascii="Aptos Light" w:hAnsi="Aptos Light" w:eastAsia="Aptos" w:cs="Arial"/>
          <w:kern w:val="2"/>
          <w14:ligatures w14:val="standardContextual"/>
        </w:rPr>
      </w:pPr>
    </w:p>
    <w:p w:rsidRPr="00867D1E" w:rsidR="00867D1E" w:rsidP="00867D1E" w:rsidRDefault="00867D1E" w14:paraId="553D0CB4" w14:textId="77777777">
      <w:pPr>
        <w:ind w:left="720"/>
        <w:rPr>
          <w:rFonts w:ascii="Aptos Light" w:hAnsi="Aptos Light" w:eastAsia="Aptos" w:cs="Arial"/>
          <w:kern w:val="2"/>
          <w14:ligatures w14:val="standardContextual"/>
        </w:rPr>
      </w:pPr>
      <w:r w:rsidRPr="00867D1E">
        <w:rPr>
          <w:rFonts w:ascii="Aptos Light" w:hAnsi="Aptos Light" w:eastAsia="Aptos" w:cs="Arial"/>
          <w:kern w:val="2"/>
          <w14:ligatures w14:val="standardContextual"/>
        </w:rPr>
        <w:t xml:space="preserve">Individuals who reported experiencing some form of discrimination had worse mental health overall compared to those who reported never experiencing discrimination. Those who reported experiencing discrimination in the past 12 months were 2.7 times as likely to have high or very high psychological distress, 4.1 times as likely to report suicidal ideation, and 4 times as likely to report social isolation compared to those who did not experience discrimination. </w:t>
      </w:r>
    </w:p>
    <w:p w:rsidRPr="00867D1E" w:rsidR="00867D1E" w:rsidP="00867D1E" w:rsidRDefault="00867D1E" w14:paraId="221D2F9B" w14:textId="77777777">
      <w:pPr>
        <w:rPr>
          <w:rFonts w:ascii="Aptos Light" w:hAnsi="Aptos Light" w:eastAsia="Aptos" w:cs="Arial"/>
          <w:i/>
          <w:iCs/>
          <w:color w:val="0E2841"/>
          <w:kern w:val="2"/>
          <w14:ligatures w14:val="standardContextual"/>
        </w:rPr>
      </w:pPr>
      <w:r w:rsidRPr="00867D1E">
        <w:rPr>
          <w:rFonts w:ascii="Aptos Light" w:hAnsi="Aptos Light" w:eastAsia="Aptos" w:cs="Arial"/>
          <w:kern w:val="2"/>
          <w14:ligatures w14:val="standardContextual"/>
        </w:rPr>
        <w:br w:type="page"/>
      </w:r>
    </w:p>
    <w:p w:rsidRPr="00867D1E" w:rsidR="00867D1E" w:rsidP="00867D1E" w:rsidRDefault="00867D1E" w14:paraId="54B81B75" w14:textId="77777777">
      <w:pPr>
        <w:spacing w:after="200" w:line="240" w:lineRule="auto"/>
        <w:ind w:firstLine="360"/>
        <w:rPr>
          <w:rFonts w:ascii="Aptos Light" w:hAnsi="Aptos Light" w:eastAsia="Aptos" w:cs="Arial"/>
          <w:i/>
          <w:iCs/>
          <w:color w:val="0E2841"/>
          <w:kern w:val="2"/>
          <w14:ligatures w14:val="standardContextual"/>
        </w:rPr>
      </w:pPr>
      <w:bookmarkStart w:name="_Toc174604055" w:id="2"/>
      <w:r w:rsidRPr="00867D1E">
        <w:rPr>
          <w:rFonts w:ascii="Aptos Light" w:hAnsi="Aptos Light" w:eastAsia="Aptos" w:cs="Arial"/>
          <w:i/>
          <w:iCs/>
          <w:color w:val="0E2841"/>
          <w:kern w:val="2"/>
          <w14:ligatures w14:val="standardContextual"/>
        </w:rPr>
        <w:t xml:space="preserve">Table </w:t>
      </w:r>
      <w:r w:rsidRPr="00867D1E">
        <w:rPr>
          <w:rFonts w:ascii="Aptos Light" w:hAnsi="Aptos Light" w:eastAsia="Aptos" w:cs="Arial"/>
          <w:i/>
          <w:iCs/>
          <w:color w:val="0E2841"/>
          <w:kern w:val="2"/>
          <w14:ligatures w14:val="standardContextual"/>
        </w:rPr>
        <w:fldChar w:fldCharType="begin"/>
      </w:r>
      <w:r w:rsidRPr="00867D1E">
        <w:rPr>
          <w:rFonts w:ascii="Aptos Light" w:hAnsi="Aptos Light" w:eastAsia="Aptos" w:cs="Arial"/>
          <w:i/>
          <w:iCs/>
          <w:color w:val="0E2841"/>
          <w:kern w:val="2"/>
          <w14:ligatures w14:val="standardContextual"/>
        </w:rPr>
        <w:instrText xml:space="preserve"> SEQ Table \* ARABIC </w:instrText>
      </w:r>
      <w:r w:rsidRPr="00867D1E">
        <w:rPr>
          <w:rFonts w:ascii="Aptos Light" w:hAnsi="Aptos Light" w:eastAsia="Aptos" w:cs="Arial"/>
          <w:i/>
          <w:iCs/>
          <w:color w:val="0E2841"/>
          <w:kern w:val="2"/>
          <w14:ligatures w14:val="standardContextual"/>
        </w:rPr>
        <w:fldChar w:fldCharType="separate"/>
      </w:r>
      <w:r w:rsidRPr="00867D1E">
        <w:rPr>
          <w:rFonts w:ascii="Aptos Light" w:hAnsi="Aptos Light" w:eastAsia="Aptos" w:cs="Arial"/>
          <w:i/>
          <w:iCs/>
          <w:noProof/>
          <w:color w:val="0E2841"/>
          <w:kern w:val="2"/>
          <w14:ligatures w14:val="standardContextual"/>
        </w:rPr>
        <w:t>17</w:t>
      </w:r>
      <w:r w:rsidRPr="00867D1E">
        <w:rPr>
          <w:rFonts w:ascii="Aptos Light" w:hAnsi="Aptos Light" w:eastAsia="Aptos" w:cs="Arial"/>
          <w:i/>
          <w:iCs/>
          <w:color w:val="0E2841"/>
          <w:kern w:val="2"/>
          <w14:ligatures w14:val="standardContextual"/>
        </w:rPr>
        <w:fldChar w:fldCharType="end"/>
      </w:r>
      <w:r w:rsidRPr="00867D1E">
        <w:rPr>
          <w:rFonts w:ascii="Aptos Light" w:hAnsi="Aptos Light" w:eastAsia="Aptos" w:cs="Arial"/>
          <w:i/>
          <w:iCs/>
          <w:color w:val="0E2841"/>
          <w:kern w:val="2"/>
          <w14:ligatures w14:val="standardContextual"/>
        </w:rPr>
        <w:t>. 2023 CHES - Experiences of Discrimination by Communities of Focus</w:t>
      </w:r>
      <w:bookmarkEnd w:id="2"/>
    </w:p>
    <w:tbl>
      <w:tblPr>
        <w:tblW w:w="0" w:type="auto"/>
        <w:tblInd w:w="630" w:type="dxa"/>
        <w:tblLayout w:type="fixed"/>
        <w:tblCellMar>
          <w:top w:w="15" w:type="dxa"/>
          <w:left w:w="15" w:type="dxa"/>
          <w:bottom w:w="15" w:type="dxa"/>
          <w:right w:w="15" w:type="dxa"/>
        </w:tblCellMar>
        <w:tblLook w:val="04A0" w:firstRow="1" w:lastRow="0" w:firstColumn="1" w:lastColumn="0" w:noHBand="0" w:noVBand="1"/>
      </w:tblPr>
      <w:tblGrid>
        <w:gridCol w:w="3240"/>
        <w:gridCol w:w="2880"/>
        <w:gridCol w:w="3960"/>
      </w:tblGrid>
      <w:tr w:rsidRPr="00867D1E" w:rsidR="00867D1E" w:rsidTr="004164B3" w14:paraId="2FB6A2DD" w14:textId="77777777">
        <w:trPr>
          <w:trHeight w:val="50"/>
          <w:tblHeader/>
        </w:trPr>
        <w:tc>
          <w:tcPr>
            <w:tcW w:w="3240" w:type="dxa"/>
            <w:tcBorders>
              <w:top w:val="single" w:color="auto" w:sz="12" w:space="0"/>
              <w:bottom w:val="single" w:color="auto" w:sz="12" w:space="0"/>
            </w:tcBorders>
            <w:tcMar>
              <w:top w:w="100" w:type="dxa"/>
              <w:left w:w="100" w:type="dxa"/>
              <w:bottom w:w="100" w:type="dxa"/>
              <w:right w:w="100" w:type="dxa"/>
            </w:tcMar>
            <w:hideMark/>
          </w:tcPr>
          <w:p w:rsidRPr="00867D1E" w:rsidR="00867D1E" w:rsidP="00867D1E" w:rsidRDefault="00867D1E" w14:paraId="360242A7" w14:textId="77777777">
            <w:pPr>
              <w:spacing w:after="0"/>
              <w:rPr>
                <w:rFonts w:ascii="Aptos Light" w:hAnsi="Aptos Light" w:eastAsia="Aptos" w:cs="Arial"/>
                <w:kern w:val="2"/>
                <w:sz w:val="18"/>
                <w:szCs w:val="18"/>
                <w14:ligatures w14:val="standardContextual"/>
              </w:rPr>
            </w:pPr>
          </w:p>
        </w:tc>
        <w:tc>
          <w:tcPr>
            <w:tcW w:w="2880" w:type="dxa"/>
            <w:tcBorders>
              <w:top w:val="single" w:color="auto" w:sz="12" w:space="0"/>
              <w:bottom w:val="single" w:color="auto" w:sz="12" w:space="0"/>
            </w:tcBorders>
            <w:tcMar>
              <w:top w:w="100" w:type="dxa"/>
              <w:left w:w="100" w:type="dxa"/>
              <w:bottom w:w="100" w:type="dxa"/>
              <w:right w:w="100" w:type="dxa"/>
            </w:tcMar>
            <w:hideMark/>
          </w:tcPr>
          <w:p w:rsidRPr="00867D1E" w:rsidR="00867D1E" w:rsidP="00867D1E" w:rsidRDefault="00867D1E" w14:paraId="0FC3D0C5"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Ever Experienced Discrimination</w:t>
            </w:r>
          </w:p>
          <w:p w:rsidRPr="00867D1E" w:rsidR="00867D1E" w:rsidP="00867D1E" w:rsidRDefault="00867D1E" w14:paraId="662CCFB5" w14:textId="77777777">
            <w:pPr>
              <w:spacing w:after="0"/>
              <w:jc w:val="center"/>
              <w:rPr>
                <w:rFonts w:ascii="Aptos Light" w:hAnsi="Aptos Light" w:eastAsia="Aptos" w:cs="Times New Roman"/>
                <w:kern w:val="2"/>
                <w:sz w:val="18"/>
                <w:szCs w:val="18"/>
                <w14:ligatures w14:val="standardContextual"/>
              </w:rPr>
            </w:pPr>
            <w:r w:rsidRPr="00867D1E">
              <w:rPr>
                <w:rFonts w:ascii="Aptos Light" w:hAnsi="Aptos Light" w:eastAsia="Aptos" w:cs="Arial"/>
                <w:kern w:val="2"/>
                <w:sz w:val="18"/>
                <w:szCs w:val="18"/>
                <w14:ligatures w14:val="standardContextual"/>
              </w:rPr>
              <w:t>Weighted %</w:t>
            </w:r>
          </w:p>
        </w:tc>
        <w:tc>
          <w:tcPr>
            <w:tcW w:w="3960" w:type="dxa"/>
            <w:tcBorders>
              <w:top w:val="single" w:color="auto" w:sz="12" w:space="0"/>
              <w:bottom w:val="single" w:color="auto" w:sz="12" w:space="0"/>
            </w:tcBorders>
            <w:tcMar>
              <w:top w:w="100" w:type="dxa"/>
              <w:left w:w="100" w:type="dxa"/>
              <w:bottom w:w="100" w:type="dxa"/>
              <w:right w:w="100" w:type="dxa"/>
            </w:tcMar>
            <w:hideMark/>
          </w:tcPr>
          <w:p w:rsidRPr="00867D1E" w:rsidR="00867D1E" w:rsidP="00867D1E" w:rsidRDefault="00867D1E" w14:paraId="60295128"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Experienced Discrimination in the Past 12 months</w:t>
            </w:r>
          </w:p>
          <w:p w:rsidRPr="00867D1E" w:rsidR="00867D1E" w:rsidP="00867D1E" w:rsidRDefault="00867D1E" w14:paraId="2C1B55C8" w14:textId="77777777">
            <w:pPr>
              <w:spacing w:after="0"/>
              <w:jc w:val="center"/>
              <w:rPr>
                <w:rFonts w:ascii="Aptos Light" w:hAnsi="Aptos Light" w:eastAsia="Aptos" w:cs="Times New Roman"/>
                <w:kern w:val="2"/>
                <w:sz w:val="18"/>
                <w:szCs w:val="18"/>
                <w14:ligatures w14:val="standardContextual"/>
              </w:rPr>
            </w:pPr>
            <w:r w:rsidRPr="00867D1E">
              <w:rPr>
                <w:rFonts w:ascii="Aptos Light" w:hAnsi="Aptos Light" w:eastAsia="Aptos" w:cs="Arial"/>
                <w:kern w:val="2"/>
                <w:sz w:val="18"/>
                <w:szCs w:val="18"/>
                <w14:ligatures w14:val="standardContextual"/>
              </w:rPr>
              <w:t>Weighted %</w:t>
            </w:r>
          </w:p>
        </w:tc>
      </w:tr>
      <w:tr w:rsidRPr="00867D1E" w:rsidR="00867D1E" w:rsidTr="00867D1E" w14:paraId="6E9A2E9D"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867D1E" w:rsidR="00867D1E" w:rsidP="00867D1E" w:rsidRDefault="00867D1E" w14:paraId="0C92BD86" w14:textId="77777777">
            <w:pPr>
              <w:spacing w:after="0"/>
              <w:rPr>
                <w:rFonts w:ascii="Aptos Light" w:hAnsi="Aptos Light" w:eastAsia="Aptos" w:cs="Times New Roman"/>
                <w:b/>
                <w:bCs/>
                <w:kern w:val="2"/>
                <w:sz w:val="18"/>
                <w:szCs w:val="18"/>
                <w14:ligatures w14:val="standardContextual"/>
              </w:rPr>
            </w:pPr>
            <w:r w:rsidRPr="00867D1E">
              <w:rPr>
                <w:rFonts w:ascii="Aptos Light" w:hAnsi="Aptos Light" w:eastAsia="Aptos" w:cs="Arial"/>
                <w:b/>
                <w:bCs/>
                <w:kern w:val="2"/>
                <w:sz w:val="18"/>
                <w:szCs w:val="18"/>
                <w14:ligatures w14:val="standardContextual"/>
              </w:rPr>
              <w:t>Race/Ethnicity</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747D6ADC" w14:textId="77777777">
            <w:pPr>
              <w:spacing w:after="0"/>
              <w:rPr>
                <w:rFonts w:ascii="Aptos Light" w:hAnsi="Aptos Light" w:eastAsia="Aptos" w:cs="Arial"/>
                <w:kern w:val="2"/>
                <w:sz w:val="18"/>
                <w:szCs w:val="18"/>
                <w14:ligatures w14:val="standardContextual"/>
              </w:rPr>
            </w:pP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0A796812" w14:textId="77777777">
            <w:pPr>
              <w:spacing w:after="0"/>
              <w:rPr>
                <w:rFonts w:ascii="Aptos Light" w:hAnsi="Aptos Light" w:eastAsia="Aptos" w:cs="Arial"/>
                <w:kern w:val="2"/>
                <w:sz w:val="18"/>
                <w:szCs w:val="18"/>
                <w14:ligatures w14:val="standardContextual"/>
              </w:rPr>
            </w:pPr>
          </w:p>
        </w:tc>
      </w:tr>
      <w:tr w:rsidRPr="00867D1E" w:rsidR="00867D1E" w:rsidTr="00867D1E" w14:paraId="28CB0AB3" w14:textId="77777777">
        <w:trPr>
          <w:trHeight w:val="111"/>
          <w:tblHeader/>
        </w:trPr>
        <w:tc>
          <w:tcPr>
            <w:tcW w:w="3240" w:type="dxa"/>
            <w:tcBorders>
              <w:top w:val="single" w:color="BFBFBF" w:sz="2" w:space="0"/>
              <w:bottom w:val="single" w:color="BFBFBF" w:sz="2" w:space="0"/>
            </w:tcBorders>
            <w:tcMar>
              <w:top w:w="0" w:type="dxa"/>
              <w:left w:w="100" w:type="dxa"/>
              <w:bottom w:w="0" w:type="dxa"/>
              <w:right w:w="100" w:type="dxa"/>
            </w:tcMar>
          </w:tcPr>
          <w:p w:rsidRPr="00867D1E" w:rsidR="00867D1E" w:rsidP="00867D1E" w:rsidRDefault="00867D1E" w14:paraId="2BFB2018" w14:textId="77777777">
            <w:pPr>
              <w:spacing w:after="0"/>
              <w:ind w:left="260"/>
              <w:rPr>
                <w:rFonts w:ascii="Aptos Light" w:hAnsi="Aptos Light" w:eastAsia="Aptos" w:cs="Times New Roman"/>
                <w:kern w:val="2"/>
                <w:sz w:val="18"/>
                <w:szCs w:val="18"/>
                <w14:ligatures w14:val="standardContextual"/>
              </w:rPr>
            </w:pPr>
            <w:r w:rsidRPr="00867D1E">
              <w:rPr>
                <w:rFonts w:ascii="Aptos Light" w:hAnsi="Aptos Light" w:eastAsia="Aptos" w:cs="Arial"/>
                <w:kern w:val="2"/>
                <w:sz w:val="18"/>
                <w:szCs w:val="18"/>
                <w14:ligatures w14:val="standardContextual"/>
              </w:rPr>
              <w:t xml:space="preserve">American Indian/Alaska Native </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5C0AF14A"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75.9***</w:t>
            </w: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2AD7830B"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35.8***</w:t>
            </w:r>
          </w:p>
        </w:tc>
      </w:tr>
      <w:tr w:rsidRPr="00867D1E" w:rsidR="00867D1E" w:rsidTr="00867D1E" w14:paraId="4849C3A2"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tcPr>
          <w:p w:rsidRPr="00867D1E" w:rsidR="00867D1E" w:rsidP="00867D1E" w:rsidRDefault="00867D1E" w14:paraId="1066365E" w14:textId="77777777">
            <w:pPr>
              <w:spacing w:after="0"/>
              <w:ind w:left="260"/>
              <w:rPr>
                <w:rFonts w:ascii="Aptos Light" w:hAnsi="Aptos Light" w:eastAsia="Aptos" w:cs="Times New Roman"/>
                <w:kern w:val="2"/>
                <w:sz w:val="18"/>
                <w:szCs w:val="18"/>
                <w14:ligatures w14:val="standardContextual"/>
              </w:rPr>
            </w:pPr>
            <w:r w:rsidRPr="00867D1E">
              <w:rPr>
                <w:rFonts w:ascii="Aptos Light" w:hAnsi="Aptos Light" w:eastAsia="Aptos" w:cs="Arial"/>
                <w:kern w:val="2"/>
                <w:sz w:val="18"/>
                <w:szCs w:val="18"/>
                <w14:ligatures w14:val="standardContextual"/>
              </w:rPr>
              <w:t>ANHPI</w:t>
            </w:r>
            <w:r w:rsidRPr="00867D1E">
              <w:rPr>
                <w:rFonts w:ascii="Aptos Light" w:hAnsi="Aptos Light" w:eastAsia="Aptos" w:cs="Arial"/>
                <w:kern w:val="2"/>
                <w:sz w:val="18"/>
                <w:szCs w:val="18"/>
                <w:vertAlign w:val="superscript"/>
                <w14:ligatures w14:val="standardContextual"/>
              </w:rPr>
              <w:t>1</w:t>
            </w:r>
            <w:r w:rsidRPr="00867D1E">
              <w:rPr>
                <w:rFonts w:ascii="Aptos Light" w:hAnsi="Aptos Light" w:eastAsia="Aptos" w:cs="Arial"/>
                <w:kern w:val="2"/>
                <w:sz w:val="18"/>
                <w:szCs w:val="18"/>
                <w14:ligatures w14:val="standardContextual"/>
              </w:rPr>
              <w:t>, nH/nL</w:t>
            </w:r>
            <w:r w:rsidRPr="00867D1E">
              <w:rPr>
                <w:rFonts w:ascii="Arial" w:hAnsi="Arial" w:eastAsia="Aptos" w:cs="Arial"/>
                <w:kern w:val="2"/>
                <w:sz w:val="18"/>
                <w:szCs w:val="18"/>
                <w14:ligatures w14:val="standardContextual"/>
              </w:rPr>
              <w:t>​</w:t>
            </w:r>
            <w:r w:rsidRPr="00867D1E">
              <w:rPr>
                <w:rFonts w:ascii="Aptos Light" w:hAnsi="Aptos Light" w:eastAsia="Aptos" w:cs="Arial"/>
                <w:kern w:val="2"/>
                <w:sz w:val="18"/>
                <w:szCs w:val="18"/>
                <w:vertAlign w:val="superscript"/>
                <w14:ligatures w14:val="standardContextual"/>
              </w:rPr>
              <w:t>2</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3C40769C"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43.7***</w:t>
            </w: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10131CEF"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14.5</w:t>
            </w:r>
          </w:p>
        </w:tc>
      </w:tr>
      <w:tr w:rsidRPr="00867D1E" w:rsidR="00867D1E" w:rsidTr="00867D1E" w14:paraId="60A545C3"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tcPr>
          <w:p w:rsidRPr="00867D1E" w:rsidR="00867D1E" w:rsidP="00867D1E" w:rsidRDefault="00867D1E" w14:paraId="50E2EA47" w14:textId="77777777">
            <w:pPr>
              <w:spacing w:after="0"/>
              <w:ind w:left="260"/>
              <w:rPr>
                <w:rFonts w:ascii="Aptos Light" w:hAnsi="Aptos Light" w:eastAsia="Aptos" w:cs="Times New Roman"/>
                <w:b/>
                <w:bCs/>
                <w:kern w:val="2"/>
                <w:sz w:val="18"/>
                <w:szCs w:val="18"/>
                <w14:ligatures w14:val="standardContextual"/>
              </w:rPr>
            </w:pPr>
            <w:r w:rsidRPr="00867D1E">
              <w:rPr>
                <w:rFonts w:ascii="Aptos Light" w:hAnsi="Aptos Light" w:eastAsia="Aptos" w:cs="Arial"/>
                <w:kern w:val="2"/>
                <w:sz w:val="18"/>
                <w:szCs w:val="18"/>
                <w14:ligatures w14:val="standardContextual"/>
              </w:rPr>
              <w:t xml:space="preserve">Black, nH/nL </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2C428A20"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69.2***</w:t>
            </w: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0FB9A96C"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30.2***</w:t>
            </w:r>
          </w:p>
        </w:tc>
      </w:tr>
      <w:tr w:rsidRPr="00867D1E" w:rsidR="00867D1E" w:rsidTr="00867D1E" w14:paraId="3C8834B1"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tcPr>
          <w:p w:rsidRPr="00867D1E" w:rsidR="00867D1E" w:rsidP="00867D1E" w:rsidRDefault="00867D1E" w14:paraId="3F722627" w14:textId="77777777">
            <w:pPr>
              <w:spacing w:after="0"/>
              <w:ind w:left="260"/>
              <w:rPr>
                <w:rFonts w:ascii="Aptos Light" w:hAnsi="Aptos Light" w:eastAsia="Aptos" w:cs="Times New Roman"/>
                <w:kern w:val="2"/>
                <w:sz w:val="18"/>
                <w:szCs w:val="18"/>
                <w14:ligatures w14:val="standardContextual"/>
              </w:rPr>
            </w:pPr>
            <w:r w:rsidRPr="00867D1E">
              <w:rPr>
                <w:rFonts w:ascii="Aptos Light" w:hAnsi="Aptos Light" w:eastAsia="Aptos" w:cs="Arial"/>
                <w:kern w:val="2"/>
                <w:sz w:val="18"/>
                <w:szCs w:val="18"/>
                <w14:ligatures w14:val="standardContextual"/>
              </w:rPr>
              <w:t xml:space="preserve">Hispanic or Latine/a/o </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192E779E"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60.9***</w:t>
            </w: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26AFACE3"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24.9***</w:t>
            </w:r>
          </w:p>
        </w:tc>
      </w:tr>
      <w:tr w:rsidRPr="00867D1E" w:rsidR="00867D1E" w:rsidTr="00867D1E" w14:paraId="29551725"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tcPr>
          <w:p w:rsidRPr="00867D1E" w:rsidR="00867D1E" w:rsidP="00867D1E" w:rsidRDefault="00867D1E" w14:paraId="505A34EE" w14:textId="77777777">
            <w:pPr>
              <w:spacing w:after="0"/>
              <w:ind w:left="260"/>
              <w:rPr>
                <w:rFonts w:ascii="Aptos Light" w:hAnsi="Aptos Light" w:eastAsia="Aptos" w:cs="Times New Roman"/>
                <w:kern w:val="2"/>
                <w:sz w:val="18"/>
                <w:szCs w:val="18"/>
                <w14:ligatures w14:val="standardContextual"/>
              </w:rPr>
            </w:pPr>
            <w:r w:rsidRPr="00867D1E">
              <w:rPr>
                <w:rFonts w:ascii="Aptos Light" w:hAnsi="Aptos Light" w:eastAsia="Aptos" w:cs="Arial"/>
                <w:kern w:val="2"/>
                <w:sz w:val="18"/>
                <w:szCs w:val="18"/>
                <w14:ligatures w14:val="standardContextual"/>
              </w:rPr>
              <w:t>Middle Eastern or North African</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2FAD6501"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75.1***</w:t>
            </w: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2A08A956"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34.8***</w:t>
            </w:r>
          </w:p>
        </w:tc>
      </w:tr>
      <w:tr w:rsidRPr="00867D1E" w:rsidR="00867D1E" w:rsidTr="00867D1E" w14:paraId="1CF0C0F9"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tcPr>
          <w:p w:rsidRPr="00867D1E" w:rsidR="00867D1E" w:rsidP="00867D1E" w:rsidRDefault="00867D1E" w14:paraId="4065A42F" w14:textId="77777777">
            <w:pPr>
              <w:spacing w:after="0"/>
              <w:ind w:left="260"/>
              <w:rPr>
                <w:rFonts w:ascii="Aptos Light" w:hAnsi="Aptos Light" w:eastAsia="Aptos" w:cs="Times New Roman"/>
                <w:kern w:val="2"/>
                <w:sz w:val="18"/>
                <w:szCs w:val="18"/>
                <w14:ligatures w14:val="standardContextual"/>
              </w:rPr>
            </w:pPr>
            <w:r w:rsidRPr="00867D1E">
              <w:rPr>
                <w:rFonts w:ascii="Aptos Light" w:hAnsi="Aptos Light" w:eastAsia="Aptos" w:cs="Arial"/>
                <w:kern w:val="2"/>
                <w:sz w:val="18"/>
                <w:szCs w:val="18"/>
                <w14:ligatures w14:val="standardContextual"/>
              </w:rPr>
              <w:t xml:space="preserve">Multiracial, nH/nL </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16586C54"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73.4***</w:t>
            </w: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59409068"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31.5***</w:t>
            </w:r>
          </w:p>
        </w:tc>
      </w:tr>
      <w:tr w:rsidRPr="00867D1E" w:rsidR="00867D1E" w:rsidTr="00867D1E" w14:paraId="40A8DD26"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tcPr>
          <w:p w:rsidRPr="00867D1E" w:rsidR="00867D1E" w:rsidP="00867D1E" w:rsidRDefault="00867D1E" w14:paraId="5B27C61B" w14:textId="77777777">
            <w:pPr>
              <w:spacing w:after="0"/>
              <w:ind w:left="260"/>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White, nH/nL (</w:t>
            </w:r>
            <w:r w:rsidRPr="00867D1E">
              <w:rPr>
                <w:rFonts w:ascii="Aptos Light" w:hAnsi="Aptos Light" w:eastAsia="Aptos" w:cs="Arial"/>
                <w:i/>
                <w:iCs/>
                <w:kern w:val="2"/>
                <w:sz w:val="18"/>
                <w:szCs w:val="18"/>
                <w14:ligatures w14:val="standardContextual"/>
              </w:rPr>
              <w:t>ref</w:t>
            </w:r>
            <w:r w:rsidRPr="00867D1E">
              <w:rPr>
                <w:rFonts w:ascii="Aptos Light" w:hAnsi="Aptos Light" w:eastAsia="Aptos" w:cs="Arial"/>
                <w:kern w:val="2"/>
                <w:sz w:val="18"/>
                <w:szCs w:val="18"/>
                <w14:ligatures w14:val="standardContextual"/>
              </w:rPr>
              <w:t>)</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1FE7D5BF"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51.6</w:t>
            </w: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1BFFD55C"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15.6</w:t>
            </w:r>
          </w:p>
        </w:tc>
      </w:tr>
      <w:tr w:rsidRPr="00867D1E" w:rsidR="00867D1E" w:rsidTr="00867D1E" w14:paraId="58F097C8"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867D1E" w:rsidR="00867D1E" w:rsidP="00867D1E" w:rsidRDefault="00867D1E" w14:paraId="2938D386" w14:textId="77777777">
            <w:pPr>
              <w:spacing w:after="0"/>
              <w:rPr>
                <w:rFonts w:ascii="Aptos Light" w:hAnsi="Aptos Light" w:eastAsia="Aptos" w:cs="Arial"/>
                <w:b/>
                <w:bCs/>
                <w:kern w:val="2"/>
                <w:sz w:val="18"/>
                <w:szCs w:val="18"/>
                <w14:ligatures w14:val="standardContextual"/>
              </w:rPr>
            </w:pPr>
            <w:r w:rsidRPr="00867D1E">
              <w:rPr>
                <w:rFonts w:ascii="Aptos Light" w:hAnsi="Aptos Light" w:eastAsia="Aptos" w:cs="Arial"/>
                <w:b/>
                <w:bCs/>
                <w:kern w:val="2"/>
                <w:sz w:val="18"/>
                <w:szCs w:val="18"/>
                <w14:ligatures w14:val="standardContextual"/>
              </w:rPr>
              <w:t>Sexual Orientation</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0417718F" w14:textId="77777777">
            <w:pPr>
              <w:spacing w:after="0"/>
              <w:jc w:val="center"/>
              <w:rPr>
                <w:rFonts w:ascii="Aptos Light" w:hAnsi="Aptos Light" w:eastAsia="Aptos" w:cs="Arial"/>
                <w:kern w:val="2"/>
                <w:sz w:val="18"/>
                <w:szCs w:val="18"/>
                <w14:ligatures w14:val="standardContextual"/>
              </w:rPr>
            </w:pP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126C1F11" w14:textId="77777777">
            <w:pPr>
              <w:spacing w:after="0"/>
              <w:jc w:val="center"/>
              <w:rPr>
                <w:rFonts w:ascii="Aptos Light" w:hAnsi="Aptos Light" w:eastAsia="Aptos" w:cs="Arial"/>
                <w:kern w:val="2"/>
                <w:sz w:val="18"/>
                <w:szCs w:val="18"/>
                <w14:ligatures w14:val="standardContextual"/>
              </w:rPr>
            </w:pPr>
          </w:p>
        </w:tc>
      </w:tr>
      <w:tr w:rsidRPr="00867D1E" w:rsidR="00867D1E" w:rsidTr="00867D1E" w14:paraId="1ECD683F"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867D1E" w:rsidR="00867D1E" w:rsidP="00867D1E" w:rsidRDefault="00867D1E" w14:paraId="20FBADDF" w14:textId="77777777">
            <w:pPr>
              <w:spacing w:after="0"/>
              <w:ind w:left="260"/>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Asexual</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724A1229"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62.7***</w:t>
            </w: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1EA79A0B"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26.1***</w:t>
            </w:r>
          </w:p>
        </w:tc>
      </w:tr>
      <w:tr w:rsidRPr="00867D1E" w:rsidR="00867D1E" w:rsidTr="00867D1E" w14:paraId="542FA92D"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867D1E" w:rsidR="00867D1E" w:rsidP="00867D1E" w:rsidRDefault="00867D1E" w14:paraId="492500F8" w14:textId="77777777">
            <w:pPr>
              <w:spacing w:after="0"/>
              <w:ind w:left="260"/>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Bisexual/Pansexual</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2BA2F9E5"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75.9***</w:t>
            </w: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26598AD4"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28.1***</w:t>
            </w:r>
          </w:p>
        </w:tc>
      </w:tr>
      <w:tr w:rsidRPr="00867D1E" w:rsidR="00867D1E" w:rsidTr="00867D1E" w14:paraId="743F05E3"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867D1E" w:rsidR="00867D1E" w:rsidP="00867D1E" w:rsidRDefault="00867D1E" w14:paraId="437A0C19" w14:textId="77777777">
            <w:pPr>
              <w:spacing w:after="0"/>
              <w:ind w:left="260"/>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Gay or Lesbian</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3C2EF260"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81.4***</w:t>
            </w: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701517CD"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35.0***</w:t>
            </w:r>
          </w:p>
        </w:tc>
      </w:tr>
      <w:tr w:rsidRPr="00867D1E" w:rsidR="00867D1E" w:rsidTr="00867D1E" w14:paraId="1AD5E849"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867D1E" w:rsidR="00867D1E" w:rsidP="00867D1E" w:rsidRDefault="00867D1E" w14:paraId="30D1BD64" w14:textId="77777777">
            <w:pPr>
              <w:spacing w:after="0"/>
              <w:ind w:left="260"/>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Queer</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795B7CC4"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88.6***</w:t>
            </w: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45CE6A6E"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51.5***</w:t>
            </w:r>
          </w:p>
        </w:tc>
      </w:tr>
      <w:tr w:rsidRPr="00867D1E" w:rsidR="00867D1E" w:rsidTr="00867D1E" w14:paraId="5D160D3D"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867D1E" w:rsidR="00867D1E" w:rsidP="00867D1E" w:rsidRDefault="00867D1E" w14:paraId="1B3D08B2" w14:textId="77777777">
            <w:pPr>
              <w:spacing w:after="0"/>
              <w:ind w:left="260"/>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Questioning/Not Sure</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0F8355C8"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69.1***</w:t>
            </w: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3C7E8737"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29.1***</w:t>
            </w:r>
          </w:p>
        </w:tc>
      </w:tr>
      <w:tr w:rsidRPr="00867D1E" w:rsidR="00867D1E" w:rsidTr="00867D1E" w14:paraId="05B6EFE0"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867D1E" w:rsidR="00867D1E" w:rsidP="00867D1E" w:rsidRDefault="00867D1E" w14:paraId="3206C935" w14:textId="77777777">
            <w:pPr>
              <w:spacing w:after="0"/>
              <w:ind w:left="260"/>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Straight/Heterosexual (</w:t>
            </w:r>
            <w:r w:rsidRPr="00867D1E">
              <w:rPr>
                <w:rFonts w:ascii="Aptos Light" w:hAnsi="Aptos Light" w:eastAsia="Aptos" w:cs="Arial"/>
                <w:i/>
                <w:iCs/>
                <w:kern w:val="2"/>
                <w:sz w:val="18"/>
                <w:szCs w:val="18"/>
                <w14:ligatures w14:val="standardContextual"/>
              </w:rPr>
              <w:t>ref</w:t>
            </w:r>
            <w:r w:rsidRPr="00867D1E">
              <w:rPr>
                <w:rFonts w:ascii="Aptos Light" w:hAnsi="Aptos Light" w:eastAsia="Aptos" w:cs="Arial"/>
                <w:kern w:val="2"/>
                <w:sz w:val="18"/>
                <w:szCs w:val="18"/>
                <w14:ligatures w14:val="standardContextual"/>
              </w:rPr>
              <w:t>)</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4961CD3F"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50.4</w:t>
            </w: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480BBF4E"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15.3</w:t>
            </w:r>
          </w:p>
        </w:tc>
      </w:tr>
      <w:tr w:rsidRPr="00867D1E" w:rsidR="00867D1E" w:rsidTr="00867D1E" w14:paraId="46D754B8"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867D1E" w:rsidR="00867D1E" w:rsidP="00867D1E" w:rsidRDefault="00867D1E" w14:paraId="561D245D" w14:textId="77777777">
            <w:pPr>
              <w:spacing w:after="0"/>
              <w:rPr>
                <w:rFonts w:ascii="Aptos Light" w:hAnsi="Aptos Light" w:eastAsia="Aptos" w:cs="Arial"/>
                <w:b/>
                <w:bCs/>
                <w:kern w:val="2"/>
                <w:sz w:val="18"/>
                <w:szCs w:val="18"/>
                <w14:ligatures w14:val="standardContextual"/>
              </w:rPr>
            </w:pPr>
            <w:r w:rsidRPr="00867D1E">
              <w:rPr>
                <w:rFonts w:ascii="Aptos Light" w:hAnsi="Aptos Light" w:eastAsia="Aptos" w:cs="Arial"/>
                <w:b/>
                <w:bCs/>
                <w:kern w:val="2"/>
                <w:sz w:val="18"/>
                <w:szCs w:val="18"/>
                <w14:ligatures w14:val="standardContextual"/>
              </w:rPr>
              <w:t>Transgender Identity</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3708E245" w14:textId="77777777">
            <w:pPr>
              <w:spacing w:after="0"/>
              <w:jc w:val="center"/>
              <w:rPr>
                <w:rFonts w:ascii="Aptos Light" w:hAnsi="Aptos Light" w:eastAsia="Aptos" w:cs="Arial"/>
                <w:kern w:val="2"/>
                <w:sz w:val="18"/>
                <w:szCs w:val="18"/>
                <w14:ligatures w14:val="standardContextual"/>
              </w:rPr>
            </w:pP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6ADD4CC7" w14:textId="77777777">
            <w:pPr>
              <w:spacing w:after="0"/>
              <w:jc w:val="center"/>
              <w:rPr>
                <w:rFonts w:ascii="Aptos Light" w:hAnsi="Aptos Light" w:eastAsia="Aptos" w:cs="Arial"/>
                <w:kern w:val="2"/>
                <w:sz w:val="18"/>
                <w:szCs w:val="18"/>
                <w14:ligatures w14:val="standardContextual"/>
              </w:rPr>
            </w:pPr>
          </w:p>
        </w:tc>
      </w:tr>
      <w:tr w:rsidRPr="00867D1E" w:rsidR="00867D1E" w:rsidTr="00867D1E" w14:paraId="363586A7"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867D1E" w:rsidR="00867D1E" w:rsidP="00867D1E" w:rsidRDefault="00867D1E" w14:paraId="4DD9FC5F" w14:textId="77777777">
            <w:pPr>
              <w:spacing w:after="0"/>
              <w:ind w:left="260" w:firstLine="10"/>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Transgender</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3EB3A712"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90.2***</w:t>
            </w: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0D1D4039"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60.6***</w:t>
            </w:r>
          </w:p>
        </w:tc>
      </w:tr>
      <w:tr w:rsidRPr="00867D1E" w:rsidR="00867D1E" w:rsidTr="00867D1E" w14:paraId="1A244CC5"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867D1E" w:rsidR="00867D1E" w:rsidP="00867D1E" w:rsidRDefault="00867D1E" w14:paraId="3E7B7422" w14:textId="77777777">
            <w:pPr>
              <w:spacing w:after="0"/>
              <w:ind w:left="260" w:firstLine="10"/>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Not Transgender (</w:t>
            </w:r>
            <w:r w:rsidRPr="00867D1E">
              <w:rPr>
                <w:rFonts w:ascii="Aptos Light" w:hAnsi="Aptos Light" w:eastAsia="Aptos" w:cs="Arial"/>
                <w:i/>
                <w:iCs/>
                <w:kern w:val="2"/>
                <w:sz w:val="18"/>
                <w:szCs w:val="18"/>
                <w14:ligatures w14:val="standardContextual"/>
              </w:rPr>
              <w:t>ref</w:t>
            </w:r>
            <w:r w:rsidRPr="00867D1E">
              <w:rPr>
                <w:rFonts w:ascii="Aptos Light" w:hAnsi="Aptos Light" w:eastAsia="Aptos" w:cs="Arial"/>
                <w:kern w:val="2"/>
                <w:sz w:val="18"/>
                <w:szCs w:val="18"/>
                <w14:ligatures w14:val="standardContextual"/>
              </w:rPr>
              <w:t>)</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2123106C"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53.5</w:t>
            </w: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5939D16E"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17.0</w:t>
            </w:r>
          </w:p>
        </w:tc>
      </w:tr>
      <w:tr w:rsidRPr="00867D1E" w:rsidR="00867D1E" w:rsidTr="00867D1E" w14:paraId="7884F6E0"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867D1E" w:rsidR="00867D1E" w:rsidP="00867D1E" w:rsidRDefault="00867D1E" w14:paraId="7DA1D2F1" w14:textId="77777777">
            <w:pPr>
              <w:spacing w:after="0"/>
              <w:rPr>
                <w:rFonts w:ascii="Aptos Light" w:hAnsi="Aptos Light" w:eastAsia="Aptos" w:cs="Arial"/>
                <w:b/>
                <w:bCs/>
                <w:kern w:val="2"/>
                <w:sz w:val="18"/>
                <w:szCs w:val="18"/>
                <w14:ligatures w14:val="standardContextual"/>
              </w:rPr>
            </w:pPr>
            <w:r w:rsidRPr="00867D1E">
              <w:rPr>
                <w:rFonts w:ascii="Aptos Light" w:hAnsi="Aptos Light" w:eastAsia="Aptos" w:cs="Arial"/>
                <w:b/>
                <w:bCs/>
                <w:kern w:val="2"/>
                <w:sz w:val="18"/>
                <w:szCs w:val="18"/>
                <w14:ligatures w14:val="standardContextual"/>
              </w:rPr>
              <w:t>People with Disabilities</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44265C4A" w14:textId="77777777">
            <w:pPr>
              <w:spacing w:after="0"/>
              <w:jc w:val="center"/>
              <w:rPr>
                <w:rFonts w:ascii="Aptos Light" w:hAnsi="Aptos Light" w:eastAsia="Aptos" w:cs="Arial"/>
                <w:kern w:val="2"/>
                <w:sz w:val="18"/>
                <w:szCs w:val="18"/>
                <w14:ligatures w14:val="standardContextual"/>
              </w:rPr>
            </w:pP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0EAF5CBA" w14:textId="77777777">
            <w:pPr>
              <w:spacing w:after="0"/>
              <w:jc w:val="center"/>
              <w:rPr>
                <w:rFonts w:ascii="Aptos Light" w:hAnsi="Aptos Light" w:eastAsia="Aptos" w:cs="Arial"/>
                <w:kern w:val="2"/>
                <w:sz w:val="18"/>
                <w:szCs w:val="18"/>
                <w14:ligatures w14:val="standardContextual"/>
              </w:rPr>
            </w:pPr>
          </w:p>
        </w:tc>
      </w:tr>
      <w:tr w:rsidRPr="00867D1E" w:rsidR="00867D1E" w:rsidTr="00867D1E" w14:paraId="2AD1122B" w14:textId="77777777">
        <w:trPr>
          <w:trHeight w:val="20"/>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867D1E" w:rsidR="00867D1E" w:rsidP="00867D1E" w:rsidRDefault="00867D1E" w14:paraId="1FFFEF21" w14:textId="77777777">
            <w:pPr>
              <w:spacing w:after="0"/>
              <w:ind w:left="260"/>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Blind/Vision Impaired</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3885934A"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69.3***</w:t>
            </w: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7770509A"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33.6***</w:t>
            </w:r>
          </w:p>
        </w:tc>
      </w:tr>
      <w:tr w:rsidRPr="00867D1E" w:rsidR="00867D1E" w:rsidTr="00867D1E" w14:paraId="2EE0835E"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867D1E" w:rsidR="00867D1E" w:rsidP="00867D1E" w:rsidRDefault="00867D1E" w14:paraId="31B2B697" w14:textId="77777777">
            <w:pPr>
              <w:spacing w:after="0"/>
              <w:ind w:left="260"/>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Cognitive Disability</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301396D3"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72.1***</w:t>
            </w: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7A8DD991"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38.4***</w:t>
            </w:r>
          </w:p>
        </w:tc>
      </w:tr>
      <w:tr w:rsidRPr="00867D1E" w:rsidR="00867D1E" w:rsidTr="00867D1E" w14:paraId="71468D81"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867D1E" w:rsidR="00867D1E" w:rsidP="00867D1E" w:rsidRDefault="00867D1E" w14:paraId="761C7201" w14:textId="77777777">
            <w:pPr>
              <w:spacing w:after="0"/>
              <w:ind w:left="260"/>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Deaf/Hard of Hearing</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3C4E8DCB"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57.1*</w:t>
            </w: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2CA28149"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20.6***</w:t>
            </w:r>
          </w:p>
        </w:tc>
      </w:tr>
      <w:tr w:rsidRPr="00867D1E" w:rsidR="00867D1E" w:rsidTr="00867D1E" w14:paraId="415D2065"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867D1E" w:rsidR="00867D1E" w:rsidP="00867D1E" w:rsidRDefault="00867D1E" w14:paraId="3AAF92B6" w14:textId="77777777">
            <w:pPr>
              <w:spacing w:after="0"/>
              <w:ind w:left="260"/>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Learning/Intellectual Disability</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7C9C2BE7"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67.7***</w:t>
            </w: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0E4D2A51"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40.3***</w:t>
            </w:r>
          </w:p>
        </w:tc>
      </w:tr>
      <w:tr w:rsidRPr="00867D1E" w:rsidR="00867D1E" w:rsidTr="00867D1E" w14:paraId="418EB530"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867D1E" w:rsidR="00867D1E" w:rsidP="00867D1E" w:rsidRDefault="00867D1E" w14:paraId="2CB09AA9" w14:textId="77777777">
            <w:pPr>
              <w:spacing w:after="0"/>
              <w:ind w:left="260"/>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Mobility Disability</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0E2A0251"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64.7***</w:t>
            </w: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7CA78463"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28.9***</w:t>
            </w:r>
          </w:p>
        </w:tc>
      </w:tr>
      <w:tr w:rsidRPr="00867D1E" w:rsidR="00867D1E" w:rsidTr="00867D1E" w14:paraId="3F7F69B0"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867D1E" w:rsidR="00867D1E" w:rsidP="00867D1E" w:rsidRDefault="00867D1E" w14:paraId="1AC9C995" w14:textId="77777777">
            <w:pPr>
              <w:spacing w:after="0"/>
              <w:ind w:left="260"/>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Self-Care/Independent Living Disability</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4A47161F"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72.3***</w:t>
            </w: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2428778F"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39.3***</w:t>
            </w:r>
          </w:p>
        </w:tc>
      </w:tr>
      <w:tr w:rsidRPr="00867D1E" w:rsidR="00867D1E" w:rsidTr="00867D1E" w14:paraId="46D38700" w14:textId="77777777">
        <w:trPr>
          <w:trHeight w:val="25"/>
          <w:tblHeader/>
        </w:trPr>
        <w:tc>
          <w:tcPr>
            <w:tcW w:w="3240" w:type="dxa"/>
            <w:tcBorders>
              <w:top w:val="single" w:color="BFBFBF" w:sz="2" w:space="0"/>
              <w:bottom w:val="single" w:color="BFBFBF" w:sz="2" w:space="0"/>
            </w:tcBorders>
            <w:tcMar>
              <w:top w:w="0" w:type="dxa"/>
              <w:left w:w="100" w:type="dxa"/>
              <w:bottom w:w="0" w:type="dxa"/>
              <w:right w:w="100" w:type="dxa"/>
            </w:tcMar>
            <w:vAlign w:val="center"/>
          </w:tcPr>
          <w:p w:rsidRPr="00867D1E" w:rsidR="00867D1E" w:rsidP="00867D1E" w:rsidRDefault="00867D1E" w14:paraId="16065C62" w14:textId="77777777">
            <w:pPr>
              <w:spacing w:after="0"/>
              <w:ind w:left="260"/>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One or More Disabilities</w:t>
            </w:r>
          </w:p>
        </w:tc>
        <w:tc>
          <w:tcPr>
            <w:tcW w:w="288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0D12CE1B"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66.3***</w:t>
            </w:r>
          </w:p>
        </w:tc>
        <w:tc>
          <w:tcPr>
            <w:tcW w:w="3960" w:type="dxa"/>
            <w:tcBorders>
              <w:top w:val="single" w:color="BFBFBF" w:sz="2" w:space="0"/>
              <w:bottom w:val="single" w:color="BFBFBF" w:sz="2" w:space="0"/>
            </w:tcBorders>
            <w:tcMar>
              <w:top w:w="100" w:type="dxa"/>
              <w:left w:w="100" w:type="dxa"/>
              <w:bottom w:w="100" w:type="dxa"/>
              <w:right w:w="100" w:type="dxa"/>
            </w:tcMar>
            <w:vAlign w:val="center"/>
          </w:tcPr>
          <w:p w:rsidRPr="00867D1E" w:rsidR="00867D1E" w:rsidP="00867D1E" w:rsidRDefault="00867D1E" w14:paraId="2579A59F"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29.7***</w:t>
            </w:r>
          </w:p>
        </w:tc>
      </w:tr>
      <w:tr w:rsidRPr="00867D1E" w:rsidR="00867D1E" w:rsidTr="00867D1E" w14:paraId="003FBF32" w14:textId="77777777">
        <w:trPr>
          <w:trHeight w:val="25"/>
          <w:tblHeader/>
        </w:trPr>
        <w:tc>
          <w:tcPr>
            <w:tcW w:w="3240" w:type="dxa"/>
            <w:tcBorders>
              <w:top w:val="single" w:color="BFBFBF" w:sz="2" w:space="0"/>
              <w:bottom w:val="single" w:color="auto" w:sz="2" w:space="0"/>
            </w:tcBorders>
            <w:tcMar>
              <w:top w:w="0" w:type="dxa"/>
              <w:left w:w="100" w:type="dxa"/>
              <w:bottom w:w="0" w:type="dxa"/>
              <w:right w:w="100" w:type="dxa"/>
            </w:tcMar>
            <w:vAlign w:val="center"/>
          </w:tcPr>
          <w:p w:rsidRPr="00867D1E" w:rsidR="00867D1E" w:rsidP="00867D1E" w:rsidRDefault="00867D1E" w14:paraId="3BEED45B" w14:textId="77777777">
            <w:pPr>
              <w:spacing w:after="0"/>
              <w:ind w:left="260"/>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No Disability (</w:t>
            </w:r>
            <w:r w:rsidRPr="00867D1E">
              <w:rPr>
                <w:rFonts w:ascii="Aptos Light" w:hAnsi="Aptos Light" w:eastAsia="Aptos" w:cs="Arial"/>
                <w:i/>
                <w:iCs/>
                <w:kern w:val="2"/>
                <w:sz w:val="18"/>
                <w:szCs w:val="18"/>
                <w14:ligatures w14:val="standardContextual"/>
              </w:rPr>
              <w:t>ref</w:t>
            </w:r>
            <w:r w:rsidRPr="00867D1E">
              <w:rPr>
                <w:rFonts w:ascii="Aptos Light" w:hAnsi="Aptos Light" w:eastAsia="Aptos" w:cs="Arial"/>
                <w:kern w:val="2"/>
                <w:sz w:val="18"/>
                <w:szCs w:val="18"/>
                <w14:ligatures w14:val="standardContextual"/>
              </w:rPr>
              <w:t>)</w:t>
            </w:r>
          </w:p>
        </w:tc>
        <w:tc>
          <w:tcPr>
            <w:tcW w:w="2880" w:type="dxa"/>
            <w:tcBorders>
              <w:top w:val="single" w:color="BFBFBF" w:sz="2" w:space="0"/>
              <w:bottom w:val="single" w:color="auto" w:sz="2" w:space="0"/>
            </w:tcBorders>
            <w:tcMar>
              <w:top w:w="100" w:type="dxa"/>
              <w:left w:w="100" w:type="dxa"/>
              <w:bottom w:w="100" w:type="dxa"/>
              <w:right w:w="100" w:type="dxa"/>
            </w:tcMar>
            <w:vAlign w:val="center"/>
          </w:tcPr>
          <w:p w:rsidRPr="00867D1E" w:rsidR="00867D1E" w:rsidP="00867D1E" w:rsidRDefault="00867D1E" w14:paraId="54557A3A"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50.1</w:t>
            </w:r>
          </w:p>
        </w:tc>
        <w:tc>
          <w:tcPr>
            <w:tcW w:w="3960" w:type="dxa"/>
            <w:tcBorders>
              <w:top w:val="single" w:color="BFBFBF" w:sz="2" w:space="0"/>
              <w:bottom w:val="single" w:color="auto" w:sz="2" w:space="0"/>
            </w:tcBorders>
            <w:tcMar>
              <w:top w:w="100" w:type="dxa"/>
              <w:left w:w="100" w:type="dxa"/>
              <w:bottom w:w="100" w:type="dxa"/>
              <w:right w:w="100" w:type="dxa"/>
            </w:tcMar>
            <w:vAlign w:val="center"/>
          </w:tcPr>
          <w:p w:rsidRPr="00867D1E" w:rsidR="00867D1E" w:rsidP="00867D1E" w:rsidRDefault="00867D1E" w14:paraId="6E3EF4BC" w14:textId="77777777">
            <w:pPr>
              <w:spacing w:after="0"/>
              <w:jc w:val="center"/>
              <w:rPr>
                <w:rFonts w:ascii="Aptos Light" w:hAnsi="Aptos Light" w:eastAsia="Aptos" w:cs="Arial"/>
                <w:kern w:val="2"/>
                <w:sz w:val="18"/>
                <w:szCs w:val="18"/>
                <w14:ligatures w14:val="standardContextual"/>
              </w:rPr>
            </w:pPr>
            <w:r w:rsidRPr="00867D1E">
              <w:rPr>
                <w:rFonts w:ascii="Aptos Light" w:hAnsi="Aptos Light" w:eastAsia="Aptos" w:cs="Arial"/>
                <w:kern w:val="2"/>
                <w:sz w:val="18"/>
                <w:szCs w:val="18"/>
                <w14:ligatures w14:val="standardContextual"/>
              </w:rPr>
              <w:t>14.6</w:t>
            </w:r>
          </w:p>
        </w:tc>
      </w:tr>
    </w:tbl>
    <w:p w:rsidRPr="00867D1E" w:rsidR="00867D1E" w:rsidP="00867D1E" w:rsidRDefault="00867D1E" w14:paraId="28968E0C" w14:textId="77777777">
      <w:pPr>
        <w:ind w:left="720"/>
        <w:rPr>
          <w:rFonts w:ascii="Aptos Light" w:hAnsi="Aptos Light" w:eastAsia="Aptos" w:cs="Arial"/>
          <w:kern w:val="2"/>
          <w14:ligatures w14:val="standardContextual"/>
        </w:rPr>
      </w:pPr>
      <w:r w:rsidRPr="00867D1E">
        <w:rPr>
          <w:rFonts w:ascii="Aptos Light" w:hAnsi="Aptos Light" w:eastAsia="Aptos" w:cs="Arial"/>
          <w:kern w:val="2"/>
          <w:sz w:val="18"/>
          <w:szCs w:val="18"/>
          <w:vertAlign w:val="superscript"/>
          <w14:ligatures w14:val="standardContextual"/>
        </w:rPr>
        <w:t>1</w:t>
      </w:r>
      <w:r w:rsidRPr="00867D1E">
        <w:rPr>
          <w:rFonts w:ascii="Aptos Light" w:hAnsi="Aptos Light" w:eastAsia="Aptos" w:cs="Arial"/>
          <w:kern w:val="2"/>
          <w:sz w:val="18"/>
          <w:szCs w:val="18"/>
          <w14:ligatures w14:val="standardContextual"/>
        </w:rPr>
        <w:t xml:space="preserve">Reported ever seeing or hearing someone getting physically attacked, beaten, stabbed, or shot in the neighborhood they were living. </w:t>
      </w:r>
      <w:r w:rsidRPr="00867D1E">
        <w:rPr>
          <w:rFonts w:ascii="Aptos Light" w:hAnsi="Aptos Light" w:eastAsia="Aptos" w:cs="Arial"/>
          <w:kern w:val="2"/>
          <w:sz w:val="18"/>
          <w:szCs w:val="18"/>
          <w14:ligatures w14:val="standardContextual"/>
        </w:rPr>
        <w:br/>
      </w:r>
      <w:r w:rsidRPr="00867D1E">
        <w:rPr>
          <w:rFonts w:ascii="Aptos Light" w:hAnsi="Aptos Light" w:eastAsia="Aptos" w:cs="Arial"/>
          <w:kern w:val="2"/>
          <w:sz w:val="18"/>
          <w:szCs w:val="18"/>
          <w14:ligatures w14:val="standardContextual"/>
        </w:rPr>
        <w:t>*** p&lt;.0001, ** p&lt;.001, * p&lt;.05</w:t>
      </w:r>
      <w:r w:rsidRPr="00867D1E">
        <w:rPr>
          <w:rFonts w:ascii="Aptos Light" w:hAnsi="Aptos Light" w:eastAsia="Aptos" w:cs="Arial"/>
          <w:kern w:val="2"/>
          <w:sz w:val="18"/>
          <w:szCs w:val="18"/>
          <w14:ligatures w14:val="standardContextual"/>
        </w:rPr>
        <w:tab/>
      </w:r>
      <w:r w:rsidRPr="00867D1E">
        <w:rPr>
          <w:rFonts w:ascii="Aptos Light" w:hAnsi="Aptos Light" w:eastAsia="Aptos" w:cs="Arial"/>
          <w:kern w:val="2"/>
          <w:sz w:val="18"/>
          <w:szCs w:val="18"/>
          <w14:ligatures w14:val="standardContextual"/>
        </w:rPr>
        <w:t xml:space="preserve">P-values from Pearson chi-square test indicate whether weighted responses from those </w:t>
      </w:r>
      <w:r w:rsidRPr="00867D1E">
        <w:rPr>
          <w:rFonts w:ascii="Aptos Light" w:hAnsi="Aptos Light" w:eastAsia="Aptos" w:cs="Arial"/>
          <w:kern w:val="2"/>
          <w:sz w:val="18"/>
          <w:szCs w:val="18"/>
          <w14:ligatures w14:val="standardContextual"/>
        </w:rPr>
        <w:t>identifying as specified group significantly differ from those identifying as the noted reference group.</w:t>
      </w:r>
      <w:r w:rsidRPr="00867D1E">
        <w:rPr>
          <w:rFonts w:ascii="Aptos Light" w:hAnsi="Aptos Light" w:eastAsia="Aptos" w:cs="Arial"/>
          <w:noProof/>
          <w:kern w:val="2"/>
          <w14:ligatures w14:val="standardContextual"/>
        </w:rPr>
        <mc:AlternateContent>
          <mc:Choice Requires="wpg">
            <w:drawing>
              <wp:inline distT="0" distB="0" distL="0" distR="0" wp14:anchorId="7ACDBF02" wp14:editId="4225B027">
                <wp:extent cx="6619240" cy="4400550"/>
                <wp:effectExtent l="0" t="0" r="0" b="0"/>
                <wp:docPr id="2021529778" name="Group 56"/>
                <wp:cNvGraphicFramePr/>
                <a:graphic xmlns:a="http://schemas.openxmlformats.org/drawingml/2006/main">
                  <a:graphicData uri="http://schemas.microsoft.com/office/word/2010/wordprocessingGroup">
                    <wpg:wgp>
                      <wpg:cNvGrpSpPr/>
                      <wpg:grpSpPr>
                        <a:xfrm>
                          <a:off x="0" y="0"/>
                          <a:ext cx="6619240" cy="4400550"/>
                          <a:chOff x="0" y="0"/>
                          <a:chExt cx="6619240" cy="4400550"/>
                        </a:xfrm>
                      </wpg:grpSpPr>
                      <wps:wsp>
                        <wps:cNvPr id="1322203971" name="Text Box 45"/>
                        <wps:cNvSpPr txBox="1">
                          <a:spLocks noChangeArrowheads="1"/>
                        </wps:cNvSpPr>
                        <wps:spPr bwMode="auto">
                          <a:xfrm>
                            <a:off x="0" y="0"/>
                            <a:ext cx="6619240" cy="304165"/>
                          </a:xfrm>
                          <a:prstGeom prst="rect">
                            <a:avLst/>
                          </a:prstGeom>
                          <a:solidFill>
                            <a:srgbClr val="0E2841">
                              <a:lumMod val="90000"/>
                              <a:lumOff val="10000"/>
                            </a:srgbClr>
                          </a:solidFill>
                          <a:ln w="9525">
                            <a:noFill/>
                            <a:miter lim="800000"/>
                            <a:headEnd/>
                            <a:tailEnd/>
                          </a:ln>
                        </wps:spPr>
                        <wps:txbx>
                          <w:txbxContent>
                            <w:p w:rsidRPr="000C75E1" w:rsidR="00867D1E" w:rsidP="00867D1E" w:rsidRDefault="00867D1E" w14:paraId="3A9E3279" w14:textId="77777777">
                              <w:pPr>
                                <w:rPr>
                                  <w:b/>
                                  <w:bCs/>
                                  <w:sz w:val="28"/>
                                  <w:szCs w:val="28"/>
                                </w:rPr>
                              </w:pPr>
                              <w:r>
                                <w:rPr>
                                  <w:b/>
                                  <w:bCs/>
                                  <w:sz w:val="28"/>
                                  <w:szCs w:val="28"/>
                                </w:rPr>
                                <w:t>Discrimination Within Communities of Focus</w:t>
                              </w:r>
                            </w:p>
                          </w:txbxContent>
                        </wps:txbx>
                        <wps:bodyPr rot="0" vert="horz" wrap="square" lIns="91440" tIns="45720" rIns="91440" bIns="45720" anchor="t" anchorCtr="0">
                          <a:noAutofit/>
                        </wps:bodyPr>
                      </wps:wsp>
                      <wps:wsp>
                        <wps:cNvPr id="1035118635" name="Text Box 44"/>
                        <wps:cNvSpPr txBox="1">
                          <a:spLocks noChangeArrowheads="1"/>
                        </wps:cNvSpPr>
                        <wps:spPr bwMode="auto">
                          <a:xfrm>
                            <a:off x="161925" y="304800"/>
                            <a:ext cx="6454775" cy="1600200"/>
                          </a:xfrm>
                          <a:prstGeom prst="rect">
                            <a:avLst/>
                          </a:prstGeom>
                          <a:solidFill>
                            <a:srgbClr val="0E2841">
                              <a:lumMod val="10000"/>
                              <a:lumOff val="90000"/>
                            </a:srgbClr>
                          </a:solidFill>
                          <a:ln w="9525">
                            <a:noFill/>
                            <a:miter lim="800000"/>
                            <a:headEnd/>
                            <a:tailEnd/>
                          </a:ln>
                        </wps:spPr>
                        <wps:txbx>
                          <w:txbxContent>
                            <w:p w:rsidRPr="006E1AA2" w:rsidR="00867D1E" w:rsidP="00867D1E" w:rsidRDefault="00867D1E" w14:paraId="6203183B" w14:textId="77777777">
                              <w:pPr>
                                <w:spacing w:after="0"/>
                                <w:rPr>
                                  <w:b/>
                                  <w:bCs/>
                                </w:rPr>
                              </w:pPr>
                              <w:r w:rsidRPr="006E1AA2">
                                <w:rPr>
                                  <w:b/>
                                  <w:bCs/>
                                </w:rPr>
                                <w:t xml:space="preserve">Communities of Color </w:t>
                              </w:r>
                            </w:p>
                            <w:p w:rsidR="00867D1E" w:rsidP="00867D1E" w:rsidRDefault="00867D1E" w14:paraId="2BC58C31" w14:textId="77777777">
                              <w:pPr>
                                <w:pStyle w:val="ListParagraph"/>
                                <w:numPr>
                                  <w:ilvl w:val="0"/>
                                  <w:numId w:val="5"/>
                                </w:numPr>
                              </w:pPr>
                              <w:r>
                                <w:t xml:space="preserve">Respondents who identified as American Indian/Alaska Native, Black, Hispanic/Latine/o/a, Middle Eastern or North African, or Multiracial reported significantly higher rates of discrimination in their lifetime compared to White respondents. </w:t>
                              </w:r>
                            </w:p>
                            <w:p w:rsidR="00867D1E" w:rsidP="00867D1E" w:rsidRDefault="00867D1E" w14:paraId="549FF7D6" w14:textId="77777777">
                              <w:pPr>
                                <w:pStyle w:val="ListParagraph"/>
                                <w:numPr>
                                  <w:ilvl w:val="0"/>
                                  <w:numId w:val="5"/>
                                </w:numPr>
                              </w:pPr>
                              <w:r>
                                <w:t xml:space="preserve">Approximately 3 in 4 respondents who identified as American Indian/Alaska Native, Middle Eastern or North African, or Multiracial reported experiencing discrimination in their lifetime.  </w:t>
                              </w:r>
                            </w:p>
                            <w:p w:rsidR="00867D1E" w:rsidP="00867D1E" w:rsidRDefault="00867D1E" w14:paraId="17F3A3E3" w14:textId="77777777">
                              <w:pPr>
                                <w:pStyle w:val="ListParagraph"/>
                                <w:numPr>
                                  <w:ilvl w:val="0"/>
                                  <w:numId w:val="5"/>
                                </w:numPr>
                              </w:pPr>
                              <w:r>
                                <w:t xml:space="preserve">7 in 10 respondents who identified as Black reported experiencing discrimination in their lifetime, with 3 in 10 experiencing it in the past year. </w:t>
                              </w:r>
                            </w:p>
                          </w:txbxContent>
                        </wps:txbx>
                        <wps:bodyPr rot="0" vert="horz" wrap="square" lIns="91440" tIns="45720" rIns="91440" bIns="45720" anchor="t" anchorCtr="0">
                          <a:noAutofit/>
                        </wps:bodyPr>
                      </wps:wsp>
                      <wps:wsp>
                        <wps:cNvPr id="1675841174" name="Text Box 44"/>
                        <wps:cNvSpPr txBox="1">
                          <a:spLocks noChangeArrowheads="1"/>
                        </wps:cNvSpPr>
                        <wps:spPr bwMode="auto">
                          <a:xfrm>
                            <a:off x="161925" y="1905000"/>
                            <a:ext cx="6454775" cy="1657350"/>
                          </a:xfrm>
                          <a:prstGeom prst="rect">
                            <a:avLst/>
                          </a:prstGeom>
                          <a:solidFill>
                            <a:srgbClr val="0E2841">
                              <a:lumMod val="25000"/>
                              <a:lumOff val="75000"/>
                            </a:srgbClr>
                          </a:solidFill>
                          <a:ln w="9525">
                            <a:noFill/>
                            <a:miter lim="800000"/>
                            <a:headEnd/>
                            <a:tailEnd/>
                          </a:ln>
                        </wps:spPr>
                        <wps:txbx>
                          <w:txbxContent>
                            <w:p w:rsidRPr="006E1AA2" w:rsidR="00867D1E" w:rsidP="00867D1E" w:rsidRDefault="00867D1E" w14:paraId="78E2F874" w14:textId="77777777">
                              <w:pPr>
                                <w:spacing w:after="0"/>
                                <w:rPr>
                                  <w:b/>
                                  <w:bCs/>
                                </w:rPr>
                              </w:pPr>
                              <w:r>
                                <w:rPr>
                                  <w:b/>
                                  <w:bCs/>
                                </w:rPr>
                                <w:t>LGBTQA+ Community</w:t>
                              </w:r>
                            </w:p>
                            <w:p w:rsidR="00867D1E" w:rsidP="00867D1E" w:rsidRDefault="00867D1E" w14:paraId="366274CD" w14:textId="77777777">
                              <w:pPr>
                                <w:pStyle w:val="ListParagraph"/>
                                <w:numPr>
                                  <w:ilvl w:val="0"/>
                                  <w:numId w:val="5"/>
                                </w:numPr>
                              </w:pPr>
                              <w:r>
                                <w:t xml:space="preserve">Respondents who identified as asexual, bisexual, pansexual, gay, lesbian, queer, or questioning were significantly more likely to experience discrimination compared to respondents who identified as heterosexual. </w:t>
                              </w:r>
                            </w:p>
                            <w:p w:rsidR="00867D1E" w:rsidP="00867D1E" w:rsidRDefault="00867D1E" w14:paraId="7A279D48" w14:textId="77777777">
                              <w:pPr>
                                <w:pStyle w:val="ListParagraph"/>
                                <w:numPr>
                                  <w:ilvl w:val="0"/>
                                  <w:numId w:val="5"/>
                                </w:numPr>
                              </w:pPr>
                              <w:r>
                                <w:t xml:space="preserve">Nearly 9 in 10 respondents who identified as queer reported experiencing discrimination in their lifetime, with over half reporting experiencing discrimination in the past 12 months. </w:t>
                              </w:r>
                            </w:p>
                            <w:p w:rsidR="00867D1E" w:rsidP="00867D1E" w:rsidRDefault="00867D1E" w14:paraId="5CC9D7EE" w14:textId="77777777">
                              <w:pPr>
                                <w:pStyle w:val="ListParagraph"/>
                                <w:numPr>
                                  <w:ilvl w:val="0"/>
                                  <w:numId w:val="5"/>
                                </w:numPr>
                              </w:pPr>
                              <w:r>
                                <w:t xml:space="preserve">9 in 10 respondents who identified as transgender reported experiencing discrimination in their lifetime, 6 in 10 in the past 12 months. </w:t>
                              </w:r>
                            </w:p>
                          </w:txbxContent>
                        </wps:txbx>
                        <wps:bodyPr rot="0" vert="horz" wrap="square" lIns="91440" tIns="45720" rIns="91440" bIns="45720" anchor="t" anchorCtr="0">
                          <a:noAutofit/>
                        </wps:bodyPr>
                      </wps:wsp>
                      <wps:wsp>
                        <wps:cNvPr id="41485407" name="Text Box 44"/>
                        <wps:cNvSpPr txBox="1">
                          <a:spLocks noChangeArrowheads="1"/>
                        </wps:cNvSpPr>
                        <wps:spPr bwMode="auto">
                          <a:xfrm>
                            <a:off x="161925" y="3543300"/>
                            <a:ext cx="6454775" cy="857250"/>
                          </a:xfrm>
                          <a:prstGeom prst="rect">
                            <a:avLst/>
                          </a:prstGeom>
                          <a:solidFill>
                            <a:srgbClr val="0E2841">
                              <a:lumMod val="10000"/>
                              <a:lumOff val="90000"/>
                            </a:srgbClr>
                          </a:solidFill>
                          <a:ln w="9525">
                            <a:noFill/>
                            <a:miter lim="800000"/>
                            <a:headEnd/>
                            <a:tailEnd/>
                          </a:ln>
                        </wps:spPr>
                        <wps:txbx>
                          <w:txbxContent>
                            <w:p w:rsidRPr="006E1AA2" w:rsidR="00867D1E" w:rsidP="00867D1E" w:rsidRDefault="00867D1E" w14:paraId="75C1A770" w14:textId="77777777">
                              <w:pPr>
                                <w:spacing w:after="0"/>
                                <w:rPr>
                                  <w:b/>
                                  <w:bCs/>
                                </w:rPr>
                              </w:pPr>
                              <w:r>
                                <w:rPr>
                                  <w:b/>
                                  <w:bCs/>
                                </w:rPr>
                                <w:t>People with Disabilities</w:t>
                              </w:r>
                            </w:p>
                            <w:p w:rsidR="00867D1E" w:rsidP="00867D1E" w:rsidRDefault="00867D1E" w14:paraId="214158C5" w14:textId="77777777">
                              <w:pPr>
                                <w:pStyle w:val="ListParagraph"/>
                                <w:numPr>
                                  <w:ilvl w:val="0"/>
                                  <w:numId w:val="5"/>
                                </w:numPr>
                              </w:pPr>
                              <w:r>
                                <w:t xml:space="preserve">Respondents who reported having one or more disabilities were over twice as likely to report experiencing discrimination in the past 12 months compared to those who reported not having disabilities. </w:t>
                              </w:r>
                            </w:p>
                          </w:txbxContent>
                        </wps:txbx>
                        <wps:bodyPr rot="0" vert="horz" wrap="square" lIns="91440" tIns="45720" rIns="91440" bIns="45720" anchor="t" anchorCtr="0">
                          <a:noAutofit/>
                        </wps:bodyPr>
                      </wps:wsp>
                    </wpg:wgp>
                  </a:graphicData>
                </a:graphic>
              </wp:inline>
            </w:drawing>
          </mc:Choice>
          <mc:Fallback>
            <w:pict w14:anchorId="6DB27B8B">
              <v:group id="Group 56" style="width:521.2pt;height:346.5pt;mso-position-horizontal-relative:char;mso-position-vertical-relative:line" coordsize="66192,44005" o:spid="_x0000_s1026" w14:anchorId="7ACDBF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">
                <v:shapetype id="_x0000_t202" coordsize="21600,21600" o:spt="202" path="m,l,21600r21600,l21600,xe">
                  <v:stroke joinstyle="miter"/>
                  <v:path gradientshapeok="t" o:connecttype="rect"/>
                </v:shapetype>
                <v:shape id="Text Box 45" style="position:absolute;width:66192;height:3041;visibility:visible;mso-wrap-style:square;v-text-anchor:top" o:spid="_x0000_s1027" fillcolor="#163e6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">
                  <v:textbox>
                    <w:txbxContent>
                      <w:p w:rsidRPr="000C75E1" w:rsidR="00867D1E" w:rsidP="00867D1E" w:rsidRDefault="00867D1E" w14:paraId="17ECFBA7" w14:textId="77777777">
                        <w:pPr>
                          <w:rPr>
                            <w:b/>
                            <w:bCs/>
                            <w:sz w:val="28"/>
                            <w:szCs w:val="28"/>
                          </w:rPr>
                        </w:pPr>
                        <w:r>
                          <w:rPr>
                            <w:b/>
                            <w:bCs/>
                            <w:sz w:val="28"/>
                            <w:szCs w:val="28"/>
                          </w:rPr>
                          <w:t>Discrimination Within Communities of Focus</w:t>
                        </w:r>
                      </w:p>
                    </w:txbxContent>
                  </v:textbox>
                </v:shape>
                <v:shape id="Text Box 44" style="position:absolute;left:1619;top:3048;width:64548;height:16002;visibility:visible;mso-wrap-style:square;v-text-anchor:top" o:spid="_x0000_s1028" fillcolor="#dceaf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">
                  <v:textbox>
                    <w:txbxContent>
                      <w:p w:rsidRPr="006E1AA2" w:rsidR="00867D1E" w:rsidP="00867D1E" w:rsidRDefault="00867D1E" w14:paraId="7E19EEE6" w14:textId="77777777">
                        <w:pPr>
                          <w:spacing w:after="0"/>
                          <w:rPr>
                            <w:b/>
                            <w:bCs/>
                          </w:rPr>
                        </w:pPr>
                        <w:r w:rsidRPr="006E1AA2">
                          <w:rPr>
                            <w:b/>
                            <w:bCs/>
                          </w:rPr>
                          <w:t xml:space="preserve">Communities of Color </w:t>
                        </w:r>
                      </w:p>
                      <w:p w:rsidR="00867D1E" w:rsidP="00867D1E" w:rsidRDefault="00867D1E" w14:paraId="0BCFBE6C" w14:textId="77777777">
                        <w:pPr>
                          <w:pStyle w:val="ListParagraph"/>
                          <w:numPr>
                            <w:ilvl w:val="0"/>
                            <w:numId w:val="5"/>
                          </w:numPr>
                        </w:pPr>
                        <w:r>
                          <w:t xml:space="preserve">Respondents who identified as American Indian/Alaska Native, Black, Hispanic/Latine/o/a, Middle Eastern or North African, or Multiracial reported significantly higher rates of discrimination in their lifetime compared to White respondents. </w:t>
                        </w:r>
                      </w:p>
                      <w:p w:rsidR="00867D1E" w:rsidP="00867D1E" w:rsidRDefault="00867D1E" w14:paraId="04B6E662" w14:textId="77777777">
                        <w:pPr>
                          <w:pStyle w:val="ListParagraph"/>
                          <w:numPr>
                            <w:ilvl w:val="0"/>
                            <w:numId w:val="5"/>
                          </w:numPr>
                        </w:pPr>
                        <w:r>
                          <w:t xml:space="preserve">Approximately 3 in 4 respondents who identified as American Indian/Alaska Native, Middle Eastern or North African, or Multiracial reported experiencing discrimination in their lifetime.  </w:t>
                        </w:r>
                      </w:p>
                      <w:p w:rsidR="00867D1E" w:rsidP="00867D1E" w:rsidRDefault="00867D1E" w14:paraId="58B706D5" w14:textId="77777777">
                        <w:pPr>
                          <w:pStyle w:val="ListParagraph"/>
                          <w:numPr>
                            <w:ilvl w:val="0"/>
                            <w:numId w:val="5"/>
                          </w:numPr>
                        </w:pPr>
                        <w:r>
                          <w:t xml:space="preserve">7 in 10 respondents who identified as Black reported experiencing discrimination in their lifetime, with 3 in 10 experiencing it in the past year. </w:t>
                        </w:r>
                      </w:p>
                    </w:txbxContent>
                  </v:textbox>
                </v:shape>
                <v:shape id="Text Box 44" style="position:absolute;left:1619;top:19050;width:64548;height:16573;visibility:visible;mso-wrap-style:square;v-text-anchor:top" o:spid="_x0000_s1029" fillcolor="#a6caec"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">
                  <v:textbox>
                    <w:txbxContent>
                      <w:p w:rsidRPr="006E1AA2" w:rsidR="00867D1E" w:rsidP="00867D1E" w:rsidRDefault="00867D1E" w14:paraId="735C67B3" w14:textId="77777777">
                        <w:pPr>
                          <w:spacing w:after="0"/>
                          <w:rPr>
                            <w:b/>
                            <w:bCs/>
                          </w:rPr>
                        </w:pPr>
                        <w:r>
                          <w:rPr>
                            <w:b/>
                            <w:bCs/>
                          </w:rPr>
                          <w:t>LGBTQA+ Community</w:t>
                        </w:r>
                      </w:p>
                      <w:p w:rsidR="00867D1E" w:rsidP="00867D1E" w:rsidRDefault="00867D1E" w14:paraId="716D8045" w14:textId="77777777">
                        <w:pPr>
                          <w:pStyle w:val="ListParagraph"/>
                          <w:numPr>
                            <w:ilvl w:val="0"/>
                            <w:numId w:val="5"/>
                          </w:numPr>
                        </w:pPr>
                        <w:r>
                          <w:t xml:space="preserve">Respondents who identified as asexual, bisexual, pansexual, gay, lesbian, queer, or questioning were significantly more likely to experience discrimination compared to respondents who identified as heterosexual. </w:t>
                        </w:r>
                      </w:p>
                      <w:p w:rsidR="00867D1E" w:rsidP="00867D1E" w:rsidRDefault="00867D1E" w14:paraId="08DFBC1C" w14:textId="77777777">
                        <w:pPr>
                          <w:pStyle w:val="ListParagraph"/>
                          <w:numPr>
                            <w:ilvl w:val="0"/>
                            <w:numId w:val="5"/>
                          </w:numPr>
                        </w:pPr>
                        <w:r>
                          <w:t xml:space="preserve">Nearly 9 in 10 respondents who identified as queer reported experiencing discrimination in their lifetime, with over half reporting experiencing discrimination in the past 12 months. </w:t>
                        </w:r>
                      </w:p>
                      <w:p w:rsidR="00867D1E" w:rsidP="00867D1E" w:rsidRDefault="00867D1E" w14:paraId="4F5A69D0" w14:textId="77777777">
                        <w:pPr>
                          <w:pStyle w:val="ListParagraph"/>
                          <w:numPr>
                            <w:ilvl w:val="0"/>
                            <w:numId w:val="5"/>
                          </w:numPr>
                        </w:pPr>
                        <w:r>
                          <w:t xml:space="preserve">9 in 10 respondents who identified as transgender reported experiencing discrimination in their lifetime, 6 in 10 in the past 12 months. </w:t>
                        </w:r>
                      </w:p>
                    </w:txbxContent>
                  </v:textbox>
                </v:shape>
                <v:shape id="Text Box 44" style="position:absolute;left:1619;top:35433;width:64548;height:8572;visibility:visible;mso-wrap-style:square;v-text-anchor:top" o:spid="_x0000_s1030" fillcolor="#dceaf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">
                  <v:textbox>
                    <w:txbxContent>
                      <w:p w:rsidRPr="006E1AA2" w:rsidR="00867D1E" w:rsidP="00867D1E" w:rsidRDefault="00867D1E" w14:paraId="4DC8F400" w14:textId="77777777">
                        <w:pPr>
                          <w:spacing w:after="0"/>
                          <w:rPr>
                            <w:b/>
                            <w:bCs/>
                          </w:rPr>
                        </w:pPr>
                        <w:r>
                          <w:rPr>
                            <w:b/>
                            <w:bCs/>
                          </w:rPr>
                          <w:t>People with Disabilities</w:t>
                        </w:r>
                      </w:p>
                      <w:p w:rsidR="00867D1E" w:rsidP="00867D1E" w:rsidRDefault="00867D1E" w14:paraId="0E131950" w14:textId="77777777">
                        <w:pPr>
                          <w:pStyle w:val="ListParagraph"/>
                          <w:numPr>
                            <w:ilvl w:val="0"/>
                            <w:numId w:val="5"/>
                          </w:numPr>
                        </w:pPr>
                        <w:r>
                          <w:t xml:space="preserve">Respondents who reported having one or more disabilities were over twice as likely to report experiencing discrimination in the past 12 months compared to those who reported not having disabilities. </w:t>
                        </w:r>
                      </w:p>
                    </w:txbxContent>
                  </v:textbox>
                </v:shape>
                <w10:anchorlock/>
              </v:group>
            </w:pict>
          </mc:Fallback>
        </mc:AlternateContent>
      </w:r>
      <w:r w:rsidRPr="00867D1E">
        <w:rPr>
          <w:rFonts w:ascii="Aptos Light" w:hAnsi="Aptos Light" w:eastAsia="Aptos" w:cs="Arial"/>
          <w:kern w:val="2"/>
          <w14:ligatures w14:val="standardContextual"/>
        </w:rPr>
        <w:t xml:space="preserve"> </w:t>
      </w:r>
    </w:p>
    <w:p w:rsidRPr="00867D1E" w:rsidR="00867D1E" w:rsidP="00867D1E" w:rsidRDefault="00867D1E" w14:paraId="32D434A2" w14:textId="77777777">
      <w:pPr>
        <w:rPr>
          <w:rFonts w:ascii="Aptos Light" w:hAnsi="Aptos Light" w:eastAsia="Aptos" w:cs="Arial"/>
          <w:kern w:val="2"/>
          <w14:ligatures w14:val="standardContextual"/>
        </w:rPr>
      </w:pPr>
      <w:r w:rsidRPr="00867D1E">
        <w:rPr>
          <w:rFonts w:ascii="Aptos Light" w:hAnsi="Aptos Light" w:eastAsia="Aptos" w:cs="Arial"/>
          <w:kern w:val="2"/>
          <w14:ligatures w14:val="standardContextual"/>
        </w:rPr>
        <w:tab/>
      </w:r>
    </w:p>
    <w:p w:rsidRPr="00867D1E" w:rsidR="00867D1E" w:rsidP="00867D1E" w:rsidRDefault="00867D1E" w14:paraId="11F3FDA7" w14:textId="77777777">
      <w:pPr>
        <w:spacing w:after="200" w:line="240" w:lineRule="auto"/>
        <w:ind w:left="720"/>
        <w:rPr>
          <w:rFonts w:ascii="Aptos Light" w:hAnsi="Aptos Light" w:eastAsia="Aptos" w:cs="Arial"/>
          <w:i/>
          <w:iCs/>
          <w:color w:val="0E2841"/>
          <w:kern w:val="2"/>
          <w14:ligatures w14:val="standardContextual"/>
        </w:rPr>
      </w:pPr>
      <w:r w:rsidRPr="00867D1E">
        <w:rPr>
          <w:rFonts w:ascii="Aptos Light" w:hAnsi="Aptos Light" w:eastAsia="Aptos" w:cs="Arial"/>
          <w:i/>
          <w:iCs/>
          <w:color w:val="0E2841"/>
          <w:kern w:val="2"/>
          <w14:ligatures w14:val="standardContextual"/>
        </w:rPr>
        <w:t xml:space="preserve">Figure </w:t>
      </w:r>
      <w:r w:rsidRPr="00867D1E">
        <w:rPr>
          <w:rFonts w:ascii="Aptos Light" w:hAnsi="Aptos Light" w:eastAsia="Aptos" w:cs="Arial"/>
          <w:i/>
          <w:iCs/>
          <w:color w:val="0E2841"/>
          <w:kern w:val="2"/>
          <w14:ligatures w14:val="standardContextual"/>
        </w:rPr>
        <w:fldChar w:fldCharType="begin"/>
      </w:r>
      <w:r w:rsidRPr="00867D1E">
        <w:rPr>
          <w:rFonts w:ascii="Aptos Light" w:hAnsi="Aptos Light" w:eastAsia="Aptos" w:cs="Arial"/>
          <w:i/>
          <w:iCs/>
          <w:color w:val="0E2841"/>
          <w:kern w:val="2"/>
          <w14:ligatures w14:val="standardContextual"/>
        </w:rPr>
        <w:instrText xml:space="preserve"> SEQ Figure \* ARABIC </w:instrText>
      </w:r>
      <w:r w:rsidRPr="00867D1E">
        <w:rPr>
          <w:rFonts w:ascii="Aptos Light" w:hAnsi="Aptos Light" w:eastAsia="Aptos" w:cs="Arial"/>
          <w:i/>
          <w:iCs/>
          <w:color w:val="0E2841"/>
          <w:kern w:val="2"/>
          <w14:ligatures w14:val="standardContextual"/>
        </w:rPr>
        <w:fldChar w:fldCharType="separate"/>
      </w:r>
      <w:r w:rsidRPr="00867D1E">
        <w:rPr>
          <w:rFonts w:ascii="Aptos Light" w:hAnsi="Aptos Light" w:eastAsia="Aptos" w:cs="Arial"/>
          <w:i/>
          <w:iCs/>
          <w:noProof/>
          <w:color w:val="0E2841"/>
          <w:kern w:val="2"/>
          <w14:ligatures w14:val="standardContextual"/>
        </w:rPr>
        <w:t>19</w:t>
      </w:r>
      <w:r w:rsidRPr="00867D1E">
        <w:rPr>
          <w:rFonts w:ascii="Aptos Light" w:hAnsi="Aptos Light" w:eastAsia="Aptos" w:cs="Arial"/>
          <w:i/>
          <w:iCs/>
          <w:color w:val="0E2841"/>
          <w:kern w:val="2"/>
          <w14:ligatures w14:val="standardContextual"/>
        </w:rPr>
        <w:fldChar w:fldCharType="end"/>
      </w:r>
      <w:r w:rsidRPr="00867D1E">
        <w:rPr>
          <w:rFonts w:ascii="Aptos Light" w:hAnsi="Aptos Light" w:eastAsia="Aptos" w:cs="Arial"/>
          <w:i/>
          <w:iCs/>
          <w:color w:val="0E2841"/>
          <w:kern w:val="2"/>
          <w14:ligatures w14:val="standardContextual"/>
        </w:rPr>
        <w:t>. CHES 2023 – Adult High or Very High Psychological Distress by Experiences of Discrimination within Communities of Focus</w:t>
      </w:r>
    </w:p>
    <w:p w:rsidRPr="00867D1E" w:rsidR="00867D1E" w:rsidP="00867D1E" w:rsidRDefault="00867D1E" w14:paraId="58569821" w14:textId="77777777">
      <w:pPr>
        <w:spacing w:after="200" w:line="240" w:lineRule="auto"/>
        <w:ind w:left="540"/>
        <w:rPr>
          <w:rFonts w:ascii="Aptos Light" w:hAnsi="Aptos Light" w:eastAsia="Aptos" w:cs="Arial"/>
          <w:i/>
          <w:iCs/>
          <w:color w:val="0E2841"/>
          <w:kern w:val="2"/>
          <w14:ligatures w14:val="standardContextual"/>
        </w:rPr>
      </w:pPr>
      <w:r w:rsidRPr="00867D1E">
        <w:rPr>
          <w:rFonts w:ascii="Aptos Light" w:hAnsi="Aptos Light" w:eastAsia="Aptos" w:cs="Arial"/>
          <w:i/>
          <w:iCs/>
          <w:noProof/>
          <w:color w:val="0E2841"/>
          <w:kern w:val="2"/>
          <w14:ligatures w14:val="standardContextual"/>
        </w:rPr>
        <w:drawing>
          <wp:inline distT="0" distB="0" distL="0" distR="0" wp14:anchorId="3AE3AEE5" wp14:editId="4BB96227">
            <wp:extent cx="6419850" cy="2876550"/>
            <wp:effectExtent l="0" t="0" r="0" b="0"/>
            <wp:docPr id="56095620" name="Chart 1" descr="Figure 19 shows the rates of psychological distress by experiences of discrimination across various communities of focus. Overall, rates of psychological distress were highest among those that experienced discrimination in the past 12 months across all communities of focus reported in the figure. &#10;&#10;Among people with disabilities, 72.1% of respondents who reported experiencing discrimination in the past 12 months had psychological distress. 49.8% of respondents who reported experiencing discrimination but not in the past 12 months had psychological distress. And 33.4% of respondents who never reported experiencing discrimination had psychological distress. &#10;&#10;Among people who identify as transgender, 80.5% of respondents who reported experiencing discrimination in the past 12 months had psychological distress. 70.3% of respondents who reported experiencing discrimination but not in the past 12 months had psychological distress. And 53.7% of respondents who never reported experiencing discrimination had psychological distress. &#10;&#10;Among people who identify as lesbian, gay, queer, or asexual, 69.6% of respondents who reported experiencing discrimination in the past 12 months had psychological distress. 49.7% of respondents who reported experiencing discrimination but not in the past 12 months had psychological distress. And 33.3% of respondents who never reported experiencing discrimination had psychological distress. &#10;&#10;Among people of color, 55.7% of respondents who reported experiencing discrimination in the past 12 months had psychological distress. 36.0% of respondents who reported experiencing discrimination but not in the past 12 months had psychological distress. And 21.3% of respondents who never reported experiencing discrimination had psychological distress. ">
              <a:extLst xmlns:a="http://schemas.openxmlformats.org/drawingml/2006/main">
                <a:ext uri="{FF2B5EF4-FFF2-40B4-BE49-F238E27FC236}">
                  <a16:creationId xmlns:a16="http://schemas.microsoft.com/office/drawing/2014/main" id="{1A33140F-D980-D51D-1B26-7FB1EFBDFC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867D1E" w:rsidR="00867D1E" w:rsidP="00867D1E" w:rsidRDefault="00867D1E" w14:paraId="0D170721" w14:textId="77777777">
      <w:pPr>
        <w:ind w:left="360"/>
        <w:rPr>
          <w:rFonts w:ascii="Aptos Light" w:hAnsi="Aptos Light" w:eastAsia="Aptos" w:cs="Arial"/>
          <w:kern w:val="2"/>
          <w14:ligatures w14:val="standardContextual"/>
        </w:rPr>
      </w:pPr>
      <w:r w:rsidRPr="00867D1E">
        <w:rPr>
          <w:rFonts w:ascii="Aptos Light" w:hAnsi="Aptos Light" w:eastAsia="Aptos" w:cs="Arial"/>
          <w:kern w:val="2"/>
          <w:sz w:val="18"/>
          <w:szCs w:val="18"/>
          <w14:ligatures w14:val="standardContextual"/>
        </w:rPr>
        <w:t xml:space="preserve">*People of color include respondents that reported one of the following race/ethnicities: American Indian / Alaska Native, Asian, Native Hawaiian, Pacific Islander, Black, Hispanic/Latine/a/o, Middle Eastern/North African, or Multiracial. </w:t>
      </w:r>
      <w:r w:rsidRPr="00867D1E">
        <w:rPr>
          <w:rFonts w:ascii="Aptos Light" w:hAnsi="Aptos Light" w:eastAsia="Aptos" w:cs="Arial"/>
          <w:kern w:val="2"/>
          <w:sz w:val="18"/>
          <w:szCs w:val="18"/>
          <w14:ligatures w14:val="standardContextual"/>
        </w:rPr>
        <w:br/>
      </w:r>
      <w:r w:rsidRPr="00867D1E">
        <w:rPr>
          <w:rFonts w:ascii="Aptos Light" w:hAnsi="Aptos Light" w:eastAsia="Aptos" w:cs="Arial"/>
          <w:kern w:val="2"/>
          <w:sz w:val="18"/>
          <w:szCs w:val="18"/>
          <w14:ligatures w14:val="standardContextual"/>
        </w:rPr>
        <w:t>**LGBQA includes respondents that reported their sexual orientation as being lesbian, gay, bisexual, queer, asexual, or other.</w:t>
      </w:r>
    </w:p>
    <w:p w:rsidRPr="00867D1E" w:rsidR="00867D1E" w:rsidP="00867D1E" w:rsidRDefault="00867D1E" w14:paraId="477927FF" w14:textId="77777777">
      <w:pPr>
        <w:ind w:left="720"/>
        <w:rPr>
          <w:rFonts w:ascii="Aptos Light" w:hAnsi="Aptos Light" w:eastAsia="Aptos" w:cs="Arial"/>
          <w:kern w:val="2"/>
          <w14:ligatures w14:val="standardContextual"/>
        </w:rPr>
      </w:pPr>
      <w:r w:rsidRPr="00867D1E">
        <w:rPr>
          <w:rFonts w:ascii="Aptos Light" w:hAnsi="Aptos Light" w:eastAsia="Aptos" w:cs="Arial"/>
          <w:kern w:val="2"/>
          <w14:ligatures w14:val="standardContextual"/>
        </w:rPr>
        <w:t xml:space="preserve">Reducing exposure to discrimination within communities of focus through addressing root causes of interpersonal and cultural racism and providing support to victims of discrimination are integral for mental health equity promotion. As seen in Figure 19, members of various communities of focus that reported either never experiencing discrimination or not experiencing discrimination in the past 12 months had significantly lower rates of psychological distress compared to those who did experience discrimination in the past 12 months. For example, among people with disabilities, over 72% of those who experienced discrimination in the past 12 months had high or very high psychological distress compared to 50% who experienced discrimination but not in the past 12 months. This provides evidence that strategies to reduce exposure to discrimination may be effective in promoting mental health. </w:t>
      </w:r>
    </w:p>
    <w:p w:rsidR="00587C11" w:rsidP="002D2B06" w:rsidRDefault="00587C11" w14:paraId="006D9753" w14:textId="77777777">
      <w:pPr>
        <w:ind w:left="720"/>
        <w:rPr>
          <w:rFonts w:ascii="Aptos Light" w:hAnsi="Aptos Light" w:eastAsia="Aptos" w:cs="Arial"/>
          <w:kern w:val="2"/>
          <w14:ligatures w14:val="standardContextual"/>
        </w:rPr>
      </w:pPr>
    </w:p>
    <w:p w:rsidRPr="002D2B06" w:rsidR="00587C11" w:rsidP="002D2B06" w:rsidRDefault="00587C11" w14:paraId="11924061" w14:textId="77777777">
      <w:pPr>
        <w:ind w:left="720"/>
        <w:rPr>
          <w:rFonts w:ascii="Aptos Light" w:hAnsi="Aptos Light" w:eastAsia="Aptos" w:cs="Arial"/>
          <w:kern w:val="2"/>
          <w14:ligatures w14:val="standardContextual"/>
        </w:rPr>
      </w:pPr>
    </w:p>
    <w:sectPr w:rsidRPr="002D2B06" w:rsidR="00587C11" w:rsidSect="00026281">
      <w:footnotePr>
        <w:numFmt w:val="chicago"/>
      </w:footnotePr>
      <w:endnotePr>
        <w:numFmt w:val="decimal"/>
      </w:endnotePr>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83C94" w:rsidP="002D2B06" w:rsidRDefault="00383C94" w14:paraId="3677F8FF" w14:textId="77777777">
      <w:pPr>
        <w:spacing w:after="0" w:line="240" w:lineRule="auto"/>
      </w:pPr>
      <w:r>
        <w:separator/>
      </w:r>
    </w:p>
  </w:endnote>
  <w:endnote w:type="continuationSeparator" w:id="0">
    <w:p w:rsidR="00383C94" w:rsidP="002D2B06" w:rsidRDefault="00383C94" w14:paraId="6E898B2C" w14:textId="77777777">
      <w:pPr>
        <w:spacing w:after="0" w:line="240" w:lineRule="auto"/>
      </w:pPr>
      <w:r>
        <w:continuationSeparator/>
      </w:r>
    </w:p>
  </w:endnote>
  <w:endnote w:type="continuationNotice" w:id="1">
    <w:p w:rsidR="00383C94" w:rsidRDefault="00383C94" w14:paraId="622917BC" w14:textId="77777777">
      <w:pPr>
        <w:spacing w:after="0" w:line="240" w:lineRule="auto"/>
      </w:pPr>
    </w:p>
  </w:endnote>
  <w:endnote w:id="2">
    <w:p w:rsidR="00867D1E" w:rsidP="00867D1E" w:rsidRDefault="00867D1E" w14:paraId="21F75FA4" w14:textId="77777777">
      <w:pPr>
        <w:pStyle w:val="EndnoteText"/>
      </w:pPr>
      <w:r>
        <w:rPr>
          <w:rStyle w:val="EndnoteReference"/>
        </w:rPr>
        <w:endnoteRef/>
      </w:r>
      <w:r>
        <w:t xml:space="preserve"> </w:t>
      </w:r>
      <w:r w:rsidRPr="007D64AF">
        <w:t xml:space="preserve">Williams DR, Mohammed SA. Racism and Health I: Pathways and Scientific Evidence. Am Behav Sci. 2013 Aug 1;57(8):10.1177/0002764213487340. </w:t>
      </w:r>
      <w:hyperlink w:history="1" r:id="rId1">
        <w:r w:rsidRPr="00FA499F">
          <w:rPr>
            <w:rStyle w:val="Hyperlink"/>
          </w:rPr>
          <w:t>https://doi.org/10.1177/0002764213487340</w:t>
        </w:r>
      </w:hyperlink>
    </w:p>
  </w:endnote>
  <w:endnote w:id="3">
    <w:p w:rsidR="00867D1E" w:rsidP="00867D1E" w:rsidRDefault="00867D1E" w14:paraId="2A1CD884" w14:textId="77777777">
      <w:pPr>
        <w:pStyle w:val="EndnoteText"/>
      </w:pPr>
      <w:r>
        <w:rPr>
          <w:rStyle w:val="EndnoteReference"/>
        </w:rPr>
        <w:endnoteRef/>
      </w:r>
      <w:r>
        <w:t xml:space="preserve"> </w:t>
      </w:r>
      <w:r w:rsidRPr="003118CB">
        <w:t xml:space="preserve">Williams DR, Lawrence JA, Davis BA, Vu C. Understanding how discrimination can affect health. Health Serv Res. 2019 Dec;54 Suppl 2(Suppl 2):1374-1388. </w:t>
      </w:r>
      <w:hyperlink w:history="1" r:id="rId2">
        <w:r w:rsidRPr="00FA499F">
          <w:rPr>
            <w:rStyle w:val="Hyperlink"/>
          </w:rPr>
          <w:t>https://doi.org/10.1111/1475-6773.13222</w:t>
        </w:r>
      </w:hyperlink>
    </w:p>
  </w:endnote>
  <w:endnote w:id="4">
    <w:p w:rsidR="00867D1E" w:rsidP="00867D1E" w:rsidRDefault="00867D1E" w14:paraId="2FAB13CD" w14:textId="77777777">
      <w:pPr>
        <w:pStyle w:val="EndnoteText"/>
      </w:pPr>
      <w:r>
        <w:rPr>
          <w:rStyle w:val="EndnoteReference"/>
        </w:rPr>
        <w:endnoteRef/>
      </w:r>
      <w:r>
        <w:t xml:space="preserve"> </w:t>
      </w:r>
      <w:r w:rsidRPr="00E40B53">
        <w:t xml:space="preserve">Williams DR, Mohammed SA. Discrimination and racial disparities in health: evidence and needed research. J Behav Med. 2009 Feb;32(1):20-47. </w:t>
      </w:r>
      <w:hyperlink w:history="1" r:id="rId3">
        <w:r w:rsidRPr="00FA499F">
          <w:rPr>
            <w:rStyle w:val="Hyperlink"/>
          </w:rPr>
          <w:t>https://doi.org/10.1007%2Fs10865-008-9185-0</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Light">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83C94" w:rsidP="002D2B06" w:rsidRDefault="00383C94" w14:paraId="35256DDE" w14:textId="77777777">
      <w:pPr>
        <w:spacing w:after="0" w:line="240" w:lineRule="auto"/>
      </w:pPr>
      <w:r>
        <w:separator/>
      </w:r>
    </w:p>
  </w:footnote>
  <w:footnote w:type="continuationSeparator" w:id="0">
    <w:p w:rsidR="00383C94" w:rsidP="002D2B06" w:rsidRDefault="00383C94" w14:paraId="7EA970B0" w14:textId="77777777">
      <w:pPr>
        <w:spacing w:after="0" w:line="240" w:lineRule="auto"/>
      </w:pPr>
      <w:r>
        <w:continuationSeparator/>
      </w:r>
    </w:p>
  </w:footnote>
  <w:footnote w:type="continuationNotice" w:id="1">
    <w:p w:rsidR="00383C94" w:rsidRDefault="00383C94" w14:paraId="69BB197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E5A68"/>
    <w:multiLevelType w:val="hybridMultilevel"/>
    <w:tmpl w:val="073038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EE859D6"/>
    <w:multiLevelType w:val="hybridMultilevel"/>
    <w:tmpl w:val="811A352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53E5405B"/>
    <w:multiLevelType w:val="hybridMultilevel"/>
    <w:tmpl w:val="4EF814A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5DDC19B2"/>
    <w:multiLevelType w:val="hybridMultilevel"/>
    <w:tmpl w:val="DA50ABD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6CBA61F5"/>
    <w:multiLevelType w:val="hybridMultilevel"/>
    <w:tmpl w:val="9B5A60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7F37876"/>
    <w:multiLevelType w:val="hybridMultilevel"/>
    <w:tmpl w:val="41945F5C"/>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805665735">
    <w:abstractNumId w:val="2"/>
  </w:num>
  <w:num w:numId="2" w16cid:durableId="61828369">
    <w:abstractNumId w:val="5"/>
  </w:num>
  <w:num w:numId="3" w16cid:durableId="56323398">
    <w:abstractNumId w:val="3"/>
  </w:num>
  <w:num w:numId="4" w16cid:durableId="1719434598">
    <w:abstractNumId w:val="0"/>
  </w:num>
  <w:num w:numId="5" w16cid:durableId="1041897762">
    <w:abstractNumId w:val="4"/>
  </w:num>
  <w:num w:numId="6" w16cid:durableId="120490144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0"/>
  <w:trackRevisions w:val="false"/>
  <w:defaultTabStop w:val="720"/>
  <w:characterSpacingControl w:val="doNotCompres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47112A"/>
    <w:rsid w:val="00006098"/>
    <w:rsid w:val="00026281"/>
    <w:rsid w:val="002D2B06"/>
    <w:rsid w:val="00326822"/>
    <w:rsid w:val="00383C94"/>
    <w:rsid w:val="003B6122"/>
    <w:rsid w:val="003E3982"/>
    <w:rsid w:val="0041207C"/>
    <w:rsid w:val="004160A6"/>
    <w:rsid w:val="00547D01"/>
    <w:rsid w:val="00556CA8"/>
    <w:rsid w:val="00587C11"/>
    <w:rsid w:val="005C0C45"/>
    <w:rsid w:val="00612A05"/>
    <w:rsid w:val="0073425F"/>
    <w:rsid w:val="00867D1E"/>
    <w:rsid w:val="008D5279"/>
    <w:rsid w:val="00AB0964"/>
    <w:rsid w:val="00BF2671"/>
    <w:rsid w:val="00C36246"/>
    <w:rsid w:val="00DA41BE"/>
    <w:rsid w:val="00E33138"/>
    <w:rsid w:val="00E50A5C"/>
    <w:rsid w:val="00F11485"/>
    <w:rsid w:val="00FA11DE"/>
    <w:rsid w:val="00FF2C07"/>
    <w:rsid w:val="0D455A97"/>
    <w:rsid w:val="1647112A"/>
    <w:rsid w:val="4FFD278A"/>
    <w:rsid w:val="6EB8B880"/>
    <w:rsid w:val="7DD8A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112A"/>
  <w15:chartTrackingRefBased/>
  <w15:docId w15:val="{B043A357-DFE2-4244-ADB0-7DA02B10E3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02628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026281"/>
  </w:style>
  <w:style w:type="character" w:styleId="eop" w:customStyle="1">
    <w:name w:val="eop"/>
    <w:basedOn w:val="DefaultParagraphFont"/>
    <w:rsid w:val="00026281"/>
  </w:style>
  <w:style w:type="paragraph" w:styleId="ListParagraph">
    <w:name w:val="List Paragraph"/>
    <w:basedOn w:val="Normal"/>
    <w:uiPriority w:val="34"/>
    <w:qFormat/>
    <w:rsid w:val="002D2B06"/>
    <w:pPr>
      <w:ind w:left="720"/>
      <w:contextualSpacing/>
    </w:pPr>
    <w:rPr>
      <w:rFonts w:ascii="Aptos Light" w:hAnsi="Aptos Light"/>
      <w:kern w:val="2"/>
      <w14:ligatures w14:val="standardContextual"/>
    </w:rPr>
  </w:style>
  <w:style w:type="paragraph" w:styleId="FootnoteText">
    <w:name w:val="footnote text"/>
    <w:basedOn w:val="Normal"/>
    <w:link w:val="FootnoteTextChar"/>
    <w:uiPriority w:val="99"/>
    <w:unhideWhenUsed/>
    <w:rsid w:val="002D2B06"/>
    <w:pPr>
      <w:spacing w:after="0" w:line="240" w:lineRule="auto"/>
    </w:pPr>
    <w:rPr>
      <w:rFonts w:ascii="Aptos Light" w:hAnsi="Aptos Light"/>
      <w:kern w:val="2"/>
      <w:sz w:val="20"/>
      <w:szCs w:val="20"/>
      <w14:ligatures w14:val="standardContextual"/>
    </w:rPr>
  </w:style>
  <w:style w:type="character" w:styleId="FootnoteTextChar" w:customStyle="1">
    <w:name w:val="Footnote Text Char"/>
    <w:basedOn w:val="DefaultParagraphFont"/>
    <w:link w:val="FootnoteText"/>
    <w:uiPriority w:val="99"/>
    <w:rsid w:val="002D2B06"/>
    <w:rPr>
      <w:rFonts w:ascii="Aptos Light" w:hAnsi="Aptos Light"/>
      <w:kern w:val="2"/>
      <w:sz w:val="20"/>
      <w:szCs w:val="20"/>
      <w14:ligatures w14:val="standardContextual"/>
    </w:rPr>
  </w:style>
  <w:style w:type="character" w:styleId="FootnoteReference">
    <w:name w:val="footnote reference"/>
    <w:basedOn w:val="DefaultParagraphFont"/>
    <w:uiPriority w:val="99"/>
    <w:semiHidden/>
    <w:unhideWhenUsed/>
    <w:rsid w:val="002D2B06"/>
    <w:rPr>
      <w:vertAlign w:val="superscript"/>
    </w:rPr>
  </w:style>
  <w:style w:type="character" w:styleId="Hyperlink1" w:customStyle="1">
    <w:name w:val="Hyperlink1"/>
    <w:basedOn w:val="DefaultParagraphFont"/>
    <w:uiPriority w:val="99"/>
    <w:unhideWhenUsed/>
    <w:rsid w:val="002D2B06"/>
    <w:rPr>
      <w:color w:val="467886"/>
      <w:u w:val="single"/>
    </w:rPr>
  </w:style>
  <w:style w:type="paragraph" w:styleId="EndnoteText">
    <w:name w:val="endnote text"/>
    <w:basedOn w:val="Normal"/>
    <w:link w:val="EndnoteTextChar"/>
    <w:uiPriority w:val="99"/>
    <w:unhideWhenUsed/>
    <w:rsid w:val="002D2B06"/>
    <w:pPr>
      <w:spacing w:after="0" w:line="240" w:lineRule="auto"/>
    </w:pPr>
    <w:rPr>
      <w:rFonts w:ascii="Aptos Light" w:hAnsi="Aptos Light"/>
      <w:kern w:val="2"/>
      <w:sz w:val="20"/>
      <w:szCs w:val="20"/>
      <w14:ligatures w14:val="standardContextual"/>
    </w:rPr>
  </w:style>
  <w:style w:type="character" w:styleId="EndnoteTextChar" w:customStyle="1">
    <w:name w:val="Endnote Text Char"/>
    <w:basedOn w:val="DefaultParagraphFont"/>
    <w:link w:val="EndnoteText"/>
    <w:uiPriority w:val="99"/>
    <w:rsid w:val="002D2B06"/>
    <w:rPr>
      <w:rFonts w:ascii="Aptos Light" w:hAnsi="Aptos Light"/>
      <w:kern w:val="2"/>
      <w:sz w:val="20"/>
      <w:szCs w:val="20"/>
      <w14:ligatures w14:val="standardContextual"/>
    </w:rPr>
  </w:style>
  <w:style w:type="character" w:styleId="EndnoteReference">
    <w:name w:val="endnote reference"/>
    <w:basedOn w:val="DefaultParagraphFont"/>
    <w:uiPriority w:val="99"/>
    <w:semiHidden/>
    <w:unhideWhenUsed/>
    <w:rsid w:val="002D2B06"/>
    <w:rPr>
      <w:vertAlign w:val="superscript"/>
    </w:rPr>
  </w:style>
  <w:style w:type="character" w:styleId="Hyperlink">
    <w:name w:val="Hyperlink"/>
    <w:basedOn w:val="DefaultParagraphFont"/>
    <w:uiPriority w:val="99"/>
    <w:unhideWhenUsed/>
    <w:rsid w:val="002D2B06"/>
    <w:rPr>
      <w:color w:val="0563C1" w:themeColor="hyperlink"/>
      <w:u w:val="single"/>
    </w:rPr>
  </w:style>
  <w:style w:type="paragraph" w:styleId="Header">
    <w:name w:val="header"/>
    <w:basedOn w:val="Normal"/>
    <w:link w:val="HeaderChar"/>
    <w:uiPriority w:val="99"/>
    <w:semiHidden/>
    <w:unhideWhenUsed/>
    <w:rsid w:val="008D5279"/>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8D5279"/>
  </w:style>
  <w:style w:type="paragraph" w:styleId="Footer">
    <w:name w:val="footer"/>
    <w:basedOn w:val="Normal"/>
    <w:link w:val="FooterChar"/>
    <w:uiPriority w:val="99"/>
    <w:semiHidden/>
    <w:unhideWhenUsed/>
    <w:rsid w:val="008D5279"/>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8D5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476860">
      <w:bodyDiv w:val="1"/>
      <w:marLeft w:val="0"/>
      <w:marRight w:val="0"/>
      <w:marTop w:val="0"/>
      <w:marBottom w:val="0"/>
      <w:divBdr>
        <w:top w:val="none" w:sz="0" w:space="0" w:color="auto"/>
        <w:left w:val="none" w:sz="0" w:space="0" w:color="auto"/>
        <w:bottom w:val="none" w:sz="0" w:space="0" w:color="auto"/>
        <w:right w:val="none" w:sz="0" w:space="0" w:color="auto"/>
      </w:divBdr>
      <w:divsChild>
        <w:div w:id="766658103">
          <w:marLeft w:val="0"/>
          <w:marRight w:val="0"/>
          <w:marTop w:val="0"/>
          <w:marBottom w:val="0"/>
          <w:divBdr>
            <w:top w:val="none" w:sz="0" w:space="0" w:color="auto"/>
            <w:left w:val="none" w:sz="0" w:space="0" w:color="auto"/>
            <w:bottom w:val="none" w:sz="0" w:space="0" w:color="auto"/>
            <w:right w:val="none" w:sz="0" w:space="0" w:color="auto"/>
          </w:divBdr>
        </w:div>
        <w:div w:id="1355771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hart" Target="charts/chart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chart" Target="charts/chart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endnotes.xml.rels><?xml version="1.0" encoding="UTF-8" standalone="yes"?>
<Relationships xmlns="http://schemas.openxmlformats.org/package/2006/relationships"><Relationship Id="rId3" Type="http://schemas.openxmlformats.org/officeDocument/2006/relationships/hyperlink" Target="https://doi.org/10.1007%2Fs10865-008-9185-0" TargetMode="External"/><Relationship Id="rId2" Type="http://schemas.openxmlformats.org/officeDocument/2006/relationships/hyperlink" Target="https://doi.org/10.1111/1475-6773.13222" TargetMode="External"/><Relationship Id="rId1" Type="http://schemas.openxmlformats.org/officeDocument/2006/relationships/hyperlink" Target="https://doi.org/10.1177/0002764213487340"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talin\Downloads\CHES%20MH%20Chapter%20Figure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talin\Downloads\CHES%20MH%20Chapter%20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924661323164201"/>
          <c:y val="5.0925925925925923E-2"/>
          <c:w val="0.50938439869904151"/>
          <c:h val="0.84204505686789155"/>
        </c:manualLayout>
      </c:layout>
      <c:barChart>
        <c:barDir val="bar"/>
        <c:grouping val="clustered"/>
        <c:varyColors val="0"/>
        <c:ser>
          <c:idx val="0"/>
          <c:order val="0"/>
          <c:tx>
            <c:strRef>
              <c:f>Discrimination!$A$3</c:f>
              <c:strCache>
                <c:ptCount val="1"/>
                <c:pt idx="0">
                  <c:v>Experienced Discrimination (in Past 12 Months)</c:v>
                </c:pt>
              </c:strCache>
            </c:strRef>
          </c:tx>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Discrimination!$B$2:$D$2</c:f>
              <c:strCache>
                <c:ptCount val="3"/>
                <c:pt idx="0">
                  <c:v>High/Very High Psychological Distress</c:v>
                </c:pt>
                <c:pt idx="1">
                  <c:v>Suicidal Ideation</c:v>
                </c:pt>
                <c:pt idx="2">
                  <c:v>Social Isolation</c:v>
                </c:pt>
              </c:strCache>
            </c:strRef>
          </c:cat>
          <c:val>
            <c:numRef>
              <c:f>Discrimination!$B$3:$D$3</c:f>
              <c:numCache>
                <c:formatCode>0.0%</c:formatCode>
                <c:ptCount val="3"/>
                <c:pt idx="0">
                  <c:v>0.57499999999999996</c:v>
                </c:pt>
                <c:pt idx="1">
                  <c:v>0.18099999999999999</c:v>
                </c:pt>
                <c:pt idx="2">
                  <c:v>0.29699999999999999</c:v>
                </c:pt>
              </c:numCache>
            </c:numRef>
          </c:val>
          <c:extLst>
            <c:ext xmlns:c16="http://schemas.microsoft.com/office/drawing/2014/chart" uri="{C3380CC4-5D6E-409C-BE32-E72D297353CC}">
              <c16:uniqueId val="{00000000-DDD6-48CF-80F2-05FD20A7B43C}"/>
            </c:ext>
          </c:extLst>
        </c:ser>
        <c:ser>
          <c:idx val="1"/>
          <c:order val="1"/>
          <c:tx>
            <c:strRef>
              <c:f>Discrimination!$A$4</c:f>
              <c:strCache>
                <c:ptCount val="1"/>
                <c:pt idx="0">
                  <c:v>Experienced Discrimination (Not in Past 12 Months)</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Discrimination!$B$2:$D$2</c:f>
              <c:strCache>
                <c:ptCount val="3"/>
                <c:pt idx="0">
                  <c:v>High/Very High Psychological Distress</c:v>
                </c:pt>
                <c:pt idx="1">
                  <c:v>Suicidal Ideation</c:v>
                </c:pt>
                <c:pt idx="2">
                  <c:v>Social Isolation</c:v>
                </c:pt>
              </c:strCache>
            </c:strRef>
          </c:cat>
          <c:val>
            <c:numRef>
              <c:f>Discrimination!$B$4:$D$4</c:f>
              <c:numCache>
                <c:formatCode>0.0%</c:formatCode>
                <c:ptCount val="3"/>
                <c:pt idx="0">
                  <c:v>0.34899999999999998</c:v>
                </c:pt>
                <c:pt idx="1">
                  <c:v>7.6999999999999999E-2</c:v>
                </c:pt>
                <c:pt idx="2">
                  <c:v>0.13100000000000001</c:v>
                </c:pt>
              </c:numCache>
            </c:numRef>
          </c:val>
          <c:extLst>
            <c:ext xmlns:c16="http://schemas.microsoft.com/office/drawing/2014/chart" uri="{C3380CC4-5D6E-409C-BE32-E72D297353CC}">
              <c16:uniqueId val="{00000001-DDD6-48CF-80F2-05FD20A7B43C}"/>
            </c:ext>
          </c:extLst>
        </c:ser>
        <c:ser>
          <c:idx val="2"/>
          <c:order val="2"/>
          <c:tx>
            <c:strRef>
              <c:f>Discrimination!$A$5</c:f>
              <c:strCache>
                <c:ptCount val="1"/>
                <c:pt idx="0">
                  <c:v>Never Experienced Discrimination</c:v>
                </c:pt>
              </c:strCache>
            </c:strRef>
          </c:tx>
          <c:spPr>
            <a:solidFill>
              <a:schemeClr val="tx2">
                <a:lumMod val="10000"/>
                <a:lumOff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Discrimination!$B$2:$D$2</c:f>
              <c:strCache>
                <c:ptCount val="3"/>
                <c:pt idx="0">
                  <c:v>High/Very High Psychological Distress</c:v>
                </c:pt>
                <c:pt idx="1">
                  <c:v>Suicidal Ideation</c:v>
                </c:pt>
                <c:pt idx="2">
                  <c:v>Social Isolation</c:v>
                </c:pt>
              </c:strCache>
            </c:strRef>
          </c:cat>
          <c:val>
            <c:numRef>
              <c:f>Discrimination!$B$5:$D$5</c:f>
              <c:numCache>
                <c:formatCode>0.0%</c:formatCode>
                <c:ptCount val="3"/>
                <c:pt idx="0">
                  <c:v>0.21199999999999999</c:v>
                </c:pt>
                <c:pt idx="1">
                  <c:v>4.3999999999999997E-2</c:v>
                </c:pt>
                <c:pt idx="2">
                  <c:v>7.3999999999999996E-2</c:v>
                </c:pt>
              </c:numCache>
            </c:numRef>
          </c:val>
          <c:extLst>
            <c:ext xmlns:c16="http://schemas.microsoft.com/office/drawing/2014/chart" uri="{C3380CC4-5D6E-409C-BE32-E72D297353CC}">
              <c16:uniqueId val="{00000002-DDD6-48CF-80F2-05FD20A7B43C}"/>
            </c:ext>
          </c:extLst>
        </c:ser>
        <c:dLbls>
          <c:showLegendKey val="0"/>
          <c:showVal val="0"/>
          <c:showCatName val="0"/>
          <c:showSerName val="0"/>
          <c:showPercent val="0"/>
          <c:showBubbleSize val="0"/>
        </c:dLbls>
        <c:gapWidth val="182"/>
        <c:axId val="542825696"/>
        <c:axId val="542827496"/>
      </c:barChart>
      <c:catAx>
        <c:axId val="5428256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42827496"/>
        <c:crosses val="autoZero"/>
        <c:auto val="1"/>
        <c:lblAlgn val="ctr"/>
        <c:lblOffset val="100"/>
        <c:noMultiLvlLbl val="0"/>
      </c:catAx>
      <c:valAx>
        <c:axId val="542827496"/>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42825696"/>
        <c:crosses val="autoZero"/>
        <c:crossBetween val="between"/>
      </c:valAx>
      <c:spPr>
        <a:noFill/>
        <a:ln>
          <a:noFill/>
        </a:ln>
        <a:effectLst/>
      </c:spPr>
    </c:plotArea>
    <c:legend>
      <c:legendPos val="r"/>
      <c:layout>
        <c:manualLayout>
          <c:xMode val="edge"/>
          <c:yMode val="edge"/>
          <c:x val="0.73397722145718336"/>
          <c:y val="0.19856307661113176"/>
          <c:w val="0.25406463205552221"/>
          <c:h val="0.494146643686706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538976767369953"/>
          <c:y val="5.0925925925925923E-2"/>
          <c:w val="0.45251415531515532"/>
          <c:h val="0.84204505686789155"/>
        </c:manualLayout>
      </c:layout>
      <c:barChart>
        <c:barDir val="bar"/>
        <c:grouping val="clustered"/>
        <c:varyColors val="0"/>
        <c:ser>
          <c:idx val="0"/>
          <c:order val="0"/>
          <c:tx>
            <c:strRef>
              <c:f>Discrimination!$A$20</c:f>
              <c:strCache>
                <c:ptCount val="1"/>
                <c:pt idx="0">
                  <c:v>Experienced Discrimination (in Past 12 Months)</c:v>
                </c:pt>
              </c:strCache>
            </c:strRef>
          </c:tx>
          <c:spPr>
            <a:solidFill>
              <a:schemeClr val="tx2">
                <a:lumMod val="90000"/>
                <a:lumOff val="1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Discrimination!$B$19:$E$19</c:f>
              <c:strCache>
                <c:ptCount val="4"/>
                <c:pt idx="0">
                  <c:v>People of Color*</c:v>
                </c:pt>
                <c:pt idx="1">
                  <c:v>LGBQA Sexual Orientation**</c:v>
                </c:pt>
                <c:pt idx="2">
                  <c:v>Transgender Identity</c:v>
                </c:pt>
                <c:pt idx="3">
                  <c:v>People with Disabilities</c:v>
                </c:pt>
              </c:strCache>
            </c:strRef>
          </c:cat>
          <c:val>
            <c:numRef>
              <c:f>Discrimination!$B$20:$E$20</c:f>
              <c:numCache>
                <c:formatCode>0.0%</c:formatCode>
                <c:ptCount val="4"/>
                <c:pt idx="0">
                  <c:v>0.55700000000000005</c:v>
                </c:pt>
                <c:pt idx="1">
                  <c:v>0.69599999999999995</c:v>
                </c:pt>
                <c:pt idx="2">
                  <c:v>0.80500000000000005</c:v>
                </c:pt>
                <c:pt idx="3">
                  <c:v>0.72099999999999997</c:v>
                </c:pt>
              </c:numCache>
            </c:numRef>
          </c:val>
          <c:extLst>
            <c:ext xmlns:c16="http://schemas.microsoft.com/office/drawing/2014/chart" uri="{C3380CC4-5D6E-409C-BE32-E72D297353CC}">
              <c16:uniqueId val="{00000000-C538-4D73-9C6C-78CE14156E3C}"/>
            </c:ext>
          </c:extLst>
        </c:ser>
        <c:ser>
          <c:idx val="1"/>
          <c:order val="1"/>
          <c:tx>
            <c:strRef>
              <c:f>Discrimination!$A$21</c:f>
              <c:strCache>
                <c:ptCount val="1"/>
                <c:pt idx="0">
                  <c:v>Experienced Discrimination (Not in Past 12 Months)</c:v>
                </c:pt>
              </c:strCache>
            </c:strRef>
          </c:tx>
          <c:spPr>
            <a:solidFill>
              <a:schemeClr val="tx2">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Discrimination!$B$19:$E$19</c:f>
              <c:strCache>
                <c:ptCount val="4"/>
                <c:pt idx="0">
                  <c:v>People of Color*</c:v>
                </c:pt>
                <c:pt idx="1">
                  <c:v>LGBQA Sexual Orientation**</c:v>
                </c:pt>
                <c:pt idx="2">
                  <c:v>Transgender Identity</c:v>
                </c:pt>
                <c:pt idx="3">
                  <c:v>People with Disabilities</c:v>
                </c:pt>
              </c:strCache>
            </c:strRef>
          </c:cat>
          <c:val>
            <c:numRef>
              <c:f>Discrimination!$B$21:$E$21</c:f>
              <c:numCache>
                <c:formatCode>0.0%</c:formatCode>
                <c:ptCount val="4"/>
                <c:pt idx="0">
                  <c:v>0.36</c:v>
                </c:pt>
                <c:pt idx="1">
                  <c:v>0.497</c:v>
                </c:pt>
                <c:pt idx="2">
                  <c:v>0.70299999999999996</c:v>
                </c:pt>
                <c:pt idx="3">
                  <c:v>0.498</c:v>
                </c:pt>
              </c:numCache>
            </c:numRef>
          </c:val>
          <c:extLst>
            <c:ext xmlns:c16="http://schemas.microsoft.com/office/drawing/2014/chart" uri="{C3380CC4-5D6E-409C-BE32-E72D297353CC}">
              <c16:uniqueId val="{00000001-C538-4D73-9C6C-78CE14156E3C}"/>
            </c:ext>
          </c:extLst>
        </c:ser>
        <c:ser>
          <c:idx val="2"/>
          <c:order val="2"/>
          <c:tx>
            <c:strRef>
              <c:f>Discrimination!$A$22</c:f>
              <c:strCache>
                <c:ptCount val="1"/>
                <c:pt idx="0">
                  <c:v>Never Experienced Discrimination</c:v>
                </c:pt>
              </c:strCache>
            </c:strRef>
          </c:tx>
          <c:spPr>
            <a:solidFill>
              <a:schemeClr val="tx2">
                <a:lumMod val="25000"/>
                <a:lumOff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Discrimination!$B$19:$E$19</c:f>
              <c:strCache>
                <c:ptCount val="4"/>
                <c:pt idx="0">
                  <c:v>People of Color*</c:v>
                </c:pt>
                <c:pt idx="1">
                  <c:v>LGBQA Sexual Orientation**</c:v>
                </c:pt>
                <c:pt idx="2">
                  <c:v>Transgender Identity</c:v>
                </c:pt>
                <c:pt idx="3">
                  <c:v>People with Disabilities</c:v>
                </c:pt>
              </c:strCache>
            </c:strRef>
          </c:cat>
          <c:val>
            <c:numRef>
              <c:f>Discrimination!$B$22:$E$22</c:f>
              <c:numCache>
                <c:formatCode>0.0%</c:formatCode>
                <c:ptCount val="4"/>
                <c:pt idx="0">
                  <c:v>0.21299999999999999</c:v>
                </c:pt>
                <c:pt idx="1">
                  <c:v>0.33300000000000002</c:v>
                </c:pt>
                <c:pt idx="2">
                  <c:v>0.53700000000000003</c:v>
                </c:pt>
                <c:pt idx="3">
                  <c:v>0.33400000000000002</c:v>
                </c:pt>
              </c:numCache>
            </c:numRef>
          </c:val>
          <c:extLst>
            <c:ext xmlns:c16="http://schemas.microsoft.com/office/drawing/2014/chart" uri="{C3380CC4-5D6E-409C-BE32-E72D297353CC}">
              <c16:uniqueId val="{00000002-C538-4D73-9C6C-78CE14156E3C}"/>
            </c:ext>
          </c:extLst>
        </c:ser>
        <c:dLbls>
          <c:showLegendKey val="0"/>
          <c:showVal val="0"/>
          <c:showCatName val="0"/>
          <c:showSerName val="0"/>
          <c:showPercent val="0"/>
          <c:showBubbleSize val="0"/>
        </c:dLbls>
        <c:gapWidth val="219"/>
        <c:axId val="825759936"/>
        <c:axId val="825754896"/>
      </c:barChart>
      <c:catAx>
        <c:axId val="825759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25754896"/>
        <c:crosses val="autoZero"/>
        <c:auto val="1"/>
        <c:lblAlgn val="ctr"/>
        <c:lblOffset val="100"/>
        <c:noMultiLvlLbl val="0"/>
      </c:catAx>
      <c:valAx>
        <c:axId val="825754896"/>
        <c:scaling>
          <c:orientation val="minMax"/>
        </c:scaling>
        <c:delete val="0"/>
        <c:axPos val="b"/>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759936"/>
        <c:crosses val="autoZero"/>
        <c:crossBetween val="between"/>
      </c:valAx>
      <c:spPr>
        <a:noFill/>
        <a:ln>
          <a:noFill/>
        </a:ln>
        <a:effectLst/>
      </c:spPr>
    </c:plotArea>
    <c:legend>
      <c:legendPos val="r"/>
      <c:layout>
        <c:manualLayout>
          <c:xMode val="edge"/>
          <c:yMode val="edge"/>
          <c:x val="0.74535697874560936"/>
          <c:y val="0.30729002624671914"/>
          <c:w val="0.24277358505261026"/>
          <c:h val="0.385419947506561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f21956b4973b5fcbded2abcca61261a6">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9236597faee29a2451ea37cea2ebc0b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20BFB6-0516-48D0-BD5E-4B4C86562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9FA32-13AF-41EA-A929-6ED2846E1962}">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customXml/itemProps3.xml><?xml version="1.0" encoding="utf-8"?>
<ds:datastoreItem xmlns:ds="http://schemas.openxmlformats.org/officeDocument/2006/customXml" ds:itemID="{AFE89663-5F9B-47AE-9E42-CCC9B8F2716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Ta-wei (DPH)</dc:creator>
  <cp:keywords/>
  <dc:description/>
  <cp:lastModifiedBy>Lin, Ta-wei (DPH)</cp:lastModifiedBy>
  <cp:revision>23</cp:revision>
  <dcterms:created xsi:type="dcterms:W3CDTF">2024-10-27T22:18:00Z</dcterms:created>
  <dcterms:modified xsi:type="dcterms:W3CDTF">2024-10-29T18:19:26Z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