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C6859" w14:textId="2440D15A" w:rsidR="009C1565" w:rsidRDefault="00E842F7">
      <w:pPr>
        <w:rPr>
          <w:rStyle w:val="eop"/>
          <w:rFonts w:ascii="Aptos Display" w:hAnsi="Aptos Display"/>
          <w:color w:val="2F5496"/>
          <w:sz w:val="32"/>
          <w:szCs w:val="32"/>
          <w:shd w:val="clear" w:color="auto" w:fill="FFFFFF"/>
        </w:rPr>
      </w:pPr>
      <w:r>
        <w:rPr>
          <w:rStyle w:val="normaltextrun"/>
          <w:rFonts w:ascii="Aptos Display" w:hAnsi="Aptos Display"/>
          <w:b/>
          <w:bCs/>
          <w:color w:val="2F5496"/>
          <w:sz w:val="32"/>
          <w:szCs w:val="32"/>
          <w:shd w:val="clear" w:color="auto" w:fill="FFFFFF"/>
        </w:rPr>
        <w:t xml:space="preserve">2023 CHES Mental Health Report </w:t>
      </w:r>
      <w:r w:rsidR="42D27D00">
        <w:rPr>
          <w:rStyle w:val="normaltextrun"/>
          <w:rFonts w:ascii="Aptos Display" w:hAnsi="Aptos Display"/>
          <w:b/>
          <w:bCs/>
          <w:color w:val="2F5496"/>
          <w:sz w:val="32"/>
          <w:szCs w:val="32"/>
          <w:shd w:val="clear" w:color="auto" w:fill="FFFFFF"/>
        </w:rPr>
        <w:t xml:space="preserve">- </w:t>
      </w:r>
      <w:r w:rsidR="00BA5EEE">
        <w:rPr>
          <w:rStyle w:val="normaltextrun"/>
          <w:rFonts w:ascii="Aptos Display" w:hAnsi="Aptos Display"/>
          <w:b/>
          <w:bCs/>
          <w:color w:val="2F5496"/>
          <w:sz w:val="32"/>
          <w:szCs w:val="32"/>
          <w:shd w:val="clear" w:color="auto" w:fill="FFFFFF"/>
        </w:rPr>
        <w:t xml:space="preserve">Drivers of Mental Health </w:t>
      </w:r>
      <w:r>
        <w:rPr>
          <w:rStyle w:val="normaltextrun"/>
          <w:rFonts w:ascii="Aptos Display" w:hAnsi="Aptos Display"/>
          <w:b/>
          <w:bCs/>
          <w:color w:val="2F5496"/>
          <w:sz w:val="32"/>
          <w:szCs w:val="32"/>
          <w:shd w:val="clear" w:color="auto" w:fill="FFFFFF"/>
        </w:rPr>
        <w:t>Inequities</w:t>
      </w:r>
    </w:p>
    <w:p w14:paraId="4BE4DC2D" w14:textId="6B37244D" w:rsidR="00BA5EEE" w:rsidRDefault="001F470B">
      <w:pPr>
        <w:rPr>
          <w:rFonts w:ascii="Aptos Display" w:hAnsi="Aptos Display"/>
          <w:color w:val="2F5496"/>
          <w:sz w:val="32"/>
          <w:szCs w:val="32"/>
          <w:shd w:val="clear" w:color="auto" w:fill="FFFFFF"/>
        </w:rPr>
      </w:pPr>
      <w:r>
        <w:rPr>
          <w:rFonts w:ascii="Aptos Display" w:hAnsi="Aptos Display"/>
          <w:color w:val="2F5496"/>
          <w:sz w:val="32"/>
          <w:szCs w:val="32"/>
          <w:shd w:val="clear" w:color="auto" w:fill="FFFFFF"/>
        </w:rPr>
        <w:t>Economic Stability and Mental Health</w:t>
      </w:r>
    </w:p>
    <w:p w14:paraId="24E79463" w14:textId="5772AF3A" w:rsidR="00F22722" w:rsidRPr="00F22722" w:rsidRDefault="0482B82C" w:rsidP="032C037A">
      <w:pPr>
        <w:rPr>
          <w:rFonts w:ascii="Aptos Light" w:eastAsia="Aptos" w:hAnsi="Aptos Light" w:cs="Arial"/>
          <w:kern w:val="2"/>
          <w14:ligatures w14:val="standardContextual"/>
        </w:rPr>
      </w:pPr>
      <w:r w:rsidRPr="032C037A">
        <w:rPr>
          <w:rFonts w:ascii="Aptos Light" w:eastAsia="Aptos Light" w:hAnsi="Aptos Light" w:cs="Aptos Light"/>
        </w:rPr>
        <w:t xml:space="preserve">The CHEI Health Inequities Framework demonstrates that </w:t>
      </w:r>
      <w:r w:rsidR="00F22722" w:rsidRPr="00F22722">
        <w:rPr>
          <w:rFonts w:ascii="Aptos Light" w:eastAsia="Aptos" w:hAnsi="Aptos Light" w:cs="Arial"/>
          <w:kern w:val="2"/>
          <w14:ligatures w14:val="standardContextual"/>
        </w:rPr>
        <w:t xml:space="preserve">there is no single pathway that leads to mental well-being and no single cause that fully explains why certain populations have worse mental health outcomes. Many individual-level, environmental, social, structural, and historical factors work together to influence overall mental health. This </w:t>
      </w:r>
      <w:r w:rsidR="558ABCDC" w:rsidRPr="00F22722">
        <w:rPr>
          <w:rFonts w:ascii="Aptos Light" w:eastAsia="Aptos" w:hAnsi="Aptos Light" w:cs="Arial"/>
          <w:kern w:val="2"/>
          <w14:ligatures w14:val="standardContextual"/>
        </w:rPr>
        <w:t xml:space="preserve">section </w:t>
      </w:r>
      <w:r w:rsidR="00F22722" w:rsidRPr="00F22722">
        <w:rPr>
          <w:rFonts w:ascii="Aptos Light" w:eastAsia="Aptos" w:hAnsi="Aptos Light" w:cs="Arial"/>
          <w:kern w:val="2"/>
          <w14:ligatures w14:val="standardContextual"/>
        </w:rPr>
        <w:t xml:space="preserve">will highlight findings from the 2023 CHES that help demonstrate how inequities in social opportunities, resources, and key exposures contribute to inequities in mental health outcomes. </w:t>
      </w:r>
    </w:p>
    <w:p w14:paraId="633453E2" w14:textId="77777777" w:rsidR="00F22722" w:rsidRPr="00F22722" w:rsidRDefault="00F22722" w:rsidP="00F22722">
      <w:pPr>
        <w:keepNext/>
        <w:keepLines/>
        <w:spacing w:before="160" w:after="80"/>
        <w:outlineLvl w:val="2"/>
        <w:rPr>
          <w:rFonts w:ascii="Aptos Light" w:eastAsia="Yu Gothic Light" w:hAnsi="Aptos Light" w:cs="Times New Roman"/>
          <w:b/>
          <w:bCs/>
          <w:color w:val="0F4761"/>
          <w:kern w:val="2"/>
          <w:sz w:val="24"/>
          <w:szCs w:val="24"/>
          <w14:ligatures w14:val="standardContextual"/>
        </w:rPr>
      </w:pPr>
      <w:bookmarkStart w:id="0" w:name="_Toc174622962"/>
      <w:r w:rsidRPr="00F22722">
        <w:rPr>
          <w:rFonts w:ascii="Aptos Light" w:eastAsia="Yu Gothic Light" w:hAnsi="Aptos Light" w:cs="Times New Roman"/>
          <w:b/>
          <w:bCs/>
          <w:color w:val="0F4761"/>
          <w:kern w:val="2"/>
          <w:sz w:val="24"/>
          <w:szCs w:val="24"/>
          <w14:ligatures w14:val="standardContextual"/>
        </w:rPr>
        <w:t>Social Status Opportunities</w:t>
      </w:r>
      <w:bookmarkEnd w:id="0"/>
    </w:p>
    <w:p w14:paraId="6982EE99" w14:textId="77777777" w:rsidR="00F22722" w:rsidRPr="00F22722" w:rsidRDefault="00F22722" w:rsidP="00F22722">
      <w:pPr>
        <w:rPr>
          <w:rFonts w:ascii="Aptos Light" w:eastAsia="Aptos" w:hAnsi="Aptos Light" w:cs="Arial"/>
          <w:kern w:val="2"/>
          <w14:ligatures w14:val="standardContextual"/>
        </w:rPr>
      </w:pPr>
      <w:r w:rsidRPr="00F22722">
        <w:rPr>
          <w:rFonts w:ascii="Aptos Light" w:eastAsia="Aptos" w:hAnsi="Aptos Light" w:cs="Arial"/>
          <w:kern w:val="2"/>
          <w14:ligatures w14:val="standardContextual"/>
        </w:rPr>
        <w:t xml:space="preserve">Social status opportunities, like education, employment, and economic stability, are important drivers of health equity. They serve as important facilitators of mental health and well-being, influencing a wide range of mid- and downstream factors that influence overall health. </w:t>
      </w:r>
    </w:p>
    <w:p w14:paraId="5F085A31" w14:textId="77777777" w:rsidR="00F22722" w:rsidRPr="00F22722" w:rsidRDefault="00F22722" w:rsidP="00F22722">
      <w:pPr>
        <w:rPr>
          <w:rFonts w:ascii="Aptos Light" w:eastAsia="Aptos" w:hAnsi="Aptos Light" w:cs="Arial"/>
          <w:kern w:val="2"/>
          <w14:ligatures w14:val="standardContextual"/>
        </w:rPr>
      </w:pPr>
      <w:r w:rsidRPr="00F22722">
        <w:rPr>
          <w:rFonts w:ascii="Aptos Light" w:eastAsia="Aptos" w:hAnsi="Aptos Light" w:cs="Segoe UI"/>
          <w:noProof/>
          <w:color w:val="000000"/>
          <w:kern w:val="2"/>
          <w:sz w:val="18"/>
          <w:szCs w:val="18"/>
          <w14:ligatures w14:val="standardContextual"/>
        </w:rPr>
        <mc:AlternateContent>
          <mc:Choice Requires="wps">
            <w:drawing>
              <wp:anchor distT="0" distB="0" distL="114300" distR="114300" simplePos="0" relativeHeight="251662336" behindDoc="0" locked="0" layoutInCell="1" allowOverlap="1" wp14:anchorId="414043D8" wp14:editId="59779261">
                <wp:simplePos x="0" y="0"/>
                <wp:positionH relativeFrom="column">
                  <wp:posOffset>3371215</wp:posOffset>
                </wp:positionH>
                <wp:positionV relativeFrom="paragraph">
                  <wp:posOffset>15240</wp:posOffset>
                </wp:positionV>
                <wp:extent cx="1704975" cy="933450"/>
                <wp:effectExtent l="19050" t="19050" r="28575" b="19050"/>
                <wp:wrapNone/>
                <wp:docPr id="1714677102" name="Rectangle 41"/>
                <wp:cNvGraphicFramePr/>
                <a:graphic xmlns:a="http://schemas.openxmlformats.org/drawingml/2006/main">
                  <a:graphicData uri="http://schemas.microsoft.com/office/word/2010/wordprocessingShape">
                    <wps:wsp>
                      <wps:cNvSpPr/>
                      <wps:spPr>
                        <a:xfrm>
                          <a:off x="0" y="0"/>
                          <a:ext cx="1704975" cy="93345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http://schemas.openxmlformats.org/drawingml/2006/chart" xmlns:a16="http://schemas.microsoft.com/office/drawing/2014/main" xmlns:pic="http://schemas.openxmlformats.org/drawingml/2006/picture" xmlns:a="http://schemas.openxmlformats.org/drawingml/2006/main">
            <w:pict w14:anchorId="1AFF5BC6">
              <v:rect id="Rectangle 41" style="position:absolute;margin-left:265.45pt;margin-top:1.2pt;width:134.25pt;height: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c00000" strokeweight="2.25pt" w14:anchorId="1094A3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"/>
            </w:pict>
          </mc:Fallback>
        </mc:AlternateContent>
      </w:r>
      <w:r w:rsidRPr="00F22722">
        <w:rPr>
          <w:rFonts w:ascii="Aptos Light" w:eastAsia="Aptos" w:hAnsi="Aptos Light" w:cs="Arial"/>
          <w:noProof/>
          <w:kern w:val="2"/>
          <w14:ligatures w14:val="standardContextual"/>
        </w:rPr>
        <w:drawing>
          <wp:inline distT="0" distB="0" distL="0" distR="0" wp14:anchorId="5B377611" wp14:editId="1ADC7949">
            <wp:extent cx="6858000" cy="2777490"/>
            <wp:effectExtent l="0" t="0" r="0" b="3810"/>
            <wp:docPr id="1484169267" name="Picture 1" descr="A flow chart illustrating how systems and structures lead to health outcomes and inequities. The left side represents 'Interconnected Systems,' listing forms of oppression such as racism (internalized, interpersonal, institutional, structural), sexism, ableism, heterosexism, classism, and other systems of oppression. These systems influence 'Social Status' categories such as race, gender, age, sexual orientation, and disability, represented by arrows pointing to the middle section labeled 'Upstream/Midstream,' which includes 'Social Status Opportunities' (education, employment, economic stability) and 'Societal Resources' (housing, technology, social support, transportation, health resources). Exposures (environmental, discrimination, violence) are also factors in this section. All of these factors lead to the 'Health Outcomes and Inequities' section on the right, which includes chronic conditions, disability, mental health and well-being, substance use, and long COVID.&quot; The ‘Social Status Opportunities’ area of the flowchart is framed by a red 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169267" name="Picture 1" descr="A flow chart illustrating how systems and structures lead to health outcomes and inequities. The left side represents 'Interconnected Systems,' listing forms of oppression such as racism (internalized, interpersonal, institutional, structural), sexism, ableism, heterosexism, classism, and other systems of oppression. These systems influence 'Social Status' categories such as race, gender, age, sexual orientation, and disability, represented by arrows pointing to the middle section labeled 'Upstream/Midstream,' which includes 'Social Status Opportunities' (education, employment, economic stability) and 'Societal Resources' (housing, technology, social support, transportation, health resources). Exposures (environmental, discrimination, violence) are also factors in this section. All of these factors lead to the 'Health Outcomes and Inequities' section on the right, which includes chronic conditions, disability, mental health and well-being, substance use, and long COVID.&quot; The ‘Social Status Opportunities’ area of the flowchart is framed by a red rectangle."/>
                    <pic:cNvPicPr/>
                  </pic:nvPicPr>
                  <pic:blipFill>
                    <a:blip r:embed="rId10"/>
                    <a:stretch>
                      <a:fillRect/>
                    </a:stretch>
                  </pic:blipFill>
                  <pic:spPr>
                    <a:xfrm>
                      <a:off x="0" y="0"/>
                      <a:ext cx="6858000" cy="2777490"/>
                    </a:xfrm>
                    <a:prstGeom prst="rect">
                      <a:avLst/>
                    </a:prstGeom>
                  </pic:spPr>
                </pic:pic>
              </a:graphicData>
            </a:graphic>
          </wp:inline>
        </w:drawing>
      </w:r>
    </w:p>
    <w:p w14:paraId="5E78F83E" w14:textId="36CFB27D" w:rsidR="00F22722" w:rsidRPr="00F22722" w:rsidRDefault="00F22722" w:rsidP="00F22722">
      <w:pPr>
        <w:rPr>
          <w:rFonts w:ascii="Aptos Light" w:eastAsia="Aptos" w:hAnsi="Aptos Light" w:cs="Arial"/>
          <w:kern w:val="2"/>
          <w14:ligatures w14:val="standardContextual"/>
        </w:rPr>
      </w:pPr>
      <w:r w:rsidRPr="00F22722">
        <w:rPr>
          <w:rFonts w:ascii="Aptos Light" w:eastAsia="Aptos" w:hAnsi="Aptos Light" w:cs="Arial"/>
          <w:kern w:val="2"/>
          <w14:ligatures w14:val="standardContextual"/>
        </w:rPr>
        <w:t>Social status opportunities are closely connected to one another. At the individual level, having access to quality education and having safe and steady employment are important contributors to the economic stability of individuals and families. At the community level, overall economic stability contributes to neighborhood-level conditions that can lead to increased education and employment opportunities</w:t>
      </w:r>
      <w:r w:rsidRPr="00F22722">
        <w:rPr>
          <w:rFonts w:ascii="Aptos Light" w:eastAsia="Aptos" w:hAnsi="Aptos Light" w:cs="Arial"/>
          <w:kern w:val="2"/>
          <w:vertAlign w:val="superscript"/>
          <w14:ligatures w14:val="standardContextual"/>
        </w:rPr>
        <w:endnoteReference w:id="1"/>
      </w:r>
      <w:r w:rsidRPr="00F22722">
        <w:rPr>
          <w:rFonts w:ascii="Aptos Light" w:eastAsia="Aptos" w:hAnsi="Aptos Light" w:cs="Arial"/>
          <w:kern w:val="2"/>
          <w14:ligatures w14:val="standardContextual"/>
        </w:rPr>
        <w:t xml:space="preserve">. At the systems level, systems of oppression help shape social status opportunities, creating patterns of advantages and disadvantages that lead to inequities in health, including mental health.  CHES 2023 gathers important information on various social status opportunities and their connections to mental health. </w:t>
      </w:r>
    </w:p>
    <w:p w14:paraId="61D858AF" w14:textId="77777777" w:rsidR="00F22722" w:rsidRPr="00F22722" w:rsidRDefault="00F22722" w:rsidP="00F22722">
      <w:pPr>
        <w:keepNext/>
        <w:keepLines/>
        <w:spacing w:before="80" w:after="40"/>
        <w:ind w:firstLine="720"/>
        <w:outlineLvl w:val="3"/>
        <w:rPr>
          <w:rFonts w:ascii="Aptos Light" w:eastAsia="Yu Gothic Light" w:hAnsi="Aptos Light" w:cs="Times New Roman"/>
          <w:b/>
          <w:bCs/>
          <w:i/>
          <w:iCs/>
          <w:color w:val="0F4761"/>
          <w:kern w:val="2"/>
          <w:sz w:val="24"/>
          <w:szCs w:val="24"/>
          <w14:ligatures w14:val="standardContextual"/>
        </w:rPr>
      </w:pPr>
      <w:bookmarkStart w:id="1" w:name="_Toc174622963"/>
      <w:r w:rsidRPr="00F22722">
        <w:rPr>
          <w:rFonts w:ascii="Aptos Light" w:eastAsia="Yu Gothic Light" w:hAnsi="Aptos Light" w:cs="Times New Roman"/>
          <w:b/>
          <w:bCs/>
          <w:i/>
          <w:iCs/>
          <w:color w:val="0F4761"/>
          <w:kern w:val="2"/>
          <w:sz w:val="24"/>
          <w:szCs w:val="24"/>
          <w14:ligatures w14:val="standardContextual"/>
        </w:rPr>
        <w:t>Economic Stability</w:t>
      </w:r>
      <w:bookmarkEnd w:id="1"/>
      <w:r w:rsidRPr="00F22722">
        <w:rPr>
          <w:rFonts w:ascii="Aptos Light" w:eastAsia="Yu Gothic Light" w:hAnsi="Aptos Light" w:cs="Times New Roman"/>
          <w:b/>
          <w:bCs/>
          <w:i/>
          <w:iCs/>
          <w:color w:val="0F4761"/>
          <w:kern w:val="2"/>
          <w:sz w:val="24"/>
          <w:szCs w:val="24"/>
          <w14:ligatures w14:val="standardContextual"/>
        </w:rPr>
        <w:t xml:space="preserve"> </w:t>
      </w:r>
    </w:p>
    <w:p w14:paraId="43CF1C92" w14:textId="77777777" w:rsidR="00F22722" w:rsidRPr="00F22722" w:rsidRDefault="00F22722" w:rsidP="00F22722">
      <w:pPr>
        <w:ind w:left="720"/>
        <w:rPr>
          <w:rFonts w:ascii="Aptos Light" w:eastAsia="Aptos" w:hAnsi="Aptos Light" w:cs="Arial"/>
          <w:kern w:val="2"/>
          <w14:ligatures w14:val="standardContextual"/>
        </w:rPr>
      </w:pPr>
      <w:r w:rsidRPr="00F22722">
        <w:rPr>
          <w:rFonts w:ascii="Aptos Light" w:eastAsia="Aptos" w:hAnsi="Aptos Light" w:cs="Arial"/>
          <w:kern w:val="2"/>
          <w14:ligatures w14:val="standardContextual"/>
        </w:rPr>
        <w:t>Economic stability is the ability of individuals, households, and communities to meet their basic and essential needs sustainably. Having economic stability contributes to one’s ability to access important resources like housing, technology, transportation, health care, and healthy foods</w:t>
      </w:r>
      <w:r w:rsidRPr="00F22722">
        <w:rPr>
          <w:rFonts w:ascii="Aptos Light" w:eastAsia="Aptos" w:hAnsi="Aptos Light" w:cs="Arial"/>
          <w:kern w:val="2"/>
          <w:vertAlign w:val="superscript"/>
          <w14:ligatures w14:val="standardContextual"/>
        </w:rPr>
        <w:endnoteReference w:id="2"/>
      </w:r>
      <w:r w:rsidRPr="00F22722">
        <w:rPr>
          <w:rFonts w:ascii="Aptos Light" w:eastAsia="Aptos" w:hAnsi="Aptos Light" w:cs="Arial"/>
          <w:kern w:val="2"/>
          <w14:ligatures w14:val="standardContextual"/>
        </w:rPr>
        <w:t>. The absence of economic stability negatively impacts mental health by threatening the ability of individuals and groups to attain necessary health-related resources, influencing health-related behaviors, and increasing levels of psychological distress</w:t>
      </w:r>
      <w:r w:rsidRPr="00F22722">
        <w:rPr>
          <w:rFonts w:ascii="Aptos Light" w:eastAsia="Aptos" w:hAnsi="Aptos Light" w:cs="Arial"/>
          <w:kern w:val="2"/>
          <w:vertAlign w:val="superscript"/>
          <w14:ligatures w14:val="standardContextual"/>
        </w:rPr>
        <w:endnoteReference w:id="3"/>
      </w:r>
      <w:r w:rsidRPr="00F22722">
        <w:rPr>
          <w:rFonts w:ascii="Aptos Light" w:eastAsia="Aptos" w:hAnsi="Aptos Light" w:cs="Arial"/>
          <w:kern w:val="2"/>
          <w14:ligatures w14:val="standardContextual"/>
        </w:rPr>
        <w:t xml:space="preserve">. </w:t>
      </w:r>
    </w:p>
    <w:p w14:paraId="227FD35D" w14:textId="77777777" w:rsidR="005A143D" w:rsidRDefault="005A143D" w:rsidP="00F22722">
      <w:pPr>
        <w:ind w:left="720"/>
        <w:rPr>
          <w:rFonts w:ascii="Aptos Light" w:eastAsia="Aptos" w:hAnsi="Aptos Light" w:cs="Arial"/>
          <w:kern w:val="2"/>
          <w14:ligatures w14:val="standardContextual"/>
        </w:rPr>
      </w:pPr>
    </w:p>
    <w:p w14:paraId="7B87F590" w14:textId="2777302C" w:rsidR="00F22722" w:rsidRPr="00F22722" w:rsidRDefault="00F22722" w:rsidP="00F22722">
      <w:pPr>
        <w:ind w:left="720"/>
        <w:rPr>
          <w:rFonts w:ascii="Aptos Light" w:eastAsia="Aptos" w:hAnsi="Aptos Light" w:cs="Arial"/>
          <w:kern w:val="2"/>
          <w14:ligatures w14:val="standardContextual"/>
        </w:rPr>
      </w:pPr>
      <w:r w:rsidRPr="00F22722">
        <w:rPr>
          <w:rFonts w:ascii="Aptos Light" w:eastAsia="Aptos" w:hAnsi="Aptos Light" w:cs="Arial"/>
          <w:kern w:val="2"/>
          <w14:ligatures w14:val="standardContextual"/>
        </w:rPr>
        <w:lastRenderedPageBreak/>
        <w:t xml:space="preserve">Data from the 2023 CHES demonstrate a clear relationship between economic stability and mental health. The following economic indicators included in the survey were all significantly associated with various mental health outcomes: </w:t>
      </w:r>
    </w:p>
    <w:p w14:paraId="29E47E10" w14:textId="77777777" w:rsidR="00F22722" w:rsidRPr="00F22722" w:rsidRDefault="00F22722" w:rsidP="00F22722">
      <w:pPr>
        <w:numPr>
          <w:ilvl w:val="0"/>
          <w:numId w:val="1"/>
        </w:numPr>
        <w:ind w:left="1080"/>
        <w:contextualSpacing/>
        <w:rPr>
          <w:rFonts w:ascii="Aptos Light" w:eastAsia="Aptos" w:hAnsi="Aptos Light" w:cs="Arial"/>
          <w:kern w:val="2"/>
          <w14:ligatures w14:val="standardContextual"/>
        </w:rPr>
      </w:pPr>
      <w:r w:rsidRPr="00F22722">
        <w:rPr>
          <w:rFonts w:ascii="Aptos Light" w:eastAsia="Aptos" w:hAnsi="Aptos Light" w:cs="Arial"/>
          <w:i/>
          <w:iCs/>
          <w:kern w:val="2"/>
          <w14:ligatures w14:val="standardContextual"/>
        </w:rPr>
        <w:t>Basic Needs:</w:t>
      </w:r>
      <w:r w:rsidRPr="00F22722">
        <w:rPr>
          <w:rFonts w:ascii="Aptos Light" w:eastAsia="Aptos" w:hAnsi="Aptos Light" w:cs="Arial"/>
          <w:kern w:val="2"/>
          <w14:ligatures w14:val="standardContextual"/>
        </w:rPr>
        <w:t xml:space="preserve"> Trouble paying for basic needs in the past 12 months, including food or groceries, childcare, health care, and housing. </w:t>
      </w:r>
    </w:p>
    <w:p w14:paraId="3DC50341" w14:textId="77777777" w:rsidR="00F22722" w:rsidRPr="00F22722" w:rsidRDefault="00F22722" w:rsidP="00F22722">
      <w:pPr>
        <w:numPr>
          <w:ilvl w:val="0"/>
          <w:numId w:val="1"/>
        </w:numPr>
        <w:ind w:left="1080"/>
        <w:contextualSpacing/>
        <w:rPr>
          <w:rFonts w:ascii="Aptos Light" w:eastAsia="Aptos" w:hAnsi="Aptos Light" w:cs="Arial"/>
          <w:kern w:val="2"/>
          <w14:ligatures w14:val="standardContextual"/>
        </w:rPr>
      </w:pPr>
      <w:r w:rsidRPr="00F22722">
        <w:rPr>
          <w:rFonts w:ascii="Aptos Light" w:eastAsia="Aptos" w:hAnsi="Aptos Light" w:cs="Arial"/>
          <w:i/>
          <w:iCs/>
          <w:kern w:val="2"/>
          <w14:ligatures w14:val="standardContextual"/>
        </w:rPr>
        <w:t>Benefits:</w:t>
      </w:r>
      <w:r w:rsidRPr="00F22722">
        <w:rPr>
          <w:rFonts w:ascii="Aptos Light" w:eastAsia="Aptos" w:hAnsi="Aptos Light" w:cs="Arial"/>
          <w:kern w:val="2"/>
          <w14:ligatures w14:val="standardContextual"/>
        </w:rPr>
        <w:t xml:space="preserve"> Applying for or receiving governmental benefits, like housing or food assistance. </w:t>
      </w:r>
    </w:p>
    <w:p w14:paraId="4A1AAD7A" w14:textId="77777777" w:rsidR="00F22722" w:rsidRPr="00F22722" w:rsidRDefault="00F22722" w:rsidP="00F22722">
      <w:pPr>
        <w:numPr>
          <w:ilvl w:val="0"/>
          <w:numId w:val="1"/>
        </w:numPr>
        <w:ind w:left="1080"/>
        <w:contextualSpacing/>
        <w:rPr>
          <w:rFonts w:ascii="Aptos Light" w:eastAsia="Aptos" w:hAnsi="Aptos Light" w:cs="Arial"/>
          <w:kern w:val="2"/>
          <w14:ligatures w14:val="standardContextual"/>
        </w:rPr>
      </w:pPr>
      <w:r w:rsidRPr="00F22722">
        <w:rPr>
          <w:rFonts w:ascii="Aptos Light" w:eastAsia="Aptos" w:hAnsi="Aptos Light" w:cs="Arial"/>
          <w:i/>
          <w:iCs/>
          <w:kern w:val="2"/>
          <w14:ligatures w14:val="standardContextual"/>
        </w:rPr>
        <w:t>Economic Security:</w:t>
      </w:r>
      <w:r w:rsidRPr="00F22722">
        <w:rPr>
          <w:rFonts w:ascii="Aptos Light" w:eastAsia="Aptos" w:hAnsi="Aptos Light" w:cs="Arial"/>
          <w:kern w:val="2"/>
          <w14:ligatures w14:val="standardContextual"/>
        </w:rPr>
        <w:t xml:space="preserve"> Self-reported end-of-month finances. </w:t>
      </w:r>
    </w:p>
    <w:p w14:paraId="7C7E0B7E" w14:textId="77777777" w:rsidR="00F22722" w:rsidRPr="00F22722" w:rsidRDefault="00F22722" w:rsidP="00F22722">
      <w:pPr>
        <w:rPr>
          <w:rFonts w:ascii="Aptos Light" w:eastAsia="Aptos" w:hAnsi="Aptos Light" w:cs="Arial"/>
          <w:color w:val="0E2841"/>
          <w:kern w:val="2"/>
          <w14:ligatures w14:val="standardContextual"/>
        </w:rPr>
      </w:pPr>
      <w:r w:rsidRPr="00F22722">
        <w:rPr>
          <w:rFonts w:ascii="Aptos Light" w:eastAsia="Aptos" w:hAnsi="Aptos Light" w:cs="Arial"/>
          <w:noProof/>
          <w:kern w:val="2"/>
          <w14:ligatures w14:val="standardContextual"/>
        </w:rPr>
        <mc:AlternateContent>
          <mc:Choice Requires="wps">
            <w:drawing>
              <wp:anchor distT="0" distB="0" distL="114300" distR="114300" simplePos="0" relativeHeight="251659264" behindDoc="0" locked="0" layoutInCell="1" allowOverlap="1" wp14:anchorId="56CE9875" wp14:editId="4EBB9566">
                <wp:simplePos x="0" y="0"/>
                <wp:positionH relativeFrom="column">
                  <wp:posOffset>437011</wp:posOffset>
                </wp:positionH>
                <wp:positionV relativeFrom="paragraph">
                  <wp:posOffset>86875</wp:posOffset>
                </wp:positionV>
                <wp:extent cx="4609011" cy="262271"/>
                <wp:effectExtent l="0" t="0" r="1270" b="4445"/>
                <wp:wrapSquare wrapText="bothSides"/>
                <wp:docPr id="1036167498" name="Text Box 1036167498"/>
                <wp:cNvGraphicFramePr/>
                <a:graphic xmlns:a="http://schemas.openxmlformats.org/drawingml/2006/main">
                  <a:graphicData uri="http://schemas.microsoft.com/office/word/2010/wordprocessingShape">
                    <wps:wsp>
                      <wps:cNvSpPr txBox="1"/>
                      <wps:spPr>
                        <a:xfrm>
                          <a:off x="0" y="0"/>
                          <a:ext cx="4609011" cy="262271"/>
                        </a:xfrm>
                        <a:prstGeom prst="rect">
                          <a:avLst/>
                        </a:prstGeom>
                        <a:solidFill>
                          <a:prstClr val="white"/>
                        </a:solidFill>
                        <a:ln>
                          <a:noFill/>
                        </a:ln>
                      </wps:spPr>
                      <wps:txbx>
                        <w:txbxContent>
                          <w:p w14:paraId="7454FBB9" w14:textId="77777777" w:rsidR="00F22722" w:rsidRPr="00E77E63" w:rsidRDefault="00F22722" w:rsidP="00F22722">
                            <w:pPr>
                              <w:pStyle w:val="Caption1"/>
                              <w:rPr>
                                <w:noProof/>
                                <w:sz w:val="36"/>
                                <w:szCs w:val="36"/>
                              </w:rPr>
                            </w:pPr>
                            <w:r w:rsidRPr="00E77E63">
                              <w:rPr>
                                <w:sz w:val="22"/>
                                <w:szCs w:val="22"/>
                              </w:rPr>
                              <w:t xml:space="preserve">Figure </w:t>
                            </w:r>
                            <w:r w:rsidRPr="00E77E63">
                              <w:rPr>
                                <w:sz w:val="22"/>
                                <w:szCs w:val="22"/>
                              </w:rPr>
                              <w:fldChar w:fldCharType="begin"/>
                            </w:r>
                            <w:r w:rsidRPr="00E77E63">
                              <w:rPr>
                                <w:sz w:val="22"/>
                                <w:szCs w:val="22"/>
                              </w:rPr>
                              <w:instrText xml:space="preserve"> SEQ Figure \* ARABIC </w:instrText>
                            </w:r>
                            <w:r w:rsidRPr="00E77E63">
                              <w:rPr>
                                <w:sz w:val="22"/>
                                <w:szCs w:val="22"/>
                              </w:rPr>
                              <w:fldChar w:fldCharType="separate"/>
                            </w:r>
                            <w:r>
                              <w:rPr>
                                <w:noProof/>
                                <w:sz w:val="22"/>
                                <w:szCs w:val="22"/>
                              </w:rPr>
                              <w:t>8</w:t>
                            </w:r>
                            <w:r w:rsidRPr="00E77E63">
                              <w:rPr>
                                <w:noProof/>
                                <w:sz w:val="22"/>
                                <w:szCs w:val="22"/>
                              </w:rPr>
                              <w:fldChar w:fldCharType="end"/>
                            </w:r>
                            <w:r w:rsidRPr="00E77E63">
                              <w:rPr>
                                <w:sz w:val="22"/>
                                <w:szCs w:val="22"/>
                              </w:rPr>
                              <w:t>. 2023 CHES– Paying for Basic Needs and Mental Health</w:t>
                            </w:r>
                            <w:r>
                              <w:rPr>
                                <w:sz w:val="22"/>
                                <w:szCs w:val="22"/>
                              </w:rPr>
                              <w:t xml:space="preserve"> Indicators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http://schemas.openxmlformats.org/drawingml/2006/chart" xmlns:a16="http://schemas.microsoft.com/office/drawing/2014/main" xmlns:pic="http://schemas.openxmlformats.org/drawingml/2006/picture" xmlns:a="http://schemas.openxmlformats.org/drawingml/2006/main">
            <w:pict w14:anchorId="426921ED">
              <v:shapetype id="_x0000_t202" coordsize="21600,21600" o:spt="202" path="m,l,21600r21600,l21600,xe" w14:anchorId="56CE9875">
                <v:stroke joinstyle="miter"/>
                <v:path gradientshapeok="t" o:connecttype="rect"/>
              </v:shapetype>
              <v:shape id="Text Box 1036167498" style="position:absolute;margin-left:34.4pt;margin-top:6.85pt;width:362.9pt;height:20.6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">
                <v:textbox inset="0,0,0,0">
                  <w:txbxContent>
                    <w:p w:rsidRPr="00E77E63" w:rsidR="00F22722" w:rsidP="00F22722" w:rsidRDefault="00F22722" w14:paraId="39B1C6B3" w14:textId="77777777">
                      <w:pPr>
                        <w:pStyle w:val="Caption1"/>
                        <w:rPr>
                          <w:noProof/>
                          <w:sz w:val="36"/>
                          <w:szCs w:val="36"/>
                        </w:rPr>
                      </w:pPr>
                      <w:r w:rsidRPr="00E77E63">
                        <w:rPr>
                          <w:sz w:val="22"/>
                          <w:szCs w:val="22"/>
                        </w:rPr>
                        <w:t xml:space="preserve">Figure </w:t>
                      </w:r>
                      <w:r w:rsidRPr="00E77E63">
                        <w:rPr>
                          <w:sz w:val="22"/>
                          <w:szCs w:val="22"/>
                        </w:rPr>
                        <w:fldChar w:fldCharType="begin"/>
                      </w:r>
                      <w:r w:rsidRPr="00E77E63">
                        <w:rPr>
                          <w:sz w:val="22"/>
                          <w:szCs w:val="22"/>
                        </w:rPr>
                        <w:instrText xml:space="preserve"> SEQ Figure \* ARABIC </w:instrText>
                      </w:r>
                      <w:r w:rsidRPr="00E77E63">
                        <w:rPr>
                          <w:sz w:val="22"/>
                          <w:szCs w:val="22"/>
                        </w:rPr>
                        <w:fldChar w:fldCharType="separate"/>
                      </w:r>
                      <w:r>
                        <w:rPr>
                          <w:noProof/>
                          <w:sz w:val="22"/>
                          <w:szCs w:val="22"/>
                        </w:rPr>
                        <w:t>8</w:t>
                      </w:r>
                      <w:r w:rsidRPr="00E77E63">
                        <w:rPr>
                          <w:noProof/>
                          <w:sz w:val="22"/>
                          <w:szCs w:val="22"/>
                        </w:rPr>
                        <w:fldChar w:fldCharType="end"/>
                      </w:r>
                      <w:r w:rsidRPr="00E77E63">
                        <w:rPr>
                          <w:sz w:val="22"/>
                          <w:szCs w:val="22"/>
                        </w:rPr>
                        <w:t>. 2023 CHES– Paying for Basic Needs and Mental Health</w:t>
                      </w:r>
                      <w:r>
                        <w:rPr>
                          <w:sz w:val="22"/>
                          <w:szCs w:val="22"/>
                        </w:rPr>
                        <w:t xml:space="preserve"> Indicators</w:t>
                      </w:r>
                    </w:p>
                  </w:txbxContent>
                </v:textbox>
                <w10:wrap type="square"/>
              </v:shape>
            </w:pict>
          </mc:Fallback>
        </mc:AlternateContent>
      </w:r>
      <w:r w:rsidRPr="00F22722">
        <w:rPr>
          <w:rFonts w:ascii="Aptos Light" w:eastAsia="Aptos" w:hAnsi="Aptos Light" w:cs="Arial"/>
          <w:kern w:val="2"/>
          <w14:ligatures w14:val="standardContextual"/>
        </w:rPr>
        <w:t xml:space="preserve"> </w:t>
      </w:r>
    </w:p>
    <w:p w14:paraId="0A8BC960" w14:textId="77777777" w:rsidR="00F22722" w:rsidRPr="00F22722" w:rsidRDefault="00F22722" w:rsidP="00F22722">
      <w:pPr>
        <w:spacing w:after="200" w:line="240" w:lineRule="auto"/>
        <w:rPr>
          <w:rFonts w:ascii="Aptos Light" w:eastAsia="Aptos" w:hAnsi="Aptos Light" w:cs="Arial"/>
          <w:i/>
          <w:iCs/>
          <w:color w:val="0E2841"/>
          <w:kern w:val="2"/>
          <w14:ligatures w14:val="standardContextual"/>
        </w:rPr>
      </w:pPr>
      <w:r w:rsidRPr="00F22722">
        <w:rPr>
          <w:rFonts w:ascii="Aptos Light" w:eastAsia="Aptos" w:hAnsi="Aptos Light" w:cs="Arial"/>
          <w:i/>
          <w:iCs/>
          <w:noProof/>
          <w:color w:val="0E2841"/>
          <w:kern w:val="2"/>
          <w:sz w:val="18"/>
          <w:szCs w:val="18"/>
          <w14:ligatures w14:val="standardContextual"/>
        </w:rPr>
        <mc:AlternateContent>
          <mc:Choice Requires="wps">
            <w:drawing>
              <wp:anchor distT="45720" distB="45720" distL="114300" distR="114300" simplePos="0" relativeHeight="251661312" behindDoc="0" locked="0" layoutInCell="1" allowOverlap="1" wp14:anchorId="0D5F3C2E" wp14:editId="19946730">
                <wp:simplePos x="0" y="0"/>
                <wp:positionH relativeFrom="margin">
                  <wp:posOffset>4381500</wp:posOffset>
                </wp:positionH>
                <wp:positionV relativeFrom="paragraph">
                  <wp:posOffset>66675</wp:posOffset>
                </wp:positionV>
                <wp:extent cx="2628900" cy="1786255"/>
                <wp:effectExtent l="0" t="0" r="0" b="4445"/>
                <wp:wrapSquare wrapText="bothSides"/>
                <wp:docPr id="1375284899" name="Text Box 1375284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786255"/>
                        </a:xfrm>
                        <a:prstGeom prst="rect">
                          <a:avLst/>
                        </a:prstGeom>
                        <a:solidFill>
                          <a:srgbClr val="0E2841">
                            <a:lumMod val="90000"/>
                            <a:lumOff val="10000"/>
                          </a:srgbClr>
                        </a:solidFill>
                        <a:ln w="9525">
                          <a:noFill/>
                          <a:miter lim="800000"/>
                          <a:headEnd/>
                          <a:tailEnd/>
                        </a:ln>
                      </wps:spPr>
                      <wps:txbx>
                        <w:txbxContent>
                          <w:p w14:paraId="5B99EA95" w14:textId="77777777" w:rsidR="00F22722" w:rsidRDefault="00F22722" w:rsidP="00F22722">
                            <w:r>
                              <w:t xml:space="preserve">Adults that reported having trouble paying for basic needs in the past 12 months had significantly worse mental health outcomes. Those who reported trouble paying for basic needs were over 4 times as likely to report psychological distress and social isolation compared to those that did not. They were also nearly 3 times as likely to report suicidal ideation.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http://schemas.openxmlformats.org/drawingml/2006/chart" xmlns:a16="http://schemas.microsoft.com/office/drawing/2014/main" xmlns:pic="http://schemas.openxmlformats.org/drawingml/2006/picture" xmlns:a="http://schemas.openxmlformats.org/drawingml/2006/main">
            <w:pict w14:anchorId="2E418FB1">
              <v:shape id="Text Box 1375284899" style="position:absolute;margin-left:345pt;margin-top:5.25pt;width:207pt;height:140.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fillcolor="#163e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" w14:anchorId="0D5F3C2E">
                <v:textbox>
                  <w:txbxContent>
                    <w:p w:rsidR="00F22722" w:rsidP="00F22722" w:rsidRDefault="00F22722" w14:paraId="5FE2EF6B" w14:textId="77777777">
                      <w:r>
                        <w:t xml:space="preserve">Adults that reported having trouble paying for basic needs in the past 12 months had significantly worse mental health outcomes. Those who reported trouble paying for basic needs were over 4 times as likely to report psychological distress and social isolation compared to those that did not. They were also nearly 3 times as likely to report suicidal ideation. </w:t>
                      </w:r>
                    </w:p>
                  </w:txbxContent>
                </v:textbox>
                <w10:wrap type="square" anchorx="margin"/>
              </v:shape>
            </w:pict>
          </mc:Fallback>
        </mc:AlternateContent>
      </w:r>
      <w:r w:rsidRPr="00F22722">
        <w:rPr>
          <w:rFonts w:ascii="Aptos Light" w:eastAsia="Aptos" w:hAnsi="Aptos Light" w:cs="Arial"/>
          <w:i/>
          <w:iCs/>
          <w:noProof/>
          <w:color w:val="0E2841"/>
          <w:kern w:val="2"/>
          <w:sz w:val="18"/>
          <w:szCs w:val="18"/>
          <w14:ligatures w14:val="standardContextual"/>
        </w:rPr>
        <mc:AlternateContent>
          <mc:Choice Requires="wps">
            <w:drawing>
              <wp:anchor distT="0" distB="0" distL="114300" distR="114300" simplePos="0" relativeHeight="251660288" behindDoc="0" locked="0" layoutInCell="1" allowOverlap="1" wp14:anchorId="6D4751EF" wp14:editId="64D18778">
                <wp:simplePos x="0" y="0"/>
                <wp:positionH relativeFrom="column">
                  <wp:posOffset>400050</wp:posOffset>
                </wp:positionH>
                <wp:positionV relativeFrom="paragraph">
                  <wp:posOffset>33655</wp:posOffset>
                </wp:positionV>
                <wp:extent cx="3905250" cy="1807210"/>
                <wp:effectExtent l="0" t="0" r="19050" b="21590"/>
                <wp:wrapSquare wrapText="bothSides"/>
                <wp:docPr id="447005188" name="Text Box 447005188" descr="Bar chart titled ‘Figure 8. Paying for Basic Needs and Mental Health Indicators’ showing the percentage of psychological distress indicators of those reporting trouble paying for basic needs compared to those reporting no trouble paying for basic needs: 35.4% of those reporting trouble paying for basic needs reported psychological distress compared to 8.1% of those reporting no trouble paying for basic needs; 13.6% of those reporting trouble paying for basic needs reported suicidal ideation compared to 4.7% of those reporting no trouble paying for basic needs; 25.7% of those reporting trouble paying for basic needs reported social isolation compared to 6.4% of those reporting no trouble paying for basic nee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1807210"/>
                        </a:xfrm>
                        <a:prstGeom prst="rect">
                          <a:avLst/>
                        </a:prstGeom>
                        <a:solidFill>
                          <a:srgbClr val="FFFFFF"/>
                        </a:solidFill>
                        <a:ln w="9525">
                          <a:solidFill>
                            <a:sysClr val="window" lastClr="FFFFFF">
                              <a:lumMod val="75000"/>
                            </a:sysClr>
                          </a:solidFill>
                          <a:miter lim="800000"/>
                          <a:headEnd/>
                          <a:tailEnd/>
                        </a:ln>
                      </wps:spPr>
                      <wps:txbx>
                        <w:txbxContent>
                          <w:p w14:paraId="5552F6F8" w14:textId="77777777" w:rsidR="00F22722" w:rsidRPr="008A0846" w:rsidRDefault="00F22722" w:rsidP="00F22722">
                            <w:r w:rsidRPr="008A0846">
                              <w:rPr>
                                <w:noProof/>
                              </w:rPr>
                              <w:drawing>
                                <wp:inline distT="0" distB="0" distL="0" distR="0" wp14:anchorId="31D690C1" wp14:editId="0F7C0C11">
                                  <wp:extent cx="3854450" cy="1892596"/>
                                  <wp:effectExtent l="0" t="0" r="0" b="0"/>
                                  <wp:docPr id="1522206304" name="Chart 1">
                                    <a:extLst xmlns:a="http://schemas.openxmlformats.org/drawingml/2006/main">
                                      <a:ext uri="{FF2B5EF4-FFF2-40B4-BE49-F238E27FC236}">
                                        <a16:creationId xmlns:a16="http://schemas.microsoft.com/office/drawing/2014/main" id="{5C7CFEE8-B14D-A304-1611-4FE96A167D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4751EF" id="_x0000_t202" coordsize="21600,21600" o:spt="202" path="m,l,21600r21600,l21600,xe">
                <v:stroke joinstyle="miter"/>
                <v:path gradientshapeok="t" o:connecttype="rect"/>
              </v:shapetype>
              <v:shape id="Text Box 447005188" o:spid="_x0000_s1028" type="#_x0000_t202" alt="Bar chart titled ‘Figure 8. Paying for Basic Needs and Mental Health Indicators’ showing the percentage of psychological distress indicators of those reporting trouble paying for basic needs compared to those reporting no trouble paying for basic needs: 35.4% of those reporting trouble paying for basic needs reported psychological distress compared to 8.1% of those reporting no trouble paying for basic needs; 13.6% of those reporting trouble paying for basic needs reported suicidal ideation compared to 4.7% of those reporting no trouble paying for basic needs; 25.7% of those reporting trouble paying for basic needs reported social isolation compared to 6.4% of those reporting no trouble paying for basic needs" style="position:absolute;margin-left:31.5pt;margin-top:2.65pt;width:307.5pt;height:14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" strokecolor="#bfbfbf">
                <v:textbox>
                  <w:txbxContent>
                    <w:p w14:paraId="5552F6F8" w14:textId="77777777" w:rsidR="00F22722" w:rsidRPr="008A0846" w:rsidRDefault="00F22722" w:rsidP="00F22722">
                      <w:r w:rsidRPr="008A0846">
                        <w:rPr>
                          <w:noProof/>
                        </w:rPr>
                        <w:drawing>
                          <wp:inline distT="0" distB="0" distL="0" distR="0" wp14:anchorId="31D690C1" wp14:editId="0F7C0C11">
                            <wp:extent cx="3854450" cy="1892596"/>
                            <wp:effectExtent l="0" t="0" r="0" b="0"/>
                            <wp:docPr id="1522206304" name="Chart 1">
                              <a:extLst xmlns:a="http://schemas.openxmlformats.org/drawingml/2006/main">
                                <a:ext uri="{FF2B5EF4-FFF2-40B4-BE49-F238E27FC236}">
                                  <a16:creationId xmlns:a16="http://schemas.microsoft.com/office/drawing/2014/main" id="{5C7CFEE8-B14D-A304-1611-4FE96A167D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v:textbox>
                <w10:wrap type="square"/>
              </v:shape>
            </w:pict>
          </mc:Fallback>
        </mc:AlternateContent>
      </w:r>
    </w:p>
    <w:p w14:paraId="2FB9313B" w14:textId="77777777" w:rsidR="00F22722" w:rsidRPr="00F22722" w:rsidRDefault="00F22722" w:rsidP="00F22722">
      <w:pPr>
        <w:spacing w:after="200" w:line="240" w:lineRule="auto"/>
        <w:rPr>
          <w:rFonts w:ascii="Aptos Light" w:eastAsia="Aptos" w:hAnsi="Aptos Light" w:cs="Arial"/>
          <w:i/>
          <w:iCs/>
          <w:color w:val="0E2841"/>
          <w:kern w:val="2"/>
          <w14:ligatures w14:val="standardContextual"/>
        </w:rPr>
      </w:pPr>
    </w:p>
    <w:p w14:paraId="6EA2779A" w14:textId="77777777" w:rsidR="00F22722" w:rsidRPr="00F22722" w:rsidRDefault="00F22722" w:rsidP="00F22722">
      <w:pPr>
        <w:spacing w:after="200" w:line="240" w:lineRule="auto"/>
        <w:rPr>
          <w:rFonts w:ascii="Aptos Light" w:eastAsia="Aptos" w:hAnsi="Aptos Light" w:cs="Arial"/>
          <w:i/>
          <w:iCs/>
          <w:color w:val="0E2841"/>
          <w:kern w:val="2"/>
          <w14:ligatures w14:val="standardContextual"/>
        </w:rPr>
      </w:pPr>
    </w:p>
    <w:p w14:paraId="69D3409C" w14:textId="77777777" w:rsidR="00F22722" w:rsidRPr="00F22722" w:rsidRDefault="00F22722" w:rsidP="00F22722">
      <w:pPr>
        <w:spacing w:after="200" w:line="240" w:lineRule="auto"/>
        <w:rPr>
          <w:rFonts w:ascii="Aptos Light" w:eastAsia="Aptos" w:hAnsi="Aptos Light" w:cs="Arial"/>
          <w:i/>
          <w:iCs/>
          <w:color w:val="0E2841"/>
          <w:kern w:val="2"/>
          <w14:ligatures w14:val="standardContextual"/>
        </w:rPr>
      </w:pPr>
    </w:p>
    <w:p w14:paraId="68628FA3" w14:textId="77777777" w:rsidR="00F22722" w:rsidRPr="00F22722" w:rsidRDefault="00F22722" w:rsidP="00F22722">
      <w:pPr>
        <w:rPr>
          <w:rFonts w:ascii="Aptos Light" w:eastAsia="Aptos" w:hAnsi="Aptos Light" w:cs="Arial"/>
          <w:kern w:val="2"/>
          <w14:ligatures w14:val="standardContextual"/>
        </w:rPr>
      </w:pPr>
    </w:p>
    <w:p w14:paraId="282D60CB" w14:textId="77777777" w:rsidR="00F22722" w:rsidRPr="00F22722" w:rsidRDefault="00F22722" w:rsidP="00F22722">
      <w:pPr>
        <w:rPr>
          <w:rFonts w:ascii="Aptos Light" w:eastAsia="Aptos" w:hAnsi="Aptos Light" w:cs="Arial"/>
          <w:kern w:val="2"/>
          <w14:ligatures w14:val="standardContextual"/>
        </w:rPr>
      </w:pPr>
    </w:p>
    <w:p w14:paraId="6FE719E5" w14:textId="77777777" w:rsidR="00F22722" w:rsidRPr="00F22722" w:rsidRDefault="00F22722" w:rsidP="00F22722">
      <w:pPr>
        <w:rPr>
          <w:rFonts w:ascii="Aptos Light" w:eastAsia="Aptos" w:hAnsi="Aptos Light" w:cs="Arial"/>
          <w:kern w:val="2"/>
          <w14:ligatures w14:val="standardContextual"/>
        </w:rPr>
      </w:pPr>
    </w:p>
    <w:p w14:paraId="0FD95158" w14:textId="77777777" w:rsidR="00F22722" w:rsidRPr="00F22722" w:rsidRDefault="00F22722" w:rsidP="00F22722">
      <w:pPr>
        <w:spacing w:after="200" w:line="240" w:lineRule="auto"/>
        <w:ind w:firstLine="720"/>
        <w:rPr>
          <w:rFonts w:ascii="Aptos Light" w:eastAsia="Aptos" w:hAnsi="Aptos Light" w:cs="Arial"/>
          <w:i/>
          <w:iCs/>
          <w:color w:val="0E2841"/>
          <w:kern w:val="2"/>
          <w14:ligatures w14:val="standardContextual"/>
        </w:rPr>
      </w:pPr>
      <w:bookmarkStart w:id="2" w:name="_Toc174604043"/>
      <w:r w:rsidRPr="00F22722">
        <w:rPr>
          <w:rFonts w:ascii="Aptos Light" w:eastAsia="Aptos" w:hAnsi="Aptos Light" w:cs="Arial"/>
          <w:i/>
          <w:iCs/>
          <w:color w:val="0E2841"/>
          <w:kern w:val="2"/>
          <w14:ligatures w14:val="standardContextual"/>
        </w:rPr>
        <w:t xml:space="preserve">Table </w:t>
      </w:r>
      <w:r w:rsidRPr="00F22722">
        <w:rPr>
          <w:rFonts w:ascii="Aptos Light" w:eastAsia="Aptos" w:hAnsi="Aptos Light" w:cs="Arial"/>
          <w:i/>
          <w:iCs/>
          <w:color w:val="0E2841"/>
          <w:kern w:val="2"/>
          <w14:ligatures w14:val="standardContextual"/>
        </w:rPr>
        <w:fldChar w:fldCharType="begin"/>
      </w:r>
      <w:r w:rsidRPr="00F22722">
        <w:rPr>
          <w:rFonts w:ascii="Aptos Light" w:eastAsia="Aptos" w:hAnsi="Aptos Light" w:cs="Arial"/>
          <w:i/>
          <w:iCs/>
          <w:color w:val="0E2841"/>
          <w:kern w:val="2"/>
          <w14:ligatures w14:val="standardContextual"/>
        </w:rPr>
        <w:instrText xml:space="preserve"> SEQ Table \* ARABIC </w:instrText>
      </w:r>
      <w:r w:rsidRPr="00F22722">
        <w:rPr>
          <w:rFonts w:ascii="Aptos Light" w:eastAsia="Aptos" w:hAnsi="Aptos Light" w:cs="Arial"/>
          <w:i/>
          <w:iCs/>
          <w:color w:val="0E2841"/>
          <w:kern w:val="2"/>
          <w14:ligatures w14:val="standardContextual"/>
        </w:rPr>
        <w:fldChar w:fldCharType="separate"/>
      </w:r>
      <w:r w:rsidRPr="00F22722">
        <w:rPr>
          <w:rFonts w:ascii="Aptos Light" w:eastAsia="Aptos" w:hAnsi="Aptos Light" w:cs="Arial"/>
          <w:i/>
          <w:iCs/>
          <w:noProof/>
          <w:color w:val="0E2841"/>
          <w:kern w:val="2"/>
          <w14:ligatures w14:val="standardContextual"/>
        </w:rPr>
        <w:t>5</w:t>
      </w:r>
      <w:r w:rsidRPr="00F22722">
        <w:rPr>
          <w:rFonts w:ascii="Aptos Light" w:eastAsia="Aptos" w:hAnsi="Aptos Light" w:cs="Arial"/>
          <w:i/>
          <w:iCs/>
          <w:color w:val="0E2841"/>
          <w:kern w:val="2"/>
          <w14:ligatures w14:val="standardContextual"/>
        </w:rPr>
        <w:fldChar w:fldCharType="end"/>
      </w:r>
      <w:r w:rsidRPr="00F22722">
        <w:rPr>
          <w:rFonts w:ascii="Aptos Light" w:eastAsia="Aptos" w:hAnsi="Aptos Light" w:cs="Arial"/>
          <w:i/>
          <w:iCs/>
          <w:color w:val="0E2841"/>
          <w:kern w:val="2"/>
          <w14:ligatures w14:val="standardContextual"/>
        </w:rPr>
        <w:t>. 2023 CHES Economic Indicators and Adult Mental Health</w:t>
      </w:r>
      <w:bookmarkEnd w:id="2"/>
    </w:p>
    <w:tbl>
      <w:tblPr>
        <w:tblW w:w="0" w:type="auto"/>
        <w:tblInd w:w="630" w:type="dxa"/>
        <w:tblLayout w:type="fixed"/>
        <w:tblCellMar>
          <w:top w:w="15" w:type="dxa"/>
          <w:left w:w="15" w:type="dxa"/>
          <w:bottom w:w="15" w:type="dxa"/>
          <w:right w:w="15" w:type="dxa"/>
        </w:tblCellMar>
        <w:tblLook w:val="04A0" w:firstRow="1" w:lastRow="0" w:firstColumn="1" w:lastColumn="0" w:noHBand="0" w:noVBand="1"/>
      </w:tblPr>
      <w:tblGrid>
        <w:gridCol w:w="4770"/>
        <w:gridCol w:w="2160"/>
        <w:gridCol w:w="1530"/>
        <w:gridCol w:w="1440"/>
      </w:tblGrid>
      <w:tr w:rsidR="00F22722" w:rsidRPr="00F22722" w14:paraId="006D7E9B" w14:textId="77777777">
        <w:trPr>
          <w:trHeight w:val="50"/>
          <w:tblHeader/>
        </w:trPr>
        <w:tc>
          <w:tcPr>
            <w:tcW w:w="4770" w:type="dxa"/>
            <w:tcBorders>
              <w:top w:val="single" w:sz="12" w:space="0" w:color="auto"/>
              <w:bottom w:val="single" w:sz="12" w:space="0" w:color="auto"/>
            </w:tcBorders>
            <w:tcMar>
              <w:top w:w="100" w:type="dxa"/>
              <w:left w:w="100" w:type="dxa"/>
              <w:bottom w:w="100" w:type="dxa"/>
              <w:right w:w="100" w:type="dxa"/>
            </w:tcMar>
            <w:hideMark/>
          </w:tcPr>
          <w:p w14:paraId="1F1246DB" w14:textId="77777777" w:rsidR="00F22722" w:rsidRPr="00F22722" w:rsidRDefault="00F22722" w:rsidP="00F22722">
            <w:pPr>
              <w:spacing w:after="0" w:line="240" w:lineRule="auto"/>
              <w:jc w:val="center"/>
              <w:rPr>
                <w:rFonts w:ascii="Aptos Light" w:eastAsia="Times New Roman" w:hAnsi="Aptos Light" w:cs="Times New Roman"/>
                <w:b/>
                <w:kern w:val="2"/>
                <w:sz w:val="18"/>
                <w:szCs w:val="18"/>
                <w14:ligatures w14:val="standardContextual"/>
              </w:rPr>
            </w:pPr>
          </w:p>
        </w:tc>
        <w:tc>
          <w:tcPr>
            <w:tcW w:w="2160" w:type="dxa"/>
            <w:tcBorders>
              <w:top w:val="single" w:sz="12" w:space="0" w:color="auto"/>
              <w:bottom w:val="single" w:sz="12" w:space="0" w:color="auto"/>
            </w:tcBorders>
            <w:tcMar>
              <w:top w:w="100" w:type="dxa"/>
              <w:left w:w="100" w:type="dxa"/>
              <w:bottom w:w="100" w:type="dxa"/>
              <w:right w:w="100" w:type="dxa"/>
            </w:tcMar>
            <w:hideMark/>
          </w:tcPr>
          <w:p w14:paraId="1B3507A4" w14:textId="77777777" w:rsidR="00F22722" w:rsidRPr="00F22722" w:rsidRDefault="00F22722" w:rsidP="00F22722">
            <w:pPr>
              <w:spacing w:after="0" w:line="240" w:lineRule="auto"/>
              <w:jc w:val="center"/>
              <w:rPr>
                <w:rFonts w:ascii="Aptos Light" w:eastAsia="Times New Roman" w:hAnsi="Aptos Light" w:cs="Arial"/>
                <w:b/>
                <w:color w:val="000000"/>
                <w:kern w:val="2"/>
                <w:sz w:val="18"/>
                <w:szCs w:val="18"/>
                <w14:ligatures w14:val="standardContextual"/>
              </w:rPr>
            </w:pPr>
            <w:r w:rsidRPr="00F22722">
              <w:rPr>
                <w:rFonts w:ascii="Aptos Light" w:eastAsia="Times New Roman" w:hAnsi="Aptos Light" w:cs="Arial"/>
                <w:b/>
                <w:color w:val="000000"/>
                <w:kern w:val="2"/>
                <w:sz w:val="18"/>
                <w:szCs w:val="18"/>
                <w14:ligatures w14:val="standardContextual"/>
              </w:rPr>
              <w:t xml:space="preserve">Psychological Distress – </w:t>
            </w:r>
            <w:r w:rsidRPr="00F22722">
              <w:rPr>
                <w:rFonts w:ascii="Aptos Light" w:eastAsia="Aptos" w:hAnsi="Aptos Light" w:cs="Arial"/>
                <w:kern w:val="2"/>
                <w14:ligatures w14:val="standardContextual"/>
              </w:rPr>
              <w:br/>
            </w:r>
            <w:r w:rsidRPr="00F22722">
              <w:rPr>
                <w:rFonts w:ascii="Aptos Light" w:eastAsia="Times New Roman" w:hAnsi="Aptos Light" w:cs="Arial"/>
                <w:b/>
                <w:color w:val="000000"/>
                <w:kern w:val="2"/>
                <w:sz w:val="18"/>
                <w:szCs w:val="18"/>
                <w14:ligatures w14:val="standardContextual"/>
              </w:rPr>
              <w:t>High/Very High</w:t>
            </w:r>
          </w:p>
          <w:p w14:paraId="5C72EE60" w14:textId="77777777" w:rsidR="00F22722" w:rsidRPr="00F22722" w:rsidRDefault="00F22722" w:rsidP="00F22722">
            <w:pPr>
              <w:spacing w:after="0" w:line="240" w:lineRule="auto"/>
              <w:jc w:val="center"/>
              <w:rPr>
                <w:rFonts w:ascii="Aptos Light" w:eastAsia="Times New Roman" w:hAnsi="Aptos Light" w:cs="Times New Roman"/>
                <w:b/>
                <w:kern w:val="2"/>
                <w:sz w:val="18"/>
                <w:szCs w:val="18"/>
                <w14:ligatures w14:val="standardContextual"/>
              </w:rPr>
            </w:pPr>
            <w:r w:rsidRPr="00F22722">
              <w:rPr>
                <w:rFonts w:ascii="Aptos Light" w:eastAsia="Times New Roman" w:hAnsi="Aptos Light" w:cs="Arial"/>
                <w:b/>
                <w:color w:val="000000"/>
                <w:kern w:val="2"/>
                <w:sz w:val="18"/>
                <w:szCs w:val="18"/>
                <w14:ligatures w14:val="standardContextual"/>
              </w:rPr>
              <w:t>Weighted %</w:t>
            </w:r>
          </w:p>
        </w:tc>
        <w:tc>
          <w:tcPr>
            <w:tcW w:w="1530" w:type="dxa"/>
            <w:tcBorders>
              <w:top w:val="single" w:sz="12" w:space="0" w:color="auto"/>
              <w:bottom w:val="single" w:sz="12" w:space="0" w:color="auto"/>
            </w:tcBorders>
            <w:tcMar>
              <w:top w:w="100" w:type="dxa"/>
              <w:left w:w="100" w:type="dxa"/>
              <w:bottom w:w="100" w:type="dxa"/>
              <w:right w:w="100" w:type="dxa"/>
            </w:tcMar>
            <w:hideMark/>
          </w:tcPr>
          <w:p w14:paraId="402FC3DF" w14:textId="77777777" w:rsidR="00F22722" w:rsidRPr="00F22722" w:rsidRDefault="00F22722" w:rsidP="00F22722">
            <w:pPr>
              <w:spacing w:after="0" w:line="240" w:lineRule="auto"/>
              <w:jc w:val="center"/>
              <w:rPr>
                <w:rFonts w:ascii="Aptos Light" w:eastAsia="Times New Roman" w:hAnsi="Aptos Light" w:cs="Arial"/>
                <w:b/>
                <w:color w:val="000000"/>
                <w:kern w:val="2"/>
                <w:sz w:val="18"/>
                <w:szCs w:val="18"/>
                <w14:ligatures w14:val="standardContextual"/>
              </w:rPr>
            </w:pPr>
            <w:r w:rsidRPr="00F22722">
              <w:rPr>
                <w:rFonts w:ascii="Aptos Light" w:eastAsia="Times New Roman" w:hAnsi="Aptos Light" w:cs="Arial"/>
                <w:b/>
                <w:color w:val="000000"/>
                <w:kern w:val="2"/>
                <w:sz w:val="18"/>
                <w:szCs w:val="18"/>
                <w14:ligatures w14:val="standardContextual"/>
              </w:rPr>
              <w:t>Suicidal Ideation</w:t>
            </w:r>
          </w:p>
          <w:p w14:paraId="037A2A8A" w14:textId="77777777" w:rsidR="00F22722" w:rsidRPr="00F22722" w:rsidRDefault="00F22722" w:rsidP="00F22722">
            <w:pPr>
              <w:spacing w:after="0" w:line="240" w:lineRule="auto"/>
              <w:jc w:val="center"/>
              <w:rPr>
                <w:rFonts w:ascii="Aptos Light" w:eastAsia="Times New Roman" w:hAnsi="Aptos Light" w:cs="Times New Roman"/>
                <w:b/>
                <w:kern w:val="2"/>
                <w:sz w:val="18"/>
                <w:szCs w:val="18"/>
                <w14:ligatures w14:val="standardContextual"/>
              </w:rPr>
            </w:pPr>
            <w:r w:rsidRPr="00F22722">
              <w:rPr>
                <w:rFonts w:ascii="Aptos Light" w:eastAsia="Times New Roman" w:hAnsi="Aptos Light" w:cs="Arial"/>
                <w:b/>
                <w:color w:val="000000"/>
                <w:kern w:val="2"/>
                <w:sz w:val="18"/>
                <w:szCs w:val="18"/>
                <w14:ligatures w14:val="standardContextual"/>
              </w:rPr>
              <w:t>Weighted %</w:t>
            </w:r>
          </w:p>
        </w:tc>
        <w:tc>
          <w:tcPr>
            <w:tcW w:w="1440" w:type="dxa"/>
            <w:tcBorders>
              <w:top w:val="single" w:sz="12" w:space="0" w:color="auto"/>
              <w:bottom w:val="single" w:sz="12" w:space="0" w:color="auto"/>
            </w:tcBorders>
            <w:tcMar>
              <w:top w:w="100" w:type="dxa"/>
              <w:left w:w="100" w:type="dxa"/>
              <w:bottom w:w="100" w:type="dxa"/>
              <w:right w:w="100" w:type="dxa"/>
            </w:tcMar>
            <w:hideMark/>
          </w:tcPr>
          <w:p w14:paraId="00BEB286" w14:textId="77777777" w:rsidR="00F22722" w:rsidRPr="00F22722" w:rsidRDefault="00F22722" w:rsidP="00F22722">
            <w:pPr>
              <w:spacing w:after="0" w:line="240" w:lineRule="auto"/>
              <w:jc w:val="center"/>
              <w:rPr>
                <w:rFonts w:ascii="Aptos Light" w:eastAsia="Times New Roman" w:hAnsi="Aptos Light" w:cs="Arial"/>
                <w:b/>
                <w:color w:val="000000"/>
                <w:kern w:val="2"/>
                <w:sz w:val="18"/>
                <w:szCs w:val="18"/>
                <w14:ligatures w14:val="standardContextual"/>
              </w:rPr>
            </w:pPr>
            <w:r w:rsidRPr="00F22722">
              <w:rPr>
                <w:rFonts w:ascii="Aptos Light" w:eastAsia="Times New Roman" w:hAnsi="Aptos Light" w:cs="Arial"/>
                <w:b/>
                <w:color w:val="000000"/>
                <w:kern w:val="2"/>
                <w:sz w:val="18"/>
                <w:szCs w:val="18"/>
                <w14:ligatures w14:val="standardContextual"/>
              </w:rPr>
              <w:t>Social Isolation</w:t>
            </w:r>
          </w:p>
          <w:p w14:paraId="2ED36F9C" w14:textId="77777777" w:rsidR="00F22722" w:rsidRPr="00F22722" w:rsidRDefault="00F22722" w:rsidP="00F22722">
            <w:pPr>
              <w:spacing w:after="0" w:line="240" w:lineRule="auto"/>
              <w:jc w:val="center"/>
              <w:rPr>
                <w:rFonts w:ascii="Aptos Light" w:eastAsia="Times New Roman" w:hAnsi="Aptos Light" w:cs="Times New Roman"/>
                <w:b/>
                <w:kern w:val="2"/>
                <w:sz w:val="18"/>
                <w:szCs w:val="18"/>
                <w14:ligatures w14:val="standardContextual"/>
              </w:rPr>
            </w:pPr>
            <w:r w:rsidRPr="00F22722">
              <w:rPr>
                <w:rFonts w:ascii="Aptos Light" w:eastAsia="Times New Roman" w:hAnsi="Aptos Light" w:cs="Arial"/>
                <w:b/>
                <w:color w:val="000000"/>
                <w:kern w:val="2"/>
                <w:sz w:val="18"/>
                <w:szCs w:val="18"/>
                <w14:ligatures w14:val="standardContextual"/>
              </w:rPr>
              <w:t>Weighted %</w:t>
            </w:r>
          </w:p>
        </w:tc>
      </w:tr>
      <w:tr w:rsidR="00F22722" w:rsidRPr="00F22722" w14:paraId="730A9967" w14:textId="77777777" w:rsidTr="00F22722">
        <w:trPr>
          <w:trHeight w:val="24"/>
          <w:tblHeader/>
        </w:trPr>
        <w:tc>
          <w:tcPr>
            <w:tcW w:w="4770" w:type="dxa"/>
            <w:tcBorders>
              <w:top w:val="single" w:sz="2" w:space="0" w:color="auto"/>
              <w:bottom w:val="single" w:sz="2" w:space="0" w:color="BFBFBF"/>
            </w:tcBorders>
            <w:tcMar>
              <w:top w:w="0" w:type="dxa"/>
              <w:left w:w="100" w:type="dxa"/>
              <w:bottom w:w="0" w:type="dxa"/>
              <w:right w:w="100" w:type="dxa"/>
            </w:tcMar>
          </w:tcPr>
          <w:p w14:paraId="039EB181" w14:textId="77777777" w:rsidR="00F22722" w:rsidRPr="00F22722" w:rsidRDefault="00F22722" w:rsidP="00F22722">
            <w:pPr>
              <w:spacing w:after="0" w:line="240" w:lineRule="auto"/>
              <w:rPr>
                <w:rFonts w:ascii="Aptos Light" w:eastAsia="Times New Roman" w:hAnsi="Aptos Light" w:cs="Arial"/>
                <w:b/>
                <w:bCs/>
                <w:color w:val="000000"/>
                <w:kern w:val="2"/>
                <w:sz w:val="18"/>
                <w:szCs w:val="18"/>
                <w14:ligatures w14:val="standardContextual"/>
              </w:rPr>
            </w:pPr>
            <w:r w:rsidRPr="00F22722">
              <w:rPr>
                <w:rFonts w:ascii="Aptos Light" w:eastAsia="Aptos" w:hAnsi="Aptos Light" w:cs="Arial"/>
                <w:b/>
                <w:bCs/>
                <w:kern w:val="2"/>
                <w:sz w:val="18"/>
                <w:szCs w:val="18"/>
                <w14:ligatures w14:val="standardContextual"/>
              </w:rPr>
              <w:t>Paying for Basic Needs</w:t>
            </w:r>
            <w:r w:rsidRPr="00F22722">
              <w:rPr>
                <w:rFonts w:ascii="Aptos Light" w:eastAsia="Aptos" w:hAnsi="Aptos Light" w:cs="Arial"/>
                <w:b/>
                <w:bCs/>
                <w:kern w:val="2"/>
                <w:sz w:val="18"/>
                <w:szCs w:val="18"/>
                <w:vertAlign w:val="superscript"/>
                <w14:ligatures w14:val="standardContextual"/>
              </w:rPr>
              <w:t>1</w:t>
            </w:r>
          </w:p>
        </w:tc>
        <w:tc>
          <w:tcPr>
            <w:tcW w:w="2160" w:type="dxa"/>
            <w:tcBorders>
              <w:top w:val="single" w:sz="2" w:space="0" w:color="auto"/>
              <w:bottom w:val="single" w:sz="2" w:space="0" w:color="BFBFBF"/>
            </w:tcBorders>
            <w:tcMar>
              <w:top w:w="100" w:type="dxa"/>
              <w:left w:w="100" w:type="dxa"/>
              <w:bottom w:w="100" w:type="dxa"/>
              <w:right w:w="100" w:type="dxa"/>
            </w:tcMar>
            <w:vAlign w:val="center"/>
          </w:tcPr>
          <w:p w14:paraId="7A0C4BA2" w14:textId="77777777" w:rsidR="00F22722" w:rsidRPr="00F22722" w:rsidRDefault="00F22722" w:rsidP="00F22722">
            <w:pPr>
              <w:spacing w:after="0" w:line="240" w:lineRule="auto"/>
              <w:jc w:val="center"/>
              <w:rPr>
                <w:rFonts w:ascii="Aptos Light" w:eastAsia="Times New Roman" w:hAnsi="Aptos Light" w:cs="Arial"/>
                <w:color w:val="000000"/>
                <w:kern w:val="2"/>
                <w:sz w:val="18"/>
                <w:szCs w:val="18"/>
                <w14:ligatures w14:val="standardContextual"/>
              </w:rPr>
            </w:pPr>
          </w:p>
        </w:tc>
        <w:tc>
          <w:tcPr>
            <w:tcW w:w="1530" w:type="dxa"/>
            <w:tcBorders>
              <w:top w:val="single" w:sz="2" w:space="0" w:color="auto"/>
              <w:bottom w:val="single" w:sz="2" w:space="0" w:color="BFBFBF"/>
            </w:tcBorders>
            <w:tcMar>
              <w:top w:w="100" w:type="dxa"/>
              <w:left w:w="100" w:type="dxa"/>
              <w:bottom w:w="100" w:type="dxa"/>
              <w:right w:w="100" w:type="dxa"/>
            </w:tcMar>
            <w:vAlign w:val="center"/>
          </w:tcPr>
          <w:p w14:paraId="44BE8886" w14:textId="77777777" w:rsidR="00F22722" w:rsidRPr="00F22722" w:rsidRDefault="00F22722" w:rsidP="00F22722">
            <w:pPr>
              <w:spacing w:after="0" w:line="240" w:lineRule="auto"/>
              <w:jc w:val="center"/>
              <w:rPr>
                <w:rFonts w:ascii="Aptos Light" w:eastAsia="Times New Roman" w:hAnsi="Aptos Light" w:cs="Arial"/>
                <w:color w:val="000000"/>
                <w:kern w:val="2"/>
                <w:sz w:val="18"/>
                <w:szCs w:val="18"/>
                <w14:ligatures w14:val="standardContextual"/>
              </w:rPr>
            </w:pPr>
          </w:p>
        </w:tc>
        <w:tc>
          <w:tcPr>
            <w:tcW w:w="1440" w:type="dxa"/>
            <w:tcBorders>
              <w:top w:val="single" w:sz="2" w:space="0" w:color="auto"/>
              <w:bottom w:val="single" w:sz="2" w:space="0" w:color="BFBFBF"/>
            </w:tcBorders>
            <w:tcMar>
              <w:top w:w="100" w:type="dxa"/>
              <w:left w:w="100" w:type="dxa"/>
              <w:bottom w:w="100" w:type="dxa"/>
              <w:right w:w="100" w:type="dxa"/>
            </w:tcMar>
            <w:vAlign w:val="center"/>
          </w:tcPr>
          <w:p w14:paraId="5C8846A2" w14:textId="77777777" w:rsidR="00F22722" w:rsidRPr="00F22722" w:rsidRDefault="00F22722" w:rsidP="00F22722">
            <w:pPr>
              <w:spacing w:after="0" w:line="240" w:lineRule="auto"/>
              <w:jc w:val="center"/>
              <w:rPr>
                <w:rFonts w:ascii="Aptos Light" w:eastAsia="Times New Roman" w:hAnsi="Aptos Light" w:cs="Arial"/>
                <w:color w:val="000000"/>
                <w:kern w:val="2"/>
                <w:sz w:val="18"/>
                <w:szCs w:val="18"/>
                <w14:ligatures w14:val="standardContextual"/>
              </w:rPr>
            </w:pPr>
          </w:p>
        </w:tc>
      </w:tr>
      <w:tr w:rsidR="00F22722" w:rsidRPr="00F22722" w14:paraId="6EEF0473" w14:textId="77777777" w:rsidTr="00F22722">
        <w:trPr>
          <w:trHeight w:val="25"/>
          <w:tblHeader/>
        </w:trPr>
        <w:tc>
          <w:tcPr>
            <w:tcW w:w="4770" w:type="dxa"/>
            <w:tcBorders>
              <w:top w:val="single" w:sz="2" w:space="0" w:color="BFBFBF"/>
              <w:bottom w:val="single" w:sz="2" w:space="0" w:color="BFBFBF"/>
            </w:tcBorders>
            <w:tcMar>
              <w:top w:w="0" w:type="dxa"/>
              <w:left w:w="100" w:type="dxa"/>
              <w:bottom w:w="0" w:type="dxa"/>
              <w:right w:w="100" w:type="dxa"/>
            </w:tcMar>
          </w:tcPr>
          <w:p w14:paraId="78ABFB7A" w14:textId="77777777" w:rsidR="00F22722" w:rsidRPr="00F22722" w:rsidRDefault="00F22722" w:rsidP="00F22722">
            <w:pPr>
              <w:spacing w:after="0" w:line="240" w:lineRule="auto"/>
              <w:ind w:left="255"/>
              <w:rPr>
                <w:rFonts w:ascii="Aptos Light" w:eastAsia="Times New Roman"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Trouble Paying for Any Basic Needs in Past Month</w:t>
            </w:r>
          </w:p>
        </w:tc>
        <w:tc>
          <w:tcPr>
            <w:tcW w:w="2160" w:type="dxa"/>
            <w:tcBorders>
              <w:top w:val="single" w:sz="2" w:space="0" w:color="BFBFBF"/>
              <w:bottom w:val="single" w:sz="2" w:space="0" w:color="BFBFBF"/>
            </w:tcBorders>
            <w:tcMar>
              <w:top w:w="100" w:type="dxa"/>
              <w:left w:w="100" w:type="dxa"/>
              <w:bottom w:w="100" w:type="dxa"/>
              <w:right w:w="100" w:type="dxa"/>
            </w:tcMar>
            <w:vAlign w:val="center"/>
          </w:tcPr>
          <w:p w14:paraId="78DB6948" w14:textId="77777777" w:rsidR="00F22722" w:rsidRPr="00F22722" w:rsidRDefault="00F22722" w:rsidP="00F22722">
            <w:pPr>
              <w:spacing w:after="0" w:line="240" w:lineRule="auto"/>
              <w:jc w:val="center"/>
              <w:rPr>
                <w:rFonts w:ascii="Aptos Light" w:eastAsia="Times New Roman"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35.4***</w:t>
            </w:r>
          </w:p>
        </w:tc>
        <w:tc>
          <w:tcPr>
            <w:tcW w:w="1530" w:type="dxa"/>
            <w:tcBorders>
              <w:top w:val="single" w:sz="2" w:space="0" w:color="BFBFBF"/>
              <w:bottom w:val="single" w:sz="2" w:space="0" w:color="BFBFBF"/>
            </w:tcBorders>
            <w:tcMar>
              <w:top w:w="100" w:type="dxa"/>
              <w:left w:w="100" w:type="dxa"/>
              <w:bottom w:w="100" w:type="dxa"/>
              <w:right w:w="100" w:type="dxa"/>
            </w:tcMar>
            <w:vAlign w:val="center"/>
          </w:tcPr>
          <w:p w14:paraId="1462FA00" w14:textId="77777777" w:rsidR="00F22722" w:rsidRPr="00F22722" w:rsidRDefault="00F22722" w:rsidP="00F22722">
            <w:pPr>
              <w:spacing w:after="0" w:line="240" w:lineRule="auto"/>
              <w:jc w:val="center"/>
              <w:rPr>
                <w:rFonts w:ascii="Aptos Light" w:eastAsia="Times New Roman"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13.6***</w:t>
            </w:r>
          </w:p>
        </w:tc>
        <w:tc>
          <w:tcPr>
            <w:tcW w:w="1440" w:type="dxa"/>
            <w:tcBorders>
              <w:top w:val="single" w:sz="2" w:space="0" w:color="BFBFBF"/>
              <w:bottom w:val="single" w:sz="2" w:space="0" w:color="BFBFBF"/>
            </w:tcBorders>
            <w:tcMar>
              <w:top w:w="100" w:type="dxa"/>
              <w:left w:w="100" w:type="dxa"/>
              <w:bottom w:w="100" w:type="dxa"/>
              <w:right w:w="100" w:type="dxa"/>
            </w:tcMar>
            <w:vAlign w:val="center"/>
          </w:tcPr>
          <w:p w14:paraId="341D9BCE" w14:textId="77777777" w:rsidR="00F22722" w:rsidRPr="00F22722" w:rsidRDefault="00F22722" w:rsidP="00F22722">
            <w:pPr>
              <w:spacing w:after="0" w:line="240" w:lineRule="auto"/>
              <w:jc w:val="center"/>
              <w:rPr>
                <w:rFonts w:ascii="Aptos Light" w:eastAsia="Times New Roman"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25.7***</w:t>
            </w:r>
          </w:p>
        </w:tc>
      </w:tr>
      <w:tr w:rsidR="00F22722" w:rsidRPr="00F22722" w14:paraId="1903EF22" w14:textId="77777777" w:rsidTr="00F22722">
        <w:trPr>
          <w:trHeight w:val="25"/>
          <w:tblHeader/>
        </w:trPr>
        <w:tc>
          <w:tcPr>
            <w:tcW w:w="4770" w:type="dxa"/>
            <w:tcBorders>
              <w:top w:val="single" w:sz="2" w:space="0" w:color="BFBFBF"/>
              <w:bottom w:val="single" w:sz="2" w:space="0" w:color="BFBFBF"/>
            </w:tcBorders>
            <w:tcMar>
              <w:top w:w="0" w:type="dxa"/>
              <w:left w:w="100" w:type="dxa"/>
              <w:bottom w:w="0" w:type="dxa"/>
              <w:right w:w="100" w:type="dxa"/>
            </w:tcMar>
          </w:tcPr>
          <w:p w14:paraId="628AAF14" w14:textId="77777777" w:rsidR="00F22722" w:rsidRPr="00F22722" w:rsidRDefault="00F22722" w:rsidP="00F22722">
            <w:pPr>
              <w:spacing w:after="0" w:line="240" w:lineRule="auto"/>
              <w:ind w:left="255"/>
              <w:rPr>
                <w:rFonts w:ascii="Aptos Light" w:eastAsia="Times New Roman"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No Trouble Paying for Any Basic Needs in Past Month (</w:t>
            </w:r>
            <w:r w:rsidRPr="00F22722">
              <w:rPr>
                <w:rFonts w:ascii="Aptos Light" w:eastAsia="Aptos" w:hAnsi="Aptos Light" w:cs="Arial"/>
                <w:i/>
                <w:iCs/>
                <w:kern w:val="2"/>
                <w:sz w:val="18"/>
                <w:szCs w:val="18"/>
                <w14:ligatures w14:val="standardContextual"/>
              </w:rPr>
              <w:t>ref</w:t>
            </w:r>
            <w:r w:rsidRPr="00F22722">
              <w:rPr>
                <w:rFonts w:ascii="Aptos Light" w:eastAsia="Aptos" w:hAnsi="Aptos Light" w:cs="Arial"/>
                <w:kern w:val="2"/>
                <w:sz w:val="18"/>
                <w:szCs w:val="18"/>
                <w14:ligatures w14:val="standardContextual"/>
              </w:rPr>
              <w:t>)</w:t>
            </w:r>
          </w:p>
        </w:tc>
        <w:tc>
          <w:tcPr>
            <w:tcW w:w="2160" w:type="dxa"/>
            <w:tcBorders>
              <w:top w:val="single" w:sz="2" w:space="0" w:color="BFBFBF"/>
              <w:bottom w:val="single" w:sz="2" w:space="0" w:color="BFBFBF"/>
            </w:tcBorders>
            <w:tcMar>
              <w:top w:w="100" w:type="dxa"/>
              <w:left w:w="100" w:type="dxa"/>
              <w:bottom w:w="100" w:type="dxa"/>
              <w:right w:w="100" w:type="dxa"/>
            </w:tcMar>
            <w:vAlign w:val="center"/>
          </w:tcPr>
          <w:p w14:paraId="7D6B837B" w14:textId="77777777" w:rsidR="00F22722" w:rsidRPr="00F22722" w:rsidRDefault="00F22722" w:rsidP="00F22722">
            <w:pPr>
              <w:spacing w:after="0" w:line="240" w:lineRule="auto"/>
              <w:jc w:val="center"/>
              <w:rPr>
                <w:rFonts w:ascii="Aptos Light" w:eastAsia="Times New Roman"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8.1</w:t>
            </w:r>
          </w:p>
        </w:tc>
        <w:tc>
          <w:tcPr>
            <w:tcW w:w="1530" w:type="dxa"/>
            <w:tcBorders>
              <w:top w:val="single" w:sz="2" w:space="0" w:color="BFBFBF"/>
              <w:bottom w:val="single" w:sz="2" w:space="0" w:color="BFBFBF"/>
            </w:tcBorders>
            <w:tcMar>
              <w:top w:w="100" w:type="dxa"/>
              <w:left w:w="100" w:type="dxa"/>
              <w:bottom w:w="100" w:type="dxa"/>
              <w:right w:w="100" w:type="dxa"/>
            </w:tcMar>
            <w:vAlign w:val="center"/>
          </w:tcPr>
          <w:p w14:paraId="209FF122" w14:textId="77777777" w:rsidR="00F22722" w:rsidRPr="00F22722" w:rsidRDefault="00F22722" w:rsidP="00F22722">
            <w:pPr>
              <w:spacing w:after="0" w:line="240" w:lineRule="auto"/>
              <w:jc w:val="center"/>
              <w:rPr>
                <w:rFonts w:ascii="Aptos Light" w:eastAsia="Times New Roman"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4.7</w:t>
            </w:r>
          </w:p>
        </w:tc>
        <w:tc>
          <w:tcPr>
            <w:tcW w:w="1440" w:type="dxa"/>
            <w:tcBorders>
              <w:top w:val="single" w:sz="2" w:space="0" w:color="BFBFBF"/>
              <w:bottom w:val="single" w:sz="2" w:space="0" w:color="BFBFBF"/>
            </w:tcBorders>
            <w:tcMar>
              <w:top w:w="100" w:type="dxa"/>
              <w:left w:w="100" w:type="dxa"/>
              <w:bottom w:w="100" w:type="dxa"/>
              <w:right w:w="100" w:type="dxa"/>
            </w:tcMar>
            <w:vAlign w:val="center"/>
          </w:tcPr>
          <w:p w14:paraId="32F26B1C" w14:textId="77777777" w:rsidR="00F22722" w:rsidRPr="00F22722" w:rsidRDefault="00F22722" w:rsidP="00F22722">
            <w:pPr>
              <w:spacing w:after="0" w:line="240" w:lineRule="auto"/>
              <w:jc w:val="center"/>
              <w:rPr>
                <w:rFonts w:ascii="Aptos Light" w:eastAsia="Times New Roman"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6.4</w:t>
            </w:r>
          </w:p>
        </w:tc>
      </w:tr>
      <w:tr w:rsidR="00F22722" w:rsidRPr="00F22722" w14:paraId="7397FA94" w14:textId="77777777" w:rsidTr="00F22722">
        <w:trPr>
          <w:trHeight w:val="25"/>
          <w:tblHeader/>
        </w:trPr>
        <w:tc>
          <w:tcPr>
            <w:tcW w:w="4770" w:type="dxa"/>
            <w:tcBorders>
              <w:top w:val="single" w:sz="2" w:space="0" w:color="BFBFBF"/>
              <w:bottom w:val="single" w:sz="2" w:space="0" w:color="BFBFBF"/>
            </w:tcBorders>
            <w:tcMar>
              <w:top w:w="0" w:type="dxa"/>
              <w:left w:w="100" w:type="dxa"/>
              <w:bottom w:w="0" w:type="dxa"/>
              <w:right w:w="100" w:type="dxa"/>
            </w:tcMar>
          </w:tcPr>
          <w:p w14:paraId="46F9BCA6" w14:textId="77777777" w:rsidR="00F22722" w:rsidRPr="00F22722" w:rsidRDefault="00F22722" w:rsidP="00F22722">
            <w:pPr>
              <w:spacing w:after="0" w:line="240" w:lineRule="auto"/>
              <w:rPr>
                <w:rFonts w:ascii="Aptos Light" w:eastAsia="Times New Roman" w:hAnsi="Aptos Light" w:cs="Times New Roman"/>
                <w:b/>
                <w:bCs/>
                <w:kern w:val="2"/>
                <w:sz w:val="18"/>
                <w:szCs w:val="18"/>
                <w14:ligatures w14:val="standardContextual"/>
              </w:rPr>
            </w:pPr>
            <w:r w:rsidRPr="00F22722">
              <w:rPr>
                <w:rFonts w:ascii="Aptos Light" w:eastAsia="Aptos" w:hAnsi="Aptos Light" w:cs="Arial"/>
                <w:b/>
                <w:bCs/>
                <w:kern w:val="2"/>
                <w:sz w:val="18"/>
                <w:szCs w:val="18"/>
                <w14:ligatures w14:val="standardContextual"/>
              </w:rPr>
              <w:t>Applying For/Receiving Benefits Past Year</w:t>
            </w:r>
            <w:r w:rsidRPr="00F22722">
              <w:rPr>
                <w:rFonts w:ascii="Aptos Light" w:eastAsia="Aptos" w:hAnsi="Aptos Light" w:cs="Arial"/>
                <w:b/>
                <w:bCs/>
                <w:kern w:val="2"/>
                <w:sz w:val="18"/>
                <w:szCs w:val="18"/>
                <w:vertAlign w:val="superscript"/>
                <w14:ligatures w14:val="standardContextual"/>
              </w:rPr>
              <w:t>2</w:t>
            </w:r>
          </w:p>
        </w:tc>
        <w:tc>
          <w:tcPr>
            <w:tcW w:w="2160" w:type="dxa"/>
            <w:tcBorders>
              <w:top w:val="single" w:sz="2" w:space="0" w:color="BFBFBF"/>
              <w:bottom w:val="single" w:sz="2" w:space="0" w:color="BFBFBF"/>
            </w:tcBorders>
            <w:tcMar>
              <w:top w:w="100" w:type="dxa"/>
              <w:left w:w="100" w:type="dxa"/>
              <w:bottom w:w="100" w:type="dxa"/>
              <w:right w:w="100" w:type="dxa"/>
            </w:tcMar>
            <w:vAlign w:val="center"/>
          </w:tcPr>
          <w:p w14:paraId="75C70936" w14:textId="77777777" w:rsidR="00F22722" w:rsidRPr="00F22722" w:rsidRDefault="00F22722" w:rsidP="00F22722">
            <w:pPr>
              <w:spacing w:after="0" w:line="240" w:lineRule="auto"/>
              <w:jc w:val="center"/>
              <w:rPr>
                <w:rFonts w:ascii="Aptos Light" w:eastAsia="Times New Roman" w:hAnsi="Aptos Light" w:cs="Times New Roman"/>
                <w:kern w:val="2"/>
                <w:sz w:val="18"/>
                <w:szCs w:val="18"/>
                <w14:ligatures w14:val="standardContextual"/>
              </w:rPr>
            </w:pPr>
          </w:p>
        </w:tc>
        <w:tc>
          <w:tcPr>
            <w:tcW w:w="1530" w:type="dxa"/>
            <w:tcBorders>
              <w:top w:val="single" w:sz="2" w:space="0" w:color="BFBFBF"/>
              <w:bottom w:val="single" w:sz="2" w:space="0" w:color="BFBFBF"/>
            </w:tcBorders>
            <w:tcMar>
              <w:top w:w="100" w:type="dxa"/>
              <w:left w:w="100" w:type="dxa"/>
              <w:bottom w:w="100" w:type="dxa"/>
              <w:right w:w="100" w:type="dxa"/>
            </w:tcMar>
            <w:vAlign w:val="center"/>
          </w:tcPr>
          <w:p w14:paraId="6FB965CF" w14:textId="77777777" w:rsidR="00F22722" w:rsidRPr="00F22722" w:rsidRDefault="00F22722" w:rsidP="00F22722">
            <w:pPr>
              <w:spacing w:after="0" w:line="240" w:lineRule="auto"/>
              <w:jc w:val="center"/>
              <w:rPr>
                <w:rFonts w:ascii="Aptos Light" w:eastAsia="Times New Roman" w:hAnsi="Aptos Light" w:cs="Times New Roman"/>
                <w:kern w:val="2"/>
                <w:sz w:val="18"/>
                <w:szCs w:val="18"/>
                <w14:ligatures w14:val="standardContextual"/>
              </w:rPr>
            </w:pPr>
          </w:p>
        </w:tc>
        <w:tc>
          <w:tcPr>
            <w:tcW w:w="1440" w:type="dxa"/>
            <w:tcBorders>
              <w:top w:val="single" w:sz="2" w:space="0" w:color="BFBFBF"/>
              <w:bottom w:val="single" w:sz="2" w:space="0" w:color="BFBFBF"/>
            </w:tcBorders>
            <w:tcMar>
              <w:top w:w="100" w:type="dxa"/>
              <w:left w:w="100" w:type="dxa"/>
              <w:bottom w:w="100" w:type="dxa"/>
              <w:right w:w="100" w:type="dxa"/>
            </w:tcMar>
            <w:vAlign w:val="center"/>
          </w:tcPr>
          <w:p w14:paraId="3683A685" w14:textId="77777777" w:rsidR="00F22722" w:rsidRPr="00F22722" w:rsidRDefault="00F22722" w:rsidP="00F22722">
            <w:pPr>
              <w:spacing w:after="0" w:line="240" w:lineRule="auto"/>
              <w:jc w:val="center"/>
              <w:rPr>
                <w:rFonts w:ascii="Aptos Light" w:eastAsia="Times New Roman" w:hAnsi="Aptos Light" w:cs="Times New Roman"/>
                <w:kern w:val="2"/>
                <w:sz w:val="18"/>
                <w:szCs w:val="18"/>
                <w14:ligatures w14:val="standardContextual"/>
              </w:rPr>
            </w:pPr>
          </w:p>
        </w:tc>
      </w:tr>
      <w:tr w:rsidR="00F22722" w:rsidRPr="00F22722" w14:paraId="3C364ADF" w14:textId="77777777" w:rsidTr="00F22722">
        <w:trPr>
          <w:trHeight w:val="25"/>
          <w:tblHeader/>
        </w:trPr>
        <w:tc>
          <w:tcPr>
            <w:tcW w:w="4770" w:type="dxa"/>
            <w:tcBorders>
              <w:top w:val="single" w:sz="2" w:space="0" w:color="BFBFBF"/>
              <w:bottom w:val="single" w:sz="2" w:space="0" w:color="BFBFBF"/>
            </w:tcBorders>
            <w:tcMar>
              <w:top w:w="0" w:type="dxa"/>
              <w:left w:w="100" w:type="dxa"/>
              <w:bottom w:w="0" w:type="dxa"/>
              <w:right w:w="100" w:type="dxa"/>
            </w:tcMar>
          </w:tcPr>
          <w:p w14:paraId="2874FDCC" w14:textId="77777777" w:rsidR="00F22722" w:rsidRPr="00F22722" w:rsidRDefault="00F22722" w:rsidP="00F22722">
            <w:pPr>
              <w:spacing w:after="0" w:line="240" w:lineRule="auto"/>
              <w:ind w:left="255"/>
              <w:rPr>
                <w:rFonts w:ascii="Aptos Light" w:eastAsia="Times New Roman" w:hAnsi="Aptos Light" w:cs="Times New Roman"/>
                <w:b/>
                <w:kern w:val="2"/>
                <w:sz w:val="18"/>
                <w:szCs w:val="18"/>
                <w14:ligatures w14:val="standardContextual"/>
              </w:rPr>
            </w:pPr>
            <w:r w:rsidRPr="00F22722">
              <w:rPr>
                <w:rFonts w:ascii="Aptos Light" w:eastAsia="Aptos" w:hAnsi="Aptos Light" w:cs="Arial"/>
                <w:kern w:val="2"/>
                <w:sz w:val="18"/>
                <w:szCs w:val="18"/>
                <w14:ligatures w14:val="standardContextual"/>
              </w:rPr>
              <w:t>Applied For/Received Any Benefits</w:t>
            </w:r>
          </w:p>
        </w:tc>
        <w:tc>
          <w:tcPr>
            <w:tcW w:w="2160" w:type="dxa"/>
            <w:tcBorders>
              <w:top w:val="single" w:sz="2" w:space="0" w:color="BFBFBF"/>
              <w:bottom w:val="single" w:sz="2" w:space="0" w:color="BFBFBF"/>
            </w:tcBorders>
            <w:tcMar>
              <w:top w:w="100" w:type="dxa"/>
              <w:left w:w="100" w:type="dxa"/>
              <w:bottom w:w="100" w:type="dxa"/>
              <w:right w:w="100" w:type="dxa"/>
            </w:tcMar>
            <w:vAlign w:val="center"/>
          </w:tcPr>
          <w:p w14:paraId="2B3942AB" w14:textId="77777777" w:rsidR="00F22722" w:rsidRPr="00F22722" w:rsidRDefault="00F22722" w:rsidP="00F22722">
            <w:pPr>
              <w:spacing w:after="0" w:line="240" w:lineRule="auto"/>
              <w:jc w:val="center"/>
              <w:rPr>
                <w:rFonts w:ascii="Aptos Light" w:eastAsia="Times New Roman"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50.9***</w:t>
            </w:r>
          </w:p>
        </w:tc>
        <w:tc>
          <w:tcPr>
            <w:tcW w:w="1530" w:type="dxa"/>
            <w:tcBorders>
              <w:top w:val="single" w:sz="2" w:space="0" w:color="BFBFBF"/>
              <w:bottom w:val="single" w:sz="2" w:space="0" w:color="BFBFBF"/>
            </w:tcBorders>
            <w:tcMar>
              <w:top w:w="100" w:type="dxa"/>
              <w:left w:w="100" w:type="dxa"/>
              <w:bottom w:w="100" w:type="dxa"/>
              <w:right w:w="100" w:type="dxa"/>
            </w:tcMar>
            <w:vAlign w:val="center"/>
          </w:tcPr>
          <w:p w14:paraId="4EBF5F81" w14:textId="77777777" w:rsidR="00F22722" w:rsidRPr="00F22722" w:rsidRDefault="00F22722" w:rsidP="00F22722">
            <w:pPr>
              <w:spacing w:after="0" w:line="240" w:lineRule="auto"/>
              <w:jc w:val="center"/>
              <w:rPr>
                <w:rFonts w:ascii="Aptos Light" w:eastAsia="Times New Roman"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10.9***</w:t>
            </w:r>
          </w:p>
        </w:tc>
        <w:tc>
          <w:tcPr>
            <w:tcW w:w="1440" w:type="dxa"/>
            <w:tcBorders>
              <w:top w:val="single" w:sz="2" w:space="0" w:color="BFBFBF"/>
              <w:bottom w:val="single" w:sz="2" w:space="0" w:color="BFBFBF"/>
            </w:tcBorders>
            <w:tcMar>
              <w:top w:w="100" w:type="dxa"/>
              <w:left w:w="100" w:type="dxa"/>
              <w:bottom w:w="100" w:type="dxa"/>
              <w:right w:w="100" w:type="dxa"/>
            </w:tcMar>
            <w:vAlign w:val="center"/>
          </w:tcPr>
          <w:p w14:paraId="1EBFB959" w14:textId="77777777" w:rsidR="00F22722" w:rsidRPr="00F22722" w:rsidRDefault="00F22722" w:rsidP="00F22722">
            <w:pPr>
              <w:spacing w:after="0" w:line="240" w:lineRule="auto"/>
              <w:jc w:val="center"/>
              <w:rPr>
                <w:rFonts w:ascii="Aptos Light" w:eastAsia="Times New Roman"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23.4***</w:t>
            </w:r>
          </w:p>
        </w:tc>
      </w:tr>
      <w:tr w:rsidR="00F22722" w:rsidRPr="00F22722" w14:paraId="39B63294" w14:textId="77777777" w:rsidTr="00F22722">
        <w:trPr>
          <w:trHeight w:val="25"/>
          <w:tblHeader/>
        </w:trPr>
        <w:tc>
          <w:tcPr>
            <w:tcW w:w="4770" w:type="dxa"/>
            <w:tcBorders>
              <w:top w:val="single" w:sz="2" w:space="0" w:color="BFBFBF"/>
              <w:bottom w:val="single" w:sz="2" w:space="0" w:color="BFBFBF"/>
            </w:tcBorders>
            <w:tcMar>
              <w:top w:w="0" w:type="dxa"/>
              <w:left w:w="100" w:type="dxa"/>
              <w:bottom w:w="0" w:type="dxa"/>
              <w:right w:w="100" w:type="dxa"/>
            </w:tcMar>
          </w:tcPr>
          <w:p w14:paraId="09E3280E" w14:textId="77777777" w:rsidR="00F22722" w:rsidRPr="00F22722" w:rsidRDefault="00F22722" w:rsidP="00F22722">
            <w:pPr>
              <w:spacing w:after="0" w:line="240" w:lineRule="auto"/>
              <w:ind w:left="255"/>
              <w:rPr>
                <w:rFonts w:ascii="Aptos Light" w:eastAsia="Times New Roman"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 xml:space="preserve">Did Not Apply For/Receive Benefits Listed </w:t>
            </w:r>
            <w:r w:rsidRPr="00F22722">
              <w:rPr>
                <w:rFonts w:ascii="Aptos Light" w:eastAsia="Aptos" w:hAnsi="Aptos Light" w:cs="Arial"/>
                <w:i/>
                <w:iCs/>
                <w:kern w:val="2"/>
                <w:sz w:val="18"/>
                <w:szCs w:val="18"/>
                <w14:ligatures w14:val="standardContextual"/>
              </w:rPr>
              <w:t>(ref)</w:t>
            </w:r>
          </w:p>
        </w:tc>
        <w:tc>
          <w:tcPr>
            <w:tcW w:w="2160" w:type="dxa"/>
            <w:tcBorders>
              <w:top w:val="single" w:sz="2" w:space="0" w:color="BFBFBF"/>
              <w:bottom w:val="single" w:sz="2" w:space="0" w:color="BFBFBF"/>
            </w:tcBorders>
            <w:tcMar>
              <w:top w:w="100" w:type="dxa"/>
              <w:left w:w="100" w:type="dxa"/>
              <w:bottom w:w="100" w:type="dxa"/>
              <w:right w:w="100" w:type="dxa"/>
            </w:tcMar>
            <w:vAlign w:val="center"/>
          </w:tcPr>
          <w:p w14:paraId="6A8448CC" w14:textId="77777777" w:rsidR="00F22722" w:rsidRPr="00F22722" w:rsidRDefault="00F22722" w:rsidP="00F22722">
            <w:pPr>
              <w:spacing w:after="0" w:line="240" w:lineRule="auto"/>
              <w:jc w:val="center"/>
              <w:rPr>
                <w:rFonts w:ascii="Aptos Light" w:eastAsia="Times New Roman"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26.8</w:t>
            </w:r>
          </w:p>
        </w:tc>
        <w:tc>
          <w:tcPr>
            <w:tcW w:w="1530" w:type="dxa"/>
            <w:tcBorders>
              <w:top w:val="single" w:sz="2" w:space="0" w:color="BFBFBF"/>
              <w:bottom w:val="single" w:sz="2" w:space="0" w:color="BFBFBF"/>
            </w:tcBorders>
            <w:tcMar>
              <w:top w:w="100" w:type="dxa"/>
              <w:left w:w="100" w:type="dxa"/>
              <w:bottom w:w="100" w:type="dxa"/>
              <w:right w:w="100" w:type="dxa"/>
            </w:tcMar>
            <w:vAlign w:val="center"/>
          </w:tcPr>
          <w:p w14:paraId="6FE99E49" w14:textId="77777777" w:rsidR="00F22722" w:rsidRPr="00F22722" w:rsidRDefault="00F22722" w:rsidP="00F22722">
            <w:pPr>
              <w:spacing w:after="0" w:line="240" w:lineRule="auto"/>
              <w:jc w:val="center"/>
              <w:rPr>
                <w:rFonts w:ascii="Aptos Light" w:eastAsia="Times New Roman"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6.4</w:t>
            </w:r>
          </w:p>
        </w:tc>
        <w:tc>
          <w:tcPr>
            <w:tcW w:w="1440" w:type="dxa"/>
            <w:tcBorders>
              <w:top w:val="single" w:sz="2" w:space="0" w:color="BFBFBF"/>
              <w:bottom w:val="single" w:sz="2" w:space="0" w:color="BFBFBF"/>
            </w:tcBorders>
            <w:tcMar>
              <w:top w:w="100" w:type="dxa"/>
              <w:left w:w="100" w:type="dxa"/>
              <w:bottom w:w="100" w:type="dxa"/>
              <w:right w:w="100" w:type="dxa"/>
            </w:tcMar>
            <w:vAlign w:val="center"/>
          </w:tcPr>
          <w:p w14:paraId="706A5119" w14:textId="77777777" w:rsidR="00F22722" w:rsidRPr="00F22722" w:rsidRDefault="00F22722" w:rsidP="00F22722">
            <w:pPr>
              <w:spacing w:after="0" w:line="240" w:lineRule="auto"/>
              <w:jc w:val="center"/>
              <w:rPr>
                <w:rFonts w:ascii="Aptos Light" w:eastAsia="Times New Roman"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10.4</w:t>
            </w:r>
          </w:p>
        </w:tc>
      </w:tr>
      <w:tr w:rsidR="00F22722" w:rsidRPr="00F22722" w14:paraId="7E555C18" w14:textId="77777777" w:rsidTr="00F22722">
        <w:trPr>
          <w:trHeight w:val="25"/>
          <w:tblHeader/>
        </w:trPr>
        <w:tc>
          <w:tcPr>
            <w:tcW w:w="4770" w:type="dxa"/>
            <w:tcBorders>
              <w:top w:val="single" w:sz="2" w:space="0" w:color="BFBFBF"/>
              <w:bottom w:val="single" w:sz="2" w:space="0" w:color="BFBFBF"/>
            </w:tcBorders>
            <w:tcMar>
              <w:top w:w="0" w:type="dxa"/>
              <w:left w:w="100" w:type="dxa"/>
              <w:bottom w:w="0" w:type="dxa"/>
              <w:right w:w="100" w:type="dxa"/>
            </w:tcMar>
          </w:tcPr>
          <w:p w14:paraId="1DBF3368" w14:textId="77777777" w:rsidR="00F22722" w:rsidRPr="00F22722" w:rsidRDefault="00F22722" w:rsidP="00F22722">
            <w:pPr>
              <w:spacing w:after="0" w:line="240" w:lineRule="auto"/>
              <w:rPr>
                <w:rFonts w:ascii="Aptos Light" w:eastAsia="Times New Roman" w:hAnsi="Aptos Light" w:cs="Times New Roman"/>
                <w:b/>
                <w:bCs/>
                <w:kern w:val="2"/>
                <w:sz w:val="18"/>
                <w:szCs w:val="18"/>
                <w:highlight w:val="yellow"/>
                <w14:ligatures w14:val="standardContextual"/>
              </w:rPr>
            </w:pPr>
            <w:r w:rsidRPr="00F22722">
              <w:rPr>
                <w:rFonts w:ascii="Aptos Light" w:eastAsia="Aptos" w:hAnsi="Aptos Light" w:cs="Arial"/>
                <w:b/>
                <w:bCs/>
                <w:kern w:val="2"/>
                <w:sz w:val="18"/>
                <w:szCs w:val="18"/>
                <w14:ligatures w14:val="standardContextual"/>
              </w:rPr>
              <w:t>Finances At End of Month</w:t>
            </w:r>
          </w:p>
        </w:tc>
        <w:tc>
          <w:tcPr>
            <w:tcW w:w="2160" w:type="dxa"/>
            <w:tcBorders>
              <w:top w:val="single" w:sz="2" w:space="0" w:color="BFBFBF"/>
              <w:bottom w:val="single" w:sz="2" w:space="0" w:color="BFBFBF"/>
            </w:tcBorders>
            <w:tcMar>
              <w:top w:w="100" w:type="dxa"/>
              <w:left w:w="100" w:type="dxa"/>
              <w:bottom w:w="100" w:type="dxa"/>
              <w:right w:w="100" w:type="dxa"/>
            </w:tcMar>
            <w:vAlign w:val="center"/>
          </w:tcPr>
          <w:p w14:paraId="4B23D5E0" w14:textId="77777777" w:rsidR="00F22722" w:rsidRPr="00F22722" w:rsidRDefault="00F22722" w:rsidP="00F22722">
            <w:pPr>
              <w:spacing w:after="0" w:line="240" w:lineRule="auto"/>
              <w:jc w:val="center"/>
              <w:rPr>
                <w:rFonts w:ascii="Aptos Light" w:eastAsia="Times New Roman" w:hAnsi="Aptos Light" w:cs="Times New Roman"/>
                <w:kern w:val="2"/>
                <w:sz w:val="18"/>
                <w:szCs w:val="18"/>
                <w:highlight w:val="yellow"/>
                <w14:ligatures w14:val="standardContextual"/>
              </w:rPr>
            </w:pPr>
          </w:p>
        </w:tc>
        <w:tc>
          <w:tcPr>
            <w:tcW w:w="1530" w:type="dxa"/>
            <w:tcBorders>
              <w:top w:val="single" w:sz="2" w:space="0" w:color="BFBFBF"/>
              <w:bottom w:val="single" w:sz="2" w:space="0" w:color="BFBFBF"/>
            </w:tcBorders>
            <w:tcMar>
              <w:top w:w="100" w:type="dxa"/>
              <w:left w:w="100" w:type="dxa"/>
              <w:bottom w:w="100" w:type="dxa"/>
              <w:right w:w="100" w:type="dxa"/>
            </w:tcMar>
            <w:vAlign w:val="center"/>
          </w:tcPr>
          <w:p w14:paraId="38D0DBF3" w14:textId="77777777" w:rsidR="00F22722" w:rsidRPr="00F22722" w:rsidRDefault="00F22722" w:rsidP="00F22722">
            <w:pPr>
              <w:spacing w:after="0" w:line="240" w:lineRule="auto"/>
              <w:jc w:val="center"/>
              <w:rPr>
                <w:rFonts w:ascii="Aptos Light" w:eastAsia="Times New Roman" w:hAnsi="Aptos Light" w:cs="Times New Roman"/>
                <w:kern w:val="2"/>
                <w:sz w:val="18"/>
                <w:szCs w:val="18"/>
                <w14:ligatures w14:val="standardContextual"/>
              </w:rPr>
            </w:pPr>
          </w:p>
        </w:tc>
        <w:tc>
          <w:tcPr>
            <w:tcW w:w="1440" w:type="dxa"/>
            <w:tcBorders>
              <w:top w:val="single" w:sz="2" w:space="0" w:color="BFBFBF"/>
              <w:bottom w:val="single" w:sz="2" w:space="0" w:color="BFBFBF"/>
            </w:tcBorders>
            <w:tcMar>
              <w:top w:w="100" w:type="dxa"/>
              <w:left w:w="100" w:type="dxa"/>
              <w:bottom w:w="100" w:type="dxa"/>
              <w:right w:w="100" w:type="dxa"/>
            </w:tcMar>
            <w:vAlign w:val="center"/>
          </w:tcPr>
          <w:p w14:paraId="3F92D07F" w14:textId="77777777" w:rsidR="00F22722" w:rsidRPr="00F22722" w:rsidRDefault="00F22722" w:rsidP="00F22722">
            <w:pPr>
              <w:spacing w:after="0" w:line="240" w:lineRule="auto"/>
              <w:jc w:val="center"/>
              <w:rPr>
                <w:rFonts w:ascii="Aptos Light" w:eastAsia="Times New Roman" w:hAnsi="Aptos Light" w:cs="Times New Roman"/>
                <w:kern w:val="2"/>
                <w:sz w:val="18"/>
                <w:szCs w:val="18"/>
                <w14:ligatures w14:val="standardContextual"/>
              </w:rPr>
            </w:pPr>
          </w:p>
        </w:tc>
      </w:tr>
      <w:tr w:rsidR="00F22722" w:rsidRPr="00F22722" w14:paraId="760A613F" w14:textId="77777777" w:rsidTr="00F22722">
        <w:trPr>
          <w:trHeight w:val="25"/>
          <w:tblHeader/>
        </w:trPr>
        <w:tc>
          <w:tcPr>
            <w:tcW w:w="4770" w:type="dxa"/>
            <w:tcBorders>
              <w:top w:val="single" w:sz="2" w:space="0" w:color="BFBFBF"/>
              <w:bottom w:val="single" w:sz="2" w:space="0" w:color="BFBFBF"/>
            </w:tcBorders>
            <w:tcMar>
              <w:top w:w="0" w:type="dxa"/>
              <w:left w:w="100" w:type="dxa"/>
              <w:bottom w:w="0" w:type="dxa"/>
              <w:right w:w="100" w:type="dxa"/>
            </w:tcMar>
          </w:tcPr>
          <w:p w14:paraId="2BBAFB42" w14:textId="77777777" w:rsidR="00F22722" w:rsidRPr="00F22722" w:rsidRDefault="00F22722" w:rsidP="00F22722">
            <w:pPr>
              <w:spacing w:after="0" w:line="240" w:lineRule="auto"/>
              <w:ind w:left="255"/>
              <w:rPr>
                <w:rFonts w:ascii="Aptos Light" w:eastAsia="Times New Roman"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Not Enough to Pay for Things Needed</w:t>
            </w:r>
          </w:p>
        </w:tc>
        <w:tc>
          <w:tcPr>
            <w:tcW w:w="2160" w:type="dxa"/>
            <w:tcBorders>
              <w:top w:val="single" w:sz="2" w:space="0" w:color="BFBFBF"/>
              <w:bottom w:val="single" w:sz="2" w:space="0" w:color="BFBFBF"/>
            </w:tcBorders>
            <w:tcMar>
              <w:top w:w="100" w:type="dxa"/>
              <w:left w:w="100" w:type="dxa"/>
              <w:bottom w:w="100" w:type="dxa"/>
              <w:right w:w="100" w:type="dxa"/>
            </w:tcMar>
            <w:vAlign w:val="center"/>
          </w:tcPr>
          <w:p w14:paraId="3F45D43D" w14:textId="77777777" w:rsidR="00F22722" w:rsidRPr="00F22722" w:rsidRDefault="00F22722" w:rsidP="00F22722">
            <w:pPr>
              <w:spacing w:after="0" w:line="240" w:lineRule="auto"/>
              <w:jc w:val="center"/>
              <w:rPr>
                <w:rFonts w:ascii="Aptos Light" w:eastAsia="Times New Roman"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61.0***</w:t>
            </w:r>
          </w:p>
        </w:tc>
        <w:tc>
          <w:tcPr>
            <w:tcW w:w="1530" w:type="dxa"/>
            <w:tcBorders>
              <w:top w:val="single" w:sz="2" w:space="0" w:color="BFBFBF"/>
              <w:bottom w:val="single" w:sz="2" w:space="0" w:color="BFBFBF"/>
            </w:tcBorders>
            <w:tcMar>
              <w:top w:w="100" w:type="dxa"/>
              <w:left w:w="100" w:type="dxa"/>
              <w:bottom w:w="100" w:type="dxa"/>
              <w:right w:w="100" w:type="dxa"/>
            </w:tcMar>
            <w:vAlign w:val="center"/>
          </w:tcPr>
          <w:p w14:paraId="74EC0A03" w14:textId="77777777" w:rsidR="00F22722" w:rsidRPr="00F22722" w:rsidRDefault="00F22722" w:rsidP="00F22722">
            <w:pPr>
              <w:spacing w:after="0" w:line="240" w:lineRule="auto"/>
              <w:jc w:val="center"/>
              <w:rPr>
                <w:rFonts w:ascii="Aptos Light" w:eastAsia="Times New Roman"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13.9***</w:t>
            </w:r>
          </w:p>
        </w:tc>
        <w:tc>
          <w:tcPr>
            <w:tcW w:w="1440" w:type="dxa"/>
            <w:tcBorders>
              <w:top w:val="single" w:sz="2" w:space="0" w:color="BFBFBF"/>
              <w:bottom w:val="single" w:sz="2" w:space="0" w:color="BFBFBF"/>
            </w:tcBorders>
            <w:tcMar>
              <w:top w:w="100" w:type="dxa"/>
              <w:left w:w="100" w:type="dxa"/>
              <w:bottom w:w="100" w:type="dxa"/>
              <w:right w:w="100" w:type="dxa"/>
            </w:tcMar>
            <w:vAlign w:val="center"/>
          </w:tcPr>
          <w:p w14:paraId="1E491DD6" w14:textId="77777777" w:rsidR="00F22722" w:rsidRPr="00F22722" w:rsidRDefault="00F22722" w:rsidP="00F22722">
            <w:pPr>
              <w:spacing w:after="0" w:line="240" w:lineRule="auto"/>
              <w:jc w:val="center"/>
              <w:rPr>
                <w:rFonts w:ascii="Aptos Light" w:eastAsia="Times New Roman"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31.9***</w:t>
            </w:r>
          </w:p>
        </w:tc>
      </w:tr>
      <w:tr w:rsidR="00F22722" w:rsidRPr="00F22722" w14:paraId="6DE3A0D3" w14:textId="77777777" w:rsidTr="00F22722">
        <w:trPr>
          <w:trHeight w:val="25"/>
          <w:tblHeader/>
        </w:trPr>
        <w:tc>
          <w:tcPr>
            <w:tcW w:w="4770" w:type="dxa"/>
            <w:tcBorders>
              <w:top w:val="single" w:sz="2" w:space="0" w:color="BFBFBF"/>
              <w:bottom w:val="single" w:sz="2" w:space="0" w:color="BFBFBF"/>
            </w:tcBorders>
            <w:tcMar>
              <w:top w:w="0" w:type="dxa"/>
              <w:left w:w="100" w:type="dxa"/>
              <w:bottom w:w="0" w:type="dxa"/>
              <w:right w:w="100" w:type="dxa"/>
            </w:tcMar>
          </w:tcPr>
          <w:p w14:paraId="0741AB2C" w14:textId="77777777" w:rsidR="00F22722" w:rsidRPr="00F22722" w:rsidRDefault="00F22722" w:rsidP="00F22722">
            <w:pPr>
              <w:spacing w:after="0" w:line="240" w:lineRule="auto"/>
              <w:ind w:left="255"/>
              <w:rPr>
                <w:rFonts w:ascii="Aptos Light" w:eastAsia="Times New Roman"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Just Enough to Pay for Things Needed</w:t>
            </w:r>
          </w:p>
        </w:tc>
        <w:tc>
          <w:tcPr>
            <w:tcW w:w="2160" w:type="dxa"/>
            <w:tcBorders>
              <w:top w:val="single" w:sz="2" w:space="0" w:color="BFBFBF"/>
              <w:bottom w:val="single" w:sz="2" w:space="0" w:color="BFBFBF"/>
            </w:tcBorders>
            <w:tcMar>
              <w:top w:w="100" w:type="dxa"/>
              <w:left w:w="100" w:type="dxa"/>
              <w:bottom w:w="100" w:type="dxa"/>
              <w:right w:w="100" w:type="dxa"/>
            </w:tcMar>
            <w:vAlign w:val="center"/>
          </w:tcPr>
          <w:p w14:paraId="7D505F11" w14:textId="77777777" w:rsidR="00F22722" w:rsidRPr="00F22722" w:rsidRDefault="00F22722" w:rsidP="00F22722">
            <w:pPr>
              <w:spacing w:after="0" w:line="240" w:lineRule="auto"/>
              <w:jc w:val="center"/>
              <w:rPr>
                <w:rFonts w:ascii="Aptos Light" w:eastAsia="Times New Roman"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35.9***</w:t>
            </w:r>
          </w:p>
        </w:tc>
        <w:tc>
          <w:tcPr>
            <w:tcW w:w="1530" w:type="dxa"/>
            <w:tcBorders>
              <w:top w:val="single" w:sz="2" w:space="0" w:color="BFBFBF"/>
              <w:bottom w:val="single" w:sz="2" w:space="0" w:color="BFBFBF"/>
            </w:tcBorders>
            <w:tcMar>
              <w:top w:w="100" w:type="dxa"/>
              <w:left w:w="100" w:type="dxa"/>
              <w:bottom w:w="100" w:type="dxa"/>
              <w:right w:w="100" w:type="dxa"/>
            </w:tcMar>
            <w:vAlign w:val="center"/>
          </w:tcPr>
          <w:p w14:paraId="0F5C1633" w14:textId="77777777" w:rsidR="00F22722" w:rsidRPr="00F22722" w:rsidRDefault="00F22722" w:rsidP="00F22722">
            <w:pPr>
              <w:spacing w:after="0" w:line="240" w:lineRule="auto"/>
              <w:jc w:val="center"/>
              <w:rPr>
                <w:rFonts w:ascii="Aptos Light" w:eastAsia="Times New Roman"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7.4***</w:t>
            </w:r>
          </w:p>
        </w:tc>
        <w:tc>
          <w:tcPr>
            <w:tcW w:w="1440" w:type="dxa"/>
            <w:tcBorders>
              <w:top w:val="single" w:sz="2" w:space="0" w:color="BFBFBF"/>
              <w:bottom w:val="single" w:sz="2" w:space="0" w:color="BFBFBF"/>
            </w:tcBorders>
            <w:tcMar>
              <w:top w:w="100" w:type="dxa"/>
              <w:left w:w="100" w:type="dxa"/>
              <w:bottom w:w="100" w:type="dxa"/>
              <w:right w:w="100" w:type="dxa"/>
            </w:tcMar>
            <w:vAlign w:val="center"/>
          </w:tcPr>
          <w:p w14:paraId="5ACC624A" w14:textId="77777777" w:rsidR="00F22722" w:rsidRPr="00F22722" w:rsidRDefault="00F22722" w:rsidP="00F22722">
            <w:pPr>
              <w:spacing w:after="0" w:line="240" w:lineRule="auto"/>
              <w:jc w:val="center"/>
              <w:rPr>
                <w:rFonts w:ascii="Aptos Light" w:eastAsia="Times New Roman"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13.1***</w:t>
            </w:r>
          </w:p>
        </w:tc>
      </w:tr>
      <w:tr w:rsidR="00F22722" w:rsidRPr="00F22722" w14:paraId="66C4A7E0" w14:textId="77777777" w:rsidTr="00F22722">
        <w:trPr>
          <w:trHeight w:val="25"/>
          <w:tblHeader/>
        </w:trPr>
        <w:tc>
          <w:tcPr>
            <w:tcW w:w="4770" w:type="dxa"/>
            <w:tcBorders>
              <w:top w:val="single" w:sz="2" w:space="0" w:color="BFBFBF"/>
              <w:bottom w:val="single" w:sz="2" w:space="0" w:color="auto"/>
            </w:tcBorders>
            <w:tcMar>
              <w:top w:w="0" w:type="dxa"/>
              <w:left w:w="100" w:type="dxa"/>
              <w:bottom w:w="0" w:type="dxa"/>
              <w:right w:w="100" w:type="dxa"/>
            </w:tcMar>
          </w:tcPr>
          <w:p w14:paraId="509DA6BA" w14:textId="77777777" w:rsidR="00F22722" w:rsidRPr="00F22722" w:rsidRDefault="00F22722" w:rsidP="00F22722">
            <w:pPr>
              <w:spacing w:after="0" w:line="240" w:lineRule="auto"/>
              <w:ind w:left="255"/>
              <w:rPr>
                <w:rFonts w:ascii="Aptos Light" w:eastAsia="Times New Roman"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 xml:space="preserve">Having Money Left Over After Paying for Things Needed </w:t>
            </w:r>
            <w:r w:rsidRPr="00F22722">
              <w:rPr>
                <w:rFonts w:ascii="Aptos Light" w:eastAsia="Aptos" w:hAnsi="Aptos Light" w:cs="Arial"/>
                <w:i/>
                <w:kern w:val="2"/>
                <w:sz w:val="18"/>
                <w:szCs w:val="18"/>
                <w14:ligatures w14:val="standardContextual"/>
              </w:rPr>
              <w:t>(ref)</w:t>
            </w:r>
          </w:p>
        </w:tc>
        <w:tc>
          <w:tcPr>
            <w:tcW w:w="2160" w:type="dxa"/>
            <w:tcBorders>
              <w:top w:val="single" w:sz="2" w:space="0" w:color="BFBFBF"/>
              <w:bottom w:val="single" w:sz="2" w:space="0" w:color="auto"/>
            </w:tcBorders>
            <w:tcMar>
              <w:top w:w="100" w:type="dxa"/>
              <w:left w:w="100" w:type="dxa"/>
              <w:bottom w:w="100" w:type="dxa"/>
              <w:right w:w="100" w:type="dxa"/>
            </w:tcMar>
            <w:vAlign w:val="center"/>
          </w:tcPr>
          <w:p w14:paraId="4B1212F3" w14:textId="77777777" w:rsidR="00F22722" w:rsidRPr="00F22722" w:rsidRDefault="00F22722" w:rsidP="00F22722">
            <w:pPr>
              <w:spacing w:after="0" w:line="240" w:lineRule="auto"/>
              <w:jc w:val="center"/>
              <w:rPr>
                <w:rFonts w:ascii="Aptos Light" w:eastAsia="Times New Roman"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19.5</w:t>
            </w:r>
          </w:p>
        </w:tc>
        <w:tc>
          <w:tcPr>
            <w:tcW w:w="1530" w:type="dxa"/>
            <w:tcBorders>
              <w:top w:val="single" w:sz="2" w:space="0" w:color="BFBFBF"/>
              <w:bottom w:val="single" w:sz="2" w:space="0" w:color="auto"/>
            </w:tcBorders>
            <w:tcMar>
              <w:top w:w="100" w:type="dxa"/>
              <w:left w:w="100" w:type="dxa"/>
              <w:bottom w:w="100" w:type="dxa"/>
              <w:right w:w="100" w:type="dxa"/>
            </w:tcMar>
            <w:vAlign w:val="center"/>
          </w:tcPr>
          <w:p w14:paraId="0F6DC4E7" w14:textId="77777777" w:rsidR="00F22722" w:rsidRPr="00F22722" w:rsidRDefault="00F22722" w:rsidP="00F22722">
            <w:pPr>
              <w:spacing w:after="0" w:line="240" w:lineRule="auto"/>
              <w:jc w:val="center"/>
              <w:rPr>
                <w:rFonts w:ascii="Aptos Light" w:eastAsia="Times New Roman"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5.2</w:t>
            </w:r>
          </w:p>
        </w:tc>
        <w:tc>
          <w:tcPr>
            <w:tcW w:w="1440" w:type="dxa"/>
            <w:tcBorders>
              <w:top w:val="single" w:sz="2" w:space="0" w:color="BFBFBF"/>
              <w:bottom w:val="single" w:sz="2" w:space="0" w:color="auto"/>
            </w:tcBorders>
            <w:tcMar>
              <w:top w:w="100" w:type="dxa"/>
              <w:left w:w="100" w:type="dxa"/>
              <w:bottom w:w="100" w:type="dxa"/>
              <w:right w:w="100" w:type="dxa"/>
            </w:tcMar>
            <w:vAlign w:val="center"/>
          </w:tcPr>
          <w:p w14:paraId="0127967B" w14:textId="77777777" w:rsidR="00F22722" w:rsidRPr="00F22722" w:rsidRDefault="00F22722" w:rsidP="00F22722">
            <w:pPr>
              <w:spacing w:after="0" w:line="240" w:lineRule="auto"/>
              <w:jc w:val="center"/>
              <w:rPr>
                <w:rFonts w:ascii="Aptos Light" w:eastAsia="Times New Roman"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7.0</w:t>
            </w:r>
          </w:p>
        </w:tc>
      </w:tr>
    </w:tbl>
    <w:p w14:paraId="21692940" w14:textId="77777777" w:rsidR="00F22722" w:rsidRPr="00F22722" w:rsidRDefault="00F22722" w:rsidP="00F22722">
      <w:pPr>
        <w:ind w:left="720"/>
        <w:rPr>
          <w:rFonts w:ascii="Aptos Light" w:eastAsia="Aptos" w:hAnsi="Aptos Light" w:cs="Arial"/>
          <w:kern w:val="2"/>
          <w14:ligatures w14:val="standardContextual"/>
        </w:rPr>
      </w:pPr>
      <w:r w:rsidRPr="00F22722">
        <w:rPr>
          <w:rFonts w:ascii="Aptos Light" w:eastAsia="Aptos" w:hAnsi="Aptos Light" w:cs="Arial"/>
          <w:kern w:val="2"/>
          <w:sz w:val="18"/>
          <w:szCs w:val="18"/>
          <w:vertAlign w:val="superscript"/>
          <w14:ligatures w14:val="standardContextual"/>
        </w:rPr>
        <w:t>1</w:t>
      </w:r>
      <w:r w:rsidRPr="00F22722">
        <w:rPr>
          <w:rFonts w:ascii="Aptos Light" w:eastAsia="Aptos" w:hAnsi="Aptos Light" w:cs="Arial"/>
          <w:kern w:val="2"/>
          <w:sz w:val="18"/>
          <w:szCs w:val="18"/>
          <w14:ligatures w14:val="standardContextual"/>
        </w:rPr>
        <w:t xml:space="preserve"> Basic needs include childcare or school, food or groceries, formula or baby food, health care, housing, technology, transportation, and utilities.</w:t>
      </w:r>
      <w:r w:rsidRPr="00F22722">
        <w:rPr>
          <w:rFonts w:ascii="Aptos Light" w:eastAsia="Aptos" w:hAnsi="Aptos Light" w:cs="Arial"/>
          <w:kern w:val="2"/>
          <w:sz w:val="18"/>
          <w:szCs w:val="18"/>
          <w:vertAlign w:val="superscript"/>
          <w14:ligatures w14:val="standardContextual"/>
        </w:rPr>
        <w:br/>
        <w:t>2</w:t>
      </w:r>
      <w:r w:rsidRPr="00F22722">
        <w:rPr>
          <w:rFonts w:ascii="Aptos Light" w:eastAsia="Aptos" w:hAnsi="Aptos Light" w:cs="Arial"/>
          <w:kern w:val="2"/>
          <w:sz w:val="18"/>
          <w:szCs w:val="18"/>
          <w14:ligatures w14:val="standardContextual"/>
        </w:rPr>
        <w:t xml:space="preserve"> Benefits include cash assistance, disability assistance, food assistance, housing assistance, and Special Supplemental Nutrition Program for Women, Infants, and Children (WIC)</w:t>
      </w:r>
      <w:r w:rsidRPr="00F22722">
        <w:rPr>
          <w:rFonts w:ascii="Aptos Light" w:eastAsia="Aptos" w:hAnsi="Aptos Light" w:cs="Arial"/>
          <w:kern w:val="2"/>
          <w:sz w:val="18"/>
          <w:szCs w:val="18"/>
          <w14:ligatures w14:val="standardContextual"/>
        </w:rPr>
        <w:br/>
        <w:t>*** p&lt;.0001, ** p&lt;.001, * p&lt;.05</w:t>
      </w:r>
      <w:r w:rsidRPr="00F22722">
        <w:rPr>
          <w:rFonts w:ascii="Aptos Light" w:eastAsia="Aptos" w:hAnsi="Aptos Light" w:cs="Arial"/>
          <w:kern w:val="2"/>
          <w:sz w:val="18"/>
          <w:szCs w:val="18"/>
          <w14:ligatures w14:val="standardContextual"/>
        </w:rPr>
        <w:tab/>
        <w:t>P-values from Pearson chi-square test indicate whether weighted responses from those identifying as specified group significantly differ from those identifying as the noted reference group.</w:t>
      </w:r>
    </w:p>
    <w:p w14:paraId="5A603844" w14:textId="77777777" w:rsidR="00F22722" w:rsidRPr="00F22722" w:rsidRDefault="00F22722" w:rsidP="00F22722">
      <w:pPr>
        <w:ind w:left="720"/>
        <w:rPr>
          <w:rFonts w:ascii="Aptos Light" w:eastAsia="Aptos" w:hAnsi="Aptos Light" w:cs="Arial"/>
          <w:kern w:val="2"/>
          <w14:ligatures w14:val="standardContextual"/>
        </w:rPr>
      </w:pPr>
      <w:r w:rsidRPr="00F22722">
        <w:rPr>
          <w:rFonts w:ascii="Aptos Light" w:eastAsia="Aptos" w:hAnsi="Aptos Light" w:cs="Arial"/>
          <w:kern w:val="2"/>
          <w14:ligatures w14:val="standardContextual"/>
        </w:rPr>
        <w:t xml:space="preserve">Many of the communities of focus that experienced inequities in mental health also reported inequities in economic stability.  </w:t>
      </w:r>
    </w:p>
    <w:p w14:paraId="385B7580" w14:textId="77777777" w:rsidR="00F22722" w:rsidRPr="00F22722" w:rsidRDefault="00F22722" w:rsidP="00F22722">
      <w:pPr>
        <w:numPr>
          <w:ilvl w:val="0"/>
          <w:numId w:val="2"/>
        </w:numPr>
        <w:contextualSpacing/>
        <w:rPr>
          <w:rFonts w:ascii="Aptos Light" w:eastAsia="Aptos" w:hAnsi="Aptos Light" w:cs="Arial"/>
          <w:kern w:val="2"/>
          <w14:ligatures w14:val="standardContextual"/>
        </w:rPr>
      </w:pPr>
      <w:r w:rsidRPr="00F22722">
        <w:rPr>
          <w:rFonts w:ascii="Aptos Light" w:eastAsia="Aptos" w:hAnsi="Aptos Light" w:cs="Arial"/>
          <w:kern w:val="2"/>
          <w14:ligatures w14:val="standardContextual"/>
        </w:rPr>
        <w:lastRenderedPageBreak/>
        <w:t xml:space="preserve">People identifying as American Indian/Alaska Native, Black, </w:t>
      </w:r>
      <w:proofErr w:type="spellStart"/>
      <w:r w:rsidRPr="00F22722">
        <w:rPr>
          <w:rFonts w:ascii="Aptos Light" w:eastAsia="Aptos" w:hAnsi="Aptos Light" w:cs="Arial"/>
          <w:kern w:val="2"/>
          <w14:ligatures w14:val="standardContextual"/>
        </w:rPr>
        <w:t>nH</w:t>
      </w:r>
      <w:proofErr w:type="spellEnd"/>
      <w:r w:rsidRPr="00F22722">
        <w:rPr>
          <w:rFonts w:ascii="Aptos Light" w:eastAsia="Aptos" w:hAnsi="Aptos Light" w:cs="Arial"/>
          <w:kern w:val="2"/>
          <w14:ligatures w14:val="standardContextual"/>
        </w:rPr>
        <w:t>/</w:t>
      </w:r>
      <w:proofErr w:type="spellStart"/>
      <w:r w:rsidRPr="00F22722">
        <w:rPr>
          <w:rFonts w:ascii="Aptos Light" w:eastAsia="Aptos" w:hAnsi="Aptos Light" w:cs="Arial"/>
          <w:kern w:val="2"/>
          <w14:ligatures w14:val="standardContextual"/>
        </w:rPr>
        <w:t>nL</w:t>
      </w:r>
      <w:proofErr w:type="spellEnd"/>
      <w:r w:rsidRPr="00F22722">
        <w:rPr>
          <w:rFonts w:ascii="Aptos Light" w:eastAsia="Aptos" w:hAnsi="Aptos Light" w:cs="Arial"/>
          <w:kern w:val="2"/>
          <w14:ligatures w14:val="standardContextual"/>
        </w:rPr>
        <w:t xml:space="preserve">, Hispanic or Latine/o/a, Middle Eastern or North African, or Multiracial reported significantly higher rates of having trouble paying for basic needs compared to White, </w:t>
      </w:r>
      <w:proofErr w:type="spellStart"/>
      <w:r w:rsidRPr="00F22722">
        <w:rPr>
          <w:rFonts w:ascii="Aptos Light" w:eastAsia="Aptos" w:hAnsi="Aptos Light" w:cs="Arial"/>
          <w:kern w:val="2"/>
          <w14:ligatures w14:val="standardContextual"/>
        </w:rPr>
        <w:t>nH</w:t>
      </w:r>
      <w:proofErr w:type="spellEnd"/>
      <w:r w:rsidRPr="00F22722">
        <w:rPr>
          <w:rFonts w:ascii="Aptos Light" w:eastAsia="Aptos" w:hAnsi="Aptos Light" w:cs="Arial"/>
          <w:kern w:val="2"/>
          <w14:ligatures w14:val="standardContextual"/>
        </w:rPr>
        <w:t>/</w:t>
      </w:r>
      <w:proofErr w:type="spellStart"/>
      <w:r w:rsidRPr="00F22722">
        <w:rPr>
          <w:rFonts w:ascii="Aptos Light" w:eastAsia="Aptos" w:hAnsi="Aptos Light" w:cs="Arial"/>
          <w:kern w:val="2"/>
          <w14:ligatures w14:val="standardContextual"/>
        </w:rPr>
        <w:t>nL</w:t>
      </w:r>
      <w:proofErr w:type="spellEnd"/>
      <w:r w:rsidRPr="00F22722">
        <w:rPr>
          <w:rFonts w:ascii="Aptos Light" w:eastAsia="Aptos" w:hAnsi="Aptos Light" w:cs="Arial"/>
          <w:kern w:val="2"/>
          <w14:ligatures w14:val="standardContextual"/>
        </w:rPr>
        <w:t xml:space="preserve"> adults. They also were significantly more likely to have applied for or received benefits and to have no money left over at the end of the month to pay for things they need.</w:t>
      </w:r>
    </w:p>
    <w:p w14:paraId="27B77F73" w14:textId="77777777" w:rsidR="00F22722" w:rsidRPr="00F22722" w:rsidRDefault="00F22722" w:rsidP="00F22722">
      <w:pPr>
        <w:numPr>
          <w:ilvl w:val="0"/>
          <w:numId w:val="2"/>
        </w:numPr>
        <w:contextualSpacing/>
        <w:rPr>
          <w:rFonts w:ascii="Aptos Light" w:eastAsia="Aptos" w:hAnsi="Aptos Light" w:cs="Arial"/>
          <w:kern w:val="2"/>
          <w14:ligatures w14:val="standardContextual"/>
        </w:rPr>
      </w:pPr>
      <w:r w:rsidRPr="00F22722">
        <w:rPr>
          <w:rFonts w:ascii="Aptos Light" w:eastAsia="Aptos" w:hAnsi="Aptos Light" w:cs="Arial"/>
          <w:kern w:val="2"/>
          <w14:ligatures w14:val="standardContextual"/>
        </w:rPr>
        <w:t xml:space="preserve">Members of the LGBTQA+ community experienced high rates of economic insecurity. For example, over 6 in 10 adults that identified as transgender reported having trouble paying for basic needs. Adults who identified as LGBQA were significantly more likely to report having trouble paying for basic needs compared to those who identified as straight/heterosexual. </w:t>
      </w:r>
    </w:p>
    <w:p w14:paraId="45A13159" w14:textId="77777777" w:rsidR="00F22722" w:rsidRPr="00F22722" w:rsidRDefault="00F22722" w:rsidP="00F22722">
      <w:pPr>
        <w:numPr>
          <w:ilvl w:val="0"/>
          <w:numId w:val="2"/>
        </w:numPr>
        <w:contextualSpacing/>
        <w:rPr>
          <w:rFonts w:ascii="Aptos Light" w:eastAsia="Aptos" w:hAnsi="Aptos Light" w:cs="Arial"/>
          <w:kern w:val="2"/>
          <w14:ligatures w14:val="standardContextual"/>
        </w:rPr>
      </w:pPr>
      <w:r w:rsidRPr="00F22722">
        <w:rPr>
          <w:rFonts w:ascii="Aptos Light" w:eastAsia="Aptos" w:hAnsi="Aptos Light" w:cs="Arial"/>
          <w:kern w:val="2"/>
          <w14:ligatures w14:val="standardContextual"/>
        </w:rPr>
        <w:t>People with disabilities were nearly twice as likely to report trouble paying for basic needs, nearly 3 times as likely to have applied for or received benefits, and over twice as likely to have not enough money at the end of the month to pay for things they need compared to people without disabilities.</w:t>
      </w:r>
    </w:p>
    <w:p w14:paraId="53EF039D" w14:textId="77777777" w:rsidR="00F22722" w:rsidRPr="00F22722" w:rsidRDefault="00F22722" w:rsidP="00F22722">
      <w:pPr>
        <w:ind w:left="1440"/>
        <w:contextualSpacing/>
        <w:rPr>
          <w:rFonts w:ascii="Aptos Light" w:eastAsia="Aptos" w:hAnsi="Aptos Light" w:cs="Arial"/>
          <w:kern w:val="2"/>
          <w14:ligatures w14:val="standardContextual"/>
        </w:rPr>
      </w:pPr>
      <w:r w:rsidRPr="00F22722">
        <w:rPr>
          <w:rFonts w:ascii="Aptos Light" w:eastAsia="Aptos" w:hAnsi="Aptos Light" w:cs="Arial"/>
          <w:kern w:val="2"/>
          <w14:ligatures w14:val="standardContextual"/>
        </w:rPr>
        <w:t xml:space="preserve"> </w:t>
      </w:r>
    </w:p>
    <w:p w14:paraId="136A878A" w14:textId="77777777" w:rsidR="00F22722" w:rsidRPr="00F22722" w:rsidRDefault="00F22722" w:rsidP="00F22722">
      <w:pPr>
        <w:rPr>
          <w:rFonts w:ascii="Aptos Light" w:eastAsia="Aptos" w:hAnsi="Aptos Light" w:cs="Arial"/>
          <w:i/>
          <w:iCs/>
          <w:color w:val="0E2841"/>
          <w:kern w:val="2"/>
          <w14:ligatures w14:val="standardContextual"/>
        </w:rPr>
      </w:pPr>
      <w:bookmarkStart w:id="3" w:name="_Toc174604044"/>
      <w:r w:rsidRPr="00F22722">
        <w:rPr>
          <w:rFonts w:ascii="Aptos Light" w:eastAsia="Aptos" w:hAnsi="Aptos Light" w:cs="Arial"/>
          <w:kern w:val="2"/>
          <w14:ligatures w14:val="standardContextual"/>
        </w:rPr>
        <w:br w:type="page"/>
      </w:r>
    </w:p>
    <w:p w14:paraId="78DE6304" w14:textId="77777777" w:rsidR="00F22722" w:rsidRPr="00F22722" w:rsidRDefault="00F22722" w:rsidP="00F22722">
      <w:pPr>
        <w:spacing w:after="200" w:line="240" w:lineRule="auto"/>
        <w:ind w:firstLine="720"/>
        <w:rPr>
          <w:rFonts w:ascii="Aptos Light" w:eastAsia="Aptos" w:hAnsi="Aptos Light" w:cs="Arial"/>
          <w:i/>
          <w:iCs/>
          <w:color w:val="0E2841"/>
          <w:kern w:val="2"/>
          <w14:ligatures w14:val="standardContextual"/>
        </w:rPr>
      </w:pPr>
      <w:r w:rsidRPr="00F22722">
        <w:rPr>
          <w:rFonts w:ascii="Aptos Light" w:eastAsia="Aptos" w:hAnsi="Aptos Light" w:cs="Arial"/>
          <w:i/>
          <w:iCs/>
          <w:color w:val="0E2841"/>
          <w:kern w:val="2"/>
          <w14:ligatures w14:val="standardContextual"/>
        </w:rPr>
        <w:lastRenderedPageBreak/>
        <w:t xml:space="preserve">Table </w:t>
      </w:r>
      <w:r w:rsidRPr="00F22722">
        <w:rPr>
          <w:rFonts w:ascii="Aptos Light" w:eastAsia="Aptos" w:hAnsi="Aptos Light" w:cs="Arial"/>
          <w:i/>
          <w:iCs/>
          <w:color w:val="0E2841"/>
          <w:kern w:val="2"/>
          <w14:ligatures w14:val="standardContextual"/>
        </w:rPr>
        <w:fldChar w:fldCharType="begin"/>
      </w:r>
      <w:r w:rsidRPr="00F22722">
        <w:rPr>
          <w:rFonts w:ascii="Aptos Light" w:eastAsia="Aptos" w:hAnsi="Aptos Light" w:cs="Arial"/>
          <w:i/>
          <w:iCs/>
          <w:color w:val="0E2841"/>
          <w:kern w:val="2"/>
          <w14:ligatures w14:val="standardContextual"/>
        </w:rPr>
        <w:instrText xml:space="preserve"> SEQ Table \* ARABIC </w:instrText>
      </w:r>
      <w:r w:rsidRPr="00F22722">
        <w:rPr>
          <w:rFonts w:ascii="Aptos Light" w:eastAsia="Aptos" w:hAnsi="Aptos Light" w:cs="Arial"/>
          <w:i/>
          <w:iCs/>
          <w:color w:val="0E2841"/>
          <w:kern w:val="2"/>
          <w14:ligatures w14:val="standardContextual"/>
        </w:rPr>
        <w:fldChar w:fldCharType="separate"/>
      </w:r>
      <w:r w:rsidRPr="00F22722">
        <w:rPr>
          <w:rFonts w:ascii="Aptos Light" w:eastAsia="Aptos" w:hAnsi="Aptos Light" w:cs="Arial"/>
          <w:i/>
          <w:iCs/>
          <w:noProof/>
          <w:color w:val="0E2841"/>
          <w:kern w:val="2"/>
          <w14:ligatures w14:val="standardContextual"/>
        </w:rPr>
        <w:t>6</w:t>
      </w:r>
      <w:r w:rsidRPr="00F22722">
        <w:rPr>
          <w:rFonts w:ascii="Aptos Light" w:eastAsia="Aptos" w:hAnsi="Aptos Light" w:cs="Arial"/>
          <w:i/>
          <w:iCs/>
          <w:color w:val="0E2841"/>
          <w:kern w:val="2"/>
          <w14:ligatures w14:val="standardContextual"/>
        </w:rPr>
        <w:fldChar w:fldCharType="end"/>
      </w:r>
      <w:r w:rsidRPr="00F22722">
        <w:rPr>
          <w:rFonts w:ascii="Aptos Light" w:eastAsia="Aptos" w:hAnsi="Aptos Light" w:cs="Arial"/>
          <w:i/>
          <w:iCs/>
          <w:color w:val="0E2841"/>
          <w:kern w:val="2"/>
          <w14:ligatures w14:val="standardContextual"/>
        </w:rPr>
        <w:t>. 2023 CHES - Adult Economic Indicators by Communities of Focus</w:t>
      </w:r>
      <w:bookmarkEnd w:id="3"/>
    </w:p>
    <w:tbl>
      <w:tblPr>
        <w:tblW w:w="10530" w:type="dxa"/>
        <w:tblInd w:w="630" w:type="dxa"/>
        <w:tblLayout w:type="fixed"/>
        <w:tblCellMar>
          <w:top w:w="15" w:type="dxa"/>
          <w:left w:w="15" w:type="dxa"/>
          <w:bottom w:w="15" w:type="dxa"/>
          <w:right w:w="15" w:type="dxa"/>
        </w:tblCellMar>
        <w:tblLook w:val="04A0" w:firstRow="1" w:lastRow="0" w:firstColumn="1" w:lastColumn="0" w:noHBand="0" w:noVBand="1"/>
      </w:tblPr>
      <w:tblGrid>
        <w:gridCol w:w="3780"/>
        <w:gridCol w:w="2340"/>
        <w:gridCol w:w="1980"/>
        <w:gridCol w:w="2430"/>
      </w:tblGrid>
      <w:tr w:rsidR="00F22722" w:rsidRPr="00F22722" w14:paraId="0B834CE0" w14:textId="77777777">
        <w:trPr>
          <w:trHeight w:val="50"/>
          <w:tblHeader/>
        </w:trPr>
        <w:tc>
          <w:tcPr>
            <w:tcW w:w="3780" w:type="dxa"/>
            <w:tcBorders>
              <w:top w:val="single" w:sz="12" w:space="0" w:color="auto"/>
              <w:bottom w:val="single" w:sz="12" w:space="0" w:color="auto"/>
            </w:tcBorders>
            <w:tcMar>
              <w:top w:w="100" w:type="dxa"/>
              <w:left w:w="100" w:type="dxa"/>
              <w:bottom w:w="100" w:type="dxa"/>
              <w:right w:w="100" w:type="dxa"/>
            </w:tcMar>
            <w:hideMark/>
          </w:tcPr>
          <w:p w14:paraId="06897EE7" w14:textId="77777777" w:rsidR="00F22722" w:rsidRPr="00F22722" w:rsidRDefault="00F22722" w:rsidP="00F22722">
            <w:pPr>
              <w:spacing w:after="0"/>
              <w:rPr>
                <w:rFonts w:ascii="Aptos Light" w:eastAsia="Aptos" w:hAnsi="Aptos Light" w:cs="Arial"/>
                <w:kern w:val="2"/>
                <w:sz w:val="18"/>
                <w:szCs w:val="18"/>
                <w14:ligatures w14:val="standardContextual"/>
              </w:rPr>
            </w:pPr>
          </w:p>
        </w:tc>
        <w:tc>
          <w:tcPr>
            <w:tcW w:w="2340" w:type="dxa"/>
            <w:tcBorders>
              <w:top w:val="single" w:sz="12" w:space="0" w:color="auto"/>
              <w:bottom w:val="single" w:sz="12" w:space="0" w:color="auto"/>
            </w:tcBorders>
            <w:tcMar>
              <w:top w:w="100" w:type="dxa"/>
              <w:left w:w="100" w:type="dxa"/>
              <w:bottom w:w="100" w:type="dxa"/>
              <w:right w:w="100" w:type="dxa"/>
            </w:tcMar>
            <w:hideMark/>
          </w:tcPr>
          <w:p w14:paraId="63D60D80" w14:textId="77777777" w:rsidR="00F22722" w:rsidRPr="00F22722" w:rsidRDefault="00F22722" w:rsidP="00F22722">
            <w:pPr>
              <w:spacing w:after="0"/>
              <w:jc w:val="center"/>
              <w:rPr>
                <w:rFonts w:ascii="Aptos Light" w:eastAsia="Aptos" w:hAnsi="Aptos Light" w:cs="Arial"/>
                <w:kern w:val="2"/>
                <w:sz w:val="18"/>
                <w:szCs w:val="18"/>
                <w:vertAlign w:val="superscript"/>
                <w14:ligatures w14:val="standardContextual"/>
              </w:rPr>
            </w:pPr>
            <w:r w:rsidRPr="00F22722">
              <w:rPr>
                <w:rFonts w:ascii="Aptos Light" w:eastAsia="Aptos" w:hAnsi="Aptos Light" w:cs="Arial"/>
                <w:kern w:val="2"/>
                <w:sz w:val="18"/>
                <w:szCs w:val="18"/>
                <w14:ligatures w14:val="standardContextual"/>
              </w:rPr>
              <w:t>Trouble Paying for Any Basic Needs in Past Month</w:t>
            </w:r>
            <w:r w:rsidRPr="00F22722">
              <w:rPr>
                <w:rFonts w:ascii="Aptos Light" w:eastAsia="Aptos" w:hAnsi="Aptos Light" w:cs="Arial"/>
                <w:kern w:val="2"/>
                <w:sz w:val="18"/>
                <w:szCs w:val="18"/>
                <w:vertAlign w:val="superscript"/>
                <w14:ligatures w14:val="standardContextual"/>
              </w:rPr>
              <w:t>1</w:t>
            </w:r>
          </w:p>
          <w:p w14:paraId="25D0E070" w14:textId="77777777" w:rsidR="00F22722" w:rsidRPr="00F22722" w:rsidRDefault="00F22722" w:rsidP="00F22722">
            <w:pPr>
              <w:spacing w:after="0"/>
              <w:jc w:val="center"/>
              <w:rPr>
                <w:rFonts w:ascii="Aptos Light" w:eastAsia="Aptos"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Weighted %</w:t>
            </w:r>
          </w:p>
        </w:tc>
        <w:tc>
          <w:tcPr>
            <w:tcW w:w="1980" w:type="dxa"/>
            <w:tcBorders>
              <w:top w:val="single" w:sz="12" w:space="0" w:color="auto"/>
              <w:bottom w:val="single" w:sz="12" w:space="0" w:color="auto"/>
            </w:tcBorders>
            <w:tcMar>
              <w:top w:w="100" w:type="dxa"/>
              <w:left w:w="100" w:type="dxa"/>
              <w:bottom w:w="100" w:type="dxa"/>
              <w:right w:w="100" w:type="dxa"/>
            </w:tcMar>
            <w:hideMark/>
          </w:tcPr>
          <w:p w14:paraId="593EE29B" w14:textId="77777777" w:rsidR="00F22722" w:rsidRPr="00F22722" w:rsidRDefault="00F22722" w:rsidP="00F22722">
            <w:pPr>
              <w:spacing w:after="0"/>
              <w:jc w:val="center"/>
              <w:rPr>
                <w:rFonts w:ascii="Aptos Light" w:eastAsia="Aptos" w:hAnsi="Aptos Light" w:cs="Arial"/>
                <w:kern w:val="2"/>
                <w:sz w:val="18"/>
                <w:szCs w:val="18"/>
                <w:vertAlign w:val="superscript"/>
                <w14:ligatures w14:val="standardContextual"/>
              </w:rPr>
            </w:pPr>
            <w:r w:rsidRPr="00F22722">
              <w:rPr>
                <w:rFonts w:ascii="Aptos Light" w:eastAsia="Aptos" w:hAnsi="Aptos Light" w:cs="Arial"/>
                <w:kern w:val="2"/>
                <w:sz w:val="18"/>
                <w:szCs w:val="18"/>
                <w14:ligatures w14:val="standardContextual"/>
              </w:rPr>
              <w:t>Applied For or Received Any Benefits</w:t>
            </w:r>
            <w:r w:rsidRPr="00F22722">
              <w:rPr>
                <w:rFonts w:ascii="Aptos Light" w:eastAsia="Aptos" w:hAnsi="Aptos Light" w:cs="Arial"/>
                <w:kern w:val="2"/>
                <w:sz w:val="18"/>
                <w:szCs w:val="18"/>
                <w:vertAlign w:val="superscript"/>
                <w14:ligatures w14:val="standardContextual"/>
              </w:rPr>
              <w:t>2</w:t>
            </w:r>
          </w:p>
          <w:p w14:paraId="5C883DCE" w14:textId="77777777" w:rsidR="00F22722" w:rsidRPr="00F22722" w:rsidRDefault="00F22722" w:rsidP="00F22722">
            <w:pPr>
              <w:spacing w:after="0"/>
              <w:jc w:val="center"/>
              <w:rPr>
                <w:rFonts w:ascii="Aptos Light" w:eastAsia="Aptos"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Weighted %</w:t>
            </w:r>
          </w:p>
        </w:tc>
        <w:tc>
          <w:tcPr>
            <w:tcW w:w="2430" w:type="dxa"/>
            <w:tcBorders>
              <w:top w:val="single" w:sz="12" w:space="0" w:color="auto"/>
              <w:bottom w:val="single" w:sz="12" w:space="0" w:color="auto"/>
            </w:tcBorders>
            <w:tcMar>
              <w:top w:w="100" w:type="dxa"/>
              <w:left w:w="100" w:type="dxa"/>
              <w:bottom w:w="100" w:type="dxa"/>
              <w:right w:w="100" w:type="dxa"/>
            </w:tcMar>
            <w:hideMark/>
          </w:tcPr>
          <w:p w14:paraId="71B7FE72"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Not Enough Money to Pay for Necessities at End of Month</w:t>
            </w:r>
          </w:p>
          <w:p w14:paraId="3AA949DC" w14:textId="77777777" w:rsidR="00F22722" w:rsidRPr="00F22722" w:rsidRDefault="00F22722" w:rsidP="00F22722">
            <w:pPr>
              <w:spacing w:after="0"/>
              <w:jc w:val="center"/>
              <w:rPr>
                <w:rFonts w:ascii="Aptos Light" w:eastAsia="Aptos"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Weighted %</w:t>
            </w:r>
          </w:p>
        </w:tc>
      </w:tr>
      <w:tr w:rsidR="00F22722" w:rsidRPr="00F22722" w14:paraId="2079FBE2" w14:textId="77777777" w:rsidTr="00F22722">
        <w:trPr>
          <w:trHeight w:val="25"/>
          <w:tblHeader/>
        </w:trPr>
        <w:tc>
          <w:tcPr>
            <w:tcW w:w="3780" w:type="dxa"/>
            <w:tcBorders>
              <w:top w:val="single" w:sz="2" w:space="0" w:color="BFBFBF"/>
              <w:bottom w:val="single" w:sz="2" w:space="0" w:color="BFBFBF"/>
            </w:tcBorders>
            <w:tcMar>
              <w:top w:w="0" w:type="dxa"/>
              <w:left w:w="100" w:type="dxa"/>
              <w:bottom w:w="0" w:type="dxa"/>
              <w:right w:w="100" w:type="dxa"/>
            </w:tcMar>
            <w:vAlign w:val="center"/>
          </w:tcPr>
          <w:p w14:paraId="4728D995" w14:textId="77777777" w:rsidR="00F22722" w:rsidRPr="00F22722" w:rsidRDefault="00F22722" w:rsidP="00F22722">
            <w:pPr>
              <w:spacing w:after="0"/>
              <w:rPr>
                <w:rFonts w:ascii="Aptos Light" w:eastAsia="Aptos" w:hAnsi="Aptos Light" w:cs="Times New Roman"/>
                <w:b/>
                <w:bCs/>
                <w:kern w:val="2"/>
                <w:sz w:val="18"/>
                <w:szCs w:val="18"/>
                <w14:ligatures w14:val="standardContextual"/>
              </w:rPr>
            </w:pPr>
            <w:r w:rsidRPr="00F22722">
              <w:rPr>
                <w:rFonts w:ascii="Aptos Light" w:eastAsia="Aptos" w:hAnsi="Aptos Light" w:cs="Arial"/>
                <w:b/>
                <w:bCs/>
                <w:kern w:val="2"/>
                <w:sz w:val="18"/>
                <w:szCs w:val="18"/>
                <w14:ligatures w14:val="standardContextual"/>
              </w:rPr>
              <w:t>Race/Ethnicity</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0530096A" w14:textId="77777777" w:rsidR="00F22722" w:rsidRPr="00F22722" w:rsidRDefault="00F22722" w:rsidP="00F22722">
            <w:pPr>
              <w:spacing w:after="0"/>
              <w:rPr>
                <w:rFonts w:ascii="Aptos Light" w:eastAsia="Aptos" w:hAnsi="Aptos Light" w:cs="Arial"/>
                <w:kern w:val="2"/>
                <w:sz w:val="18"/>
                <w:szCs w:val="18"/>
                <w14:ligatures w14:val="standardContextual"/>
              </w:rPr>
            </w:pPr>
          </w:p>
        </w:tc>
        <w:tc>
          <w:tcPr>
            <w:tcW w:w="1980" w:type="dxa"/>
            <w:tcBorders>
              <w:top w:val="single" w:sz="2" w:space="0" w:color="BFBFBF"/>
              <w:bottom w:val="single" w:sz="2" w:space="0" w:color="BFBFBF"/>
            </w:tcBorders>
            <w:tcMar>
              <w:top w:w="100" w:type="dxa"/>
              <w:left w:w="100" w:type="dxa"/>
              <w:bottom w:w="100" w:type="dxa"/>
              <w:right w:w="100" w:type="dxa"/>
            </w:tcMar>
            <w:vAlign w:val="center"/>
          </w:tcPr>
          <w:p w14:paraId="1EE5EAA5" w14:textId="77777777" w:rsidR="00F22722" w:rsidRPr="00F22722" w:rsidRDefault="00F22722" w:rsidP="00F22722">
            <w:pPr>
              <w:spacing w:after="0"/>
              <w:rPr>
                <w:rFonts w:ascii="Aptos Light" w:eastAsia="Aptos" w:hAnsi="Aptos Light" w:cs="Arial"/>
                <w:kern w:val="2"/>
                <w:sz w:val="18"/>
                <w:szCs w:val="18"/>
                <w14:ligatures w14:val="standardContextual"/>
              </w:rPr>
            </w:pPr>
          </w:p>
        </w:tc>
        <w:tc>
          <w:tcPr>
            <w:tcW w:w="2430" w:type="dxa"/>
            <w:tcBorders>
              <w:top w:val="single" w:sz="2" w:space="0" w:color="BFBFBF"/>
              <w:bottom w:val="single" w:sz="2" w:space="0" w:color="BFBFBF"/>
            </w:tcBorders>
            <w:tcMar>
              <w:top w:w="100" w:type="dxa"/>
              <w:left w:w="100" w:type="dxa"/>
              <w:bottom w:w="100" w:type="dxa"/>
              <w:right w:w="100" w:type="dxa"/>
            </w:tcMar>
            <w:vAlign w:val="center"/>
          </w:tcPr>
          <w:p w14:paraId="75678C30" w14:textId="77777777" w:rsidR="00F22722" w:rsidRPr="00F22722" w:rsidRDefault="00F22722" w:rsidP="00F22722">
            <w:pPr>
              <w:spacing w:after="0"/>
              <w:rPr>
                <w:rFonts w:ascii="Aptos Light" w:eastAsia="Aptos" w:hAnsi="Aptos Light" w:cs="Arial"/>
                <w:kern w:val="2"/>
                <w:sz w:val="18"/>
                <w:szCs w:val="18"/>
                <w14:ligatures w14:val="standardContextual"/>
              </w:rPr>
            </w:pPr>
          </w:p>
        </w:tc>
      </w:tr>
      <w:tr w:rsidR="00F22722" w:rsidRPr="00F22722" w14:paraId="03DF3C0C" w14:textId="77777777" w:rsidTr="00F22722">
        <w:trPr>
          <w:trHeight w:val="111"/>
          <w:tblHeader/>
        </w:trPr>
        <w:tc>
          <w:tcPr>
            <w:tcW w:w="3780" w:type="dxa"/>
            <w:tcBorders>
              <w:top w:val="single" w:sz="2" w:space="0" w:color="BFBFBF"/>
              <w:bottom w:val="single" w:sz="2" w:space="0" w:color="BFBFBF"/>
            </w:tcBorders>
            <w:tcMar>
              <w:top w:w="0" w:type="dxa"/>
              <w:left w:w="100" w:type="dxa"/>
              <w:bottom w:w="0" w:type="dxa"/>
              <w:right w:w="100" w:type="dxa"/>
            </w:tcMar>
          </w:tcPr>
          <w:p w14:paraId="02C0DD0E" w14:textId="77777777" w:rsidR="00F22722" w:rsidRPr="00F22722" w:rsidRDefault="00F22722" w:rsidP="00F22722">
            <w:pPr>
              <w:spacing w:after="0"/>
              <w:ind w:left="260"/>
              <w:rPr>
                <w:rFonts w:ascii="Aptos Light" w:eastAsia="Aptos"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 xml:space="preserve">American Indian / Alaska Native </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3BED0E4B"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50.2***</w:t>
            </w:r>
          </w:p>
        </w:tc>
        <w:tc>
          <w:tcPr>
            <w:tcW w:w="1980" w:type="dxa"/>
            <w:tcBorders>
              <w:top w:val="single" w:sz="2" w:space="0" w:color="BFBFBF"/>
              <w:bottom w:val="single" w:sz="2" w:space="0" w:color="BFBFBF"/>
            </w:tcBorders>
            <w:tcMar>
              <w:top w:w="100" w:type="dxa"/>
              <w:left w:w="100" w:type="dxa"/>
              <w:bottom w:w="100" w:type="dxa"/>
              <w:right w:w="100" w:type="dxa"/>
            </w:tcMar>
            <w:vAlign w:val="center"/>
          </w:tcPr>
          <w:p w14:paraId="104A3389"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27.1***</w:t>
            </w:r>
          </w:p>
        </w:tc>
        <w:tc>
          <w:tcPr>
            <w:tcW w:w="2430" w:type="dxa"/>
            <w:tcBorders>
              <w:top w:val="single" w:sz="2" w:space="0" w:color="BFBFBF"/>
              <w:bottom w:val="single" w:sz="2" w:space="0" w:color="BFBFBF"/>
            </w:tcBorders>
            <w:tcMar>
              <w:top w:w="100" w:type="dxa"/>
              <w:left w:w="100" w:type="dxa"/>
              <w:bottom w:w="100" w:type="dxa"/>
              <w:right w:w="100" w:type="dxa"/>
            </w:tcMar>
            <w:vAlign w:val="center"/>
          </w:tcPr>
          <w:p w14:paraId="09A7C28C"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44.0***</w:t>
            </w:r>
          </w:p>
        </w:tc>
      </w:tr>
      <w:tr w:rsidR="00F22722" w:rsidRPr="00F22722" w14:paraId="7616312A" w14:textId="77777777" w:rsidTr="00F22722">
        <w:trPr>
          <w:trHeight w:val="25"/>
          <w:tblHeader/>
        </w:trPr>
        <w:tc>
          <w:tcPr>
            <w:tcW w:w="3780" w:type="dxa"/>
            <w:tcBorders>
              <w:top w:val="single" w:sz="2" w:space="0" w:color="BFBFBF"/>
              <w:bottom w:val="single" w:sz="2" w:space="0" w:color="BFBFBF"/>
            </w:tcBorders>
            <w:tcMar>
              <w:top w:w="0" w:type="dxa"/>
              <w:left w:w="100" w:type="dxa"/>
              <w:bottom w:w="0" w:type="dxa"/>
              <w:right w:w="100" w:type="dxa"/>
            </w:tcMar>
          </w:tcPr>
          <w:p w14:paraId="260F3AE7" w14:textId="77777777" w:rsidR="00F22722" w:rsidRPr="00F22722" w:rsidRDefault="00F22722" w:rsidP="00F22722">
            <w:pPr>
              <w:spacing w:after="0"/>
              <w:ind w:left="260"/>
              <w:rPr>
                <w:rFonts w:ascii="Aptos Light" w:eastAsia="Aptos"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ANHPI</w:t>
            </w:r>
            <w:r w:rsidRPr="00F22722">
              <w:rPr>
                <w:rFonts w:ascii="Aptos Light" w:eastAsia="Aptos" w:hAnsi="Aptos Light" w:cs="Arial"/>
                <w:kern w:val="2"/>
                <w:sz w:val="18"/>
                <w:szCs w:val="18"/>
                <w:vertAlign w:val="superscript"/>
                <w14:ligatures w14:val="standardContextual"/>
              </w:rPr>
              <w:t>1</w:t>
            </w:r>
            <w:r w:rsidRPr="00F22722">
              <w:rPr>
                <w:rFonts w:ascii="Aptos Light" w:eastAsia="Aptos" w:hAnsi="Aptos Light" w:cs="Arial"/>
                <w:kern w:val="2"/>
                <w:sz w:val="18"/>
                <w:szCs w:val="18"/>
                <w14:ligatures w14:val="standardContextual"/>
              </w:rPr>
              <w:t>, </w:t>
            </w:r>
            <w:proofErr w:type="spellStart"/>
            <w:r w:rsidRPr="00F22722">
              <w:rPr>
                <w:rFonts w:ascii="Aptos Light" w:eastAsia="Aptos" w:hAnsi="Aptos Light" w:cs="Arial"/>
                <w:kern w:val="2"/>
                <w:sz w:val="18"/>
                <w:szCs w:val="18"/>
                <w14:ligatures w14:val="standardContextual"/>
              </w:rPr>
              <w:t>nH</w:t>
            </w:r>
            <w:proofErr w:type="spellEnd"/>
            <w:r w:rsidRPr="00F22722">
              <w:rPr>
                <w:rFonts w:ascii="Aptos Light" w:eastAsia="Aptos" w:hAnsi="Aptos Light" w:cs="Arial"/>
                <w:kern w:val="2"/>
                <w:sz w:val="18"/>
                <w:szCs w:val="18"/>
                <w14:ligatures w14:val="standardContextual"/>
              </w:rPr>
              <w:t>/</w:t>
            </w:r>
            <w:proofErr w:type="spellStart"/>
            <w:r w:rsidRPr="00F22722">
              <w:rPr>
                <w:rFonts w:ascii="Aptos Light" w:eastAsia="Aptos" w:hAnsi="Aptos Light" w:cs="Arial"/>
                <w:kern w:val="2"/>
                <w:sz w:val="18"/>
                <w:szCs w:val="18"/>
                <w14:ligatures w14:val="standardContextual"/>
              </w:rPr>
              <w:t>nL</w:t>
            </w:r>
            <w:proofErr w:type="spellEnd"/>
            <w:r w:rsidRPr="00F22722">
              <w:rPr>
                <w:rFonts w:ascii="Arial" w:eastAsia="Aptos" w:hAnsi="Arial" w:cs="Arial"/>
                <w:kern w:val="2"/>
                <w:sz w:val="18"/>
                <w:szCs w:val="18"/>
                <w14:ligatures w14:val="standardContextual"/>
              </w:rPr>
              <w:t>​</w:t>
            </w:r>
            <w:r w:rsidRPr="00F22722">
              <w:rPr>
                <w:rFonts w:ascii="Aptos Light" w:eastAsia="Aptos" w:hAnsi="Aptos Light" w:cs="Arial"/>
                <w:kern w:val="2"/>
                <w:sz w:val="18"/>
                <w:szCs w:val="18"/>
                <w:vertAlign w:val="superscript"/>
                <w14:ligatures w14:val="standardContextual"/>
              </w:rPr>
              <w:t>2</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31537FA5"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26.6**</w:t>
            </w:r>
          </w:p>
        </w:tc>
        <w:tc>
          <w:tcPr>
            <w:tcW w:w="1980" w:type="dxa"/>
            <w:tcBorders>
              <w:top w:val="single" w:sz="2" w:space="0" w:color="BFBFBF"/>
              <w:bottom w:val="single" w:sz="2" w:space="0" w:color="BFBFBF"/>
            </w:tcBorders>
            <w:tcMar>
              <w:top w:w="100" w:type="dxa"/>
              <w:left w:w="100" w:type="dxa"/>
              <w:bottom w:w="100" w:type="dxa"/>
              <w:right w:w="100" w:type="dxa"/>
            </w:tcMar>
            <w:vAlign w:val="center"/>
          </w:tcPr>
          <w:p w14:paraId="6B549A9B"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38.4***</w:t>
            </w:r>
          </w:p>
        </w:tc>
        <w:tc>
          <w:tcPr>
            <w:tcW w:w="2430" w:type="dxa"/>
            <w:tcBorders>
              <w:top w:val="single" w:sz="2" w:space="0" w:color="BFBFBF"/>
              <w:bottom w:val="single" w:sz="2" w:space="0" w:color="BFBFBF"/>
            </w:tcBorders>
            <w:tcMar>
              <w:top w:w="100" w:type="dxa"/>
              <w:left w:w="100" w:type="dxa"/>
              <w:bottom w:w="100" w:type="dxa"/>
              <w:right w:w="100" w:type="dxa"/>
            </w:tcMar>
            <w:vAlign w:val="center"/>
          </w:tcPr>
          <w:p w14:paraId="27BC18F5"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25.2***</w:t>
            </w:r>
          </w:p>
        </w:tc>
      </w:tr>
      <w:tr w:rsidR="00F22722" w:rsidRPr="00F22722" w14:paraId="10AFCEB0" w14:textId="77777777" w:rsidTr="00F22722">
        <w:trPr>
          <w:trHeight w:val="25"/>
          <w:tblHeader/>
        </w:trPr>
        <w:tc>
          <w:tcPr>
            <w:tcW w:w="3780" w:type="dxa"/>
            <w:tcBorders>
              <w:top w:val="single" w:sz="2" w:space="0" w:color="BFBFBF"/>
              <w:bottom w:val="single" w:sz="2" w:space="0" w:color="BFBFBF"/>
            </w:tcBorders>
            <w:tcMar>
              <w:top w:w="0" w:type="dxa"/>
              <w:left w:w="100" w:type="dxa"/>
              <w:bottom w:w="0" w:type="dxa"/>
              <w:right w:w="100" w:type="dxa"/>
            </w:tcMar>
          </w:tcPr>
          <w:p w14:paraId="4C690102" w14:textId="77777777" w:rsidR="00F22722" w:rsidRPr="00F22722" w:rsidRDefault="00F22722" w:rsidP="00F22722">
            <w:pPr>
              <w:spacing w:after="0"/>
              <w:ind w:left="260"/>
              <w:rPr>
                <w:rFonts w:ascii="Aptos Light" w:eastAsia="Aptos" w:hAnsi="Aptos Light" w:cs="Times New Roman"/>
                <w:b/>
                <w:bCs/>
                <w:kern w:val="2"/>
                <w:sz w:val="18"/>
                <w:szCs w:val="18"/>
                <w14:ligatures w14:val="standardContextual"/>
              </w:rPr>
            </w:pPr>
            <w:r w:rsidRPr="00F22722">
              <w:rPr>
                <w:rFonts w:ascii="Aptos Light" w:eastAsia="Aptos" w:hAnsi="Aptos Light" w:cs="Arial"/>
                <w:kern w:val="2"/>
                <w:sz w:val="18"/>
                <w:szCs w:val="18"/>
                <w14:ligatures w14:val="standardContextual"/>
              </w:rPr>
              <w:t xml:space="preserve">Black, </w:t>
            </w:r>
            <w:proofErr w:type="spellStart"/>
            <w:r w:rsidRPr="00F22722">
              <w:rPr>
                <w:rFonts w:ascii="Aptos Light" w:eastAsia="Aptos" w:hAnsi="Aptos Light" w:cs="Arial"/>
                <w:kern w:val="2"/>
                <w:sz w:val="18"/>
                <w:szCs w:val="18"/>
                <w14:ligatures w14:val="standardContextual"/>
              </w:rPr>
              <w:t>nH</w:t>
            </w:r>
            <w:proofErr w:type="spellEnd"/>
            <w:r w:rsidRPr="00F22722">
              <w:rPr>
                <w:rFonts w:ascii="Aptos Light" w:eastAsia="Aptos" w:hAnsi="Aptos Light" w:cs="Arial"/>
                <w:kern w:val="2"/>
                <w:sz w:val="18"/>
                <w:szCs w:val="18"/>
                <w14:ligatures w14:val="standardContextual"/>
              </w:rPr>
              <w:t>/</w:t>
            </w:r>
            <w:proofErr w:type="spellStart"/>
            <w:r w:rsidRPr="00F22722">
              <w:rPr>
                <w:rFonts w:ascii="Aptos Light" w:eastAsia="Aptos" w:hAnsi="Aptos Light" w:cs="Arial"/>
                <w:kern w:val="2"/>
                <w:sz w:val="18"/>
                <w:szCs w:val="18"/>
                <w14:ligatures w14:val="standardContextual"/>
              </w:rPr>
              <w:t>nL</w:t>
            </w:r>
            <w:proofErr w:type="spellEnd"/>
            <w:r w:rsidRPr="00F22722">
              <w:rPr>
                <w:rFonts w:ascii="Aptos Light" w:eastAsia="Aptos" w:hAnsi="Aptos Light" w:cs="Arial"/>
                <w:kern w:val="2"/>
                <w:sz w:val="18"/>
                <w:szCs w:val="18"/>
                <w14:ligatures w14:val="standardContextual"/>
              </w:rPr>
              <w:t xml:space="preserve"> </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7358812A"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55.5***</w:t>
            </w:r>
          </w:p>
        </w:tc>
        <w:tc>
          <w:tcPr>
            <w:tcW w:w="1980" w:type="dxa"/>
            <w:tcBorders>
              <w:top w:val="single" w:sz="2" w:space="0" w:color="BFBFBF"/>
              <w:bottom w:val="single" w:sz="2" w:space="0" w:color="BFBFBF"/>
            </w:tcBorders>
            <w:tcMar>
              <w:top w:w="100" w:type="dxa"/>
              <w:left w:w="100" w:type="dxa"/>
              <w:bottom w:w="100" w:type="dxa"/>
              <w:right w:w="100" w:type="dxa"/>
            </w:tcMar>
            <w:vAlign w:val="center"/>
          </w:tcPr>
          <w:p w14:paraId="2560277D"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39.1***</w:t>
            </w:r>
          </w:p>
        </w:tc>
        <w:tc>
          <w:tcPr>
            <w:tcW w:w="2430" w:type="dxa"/>
            <w:tcBorders>
              <w:top w:val="single" w:sz="2" w:space="0" w:color="BFBFBF"/>
              <w:bottom w:val="single" w:sz="2" w:space="0" w:color="BFBFBF"/>
            </w:tcBorders>
            <w:tcMar>
              <w:top w:w="100" w:type="dxa"/>
              <w:left w:w="100" w:type="dxa"/>
              <w:bottom w:w="100" w:type="dxa"/>
              <w:right w:w="100" w:type="dxa"/>
            </w:tcMar>
            <w:vAlign w:val="center"/>
          </w:tcPr>
          <w:p w14:paraId="74D7AA5E"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51.1***</w:t>
            </w:r>
          </w:p>
        </w:tc>
      </w:tr>
      <w:tr w:rsidR="00F22722" w:rsidRPr="00F22722" w14:paraId="6BEF5021" w14:textId="77777777" w:rsidTr="00F22722">
        <w:trPr>
          <w:trHeight w:val="25"/>
          <w:tblHeader/>
        </w:trPr>
        <w:tc>
          <w:tcPr>
            <w:tcW w:w="3780" w:type="dxa"/>
            <w:tcBorders>
              <w:top w:val="single" w:sz="2" w:space="0" w:color="BFBFBF"/>
              <w:bottom w:val="single" w:sz="2" w:space="0" w:color="BFBFBF"/>
            </w:tcBorders>
            <w:tcMar>
              <w:top w:w="0" w:type="dxa"/>
              <w:left w:w="100" w:type="dxa"/>
              <w:bottom w:w="0" w:type="dxa"/>
              <w:right w:w="100" w:type="dxa"/>
            </w:tcMar>
          </w:tcPr>
          <w:p w14:paraId="4398F733" w14:textId="77777777" w:rsidR="00F22722" w:rsidRPr="00F22722" w:rsidRDefault="00F22722" w:rsidP="00F22722">
            <w:pPr>
              <w:spacing w:after="0"/>
              <w:ind w:left="260"/>
              <w:rPr>
                <w:rFonts w:ascii="Aptos Light" w:eastAsia="Aptos"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 xml:space="preserve">Hispanic or Latine/a/o </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5E504162"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44.4***</w:t>
            </w:r>
          </w:p>
        </w:tc>
        <w:tc>
          <w:tcPr>
            <w:tcW w:w="1980" w:type="dxa"/>
            <w:tcBorders>
              <w:top w:val="single" w:sz="2" w:space="0" w:color="BFBFBF"/>
              <w:bottom w:val="single" w:sz="2" w:space="0" w:color="BFBFBF"/>
            </w:tcBorders>
            <w:tcMar>
              <w:top w:w="100" w:type="dxa"/>
              <w:left w:w="100" w:type="dxa"/>
              <w:bottom w:w="100" w:type="dxa"/>
              <w:right w:w="100" w:type="dxa"/>
            </w:tcMar>
            <w:vAlign w:val="center"/>
          </w:tcPr>
          <w:p w14:paraId="47E92EFB"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39.3***</w:t>
            </w:r>
          </w:p>
        </w:tc>
        <w:tc>
          <w:tcPr>
            <w:tcW w:w="2430" w:type="dxa"/>
            <w:tcBorders>
              <w:top w:val="single" w:sz="2" w:space="0" w:color="BFBFBF"/>
              <w:bottom w:val="single" w:sz="2" w:space="0" w:color="BFBFBF"/>
            </w:tcBorders>
            <w:tcMar>
              <w:top w:w="100" w:type="dxa"/>
              <w:left w:w="100" w:type="dxa"/>
              <w:bottom w:w="100" w:type="dxa"/>
              <w:right w:w="100" w:type="dxa"/>
            </w:tcMar>
            <w:vAlign w:val="center"/>
          </w:tcPr>
          <w:p w14:paraId="57BC3FFA"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59.0***</w:t>
            </w:r>
          </w:p>
        </w:tc>
      </w:tr>
      <w:tr w:rsidR="00F22722" w:rsidRPr="00F22722" w14:paraId="7800D550" w14:textId="77777777" w:rsidTr="00F22722">
        <w:trPr>
          <w:trHeight w:val="25"/>
          <w:tblHeader/>
        </w:trPr>
        <w:tc>
          <w:tcPr>
            <w:tcW w:w="3780" w:type="dxa"/>
            <w:tcBorders>
              <w:top w:val="single" w:sz="2" w:space="0" w:color="BFBFBF"/>
              <w:bottom w:val="single" w:sz="2" w:space="0" w:color="BFBFBF"/>
            </w:tcBorders>
            <w:tcMar>
              <w:top w:w="0" w:type="dxa"/>
              <w:left w:w="100" w:type="dxa"/>
              <w:bottom w:w="0" w:type="dxa"/>
              <w:right w:w="100" w:type="dxa"/>
            </w:tcMar>
          </w:tcPr>
          <w:p w14:paraId="56E1FAEC" w14:textId="77777777" w:rsidR="00F22722" w:rsidRPr="00F22722" w:rsidRDefault="00F22722" w:rsidP="00F22722">
            <w:pPr>
              <w:spacing w:after="0"/>
              <w:ind w:left="260"/>
              <w:rPr>
                <w:rFonts w:ascii="Aptos Light" w:eastAsia="Aptos"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Middle Eastern or North African</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3664102B"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48.3***</w:t>
            </w:r>
          </w:p>
        </w:tc>
        <w:tc>
          <w:tcPr>
            <w:tcW w:w="1980" w:type="dxa"/>
            <w:tcBorders>
              <w:top w:val="single" w:sz="2" w:space="0" w:color="BFBFBF"/>
              <w:bottom w:val="single" w:sz="2" w:space="0" w:color="BFBFBF"/>
            </w:tcBorders>
            <w:tcMar>
              <w:top w:w="100" w:type="dxa"/>
              <w:left w:w="100" w:type="dxa"/>
              <w:bottom w:w="100" w:type="dxa"/>
              <w:right w:w="100" w:type="dxa"/>
            </w:tcMar>
            <w:vAlign w:val="center"/>
          </w:tcPr>
          <w:p w14:paraId="37CD12B2"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30.8***</w:t>
            </w:r>
          </w:p>
        </w:tc>
        <w:tc>
          <w:tcPr>
            <w:tcW w:w="2430" w:type="dxa"/>
            <w:tcBorders>
              <w:top w:val="single" w:sz="2" w:space="0" w:color="BFBFBF"/>
              <w:bottom w:val="single" w:sz="2" w:space="0" w:color="BFBFBF"/>
            </w:tcBorders>
            <w:tcMar>
              <w:top w:w="100" w:type="dxa"/>
              <w:left w:w="100" w:type="dxa"/>
              <w:bottom w:w="100" w:type="dxa"/>
              <w:right w:w="100" w:type="dxa"/>
            </w:tcMar>
            <w:vAlign w:val="center"/>
          </w:tcPr>
          <w:p w14:paraId="5152FEAB"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27.0*</w:t>
            </w:r>
          </w:p>
        </w:tc>
      </w:tr>
      <w:tr w:rsidR="00F22722" w:rsidRPr="00F22722" w14:paraId="0F5F204A" w14:textId="77777777" w:rsidTr="00F22722">
        <w:trPr>
          <w:trHeight w:val="25"/>
          <w:tblHeader/>
        </w:trPr>
        <w:tc>
          <w:tcPr>
            <w:tcW w:w="3780" w:type="dxa"/>
            <w:tcBorders>
              <w:top w:val="single" w:sz="2" w:space="0" w:color="BFBFBF"/>
              <w:bottom w:val="single" w:sz="2" w:space="0" w:color="BFBFBF"/>
            </w:tcBorders>
            <w:tcMar>
              <w:top w:w="0" w:type="dxa"/>
              <w:left w:w="100" w:type="dxa"/>
              <w:bottom w:w="0" w:type="dxa"/>
              <w:right w:w="100" w:type="dxa"/>
            </w:tcMar>
          </w:tcPr>
          <w:p w14:paraId="53044D2E" w14:textId="77777777" w:rsidR="00F22722" w:rsidRPr="00F22722" w:rsidRDefault="00F22722" w:rsidP="00F22722">
            <w:pPr>
              <w:spacing w:after="0"/>
              <w:ind w:left="260"/>
              <w:rPr>
                <w:rFonts w:ascii="Aptos Light" w:eastAsia="Aptos"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 xml:space="preserve">Multiracial, </w:t>
            </w:r>
            <w:proofErr w:type="spellStart"/>
            <w:r w:rsidRPr="00F22722">
              <w:rPr>
                <w:rFonts w:ascii="Aptos Light" w:eastAsia="Aptos" w:hAnsi="Aptos Light" w:cs="Arial"/>
                <w:kern w:val="2"/>
                <w:sz w:val="18"/>
                <w:szCs w:val="18"/>
                <w14:ligatures w14:val="standardContextual"/>
              </w:rPr>
              <w:t>nH</w:t>
            </w:r>
            <w:proofErr w:type="spellEnd"/>
            <w:r w:rsidRPr="00F22722">
              <w:rPr>
                <w:rFonts w:ascii="Aptos Light" w:eastAsia="Aptos" w:hAnsi="Aptos Light" w:cs="Arial"/>
                <w:kern w:val="2"/>
                <w:sz w:val="18"/>
                <w:szCs w:val="18"/>
                <w14:ligatures w14:val="standardContextual"/>
              </w:rPr>
              <w:t>/</w:t>
            </w:r>
            <w:proofErr w:type="spellStart"/>
            <w:r w:rsidRPr="00F22722">
              <w:rPr>
                <w:rFonts w:ascii="Aptos Light" w:eastAsia="Aptos" w:hAnsi="Aptos Light" w:cs="Arial"/>
                <w:kern w:val="2"/>
                <w:sz w:val="18"/>
                <w:szCs w:val="18"/>
                <w14:ligatures w14:val="standardContextual"/>
              </w:rPr>
              <w:t>nL</w:t>
            </w:r>
            <w:proofErr w:type="spellEnd"/>
            <w:r w:rsidRPr="00F22722">
              <w:rPr>
                <w:rFonts w:ascii="Aptos Light" w:eastAsia="Aptos" w:hAnsi="Aptos Light" w:cs="Arial"/>
                <w:kern w:val="2"/>
                <w:sz w:val="18"/>
                <w:szCs w:val="18"/>
                <w14:ligatures w14:val="standardContextual"/>
              </w:rPr>
              <w:t xml:space="preserve"> </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6711C5EF"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48.7***</w:t>
            </w:r>
          </w:p>
        </w:tc>
        <w:tc>
          <w:tcPr>
            <w:tcW w:w="1980" w:type="dxa"/>
            <w:tcBorders>
              <w:top w:val="single" w:sz="2" w:space="0" w:color="BFBFBF"/>
              <w:bottom w:val="single" w:sz="2" w:space="0" w:color="BFBFBF"/>
            </w:tcBorders>
            <w:tcMar>
              <w:top w:w="100" w:type="dxa"/>
              <w:left w:w="100" w:type="dxa"/>
              <w:bottom w:w="100" w:type="dxa"/>
              <w:right w:w="100" w:type="dxa"/>
            </w:tcMar>
            <w:vAlign w:val="center"/>
          </w:tcPr>
          <w:p w14:paraId="2FE35511"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26.4***</w:t>
            </w:r>
          </w:p>
        </w:tc>
        <w:tc>
          <w:tcPr>
            <w:tcW w:w="2430" w:type="dxa"/>
            <w:tcBorders>
              <w:top w:val="single" w:sz="2" w:space="0" w:color="BFBFBF"/>
              <w:bottom w:val="single" w:sz="2" w:space="0" w:color="BFBFBF"/>
            </w:tcBorders>
            <w:tcMar>
              <w:top w:w="100" w:type="dxa"/>
              <w:left w:w="100" w:type="dxa"/>
              <w:bottom w:w="100" w:type="dxa"/>
              <w:right w:w="100" w:type="dxa"/>
            </w:tcMar>
            <w:vAlign w:val="center"/>
          </w:tcPr>
          <w:p w14:paraId="3F432E97"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30.7***</w:t>
            </w:r>
          </w:p>
        </w:tc>
      </w:tr>
      <w:tr w:rsidR="00F22722" w:rsidRPr="00F22722" w14:paraId="5BBF8548" w14:textId="77777777" w:rsidTr="00F22722">
        <w:trPr>
          <w:trHeight w:val="25"/>
          <w:tblHeader/>
        </w:trPr>
        <w:tc>
          <w:tcPr>
            <w:tcW w:w="3780" w:type="dxa"/>
            <w:tcBorders>
              <w:top w:val="single" w:sz="2" w:space="0" w:color="BFBFBF"/>
              <w:bottom w:val="single" w:sz="2" w:space="0" w:color="BFBFBF"/>
            </w:tcBorders>
            <w:tcMar>
              <w:top w:w="0" w:type="dxa"/>
              <w:left w:w="100" w:type="dxa"/>
              <w:bottom w:w="0" w:type="dxa"/>
              <w:right w:w="100" w:type="dxa"/>
            </w:tcMar>
          </w:tcPr>
          <w:p w14:paraId="4F666AA8" w14:textId="77777777" w:rsidR="00F22722" w:rsidRPr="00F22722" w:rsidRDefault="00F22722" w:rsidP="00F22722">
            <w:pPr>
              <w:spacing w:after="0"/>
              <w:ind w:left="260"/>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 xml:space="preserve">White, </w:t>
            </w:r>
            <w:proofErr w:type="spellStart"/>
            <w:r w:rsidRPr="00F22722">
              <w:rPr>
                <w:rFonts w:ascii="Aptos Light" w:eastAsia="Aptos" w:hAnsi="Aptos Light" w:cs="Arial"/>
                <w:kern w:val="2"/>
                <w:sz w:val="18"/>
                <w:szCs w:val="18"/>
                <w14:ligatures w14:val="standardContextual"/>
              </w:rPr>
              <w:t>nH</w:t>
            </w:r>
            <w:proofErr w:type="spellEnd"/>
            <w:r w:rsidRPr="00F22722">
              <w:rPr>
                <w:rFonts w:ascii="Aptos Light" w:eastAsia="Aptos" w:hAnsi="Aptos Light" w:cs="Arial"/>
                <w:kern w:val="2"/>
                <w:sz w:val="18"/>
                <w:szCs w:val="18"/>
                <w14:ligatures w14:val="standardContextual"/>
              </w:rPr>
              <w:t>/</w:t>
            </w:r>
            <w:proofErr w:type="spellStart"/>
            <w:r w:rsidRPr="00F22722">
              <w:rPr>
                <w:rFonts w:ascii="Aptos Light" w:eastAsia="Aptos" w:hAnsi="Aptos Light" w:cs="Arial"/>
                <w:kern w:val="2"/>
                <w:sz w:val="18"/>
                <w:szCs w:val="18"/>
                <w14:ligatures w14:val="standardContextual"/>
              </w:rPr>
              <w:t>nL</w:t>
            </w:r>
            <w:proofErr w:type="spellEnd"/>
            <w:r w:rsidRPr="00F22722">
              <w:rPr>
                <w:rFonts w:ascii="Aptos Light" w:eastAsia="Aptos" w:hAnsi="Aptos Light" w:cs="Arial"/>
                <w:kern w:val="2"/>
                <w:sz w:val="18"/>
                <w:szCs w:val="18"/>
                <w14:ligatures w14:val="standardContextual"/>
              </w:rPr>
              <w:t xml:space="preserve"> (</w:t>
            </w:r>
            <w:r w:rsidRPr="00F22722">
              <w:rPr>
                <w:rFonts w:ascii="Aptos Light" w:eastAsia="Aptos" w:hAnsi="Aptos Light" w:cs="Arial"/>
                <w:i/>
                <w:iCs/>
                <w:kern w:val="2"/>
                <w:sz w:val="18"/>
                <w:szCs w:val="18"/>
                <w14:ligatures w14:val="standardContextual"/>
              </w:rPr>
              <w:t>ref</w:t>
            </w:r>
            <w:r w:rsidRPr="00F22722">
              <w:rPr>
                <w:rFonts w:ascii="Aptos Light" w:eastAsia="Aptos" w:hAnsi="Aptos Light" w:cs="Arial"/>
                <w:kern w:val="2"/>
                <w:sz w:val="18"/>
                <w:szCs w:val="18"/>
                <w14:ligatures w14:val="standardContextual"/>
              </w:rPr>
              <w:t>)</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27169C94"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31.3</w:t>
            </w:r>
          </w:p>
        </w:tc>
        <w:tc>
          <w:tcPr>
            <w:tcW w:w="1980" w:type="dxa"/>
            <w:tcBorders>
              <w:top w:val="single" w:sz="2" w:space="0" w:color="BFBFBF"/>
              <w:bottom w:val="single" w:sz="2" w:space="0" w:color="BFBFBF"/>
            </w:tcBorders>
            <w:tcMar>
              <w:top w:w="100" w:type="dxa"/>
              <w:left w:w="100" w:type="dxa"/>
              <w:bottom w:w="100" w:type="dxa"/>
              <w:right w:w="100" w:type="dxa"/>
            </w:tcMar>
            <w:vAlign w:val="center"/>
          </w:tcPr>
          <w:p w14:paraId="2981A2AC"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14.5</w:t>
            </w:r>
          </w:p>
        </w:tc>
        <w:tc>
          <w:tcPr>
            <w:tcW w:w="2430" w:type="dxa"/>
            <w:tcBorders>
              <w:top w:val="single" w:sz="2" w:space="0" w:color="BFBFBF"/>
              <w:bottom w:val="single" w:sz="2" w:space="0" w:color="BFBFBF"/>
            </w:tcBorders>
            <w:tcMar>
              <w:top w:w="100" w:type="dxa"/>
              <w:left w:w="100" w:type="dxa"/>
              <w:bottom w:w="100" w:type="dxa"/>
              <w:right w:w="100" w:type="dxa"/>
            </w:tcMar>
            <w:vAlign w:val="center"/>
          </w:tcPr>
          <w:p w14:paraId="6D4A7035"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18.2</w:t>
            </w:r>
          </w:p>
        </w:tc>
      </w:tr>
      <w:tr w:rsidR="00F22722" w:rsidRPr="00F22722" w14:paraId="2B4AECDF" w14:textId="77777777" w:rsidTr="00F22722">
        <w:trPr>
          <w:trHeight w:val="25"/>
          <w:tblHeader/>
        </w:trPr>
        <w:tc>
          <w:tcPr>
            <w:tcW w:w="3780" w:type="dxa"/>
            <w:tcBorders>
              <w:top w:val="single" w:sz="2" w:space="0" w:color="BFBFBF"/>
              <w:bottom w:val="single" w:sz="2" w:space="0" w:color="BFBFBF"/>
            </w:tcBorders>
            <w:tcMar>
              <w:top w:w="0" w:type="dxa"/>
              <w:left w:w="100" w:type="dxa"/>
              <w:bottom w:w="0" w:type="dxa"/>
              <w:right w:w="100" w:type="dxa"/>
            </w:tcMar>
            <w:vAlign w:val="center"/>
          </w:tcPr>
          <w:p w14:paraId="5D6907E0" w14:textId="77777777" w:rsidR="00F22722" w:rsidRPr="00F22722" w:rsidRDefault="00F22722" w:rsidP="00F22722">
            <w:pPr>
              <w:spacing w:after="0"/>
              <w:rPr>
                <w:rFonts w:ascii="Aptos Light" w:eastAsia="Aptos" w:hAnsi="Aptos Light" w:cs="Arial"/>
                <w:b/>
                <w:bCs/>
                <w:kern w:val="2"/>
                <w:sz w:val="18"/>
                <w:szCs w:val="18"/>
                <w14:ligatures w14:val="standardContextual"/>
              </w:rPr>
            </w:pPr>
            <w:r w:rsidRPr="00F22722">
              <w:rPr>
                <w:rFonts w:ascii="Aptos Light" w:eastAsia="Aptos" w:hAnsi="Aptos Light" w:cs="Arial"/>
                <w:b/>
                <w:bCs/>
                <w:kern w:val="2"/>
                <w:sz w:val="18"/>
                <w:szCs w:val="18"/>
                <w14:ligatures w14:val="standardContextual"/>
              </w:rPr>
              <w:t>Sexual Orientation</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21600BB8"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p>
        </w:tc>
        <w:tc>
          <w:tcPr>
            <w:tcW w:w="1980" w:type="dxa"/>
            <w:tcBorders>
              <w:top w:val="single" w:sz="2" w:space="0" w:color="BFBFBF"/>
              <w:bottom w:val="single" w:sz="2" w:space="0" w:color="BFBFBF"/>
            </w:tcBorders>
            <w:tcMar>
              <w:top w:w="100" w:type="dxa"/>
              <w:left w:w="100" w:type="dxa"/>
              <w:bottom w:w="100" w:type="dxa"/>
              <w:right w:w="100" w:type="dxa"/>
            </w:tcMar>
            <w:vAlign w:val="center"/>
          </w:tcPr>
          <w:p w14:paraId="7CAE6888"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p>
        </w:tc>
        <w:tc>
          <w:tcPr>
            <w:tcW w:w="2430" w:type="dxa"/>
            <w:tcBorders>
              <w:top w:val="single" w:sz="2" w:space="0" w:color="BFBFBF"/>
              <w:bottom w:val="single" w:sz="2" w:space="0" w:color="BFBFBF"/>
            </w:tcBorders>
            <w:tcMar>
              <w:top w:w="100" w:type="dxa"/>
              <w:left w:w="100" w:type="dxa"/>
              <w:bottom w:w="100" w:type="dxa"/>
              <w:right w:w="100" w:type="dxa"/>
            </w:tcMar>
            <w:vAlign w:val="center"/>
          </w:tcPr>
          <w:p w14:paraId="49ED2FAD"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p>
        </w:tc>
      </w:tr>
      <w:tr w:rsidR="00F22722" w:rsidRPr="00F22722" w14:paraId="63AE0EE1" w14:textId="77777777" w:rsidTr="00F22722">
        <w:trPr>
          <w:trHeight w:val="25"/>
          <w:tblHeader/>
        </w:trPr>
        <w:tc>
          <w:tcPr>
            <w:tcW w:w="3780" w:type="dxa"/>
            <w:tcBorders>
              <w:top w:val="single" w:sz="2" w:space="0" w:color="BFBFBF"/>
              <w:bottom w:val="single" w:sz="2" w:space="0" w:color="BFBFBF"/>
            </w:tcBorders>
            <w:tcMar>
              <w:top w:w="0" w:type="dxa"/>
              <w:left w:w="100" w:type="dxa"/>
              <w:bottom w:w="0" w:type="dxa"/>
              <w:right w:w="100" w:type="dxa"/>
            </w:tcMar>
            <w:vAlign w:val="center"/>
          </w:tcPr>
          <w:p w14:paraId="746DE580" w14:textId="77777777" w:rsidR="00F22722" w:rsidRPr="00F22722" w:rsidRDefault="00F22722" w:rsidP="00F22722">
            <w:pPr>
              <w:spacing w:after="0"/>
              <w:ind w:left="260"/>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Asexual</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370A4C12"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49.4***</w:t>
            </w:r>
          </w:p>
        </w:tc>
        <w:tc>
          <w:tcPr>
            <w:tcW w:w="1980" w:type="dxa"/>
            <w:tcBorders>
              <w:top w:val="single" w:sz="2" w:space="0" w:color="BFBFBF"/>
              <w:bottom w:val="single" w:sz="2" w:space="0" w:color="BFBFBF"/>
            </w:tcBorders>
            <w:tcMar>
              <w:top w:w="100" w:type="dxa"/>
              <w:left w:w="100" w:type="dxa"/>
              <w:bottom w:w="100" w:type="dxa"/>
              <w:right w:w="100" w:type="dxa"/>
            </w:tcMar>
            <w:vAlign w:val="center"/>
          </w:tcPr>
          <w:p w14:paraId="21153006"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32.6***</w:t>
            </w:r>
          </w:p>
        </w:tc>
        <w:tc>
          <w:tcPr>
            <w:tcW w:w="2430" w:type="dxa"/>
            <w:tcBorders>
              <w:top w:val="single" w:sz="2" w:space="0" w:color="BFBFBF"/>
              <w:bottom w:val="single" w:sz="2" w:space="0" w:color="BFBFBF"/>
            </w:tcBorders>
            <w:tcMar>
              <w:top w:w="100" w:type="dxa"/>
              <w:left w:w="100" w:type="dxa"/>
              <w:bottom w:w="100" w:type="dxa"/>
              <w:right w:w="100" w:type="dxa"/>
            </w:tcMar>
            <w:vAlign w:val="center"/>
          </w:tcPr>
          <w:p w14:paraId="44E015B8"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33.9***</w:t>
            </w:r>
          </w:p>
        </w:tc>
      </w:tr>
      <w:tr w:rsidR="00F22722" w:rsidRPr="00F22722" w14:paraId="39E15298" w14:textId="77777777" w:rsidTr="00F22722">
        <w:trPr>
          <w:trHeight w:val="25"/>
          <w:tblHeader/>
        </w:trPr>
        <w:tc>
          <w:tcPr>
            <w:tcW w:w="3780" w:type="dxa"/>
            <w:tcBorders>
              <w:top w:val="single" w:sz="2" w:space="0" w:color="BFBFBF"/>
              <w:bottom w:val="single" w:sz="2" w:space="0" w:color="BFBFBF"/>
            </w:tcBorders>
            <w:tcMar>
              <w:top w:w="0" w:type="dxa"/>
              <w:left w:w="100" w:type="dxa"/>
              <w:bottom w:w="0" w:type="dxa"/>
              <w:right w:w="100" w:type="dxa"/>
            </w:tcMar>
            <w:vAlign w:val="center"/>
          </w:tcPr>
          <w:p w14:paraId="277DC22E" w14:textId="77777777" w:rsidR="00F22722" w:rsidRPr="00F22722" w:rsidRDefault="00F22722" w:rsidP="00F22722">
            <w:pPr>
              <w:spacing w:after="0"/>
              <w:ind w:left="260"/>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Bisexual/Pansexual</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1E8F1C87"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53.5***</w:t>
            </w:r>
          </w:p>
        </w:tc>
        <w:tc>
          <w:tcPr>
            <w:tcW w:w="1980" w:type="dxa"/>
            <w:tcBorders>
              <w:top w:val="single" w:sz="2" w:space="0" w:color="BFBFBF"/>
              <w:bottom w:val="single" w:sz="2" w:space="0" w:color="BFBFBF"/>
            </w:tcBorders>
            <w:tcMar>
              <w:top w:w="100" w:type="dxa"/>
              <w:left w:w="100" w:type="dxa"/>
              <w:bottom w:w="100" w:type="dxa"/>
              <w:right w:w="100" w:type="dxa"/>
            </w:tcMar>
            <w:vAlign w:val="center"/>
          </w:tcPr>
          <w:p w14:paraId="73463B42"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23.8***</w:t>
            </w:r>
          </w:p>
        </w:tc>
        <w:tc>
          <w:tcPr>
            <w:tcW w:w="2430" w:type="dxa"/>
            <w:tcBorders>
              <w:top w:val="single" w:sz="2" w:space="0" w:color="BFBFBF"/>
              <w:bottom w:val="single" w:sz="2" w:space="0" w:color="BFBFBF"/>
            </w:tcBorders>
            <w:tcMar>
              <w:top w:w="100" w:type="dxa"/>
              <w:left w:w="100" w:type="dxa"/>
              <w:bottom w:w="100" w:type="dxa"/>
              <w:right w:w="100" w:type="dxa"/>
            </w:tcMar>
            <w:vAlign w:val="center"/>
          </w:tcPr>
          <w:p w14:paraId="685C5979"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29.3***</w:t>
            </w:r>
          </w:p>
        </w:tc>
      </w:tr>
      <w:tr w:rsidR="00F22722" w:rsidRPr="00F22722" w14:paraId="6A87D7B1" w14:textId="77777777" w:rsidTr="00F22722">
        <w:trPr>
          <w:trHeight w:val="25"/>
          <w:tblHeader/>
        </w:trPr>
        <w:tc>
          <w:tcPr>
            <w:tcW w:w="3780" w:type="dxa"/>
            <w:tcBorders>
              <w:top w:val="single" w:sz="2" w:space="0" w:color="BFBFBF"/>
              <w:bottom w:val="single" w:sz="2" w:space="0" w:color="BFBFBF"/>
            </w:tcBorders>
            <w:tcMar>
              <w:top w:w="0" w:type="dxa"/>
              <w:left w:w="100" w:type="dxa"/>
              <w:bottom w:w="0" w:type="dxa"/>
              <w:right w:w="100" w:type="dxa"/>
            </w:tcMar>
            <w:vAlign w:val="center"/>
          </w:tcPr>
          <w:p w14:paraId="142A70AE" w14:textId="77777777" w:rsidR="00F22722" w:rsidRPr="00F22722" w:rsidRDefault="00F22722" w:rsidP="00F22722">
            <w:pPr>
              <w:spacing w:after="0"/>
              <w:ind w:left="260"/>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Gay or Lesbian</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3B31866C"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37.4*</w:t>
            </w:r>
          </w:p>
        </w:tc>
        <w:tc>
          <w:tcPr>
            <w:tcW w:w="1980" w:type="dxa"/>
            <w:tcBorders>
              <w:top w:val="single" w:sz="2" w:space="0" w:color="BFBFBF"/>
              <w:bottom w:val="single" w:sz="2" w:space="0" w:color="BFBFBF"/>
            </w:tcBorders>
            <w:tcMar>
              <w:top w:w="100" w:type="dxa"/>
              <w:left w:w="100" w:type="dxa"/>
              <w:bottom w:w="100" w:type="dxa"/>
              <w:right w:w="100" w:type="dxa"/>
            </w:tcMar>
            <w:vAlign w:val="center"/>
          </w:tcPr>
          <w:p w14:paraId="75FEB473"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20.4</w:t>
            </w:r>
          </w:p>
        </w:tc>
        <w:tc>
          <w:tcPr>
            <w:tcW w:w="2430" w:type="dxa"/>
            <w:tcBorders>
              <w:top w:val="single" w:sz="2" w:space="0" w:color="BFBFBF"/>
              <w:bottom w:val="single" w:sz="2" w:space="0" w:color="BFBFBF"/>
            </w:tcBorders>
            <w:tcMar>
              <w:top w:w="100" w:type="dxa"/>
              <w:left w:w="100" w:type="dxa"/>
              <w:bottom w:w="100" w:type="dxa"/>
              <w:right w:w="100" w:type="dxa"/>
            </w:tcMar>
            <w:vAlign w:val="center"/>
          </w:tcPr>
          <w:p w14:paraId="475D8A1A"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23.8</w:t>
            </w:r>
          </w:p>
        </w:tc>
      </w:tr>
      <w:tr w:rsidR="00F22722" w:rsidRPr="00F22722" w14:paraId="2A5C1774" w14:textId="77777777" w:rsidTr="00F22722">
        <w:trPr>
          <w:trHeight w:val="25"/>
          <w:tblHeader/>
        </w:trPr>
        <w:tc>
          <w:tcPr>
            <w:tcW w:w="3780" w:type="dxa"/>
            <w:tcBorders>
              <w:top w:val="single" w:sz="2" w:space="0" w:color="BFBFBF"/>
              <w:bottom w:val="single" w:sz="2" w:space="0" w:color="BFBFBF"/>
            </w:tcBorders>
            <w:tcMar>
              <w:top w:w="0" w:type="dxa"/>
              <w:left w:w="100" w:type="dxa"/>
              <w:bottom w:w="0" w:type="dxa"/>
              <w:right w:w="100" w:type="dxa"/>
            </w:tcMar>
            <w:vAlign w:val="center"/>
          </w:tcPr>
          <w:p w14:paraId="786A8FBE" w14:textId="77777777" w:rsidR="00F22722" w:rsidRPr="00F22722" w:rsidRDefault="00F22722" w:rsidP="00F22722">
            <w:pPr>
              <w:spacing w:after="0"/>
              <w:ind w:left="260"/>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Queer</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2B196230"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55.7***</w:t>
            </w:r>
          </w:p>
        </w:tc>
        <w:tc>
          <w:tcPr>
            <w:tcW w:w="1980" w:type="dxa"/>
            <w:tcBorders>
              <w:top w:val="single" w:sz="2" w:space="0" w:color="BFBFBF"/>
              <w:bottom w:val="single" w:sz="2" w:space="0" w:color="BFBFBF"/>
            </w:tcBorders>
            <w:tcMar>
              <w:top w:w="100" w:type="dxa"/>
              <w:left w:w="100" w:type="dxa"/>
              <w:bottom w:w="100" w:type="dxa"/>
              <w:right w:w="100" w:type="dxa"/>
            </w:tcMar>
            <w:vAlign w:val="center"/>
          </w:tcPr>
          <w:p w14:paraId="07D89027"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21.6*</w:t>
            </w:r>
          </w:p>
        </w:tc>
        <w:tc>
          <w:tcPr>
            <w:tcW w:w="2430" w:type="dxa"/>
            <w:tcBorders>
              <w:top w:val="single" w:sz="2" w:space="0" w:color="BFBFBF"/>
              <w:bottom w:val="single" w:sz="2" w:space="0" w:color="BFBFBF"/>
            </w:tcBorders>
            <w:tcMar>
              <w:top w:w="100" w:type="dxa"/>
              <w:left w:w="100" w:type="dxa"/>
              <w:bottom w:w="100" w:type="dxa"/>
              <w:right w:w="100" w:type="dxa"/>
            </w:tcMar>
            <w:vAlign w:val="center"/>
          </w:tcPr>
          <w:p w14:paraId="1A1ECAF0"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29.9***</w:t>
            </w:r>
          </w:p>
        </w:tc>
      </w:tr>
      <w:tr w:rsidR="00F22722" w:rsidRPr="00F22722" w14:paraId="2CF228EB" w14:textId="77777777" w:rsidTr="00F22722">
        <w:trPr>
          <w:trHeight w:val="25"/>
          <w:tblHeader/>
        </w:trPr>
        <w:tc>
          <w:tcPr>
            <w:tcW w:w="3780" w:type="dxa"/>
            <w:tcBorders>
              <w:top w:val="single" w:sz="2" w:space="0" w:color="BFBFBF"/>
              <w:bottom w:val="single" w:sz="2" w:space="0" w:color="BFBFBF"/>
            </w:tcBorders>
            <w:tcMar>
              <w:top w:w="0" w:type="dxa"/>
              <w:left w:w="100" w:type="dxa"/>
              <w:bottom w:w="0" w:type="dxa"/>
              <w:right w:w="100" w:type="dxa"/>
            </w:tcMar>
            <w:vAlign w:val="center"/>
          </w:tcPr>
          <w:p w14:paraId="29FC94CF" w14:textId="77777777" w:rsidR="00F22722" w:rsidRPr="00F22722" w:rsidRDefault="00F22722" w:rsidP="00F22722">
            <w:pPr>
              <w:spacing w:after="0"/>
              <w:ind w:left="260"/>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Questioning/Not Sure</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59E5909B"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42.8*</w:t>
            </w:r>
          </w:p>
        </w:tc>
        <w:tc>
          <w:tcPr>
            <w:tcW w:w="1980" w:type="dxa"/>
            <w:tcBorders>
              <w:top w:val="single" w:sz="2" w:space="0" w:color="BFBFBF"/>
              <w:bottom w:val="single" w:sz="2" w:space="0" w:color="BFBFBF"/>
            </w:tcBorders>
            <w:tcMar>
              <w:top w:w="100" w:type="dxa"/>
              <w:left w:w="100" w:type="dxa"/>
              <w:bottom w:w="100" w:type="dxa"/>
              <w:right w:w="100" w:type="dxa"/>
            </w:tcMar>
            <w:vAlign w:val="center"/>
          </w:tcPr>
          <w:p w14:paraId="56E9681E"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29.3***</w:t>
            </w:r>
          </w:p>
        </w:tc>
        <w:tc>
          <w:tcPr>
            <w:tcW w:w="2430" w:type="dxa"/>
            <w:tcBorders>
              <w:top w:val="single" w:sz="2" w:space="0" w:color="BFBFBF"/>
              <w:bottom w:val="single" w:sz="2" w:space="0" w:color="BFBFBF"/>
            </w:tcBorders>
            <w:tcMar>
              <w:top w:w="100" w:type="dxa"/>
              <w:left w:w="100" w:type="dxa"/>
              <w:bottom w:w="100" w:type="dxa"/>
              <w:right w:w="100" w:type="dxa"/>
            </w:tcMar>
            <w:vAlign w:val="center"/>
          </w:tcPr>
          <w:p w14:paraId="534C309F"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29.6*</w:t>
            </w:r>
          </w:p>
        </w:tc>
      </w:tr>
      <w:tr w:rsidR="00F22722" w:rsidRPr="00F22722" w14:paraId="343C0287" w14:textId="77777777" w:rsidTr="00F22722">
        <w:trPr>
          <w:trHeight w:val="25"/>
          <w:tblHeader/>
        </w:trPr>
        <w:tc>
          <w:tcPr>
            <w:tcW w:w="3780" w:type="dxa"/>
            <w:tcBorders>
              <w:top w:val="single" w:sz="2" w:space="0" w:color="BFBFBF"/>
              <w:bottom w:val="single" w:sz="2" w:space="0" w:color="BFBFBF"/>
            </w:tcBorders>
            <w:tcMar>
              <w:top w:w="0" w:type="dxa"/>
              <w:left w:w="100" w:type="dxa"/>
              <w:bottom w:w="0" w:type="dxa"/>
              <w:right w:w="100" w:type="dxa"/>
            </w:tcMar>
            <w:vAlign w:val="center"/>
          </w:tcPr>
          <w:p w14:paraId="61187B16" w14:textId="77777777" w:rsidR="00F22722" w:rsidRPr="00F22722" w:rsidRDefault="00F22722" w:rsidP="00F22722">
            <w:pPr>
              <w:spacing w:after="0"/>
              <w:ind w:left="260"/>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Straight/Heterosexual (</w:t>
            </w:r>
            <w:r w:rsidRPr="00F22722">
              <w:rPr>
                <w:rFonts w:ascii="Aptos Light" w:eastAsia="Aptos" w:hAnsi="Aptos Light" w:cs="Arial"/>
                <w:i/>
                <w:iCs/>
                <w:kern w:val="2"/>
                <w:sz w:val="18"/>
                <w:szCs w:val="18"/>
                <w14:ligatures w14:val="standardContextual"/>
              </w:rPr>
              <w:t>ref</w:t>
            </w:r>
            <w:r w:rsidRPr="00F22722">
              <w:rPr>
                <w:rFonts w:ascii="Aptos Light" w:eastAsia="Aptos" w:hAnsi="Aptos Light" w:cs="Arial"/>
                <w:kern w:val="2"/>
                <w:sz w:val="18"/>
                <w:szCs w:val="18"/>
                <w14:ligatures w14:val="standardContextual"/>
              </w:rPr>
              <w:t>)</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0336F248"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33.0</w:t>
            </w:r>
          </w:p>
        </w:tc>
        <w:tc>
          <w:tcPr>
            <w:tcW w:w="1980" w:type="dxa"/>
            <w:tcBorders>
              <w:top w:val="single" w:sz="2" w:space="0" w:color="BFBFBF"/>
              <w:bottom w:val="single" w:sz="2" w:space="0" w:color="BFBFBF"/>
            </w:tcBorders>
            <w:tcMar>
              <w:top w:w="100" w:type="dxa"/>
              <w:left w:w="100" w:type="dxa"/>
              <w:bottom w:w="100" w:type="dxa"/>
              <w:right w:w="100" w:type="dxa"/>
            </w:tcMar>
            <w:vAlign w:val="center"/>
          </w:tcPr>
          <w:p w14:paraId="6DF96E39"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18.4</w:t>
            </w:r>
          </w:p>
        </w:tc>
        <w:tc>
          <w:tcPr>
            <w:tcW w:w="2430" w:type="dxa"/>
            <w:tcBorders>
              <w:top w:val="single" w:sz="2" w:space="0" w:color="BFBFBF"/>
              <w:bottom w:val="single" w:sz="2" w:space="0" w:color="BFBFBF"/>
            </w:tcBorders>
            <w:tcMar>
              <w:top w:w="100" w:type="dxa"/>
              <w:left w:w="100" w:type="dxa"/>
              <w:bottom w:w="100" w:type="dxa"/>
              <w:right w:w="100" w:type="dxa"/>
            </w:tcMar>
            <w:vAlign w:val="center"/>
          </w:tcPr>
          <w:p w14:paraId="15067826"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22.1</w:t>
            </w:r>
          </w:p>
        </w:tc>
      </w:tr>
      <w:tr w:rsidR="00F22722" w:rsidRPr="00F22722" w14:paraId="70130600" w14:textId="77777777" w:rsidTr="00F22722">
        <w:trPr>
          <w:trHeight w:val="25"/>
          <w:tblHeader/>
        </w:trPr>
        <w:tc>
          <w:tcPr>
            <w:tcW w:w="3780" w:type="dxa"/>
            <w:tcBorders>
              <w:top w:val="single" w:sz="2" w:space="0" w:color="BFBFBF"/>
              <w:bottom w:val="single" w:sz="2" w:space="0" w:color="BFBFBF"/>
            </w:tcBorders>
            <w:tcMar>
              <w:top w:w="0" w:type="dxa"/>
              <w:left w:w="100" w:type="dxa"/>
              <w:bottom w:w="0" w:type="dxa"/>
              <w:right w:w="100" w:type="dxa"/>
            </w:tcMar>
            <w:vAlign w:val="center"/>
          </w:tcPr>
          <w:p w14:paraId="7D39BBC6" w14:textId="77777777" w:rsidR="00F22722" w:rsidRPr="00F22722" w:rsidRDefault="00F22722" w:rsidP="00F22722">
            <w:pPr>
              <w:spacing w:after="0"/>
              <w:rPr>
                <w:rFonts w:ascii="Aptos Light" w:eastAsia="Aptos" w:hAnsi="Aptos Light" w:cs="Arial"/>
                <w:b/>
                <w:bCs/>
                <w:kern w:val="2"/>
                <w:sz w:val="18"/>
                <w:szCs w:val="18"/>
                <w14:ligatures w14:val="standardContextual"/>
              </w:rPr>
            </w:pPr>
            <w:r w:rsidRPr="00F22722">
              <w:rPr>
                <w:rFonts w:ascii="Aptos Light" w:eastAsia="Aptos" w:hAnsi="Aptos Light" w:cs="Arial"/>
                <w:b/>
                <w:bCs/>
                <w:kern w:val="2"/>
                <w:sz w:val="18"/>
                <w:szCs w:val="18"/>
                <w14:ligatures w14:val="standardContextual"/>
              </w:rPr>
              <w:t>Transgender Identity</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2AE586C1"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p>
        </w:tc>
        <w:tc>
          <w:tcPr>
            <w:tcW w:w="1980" w:type="dxa"/>
            <w:tcBorders>
              <w:top w:val="single" w:sz="2" w:space="0" w:color="BFBFBF"/>
              <w:bottom w:val="single" w:sz="2" w:space="0" w:color="BFBFBF"/>
            </w:tcBorders>
            <w:tcMar>
              <w:top w:w="100" w:type="dxa"/>
              <w:left w:w="100" w:type="dxa"/>
              <w:bottom w:w="100" w:type="dxa"/>
              <w:right w:w="100" w:type="dxa"/>
            </w:tcMar>
            <w:vAlign w:val="center"/>
          </w:tcPr>
          <w:p w14:paraId="426F5C46"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p>
        </w:tc>
        <w:tc>
          <w:tcPr>
            <w:tcW w:w="2430" w:type="dxa"/>
            <w:tcBorders>
              <w:top w:val="single" w:sz="2" w:space="0" w:color="BFBFBF"/>
              <w:bottom w:val="single" w:sz="2" w:space="0" w:color="BFBFBF"/>
            </w:tcBorders>
            <w:tcMar>
              <w:top w:w="100" w:type="dxa"/>
              <w:left w:w="100" w:type="dxa"/>
              <w:bottom w:w="100" w:type="dxa"/>
              <w:right w:w="100" w:type="dxa"/>
            </w:tcMar>
            <w:vAlign w:val="center"/>
          </w:tcPr>
          <w:p w14:paraId="4533D22E"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p>
        </w:tc>
      </w:tr>
      <w:tr w:rsidR="00F22722" w:rsidRPr="00F22722" w14:paraId="188388B9" w14:textId="77777777" w:rsidTr="00F22722">
        <w:trPr>
          <w:trHeight w:val="25"/>
          <w:tblHeader/>
        </w:trPr>
        <w:tc>
          <w:tcPr>
            <w:tcW w:w="3780" w:type="dxa"/>
            <w:tcBorders>
              <w:top w:val="single" w:sz="2" w:space="0" w:color="BFBFBF"/>
              <w:bottom w:val="single" w:sz="2" w:space="0" w:color="BFBFBF"/>
            </w:tcBorders>
            <w:tcMar>
              <w:top w:w="0" w:type="dxa"/>
              <w:left w:w="100" w:type="dxa"/>
              <w:bottom w:w="0" w:type="dxa"/>
              <w:right w:w="100" w:type="dxa"/>
            </w:tcMar>
            <w:vAlign w:val="center"/>
          </w:tcPr>
          <w:p w14:paraId="24DA1F4B" w14:textId="77777777" w:rsidR="00F22722" w:rsidRPr="00F22722" w:rsidRDefault="00F22722" w:rsidP="00F22722">
            <w:pPr>
              <w:spacing w:after="0"/>
              <w:ind w:left="260" w:firstLine="10"/>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Transgender</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5EEF4C4C"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62.6***</w:t>
            </w:r>
          </w:p>
        </w:tc>
        <w:tc>
          <w:tcPr>
            <w:tcW w:w="1980" w:type="dxa"/>
            <w:tcBorders>
              <w:top w:val="single" w:sz="2" w:space="0" w:color="BFBFBF"/>
              <w:bottom w:val="single" w:sz="2" w:space="0" w:color="BFBFBF"/>
            </w:tcBorders>
            <w:tcMar>
              <w:top w:w="100" w:type="dxa"/>
              <w:left w:w="100" w:type="dxa"/>
              <w:bottom w:w="100" w:type="dxa"/>
              <w:right w:w="100" w:type="dxa"/>
            </w:tcMar>
            <w:vAlign w:val="center"/>
          </w:tcPr>
          <w:p w14:paraId="1D4EE776"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33.4***</w:t>
            </w:r>
          </w:p>
        </w:tc>
        <w:tc>
          <w:tcPr>
            <w:tcW w:w="2430" w:type="dxa"/>
            <w:tcBorders>
              <w:top w:val="single" w:sz="2" w:space="0" w:color="BFBFBF"/>
              <w:bottom w:val="single" w:sz="2" w:space="0" w:color="BFBFBF"/>
            </w:tcBorders>
            <w:tcMar>
              <w:top w:w="100" w:type="dxa"/>
              <w:left w:w="100" w:type="dxa"/>
              <w:bottom w:w="100" w:type="dxa"/>
              <w:right w:w="100" w:type="dxa"/>
            </w:tcMar>
            <w:vAlign w:val="center"/>
          </w:tcPr>
          <w:p w14:paraId="77126A43"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41.9***</w:t>
            </w:r>
          </w:p>
        </w:tc>
      </w:tr>
      <w:tr w:rsidR="00F22722" w:rsidRPr="00F22722" w14:paraId="0F75D177" w14:textId="77777777" w:rsidTr="00F22722">
        <w:trPr>
          <w:trHeight w:val="25"/>
          <w:tblHeader/>
        </w:trPr>
        <w:tc>
          <w:tcPr>
            <w:tcW w:w="3780" w:type="dxa"/>
            <w:tcBorders>
              <w:top w:val="single" w:sz="2" w:space="0" w:color="BFBFBF"/>
              <w:bottom w:val="single" w:sz="2" w:space="0" w:color="BFBFBF"/>
            </w:tcBorders>
            <w:tcMar>
              <w:top w:w="0" w:type="dxa"/>
              <w:left w:w="100" w:type="dxa"/>
              <w:bottom w:w="0" w:type="dxa"/>
              <w:right w:w="100" w:type="dxa"/>
            </w:tcMar>
            <w:vAlign w:val="center"/>
          </w:tcPr>
          <w:p w14:paraId="0920E8C4" w14:textId="77777777" w:rsidR="00F22722" w:rsidRPr="00F22722" w:rsidRDefault="00F22722" w:rsidP="00F22722">
            <w:pPr>
              <w:spacing w:after="0"/>
              <w:ind w:left="260" w:firstLine="10"/>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Not Sure</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4E8E6C96"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55.7***</w:t>
            </w:r>
          </w:p>
        </w:tc>
        <w:tc>
          <w:tcPr>
            <w:tcW w:w="1980" w:type="dxa"/>
            <w:tcBorders>
              <w:top w:val="single" w:sz="2" w:space="0" w:color="BFBFBF"/>
              <w:bottom w:val="single" w:sz="2" w:space="0" w:color="BFBFBF"/>
            </w:tcBorders>
            <w:tcMar>
              <w:top w:w="100" w:type="dxa"/>
              <w:left w:w="100" w:type="dxa"/>
              <w:bottom w:w="100" w:type="dxa"/>
              <w:right w:w="100" w:type="dxa"/>
            </w:tcMar>
            <w:vAlign w:val="center"/>
          </w:tcPr>
          <w:p w14:paraId="48E897F9"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40.5***</w:t>
            </w:r>
          </w:p>
        </w:tc>
        <w:tc>
          <w:tcPr>
            <w:tcW w:w="2430" w:type="dxa"/>
            <w:tcBorders>
              <w:top w:val="single" w:sz="2" w:space="0" w:color="BFBFBF"/>
              <w:bottom w:val="single" w:sz="2" w:space="0" w:color="BFBFBF"/>
            </w:tcBorders>
            <w:tcMar>
              <w:top w:w="100" w:type="dxa"/>
              <w:left w:w="100" w:type="dxa"/>
              <w:bottom w:w="100" w:type="dxa"/>
              <w:right w:w="100" w:type="dxa"/>
            </w:tcMar>
            <w:vAlign w:val="center"/>
          </w:tcPr>
          <w:p w14:paraId="1E1B115D"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45.4***</w:t>
            </w:r>
          </w:p>
        </w:tc>
      </w:tr>
      <w:tr w:rsidR="00F22722" w:rsidRPr="00F22722" w14:paraId="494D2589" w14:textId="77777777" w:rsidTr="00F22722">
        <w:trPr>
          <w:trHeight w:val="25"/>
          <w:tblHeader/>
        </w:trPr>
        <w:tc>
          <w:tcPr>
            <w:tcW w:w="3780" w:type="dxa"/>
            <w:tcBorders>
              <w:top w:val="single" w:sz="2" w:space="0" w:color="BFBFBF"/>
              <w:bottom w:val="single" w:sz="2" w:space="0" w:color="auto"/>
            </w:tcBorders>
            <w:tcMar>
              <w:top w:w="0" w:type="dxa"/>
              <w:left w:w="100" w:type="dxa"/>
              <w:bottom w:w="0" w:type="dxa"/>
              <w:right w:w="100" w:type="dxa"/>
            </w:tcMar>
            <w:vAlign w:val="center"/>
          </w:tcPr>
          <w:p w14:paraId="35F169F2" w14:textId="77777777" w:rsidR="00F22722" w:rsidRPr="00F22722" w:rsidRDefault="00F22722" w:rsidP="00F22722">
            <w:pPr>
              <w:spacing w:after="0"/>
              <w:ind w:left="260"/>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Not Transgender (</w:t>
            </w:r>
            <w:r w:rsidRPr="00F22722">
              <w:rPr>
                <w:rFonts w:ascii="Aptos Light" w:eastAsia="Aptos" w:hAnsi="Aptos Light" w:cs="Arial"/>
                <w:i/>
                <w:iCs/>
                <w:kern w:val="2"/>
                <w:sz w:val="18"/>
                <w:szCs w:val="18"/>
                <w14:ligatures w14:val="standardContextual"/>
              </w:rPr>
              <w:t>ref</w:t>
            </w:r>
            <w:r w:rsidRPr="00F22722">
              <w:rPr>
                <w:rFonts w:ascii="Aptos Light" w:eastAsia="Aptos" w:hAnsi="Aptos Light" w:cs="Arial"/>
                <w:kern w:val="2"/>
                <w:sz w:val="18"/>
                <w:szCs w:val="18"/>
                <w14:ligatures w14:val="standardContextual"/>
              </w:rPr>
              <w:t>)</w:t>
            </w:r>
          </w:p>
        </w:tc>
        <w:tc>
          <w:tcPr>
            <w:tcW w:w="2340" w:type="dxa"/>
            <w:tcBorders>
              <w:top w:val="single" w:sz="2" w:space="0" w:color="BFBFBF"/>
              <w:bottom w:val="single" w:sz="2" w:space="0" w:color="auto"/>
            </w:tcBorders>
            <w:tcMar>
              <w:top w:w="100" w:type="dxa"/>
              <w:left w:w="100" w:type="dxa"/>
              <w:bottom w:w="100" w:type="dxa"/>
              <w:right w:w="100" w:type="dxa"/>
            </w:tcMar>
            <w:vAlign w:val="center"/>
          </w:tcPr>
          <w:p w14:paraId="097A26BC"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35.0</w:t>
            </w:r>
          </w:p>
        </w:tc>
        <w:tc>
          <w:tcPr>
            <w:tcW w:w="1980" w:type="dxa"/>
            <w:tcBorders>
              <w:top w:val="single" w:sz="2" w:space="0" w:color="BFBFBF"/>
              <w:bottom w:val="single" w:sz="2" w:space="0" w:color="auto"/>
            </w:tcBorders>
            <w:tcMar>
              <w:top w:w="100" w:type="dxa"/>
              <w:left w:w="100" w:type="dxa"/>
              <w:bottom w:w="100" w:type="dxa"/>
              <w:right w:w="100" w:type="dxa"/>
            </w:tcMar>
            <w:vAlign w:val="center"/>
          </w:tcPr>
          <w:p w14:paraId="2E2CA828"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19.5</w:t>
            </w:r>
          </w:p>
        </w:tc>
        <w:tc>
          <w:tcPr>
            <w:tcW w:w="2430" w:type="dxa"/>
            <w:tcBorders>
              <w:top w:val="single" w:sz="2" w:space="0" w:color="BFBFBF"/>
              <w:bottom w:val="single" w:sz="2" w:space="0" w:color="auto"/>
            </w:tcBorders>
            <w:tcMar>
              <w:top w:w="100" w:type="dxa"/>
              <w:left w:w="100" w:type="dxa"/>
              <w:bottom w:w="100" w:type="dxa"/>
              <w:right w:w="100" w:type="dxa"/>
            </w:tcMar>
            <w:vAlign w:val="center"/>
          </w:tcPr>
          <w:p w14:paraId="023BC04E"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23.6</w:t>
            </w:r>
          </w:p>
        </w:tc>
      </w:tr>
    </w:tbl>
    <w:p w14:paraId="2FA5D143" w14:textId="77777777" w:rsidR="00F22722" w:rsidRPr="00F22722" w:rsidRDefault="00F22722" w:rsidP="00F22722">
      <w:pPr>
        <w:spacing w:after="200" w:line="240" w:lineRule="auto"/>
        <w:ind w:firstLine="720"/>
        <w:rPr>
          <w:rFonts w:ascii="Aptos Light" w:eastAsia="Aptos" w:hAnsi="Aptos Light" w:cs="Arial"/>
          <w:i/>
          <w:iCs/>
          <w:color w:val="0E2841"/>
          <w:kern w:val="2"/>
          <w14:ligatures w14:val="standardContextual"/>
        </w:rPr>
      </w:pPr>
    </w:p>
    <w:p w14:paraId="0759D5AE" w14:textId="77777777" w:rsidR="00F22722" w:rsidRPr="00F22722" w:rsidRDefault="00F22722" w:rsidP="00F22722">
      <w:pPr>
        <w:rPr>
          <w:rFonts w:ascii="Aptos Light" w:eastAsia="Aptos" w:hAnsi="Aptos Light" w:cs="Arial"/>
          <w:i/>
          <w:iCs/>
          <w:color w:val="0E2841"/>
          <w:kern w:val="2"/>
          <w14:ligatures w14:val="standardContextual"/>
        </w:rPr>
      </w:pPr>
      <w:r w:rsidRPr="00F22722">
        <w:rPr>
          <w:rFonts w:ascii="Aptos Light" w:eastAsia="Aptos" w:hAnsi="Aptos Light" w:cs="Arial"/>
          <w:kern w:val="2"/>
          <w14:ligatures w14:val="standardContextual"/>
        </w:rPr>
        <w:br w:type="page"/>
      </w:r>
    </w:p>
    <w:p w14:paraId="1C671BA0" w14:textId="77777777" w:rsidR="00F22722" w:rsidRPr="00F22722" w:rsidRDefault="00F22722" w:rsidP="00F22722">
      <w:pPr>
        <w:spacing w:after="200" w:line="240" w:lineRule="auto"/>
        <w:ind w:firstLine="720"/>
        <w:rPr>
          <w:rFonts w:ascii="Aptos Light" w:eastAsia="Aptos" w:hAnsi="Aptos Light" w:cs="Arial"/>
          <w:i/>
          <w:iCs/>
          <w:color w:val="0E2841"/>
          <w:kern w:val="2"/>
          <w14:ligatures w14:val="standardContextual"/>
        </w:rPr>
      </w:pPr>
      <w:r w:rsidRPr="00F22722">
        <w:rPr>
          <w:rFonts w:ascii="Aptos Light" w:eastAsia="Aptos" w:hAnsi="Aptos Light" w:cs="Arial"/>
          <w:i/>
          <w:iCs/>
          <w:color w:val="0E2841"/>
          <w:kern w:val="2"/>
          <w14:ligatures w14:val="standardContextual"/>
        </w:rPr>
        <w:lastRenderedPageBreak/>
        <w:t>Table 6 (continued)</w:t>
      </w:r>
    </w:p>
    <w:tbl>
      <w:tblPr>
        <w:tblW w:w="10530" w:type="dxa"/>
        <w:tblInd w:w="630" w:type="dxa"/>
        <w:tblLayout w:type="fixed"/>
        <w:tblCellMar>
          <w:top w:w="15" w:type="dxa"/>
          <w:left w:w="15" w:type="dxa"/>
          <w:bottom w:w="15" w:type="dxa"/>
          <w:right w:w="15" w:type="dxa"/>
        </w:tblCellMar>
        <w:tblLook w:val="04A0" w:firstRow="1" w:lastRow="0" w:firstColumn="1" w:lastColumn="0" w:noHBand="0" w:noVBand="1"/>
      </w:tblPr>
      <w:tblGrid>
        <w:gridCol w:w="3780"/>
        <w:gridCol w:w="2340"/>
        <w:gridCol w:w="1980"/>
        <w:gridCol w:w="2430"/>
      </w:tblGrid>
      <w:tr w:rsidR="00F22722" w:rsidRPr="00F22722" w14:paraId="36608063" w14:textId="77777777">
        <w:trPr>
          <w:trHeight w:val="50"/>
          <w:tblHeader/>
        </w:trPr>
        <w:tc>
          <w:tcPr>
            <w:tcW w:w="3780" w:type="dxa"/>
            <w:tcBorders>
              <w:top w:val="single" w:sz="12" w:space="0" w:color="auto"/>
              <w:bottom w:val="single" w:sz="12" w:space="0" w:color="auto"/>
            </w:tcBorders>
            <w:tcMar>
              <w:top w:w="100" w:type="dxa"/>
              <w:left w:w="100" w:type="dxa"/>
              <w:bottom w:w="100" w:type="dxa"/>
              <w:right w:w="100" w:type="dxa"/>
            </w:tcMar>
            <w:hideMark/>
          </w:tcPr>
          <w:p w14:paraId="3A9B916E" w14:textId="77777777" w:rsidR="00F22722" w:rsidRPr="00F22722" w:rsidRDefault="00F22722" w:rsidP="00F22722">
            <w:pPr>
              <w:spacing w:after="0"/>
              <w:rPr>
                <w:rFonts w:ascii="Aptos Light" w:eastAsia="Aptos" w:hAnsi="Aptos Light" w:cs="Arial"/>
                <w:kern w:val="2"/>
                <w:sz w:val="18"/>
                <w:szCs w:val="18"/>
                <w14:ligatures w14:val="standardContextual"/>
              </w:rPr>
            </w:pPr>
          </w:p>
          <w:p w14:paraId="7D270DA9" w14:textId="77777777" w:rsidR="00F22722" w:rsidRPr="00F22722" w:rsidRDefault="00F22722" w:rsidP="00F22722">
            <w:pPr>
              <w:spacing w:after="0"/>
              <w:rPr>
                <w:rFonts w:ascii="Aptos Light" w:eastAsia="Aptos" w:hAnsi="Aptos Light" w:cs="Arial"/>
                <w:kern w:val="2"/>
                <w:sz w:val="18"/>
                <w:szCs w:val="18"/>
                <w14:ligatures w14:val="standardContextual"/>
              </w:rPr>
            </w:pPr>
          </w:p>
        </w:tc>
        <w:tc>
          <w:tcPr>
            <w:tcW w:w="2340" w:type="dxa"/>
            <w:tcBorders>
              <w:top w:val="single" w:sz="12" w:space="0" w:color="auto"/>
              <w:bottom w:val="single" w:sz="12" w:space="0" w:color="auto"/>
            </w:tcBorders>
            <w:tcMar>
              <w:top w:w="100" w:type="dxa"/>
              <w:left w:w="100" w:type="dxa"/>
              <w:bottom w:w="100" w:type="dxa"/>
              <w:right w:w="100" w:type="dxa"/>
            </w:tcMar>
            <w:hideMark/>
          </w:tcPr>
          <w:p w14:paraId="5E441164" w14:textId="77777777" w:rsidR="00F22722" w:rsidRPr="00F22722" w:rsidRDefault="00F22722" w:rsidP="00F22722">
            <w:pPr>
              <w:spacing w:after="0"/>
              <w:jc w:val="center"/>
              <w:rPr>
                <w:rFonts w:ascii="Aptos Light" w:eastAsia="Aptos" w:hAnsi="Aptos Light" w:cs="Arial"/>
                <w:kern w:val="2"/>
                <w:sz w:val="18"/>
                <w:szCs w:val="18"/>
                <w:vertAlign w:val="superscript"/>
                <w14:ligatures w14:val="standardContextual"/>
              </w:rPr>
            </w:pPr>
            <w:r w:rsidRPr="00F22722">
              <w:rPr>
                <w:rFonts w:ascii="Aptos Light" w:eastAsia="Aptos" w:hAnsi="Aptos Light" w:cs="Arial"/>
                <w:kern w:val="2"/>
                <w:sz w:val="18"/>
                <w:szCs w:val="18"/>
                <w14:ligatures w14:val="standardContextual"/>
              </w:rPr>
              <w:t>Trouble Paying for Any Basic Needs in Past Month</w:t>
            </w:r>
            <w:r w:rsidRPr="00F22722">
              <w:rPr>
                <w:rFonts w:ascii="Aptos Light" w:eastAsia="Aptos" w:hAnsi="Aptos Light" w:cs="Arial"/>
                <w:kern w:val="2"/>
                <w:sz w:val="18"/>
                <w:szCs w:val="18"/>
                <w:vertAlign w:val="superscript"/>
                <w14:ligatures w14:val="standardContextual"/>
              </w:rPr>
              <w:t>1</w:t>
            </w:r>
          </w:p>
          <w:p w14:paraId="745C130D" w14:textId="77777777" w:rsidR="00F22722" w:rsidRPr="00F22722" w:rsidRDefault="00F22722" w:rsidP="00F22722">
            <w:pPr>
              <w:spacing w:after="0"/>
              <w:jc w:val="center"/>
              <w:rPr>
                <w:rFonts w:ascii="Aptos Light" w:eastAsia="Aptos"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Weighted %</w:t>
            </w:r>
          </w:p>
        </w:tc>
        <w:tc>
          <w:tcPr>
            <w:tcW w:w="1980" w:type="dxa"/>
            <w:tcBorders>
              <w:top w:val="single" w:sz="12" w:space="0" w:color="auto"/>
              <w:bottom w:val="single" w:sz="12" w:space="0" w:color="auto"/>
            </w:tcBorders>
            <w:tcMar>
              <w:top w:w="100" w:type="dxa"/>
              <w:left w:w="100" w:type="dxa"/>
              <w:bottom w:w="100" w:type="dxa"/>
              <w:right w:w="100" w:type="dxa"/>
            </w:tcMar>
            <w:hideMark/>
          </w:tcPr>
          <w:p w14:paraId="0B53BEE1" w14:textId="77777777" w:rsidR="00F22722" w:rsidRPr="00F22722" w:rsidRDefault="00F22722" w:rsidP="00F22722">
            <w:pPr>
              <w:spacing w:after="0"/>
              <w:jc w:val="center"/>
              <w:rPr>
                <w:rFonts w:ascii="Aptos Light" w:eastAsia="Aptos" w:hAnsi="Aptos Light" w:cs="Arial"/>
                <w:kern w:val="2"/>
                <w:sz w:val="18"/>
                <w:szCs w:val="18"/>
                <w:vertAlign w:val="superscript"/>
                <w14:ligatures w14:val="standardContextual"/>
              </w:rPr>
            </w:pPr>
            <w:r w:rsidRPr="00F22722">
              <w:rPr>
                <w:rFonts w:ascii="Aptos Light" w:eastAsia="Aptos" w:hAnsi="Aptos Light" w:cs="Arial"/>
                <w:kern w:val="2"/>
                <w:sz w:val="18"/>
                <w:szCs w:val="18"/>
                <w14:ligatures w14:val="standardContextual"/>
              </w:rPr>
              <w:t>Applied For or Received Any Benefits</w:t>
            </w:r>
            <w:r w:rsidRPr="00F22722">
              <w:rPr>
                <w:rFonts w:ascii="Aptos Light" w:eastAsia="Aptos" w:hAnsi="Aptos Light" w:cs="Arial"/>
                <w:kern w:val="2"/>
                <w:sz w:val="18"/>
                <w:szCs w:val="18"/>
                <w:vertAlign w:val="superscript"/>
                <w14:ligatures w14:val="standardContextual"/>
              </w:rPr>
              <w:t>2</w:t>
            </w:r>
          </w:p>
          <w:p w14:paraId="26CE799C" w14:textId="77777777" w:rsidR="00F22722" w:rsidRPr="00F22722" w:rsidRDefault="00F22722" w:rsidP="00F22722">
            <w:pPr>
              <w:spacing w:after="0"/>
              <w:jc w:val="center"/>
              <w:rPr>
                <w:rFonts w:ascii="Aptos Light" w:eastAsia="Aptos"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Weighted %</w:t>
            </w:r>
          </w:p>
        </w:tc>
        <w:tc>
          <w:tcPr>
            <w:tcW w:w="2430" w:type="dxa"/>
            <w:tcBorders>
              <w:top w:val="single" w:sz="12" w:space="0" w:color="auto"/>
              <w:bottom w:val="single" w:sz="12" w:space="0" w:color="auto"/>
            </w:tcBorders>
            <w:tcMar>
              <w:top w:w="100" w:type="dxa"/>
              <w:left w:w="100" w:type="dxa"/>
              <w:bottom w:w="100" w:type="dxa"/>
              <w:right w:w="100" w:type="dxa"/>
            </w:tcMar>
            <w:hideMark/>
          </w:tcPr>
          <w:p w14:paraId="5A1C0E2B"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Not Enough Money to Pay for Necessities at End of Month</w:t>
            </w:r>
          </w:p>
          <w:p w14:paraId="01585FD1" w14:textId="77777777" w:rsidR="00F22722" w:rsidRPr="00F22722" w:rsidRDefault="00F22722" w:rsidP="00F22722">
            <w:pPr>
              <w:spacing w:after="0"/>
              <w:jc w:val="center"/>
              <w:rPr>
                <w:rFonts w:ascii="Aptos Light" w:eastAsia="Aptos" w:hAnsi="Aptos Light" w:cs="Times New Roman"/>
                <w:kern w:val="2"/>
                <w:sz w:val="18"/>
                <w:szCs w:val="18"/>
                <w14:ligatures w14:val="standardContextual"/>
              </w:rPr>
            </w:pPr>
            <w:r w:rsidRPr="00F22722">
              <w:rPr>
                <w:rFonts w:ascii="Aptos Light" w:eastAsia="Aptos" w:hAnsi="Aptos Light" w:cs="Arial"/>
                <w:kern w:val="2"/>
                <w:sz w:val="18"/>
                <w:szCs w:val="18"/>
                <w14:ligatures w14:val="standardContextual"/>
              </w:rPr>
              <w:t>Weighted %</w:t>
            </w:r>
          </w:p>
        </w:tc>
      </w:tr>
      <w:tr w:rsidR="00F22722" w:rsidRPr="00F22722" w14:paraId="2BCB9823" w14:textId="77777777" w:rsidTr="00F22722">
        <w:trPr>
          <w:trHeight w:val="25"/>
          <w:tblHeader/>
        </w:trPr>
        <w:tc>
          <w:tcPr>
            <w:tcW w:w="3780" w:type="dxa"/>
            <w:tcBorders>
              <w:top w:val="single" w:sz="2" w:space="0" w:color="BFBFBF"/>
              <w:bottom w:val="single" w:sz="2" w:space="0" w:color="BFBFBF"/>
            </w:tcBorders>
            <w:tcMar>
              <w:top w:w="0" w:type="dxa"/>
              <w:left w:w="100" w:type="dxa"/>
              <w:bottom w:w="0" w:type="dxa"/>
              <w:right w:w="100" w:type="dxa"/>
            </w:tcMar>
            <w:vAlign w:val="center"/>
          </w:tcPr>
          <w:p w14:paraId="2F2A16EE" w14:textId="77777777" w:rsidR="00F22722" w:rsidRPr="00F22722" w:rsidRDefault="00F22722" w:rsidP="00F22722">
            <w:pPr>
              <w:spacing w:after="0"/>
              <w:rPr>
                <w:rFonts w:ascii="Aptos Light" w:eastAsia="Aptos" w:hAnsi="Aptos Light" w:cs="Arial"/>
                <w:b/>
                <w:bCs/>
                <w:kern w:val="2"/>
                <w:sz w:val="18"/>
                <w:szCs w:val="18"/>
                <w14:ligatures w14:val="standardContextual"/>
              </w:rPr>
            </w:pPr>
            <w:r w:rsidRPr="00F22722">
              <w:rPr>
                <w:rFonts w:ascii="Aptos Light" w:eastAsia="Aptos" w:hAnsi="Aptos Light" w:cs="Arial"/>
                <w:b/>
                <w:bCs/>
                <w:kern w:val="2"/>
                <w:sz w:val="18"/>
                <w:szCs w:val="18"/>
                <w14:ligatures w14:val="standardContextual"/>
              </w:rPr>
              <w:t>People with Disabilities</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7CBE79E8"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p>
        </w:tc>
        <w:tc>
          <w:tcPr>
            <w:tcW w:w="1980" w:type="dxa"/>
            <w:tcBorders>
              <w:top w:val="single" w:sz="2" w:space="0" w:color="BFBFBF"/>
              <w:bottom w:val="single" w:sz="2" w:space="0" w:color="BFBFBF"/>
            </w:tcBorders>
            <w:tcMar>
              <w:top w:w="100" w:type="dxa"/>
              <w:left w:w="100" w:type="dxa"/>
              <w:bottom w:w="100" w:type="dxa"/>
              <w:right w:w="100" w:type="dxa"/>
            </w:tcMar>
            <w:vAlign w:val="center"/>
          </w:tcPr>
          <w:p w14:paraId="3257A421"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p>
        </w:tc>
        <w:tc>
          <w:tcPr>
            <w:tcW w:w="2430" w:type="dxa"/>
            <w:tcBorders>
              <w:top w:val="single" w:sz="2" w:space="0" w:color="BFBFBF"/>
              <w:bottom w:val="single" w:sz="2" w:space="0" w:color="BFBFBF"/>
            </w:tcBorders>
            <w:tcMar>
              <w:top w:w="100" w:type="dxa"/>
              <w:left w:w="100" w:type="dxa"/>
              <w:bottom w:w="100" w:type="dxa"/>
              <w:right w:w="100" w:type="dxa"/>
            </w:tcMar>
            <w:vAlign w:val="center"/>
          </w:tcPr>
          <w:p w14:paraId="674060B9"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p>
        </w:tc>
      </w:tr>
      <w:tr w:rsidR="00F22722" w:rsidRPr="00F22722" w14:paraId="0D15A5CE" w14:textId="77777777" w:rsidTr="00F22722">
        <w:trPr>
          <w:trHeight w:val="25"/>
          <w:tblHeader/>
        </w:trPr>
        <w:tc>
          <w:tcPr>
            <w:tcW w:w="3780" w:type="dxa"/>
            <w:tcBorders>
              <w:top w:val="single" w:sz="2" w:space="0" w:color="BFBFBF"/>
              <w:bottom w:val="single" w:sz="2" w:space="0" w:color="BFBFBF"/>
            </w:tcBorders>
            <w:tcMar>
              <w:top w:w="0" w:type="dxa"/>
              <w:left w:w="100" w:type="dxa"/>
              <w:bottom w:w="0" w:type="dxa"/>
              <w:right w:w="100" w:type="dxa"/>
            </w:tcMar>
            <w:vAlign w:val="center"/>
          </w:tcPr>
          <w:p w14:paraId="3C984504" w14:textId="77777777" w:rsidR="00F22722" w:rsidRPr="00F22722" w:rsidRDefault="00F22722" w:rsidP="00F22722">
            <w:pPr>
              <w:spacing w:after="0"/>
              <w:ind w:left="260"/>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At Least One Disability</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389C7D2D"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54.3***</w:t>
            </w:r>
          </w:p>
        </w:tc>
        <w:tc>
          <w:tcPr>
            <w:tcW w:w="1980" w:type="dxa"/>
            <w:tcBorders>
              <w:top w:val="single" w:sz="2" w:space="0" w:color="BFBFBF"/>
              <w:bottom w:val="single" w:sz="2" w:space="0" w:color="BFBFBF"/>
            </w:tcBorders>
            <w:tcMar>
              <w:top w:w="100" w:type="dxa"/>
              <w:left w:w="100" w:type="dxa"/>
              <w:bottom w:w="100" w:type="dxa"/>
              <w:right w:w="100" w:type="dxa"/>
            </w:tcMar>
            <w:vAlign w:val="center"/>
          </w:tcPr>
          <w:p w14:paraId="667AEF34"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39.4***</w:t>
            </w:r>
          </w:p>
        </w:tc>
        <w:tc>
          <w:tcPr>
            <w:tcW w:w="2430" w:type="dxa"/>
            <w:tcBorders>
              <w:top w:val="single" w:sz="2" w:space="0" w:color="BFBFBF"/>
              <w:bottom w:val="single" w:sz="2" w:space="0" w:color="BFBFBF"/>
            </w:tcBorders>
            <w:tcMar>
              <w:top w:w="100" w:type="dxa"/>
              <w:left w:w="100" w:type="dxa"/>
              <w:bottom w:w="100" w:type="dxa"/>
              <w:right w:w="100" w:type="dxa"/>
            </w:tcMar>
            <w:vAlign w:val="center"/>
          </w:tcPr>
          <w:p w14:paraId="15377F27"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45.4***</w:t>
            </w:r>
          </w:p>
        </w:tc>
      </w:tr>
      <w:tr w:rsidR="00F22722" w:rsidRPr="00F22722" w14:paraId="20B2F8CD" w14:textId="77777777" w:rsidTr="00F22722">
        <w:trPr>
          <w:trHeight w:val="20"/>
          <w:tblHeader/>
        </w:trPr>
        <w:tc>
          <w:tcPr>
            <w:tcW w:w="3780" w:type="dxa"/>
            <w:tcBorders>
              <w:top w:val="single" w:sz="2" w:space="0" w:color="BFBFBF"/>
              <w:bottom w:val="single" w:sz="2" w:space="0" w:color="BFBFBF"/>
            </w:tcBorders>
            <w:tcMar>
              <w:top w:w="0" w:type="dxa"/>
              <w:left w:w="100" w:type="dxa"/>
              <w:bottom w:w="0" w:type="dxa"/>
              <w:right w:w="100" w:type="dxa"/>
            </w:tcMar>
            <w:vAlign w:val="center"/>
          </w:tcPr>
          <w:p w14:paraId="128690E0" w14:textId="77777777" w:rsidR="00F22722" w:rsidRPr="00F22722" w:rsidRDefault="00F22722" w:rsidP="00F22722">
            <w:pPr>
              <w:spacing w:after="0"/>
              <w:ind w:left="260"/>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Blind/Vision Impaired</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4F70AE53"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56.2***</w:t>
            </w:r>
          </w:p>
        </w:tc>
        <w:tc>
          <w:tcPr>
            <w:tcW w:w="1980" w:type="dxa"/>
            <w:tcBorders>
              <w:top w:val="single" w:sz="2" w:space="0" w:color="BFBFBF"/>
              <w:bottom w:val="single" w:sz="2" w:space="0" w:color="BFBFBF"/>
            </w:tcBorders>
            <w:tcMar>
              <w:top w:w="100" w:type="dxa"/>
              <w:left w:w="100" w:type="dxa"/>
              <w:bottom w:w="100" w:type="dxa"/>
              <w:right w:w="100" w:type="dxa"/>
            </w:tcMar>
            <w:vAlign w:val="center"/>
          </w:tcPr>
          <w:p w14:paraId="30DC94E6"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48.5***</w:t>
            </w:r>
          </w:p>
        </w:tc>
        <w:tc>
          <w:tcPr>
            <w:tcW w:w="2430" w:type="dxa"/>
            <w:tcBorders>
              <w:top w:val="single" w:sz="2" w:space="0" w:color="BFBFBF"/>
              <w:bottom w:val="single" w:sz="2" w:space="0" w:color="BFBFBF"/>
            </w:tcBorders>
            <w:tcMar>
              <w:top w:w="100" w:type="dxa"/>
              <w:left w:w="100" w:type="dxa"/>
              <w:bottom w:w="100" w:type="dxa"/>
              <w:right w:w="100" w:type="dxa"/>
            </w:tcMar>
            <w:vAlign w:val="center"/>
          </w:tcPr>
          <w:p w14:paraId="194900DE"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49.6***</w:t>
            </w:r>
          </w:p>
        </w:tc>
      </w:tr>
      <w:tr w:rsidR="00F22722" w:rsidRPr="00F22722" w14:paraId="629B84C9" w14:textId="77777777" w:rsidTr="00F22722">
        <w:trPr>
          <w:trHeight w:val="25"/>
          <w:tblHeader/>
        </w:trPr>
        <w:tc>
          <w:tcPr>
            <w:tcW w:w="3780" w:type="dxa"/>
            <w:tcBorders>
              <w:top w:val="single" w:sz="2" w:space="0" w:color="BFBFBF"/>
              <w:bottom w:val="single" w:sz="2" w:space="0" w:color="BFBFBF"/>
            </w:tcBorders>
            <w:tcMar>
              <w:top w:w="0" w:type="dxa"/>
              <w:left w:w="100" w:type="dxa"/>
              <w:bottom w:w="0" w:type="dxa"/>
              <w:right w:w="100" w:type="dxa"/>
            </w:tcMar>
            <w:vAlign w:val="center"/>
          </w:tcPr>
          <w:p w14:paraId="0CFF9423" w14:textId="77777777" w:rsidR="00F22722" w:rsidRPr="00F22722" w:rsidRDefault="00F22722" w:rsidP="00F22722">
            <w:pPr>
              <w:spacing w:after="0"/>
              <w:ind w:left="260"/>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Cognitive Disability</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43E2B704"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63.1***</w:t>
            </w:r>
          </w:p>
        </w:tc>
        <w:tc>
          <w:tcPr>
            <w:tcW w:w="1980" w:type="dxa"/>
            <w:tcBorders>
              <w:top w:val="single" w:sz="2" w:space="0" w:color="BFBFBF"/>
              <w:bottom w:val="single" w:sz="2" w:space="0" w:color="BFBFBF"/>
            </w:tcBorders>
            <w:tcMar>
              <w:top w:w="100" w:type="dxa"/>
              <w:left w:w="100" w:type="dxa"/>
              <w:bottom w:w="100" w:type="dxa"/>
              <w:right w:w="100" w:type="dxa"/>
            </w:tcMar>
            <w:vAlign w:val="center"/>
          </w:tcPr>
          <w:p w14:paraId="6B93E60C"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51.0***</w:t>
            </w:r>
          </w:p>
        </w:tc>
        <w:tc>
          <w:tcPr>
            <w:tcW w:w="2430" w:type="dxa"/>
            <w:tcBorders>
              <w:top w:val="single" w:sz="2" w:space="0" w:color="BFBFBF"/>
              <w:bottom w:val="single" w:sz="2" w:space="0" w:color="BFBFBF"/>
            </w:tcBorders>
            <w:tcMar>
              <w:top w:w="100" w:type="dxa"/>
              <w:left w:w="100" w:type="dxa"/>
              <w:bottom w:w="100" w:type="dxa"/>
              <w:right w:w="100" w:type="dxa"/>
            </w:tcMar>
            <w:vAlign w:val="center"/>
          </w:tcPr>
          <w:p w14:paraId="23ED5325"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59.8***</w:t>
            </w:r>
          </w:p>
        </w:tc>
      </w:tr>
      <w:tr w:rsidR="00F22722" w:rsidRPr="00F22722" w14:paraId="3ED20977" w14:textId="77777777" w:rsidTr="00F22722">
        <w:trPr>
          <w:trHeight w:val="25"/>
          <w:tblHeader/>
        </w:trPr>
        <w:tc>
          <w:tcPr>
            <w:tcW w:w="3780" w:type="dxa"/>
            <w:tcBorders>
              <w:top w:val="single" w:sz="2" w:space="0" w:color="BFBFBF"/>
              <w:bottom w:val="single" w:sz="2" w:space="0" w:color="BFBFBF"/>
            </w:tcBorders>
            <w:tcMar>
              <w:top w:w="0" w:type="dxa"/>
              <w:left w:w="100" w:type="dxa"/>
              <w:bottom w:w="0" w:type="dxa"/>
              <w:right w:w="100" w:type="dxa"/>
            </w:tcMar>
            <w:vAlign w:val="center"/>
          </w:tcPr>
          <w:p w14:paraId="034204C4" w14:textId="77777777" w:rsidR="00F22722" w:rsidRPr="00F22722" w:rsidRDefault="00F22722" w:rsidP="00F22722">
            <w:pPr>
              <w:spacing w:after="0"/>
              <w:ind w:left="260"/>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Deaf/Hard of Hearing</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16BD7C57"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38.7*</w:t>
            </w:r>
          </w:p>
        </w:tc>
        <w:tc>
          <w:tcPr>
            <w:tcW w:w="1980" w:type="dxa"/>
            <w:tcBorders>
              <w:top w:val="single" w:sz="2" w:space="0" w:color="BFBFBF"/>
              <w:bottom w:val="single" w:sz="2" w:space="0" w:color="BFBFBF"/>
            </w:tcBorders>
            <w:tcMar>
              <w:top w:w="100" w:type="dxa"/>
              <w:left w:w="100" w:type="dxa"/>
              <w:bottom w:w="100" w:type="dxa"/>
              <w:right w:w="100" w:type="dxa"/>
            </w:tcMar>
            <w:vAlign w:val="center"/>
          </w:tcPr>
          <w:p w14:paraId="7E57E4BB"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25.5***</w:t>
            </w:r>
          </w:p>
        </w:tc>
        <w:tc>
          <w:tcPr>
            <w:tcW w:w="2430" w:type="dxa"/>
            <w:tcBorders>
              <w:top w:val="single" w:sz="2" w:space="0" w:color="BFBFBF"/>
              <w:bottom w:val="single" w:sz="2" w:space="0" w:color="BFBFBF"/>
            </w:tcBorders>
            <w:tcMar>
              <w:top w:w="100" w:type="dxa"/>
              <w:left w:w="100" w:type="dxa"/>
              <w:bottom w:w="100" w:type="dxa"/>
              <w:right w:w="100" w:type="dxa"/>
            </w:tcMar>
            <w:vAlign w:val="center"/>
          </w:tcPr>
          <w:p w14:paraId="0CEEC396"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19.1***</w:t>
            </w:r>
          </w:p>
        </w:tc>
      </w:tr>
      <w:tr w:rsidR="00F22722" w:rsidRPr="00F22722" w14:paraId="11F85CFD" w14:textId="77777777" w:rsidTr="00F22722">
        <w:trPr>
          <w:trHeight w:val="25"/>
          <w:tblHeader/>
        </w:trPr>
        <w:tc>
          <w:tcPr>
            <w:tcW w:w="3780" w:type="dxa"/>
            <w:tcBorders>
              <w:top w:val="single" w:sz="2" w:space="0" w:color="BFBFBF"/>
              <w:bottom w:val="single" w:sz="2" w:space="0" w:color="BFBFBF"/>
            </w:tcBorders>
            <w:tcMar>
              <w:top w:w="0" w:type="dxa"/>
              <w:left w:w="100" w:type="dxa"/>
              <w:bottom w:w="0" w:type="dxa"/>
              <w:right w:w="100" w:type="dxa"/>
            </w:tcMar>
            <w:vAlign w:val="center"/>
          </w:tcPr>
          <w:p w14:paraId="1AC1E802" w14:textId="77777777" w:rsidR="00F22722" w:rsidRPr="00F22722" w:rsidRDefault="00F22722" w:rsidP="00F22722">
            <w:pPr>
              <w:spacing w:after="0"/>
              <w:ind w:left="260"/>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Learning/Intellectual Disability</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1BEE5D09"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60.1***</w:t>
            </w:r>
          </w:p>
        </w:tc>
        <w:tc>
          <w:tcPr>
            <w:tcW w:w="1980" w:type="dxa"/>
            <w:tcBorders>
              <w:top w:val="single" w:sz="2" w:space="0" w:color="BFBFBF"/>
              <w:bottom w:val="single" w:sz="2" w:space="0" w:color="BFBFBF"/>
            </w:tcBorders>
            <w:tcMar>
              <w:top w:w="100" w:type="dxa"/>
              <w:left w:w="100" w:type="dxa"/>
              <w:bottom w:w="100" w:type="dxa"/>
              <w:right w:w="100" w:type="dxa"/>
            </w:tcMar>
            <w:vAlign w:val="center"/>
          </w:tcPr>
          <w:p w14:paraId="2273E09D"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70.8***</w:t>
            </w:r>
          </w:p>
        </w:tc>
        <w:tc>
          <w:tcPr>
            <w:tcW w:w="2430" w:type="dxa"/>
            <w:tcBorders>
              <w:top w:val="single" w:sz="2" w:space="0" w:color="BFBFBF"/>
              <w:bottom w:val="single" w:sz="2" w:space="0" w:color="BFBFBF"/>
            </w:tcBorders>
            <w:tcMar>
              <w:top w:w="100" w:type="dxa"/>
              <w:left w:w="100" w:type="dxa"/>
              <w:bottom w:w="100" w:type="dxa"/>
              <w:right w:w="100" w:type="dxa"/>
            </w:tcMar>
            <w:vAlign w:val="center"/>
          </w:tcPr>
          <w:p w14:paraId="527C9F4E"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68.1***</w:t>
            </w:r>
          </w:p>
        </w:tc>
      </w:tr>
      <w:tr w:rsidR="00F22722" w:rsidRPr="00F22722" w14:paraId="68D2C162" w14:textId="77777777" w:rsidTr="00F22722">
        <w:trPr>
          <w:trHeight w:val="25"/>
          <w:tblHeader/>
        </w:trPr>
        <w:tc>
          <w:tcPr>
            <w:tcW w:w="3780" w:type="dxa"/>
            <w:tcBorders>
              <w:top w:val="single" w:sz="2" w:space="0" w:color="BFBFBF"/>
              <w:bottom w:val="single" w:sz="2" w:space="0" w:color="BFBFBF"/>
            </w:tcBorders>
            <w:tcMar>
              <w:top w:w="0" w:type="dxa"/>
              <w:left w:w="100" w:type="dxa"/>
              <w:bottom w:w="0" w:type="dxa"/>
              <w:right w:w="100" w:type="dxa"/>
            </w:tcMar>
            <w:vAlign w:val="center"/>
          </w:tcPr>
          <w:p w14:paraId="00140DBC" w14:textId="77777777" w:rsidR="00F22722" w:rsidRPr="00F22722" w:rsidRDefault="00F22722" w:rsidP="00F22722">
            <w:pPr>
              <w:spacing w:after="0"/>
              <w:ind w:left="260"/>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Mobility Disability</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1C5FA523"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54.6***</w:t>
            </w:r>
          </w:p>
        </w:tc>
        <w:tc>
          <w:tcPr>
            <w:tcW w:w="1980" w:type="dxa"/>
            <w:tcBorders>
              <w:top w:val="single" w:sz="2" w:space="0" w:color="BFBFBF"/>
              <w:bottom w:val="single" w:sz="2" w:space="0" w:color="BFBFBF"/>
            </w:tcBorders>
            <w:tcMar>
              <w:top w:w="100" w:type="dxa"/>
              <w:left w:w="100" w:type="dxa"/>
              <w:bottom w:w="100" w:type="dxa"/>
              <w:right w:w="100" w:type="dxa"/>
            </w:tcMar>
            <w:vAlign w:val="center"/>
          </w:tcPr>
          <w:p w14:paraId="1C4F0044"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46.5***</w:t>
            </w:r>
          </w:p>
        </w:tc>
        <w:tc>
          <w:tcPr>
            <w:tcW w:w="2430" w:type="dxa"/>
            <w:tcBorders>
              <w:top w:val="single" w:sz="2" w:space="0" w:color="BFBFBF"/>
              <w:bottom w:val="single" w:sz="2" w:space="0" w:color="BFBFBF"/>
            </w:tcBorders>
            <w:tcMar>
              <w:top w:w="100" w:type="dxa"/>
              <w:left w:w="100" w:type="dxa"/>
              <w:bottom w:w="100" w:type="dxa"/>
              <w:right w:w="100" w:type="dxa"/>
            </w:tcMar>
            <w:vAlign w:val="center"/>
          </w:tcPr>
          <w:p w14:paraId="1DC9FBEF"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51.8***</w:t>
            </w:r>
          </w:p>
        </w:tc>
      </w:tr>
      <w:tr w:rsidR="00F22722" w:rsidRPr="00F22722" w14:paraId="28D0EB77" w14:textId="77777777" w:rsidTr="00F22722">
        <w:trPr>
          <w:trHeight w:val="25"/>
          <w:tblHeader/>
        </w:trPr>
        <w:tc>
          <w:tcPr>
            <w:tcW w:w="3780" w:type="dxa"/>
            <w:tcBorders>
              <w:top w:val="single" w:sz="2" w:space="0" w:color="BFBFBF"/>
              <w:bottom w:val="single" w:sz="2" w:space="0" w:color="BFBFBF"/>
            </w:tcBorders>
            <w:tcMar>
              <w:top w:w="0" w:type="dxa"/>
              <w:left w:w="100" w:type="dxa"/>
              <w:bottom w:w="0" w:type="dxa"/>
              <w:right w:w="100" w:type="dxa"/>
            </w:tcMar>
            <w:vAlign w:val="center"/>
          </w:tcPr>
          <w:p w14:paraId="7851CA54" w14:textId="77777777" w:rsidR="00F22722" w:rsidRPr="00F22722" w:rsidRDefault="00F22722" w:rsidP="00F22722">
            <w:pPr>
              <w:spacing w:after="0"/>
              <w:ind w:left="260"/>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Self-Care/Independent Living Disability</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74CBF0C6"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61.8***</w:t>
            </w:r>
          </w:p>
        </w:tc>
        <w:tc>
          <w:tcPr>
            <w:tcW w:w="1980" w:type="dxa"/>
            <w:tcBorders>
              <w:top w:val="single" w:sz="2" w:space="0" w:color="BFBFBF"/>
              <w:bottom w:val="single" w:sz="2" w:space="0" w:color="BFBFBF"/>
            </w:tcBorders>
            <w:tcMar>
              <w:top w:w="100" w:type="dxa"/>
              <w:left w:w="100" w:type="dxa"/>
              <w:bottom w:w="100" w:type="dxa"/>
              <w:right w:w="100" w:type="dxa"/>
            </w:tcMar>
            <w:vAlign w:val="center"/>
          </w:tcPr>
          <w:p w14:paraId="4EE0CA4C"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62.2***</w:t>
            </w:r>
          </w:p>
        </w:tc>
        <w:tc>
          <w:tcPr>
            <w:tcW w:w="2430" w:type="dxa"/>
            <w:tcBorders>
              <w:top w:val="single" w:sz="2" w:space="0" w:color="BFBFBF"/>
              <w:bottom w:val="single" w:sz="2" w:space="0" w:color="BFBFBF"/>
            </w:tcBorders>
            <w:tcMar>
              <w:top w:w="100" w:type="dxa"/>
              <w:left w:w="100" w:type="dxa"/>
              <w:bottom w:w="100" w:type="dxa"/>
              <w:right w:w="100" w:type="dxa"/>
            </w:tcMar>
            <w:vAlign w:val="center"/>
          </w:tcPr>
          <w:p w14:paraId="20BDB4E1"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65.3***</w:t>
            </w:r>
          </w:p>
        </w:tc>
      </w:tr>
      <w:tr w:rsidR="00F22722" w:rsidRPr="00F22722" w14:paraId="485F8A95" w14:textId="77777777" w:rsidTr="00F22722">
        <w:trPr>
          <w:trHeight w:val="25"/>
          <w:tblHeader/>
        </w:trPr>
        <w:tc>
          <w:tcPr>
            <w:tcW w:w="3780" w:type="dxa"/>
            <w:tcBorders>
              <w:top w:val="single" w:sz="2" w:space="0" w:color="BFBFBF"/>
              <w:bottom w:val="single" w:sz="2" w:space="0" w:color="auto"/>
            </w:tcBorders>
            <w:tcMar>
              <w:top w:w="0" w:type="dxa"/>
              <w:left w:w="100" w:type="dxa"/>
              <w:bottom w:w="0" w:type="dxa"/>
              <w:right w:w="100" w:type="dxa"/>
            </w:tcMar>
            <w:vAlign w:val="center"/>
          </w:tcPr>
          <w:p w14:paraId="71E5F1E5" w14:textId="77777777" w:rsidR="00F22722" w:rsidRPr="00F22722" w:rsidRDefault="00F22722" w:rsidP="00F22722">
            <w:pPr>
              <w:spacing w:after="0"/>
              <w:ind w:left="260"/>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No Disability (</w:t>
            </w:r>
            <w:r w:rsidRPr="00F22722">
              <w:rPr>
                <w:rFonts w:ascii="Aptos Light" w:eastAsia="Aptos" w:hAnsi="Aptos Light" w:cs="Arial"/>
                <w:i/>
                <w:iCs/>
                <w:kern w:val="2"/>
                <w:sz w:val="18"/>
                <w:szCs w:val="18"/>
                <w14:ligatures w14:val="standardContextual"/>
              </w:rPr>
              <w:t>ref</w:t>
            </w:r>
            <w:r w:rsidRPr="00F22722">
              <w:rPr>
                <w:rFonts w:ascii="Aptos Light" w:eastAsia="Aptos" w:hAnsi="Aptos Light" w:cs="Arial"/>
                <w:kern w:val="2"/>
                <w:sz w:val="18"/>
                <w:szCs w:val="18"/>
                <w14:ligatures w14:val="standardContextual"/>
              </w:rPr>
              <w:t>)</w:t>
            </w:r>
          </w:p>
        </w:tc>
        <w:tc>
          <w:tcPr>
            <w:tcW w:w="2340" w:type="dxa"/>
            <w:tcBorders>
              <w:top w:val="single" w:sz="2" w:space="0" w:color="BFBFBF"/>
              <w:bottom w:val="single" w:sz="2" w:space="0" w:color="auto"/>
            </w:tcBorders>
            <w:tcMar>
              <w:top w:w="100" w:type="dxa"/>
              <w:left w:w="100" w:type="dxa"/>
              <w:bottom w:w="100" w:type="dxa"/>
              <w:right w:w="100" w:type="dxa"/>
            </w:tcMar>
            <w:vAlign w:val="center"/>
          </w:tcPr>
          <w:p w14:paraId="1D7DCAD7"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29.4</w:t>
            </w:r>
          </w:p>
        </w:tc>
        <w:tc>
          <w:tcPr>
            <w:tcW w:w="1980" w:type="dxa"/>
            <w:tcBorders>
              <w:top w:val="single" w:sz="2" w:space="0" w:color="BFBFBF"/>
              <w:bottom w:val="single" w:sz="2" w:space="0" w:color="auto"/>
            </w:tcBorders>
            <w:tcMar>
              <w:top w:w="100" w:type="dxa"/>
              <w:left w:w="100" w:type="dxa"/>
              <w:bottom w:w="100" w:type="dxa"/>
              <w:right w:w="100" w:type="dxa"/>
            </w:tcMar>
            <w:vAlign w:val="center"/>
          </w:tcPr>
          <w:p w14:paraId="7DDB5C44"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13.6</w:t>
            </w:r>
          </w:p>
        </w:tc>
        <w:tc>
          <w:tcPr>
            <w:tcW w:w="2430" w:type="dxa"/>
            <w:tcBorders>
              <w:top w:val="single" w:sz="2" w:space="0" w:color="BFBFBF"/>
              <w:bottom w:val="single" w:sz="2" w:space="0" w:color="auto"/>
            </w:tcBorders>
            <w:tcMar>
              <w:top w:w="100" w:type="dxa"/>
              <w:left w:w="100" w:type="dxa"/>
              <w:bottom w:w="100" w:type="dxa"/>
              <w:right w:w="100" w:type="dxa"/>
            </w:tcMar>
            <w:vAlign w:val="center"/>
          </w:tcPr>
          <w:p w14:paraId="636F8573" w14:textId="77777777" w:rsidR="00F22722" w:rsidRPr="00F22722" w:rsidRDefault="00F22722" w:rsidP="00F22722">
            <w:pPr>
              <w:spacing w:after="0"/>
              <w:jc w:val="center"/>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14:ligatures w14:val="standardContextual"/>
              </w:rPr>
              <w:t>18.0</w:t>
            </w:r>
          </w:p>
        </w:tc>
      </w:tr>
    </w:tbl>
    <w:p w14:paraId="14544EFF" w14:textId="77777777" w:rsidR="00F22722" w:rsidRPr="00F22722" w:rsidRDefault="00F22722" w:rsidP="00F22722">
      <w:pPr>
        <w:ind w:left="720"/>
        <w:rPr>
          <w:rFonts w:ascii="Aptos Light" w:eastAsia="Aptos" w:hAnsi="Aptos Light" w:cs="Arial"/>
          <w:kern w:val="2"/>
          <w:sz w:val="18"/>
          <w:szCs w:val="18"/>
          <w14:ligatures w14:val="standardContextual"/>
        </w:rPr>
      </w:pPr>
      <w:r w:rsidRPr="00F22722">
        <w:rPr>
          <w:rFonts w:ascii="Aptos Light" w:eastAsia="Aptos" w:hAnsi="Aptos Light" w:cs="Arial"/>
          <w:kern w:val="2"/>
          <w:sz w:val="18"/>
          <w:szCs w:val="18"/>
          <w:vertAlign w:val="superscript"/>
          <w14:ligatures w14:val="standardContextual"/>
        </w:rPr>
        <w:t>1</w:t>
      </w:r>
      <w:r w:rsidRPr="00F22722">
        <w:rPr>
          <w:rFonts w:ascii="Aptos Light" w:eastAsia="Aptos" w:hAnsi="Aptos Light" w:cs="Arial"/>
          <w:kern w:val="2"/>
          <w:sz w:val="18"/>
          <w:szCs w:val="18"/>
          <w14:ligatures w14:val="standardContextual"/>
        </w:rPr>
        <w:t xml:space="preserve"> Basic </w:t>
      </w:r>
      <w:proofErr w:type="gramStart"/>
      <w:r w:rsidRPr="00F22722">
        <w:rPr>
          <w:rFonts w:ascii="Aptos Light" w:eastAsia="Aptos" w:hAnsi="Aptos Light" w:cs="Arial"/>
          <w:kern w:val="2"/>
          <w:sz w:val="18"/>
          <w:szCs w:val="18"/>
          <w14:ligatures w14:val="standardContextual"/>
        </w:rPr>
        <w:t>needs</w:t>
      </w:r>
      <w:proofErr w:type="gramEnd"/>
      <w:r w:rsidRPr="00F22722">
        <w:rPr>
          <w:rFonts w:ascii="Aptos Light" w:eastAsia="Aptos" w:hAnsi="Aptos Light" w:cs="Arial"/>
          <w:kern w:val="2"/>
          <w:sz w:val="18"/>
          <w:szCs w:val="18"/>
          <w14:ligatures w14:val="standardContextual"/>
        </w:rPr>
        <w:t xml:space="preserve"> include childcare or school, food or groceries, formula or baby food, health care, housing, technology, transportation, and utilities. </w:t>
      </w:r>
      <w:r w:rsidRPr="00F22722">
        <w:rPr>
          <w:rFonts w:ascii="Aptos Light" w:eastAsia="Aptos" w:hAnsi="Aptos Light" w:cs="Arial"/>
          <w:kern w:val="2"/>
          <w:sz w:val="18"/>
          <w:szCs w:val="18"/>
          <w14:ligatures w14:val="standardContextual"/>
        </w:rPr>
        <w:br/>
      </w:r>
      <w:r w:rsidRPr="00F22722">
        <w:rPr>
          <w:rFonts w:ascii="Aptos Light" w:eastAsia="Aptos" w:hAnsi="Aptos Light" w:cs="Arial"/>
          <w:kern w:val="2"/>
          <w:sz w:val="18"/>
          <w:szCs w:val="18"/>
          <w:vertAlign w:val="superscript"/>
          <w14:ligatures w14:val="standardContextual"/>
        </w:rPr>
        <w:t>2</w:t>
      </w:r>
      <w:r w:rsidRPr="00F22722">
        <w:rPr>
          <w:rFonts w:ascii="Aptos Light" w:eastAsia="Aptos" w:hAnsi="Aptos Light" w:cs="Arial"/>
          <w:kern w:val="2"/>
          <w:sz w:val="18"/>
          <w:szCs w:val="18"/>
          <w14:ligatures w14:val="standardContextual"/>
        </w:rPr>
        <w:t xml:space="preserve"> Benefits include cash assistance, disability assistance, food assistance, housing assistance, and Special Supplemental Nutrition Program for Women, Infants, and Children (WIC)</w:t>
      </w:r>
      <w:r w:rsidRPr="00F22722">
        <w:rPr>
          <w:rFonts w:ascii="Aptos Light" w:eastAsia="Aptos" w:hAnsi="Aptos Light" w:cs="Arial"/>
          <w:kern w:val="2"/>
          <w:sz w:val="18"/>
          <w:szCs w:val="18"/>
          <w14:ligatures w14:val="standardContextual"/>
        </w:rPr>
        <w:br/>
        <w:t>*** p&lt;.0001, ** p&lt;.001, * p&lt;.05</w:t>
      </w:r>
      <w:r w:rsidRPr="00F22722">
        <w:rPr>
          <w:rFonts w:ascii="Aptos Light" w:eastAsia="Aptos" w:hAnsi="Aptos Light" w:cs="Arial"/>
          <w:kern w:val="2"/>
          <w:sz w:val="18"/>
          <w:szCs w:val="18"/>
          <w14:ligatures w14:val="standardContextual"/>
        </w:rPr>
        <w:tab/>
        <w:t>P-values from Pearson chi-square test indicate whether weighted responses from those identifying as specified group significantly differ from those identifying as the noted reference group.</w:t>
      </w:r>
    </w:p>
    <w:p w14:paraId="01675073" w14:textId="77777777" w:rsidR="00F22722" w:rsidRPr="00F22722" w:rsidRDefault="00F22722" w:rsidP="00F22722">
      <w:pPr>
        <w:ind w:left="720"/>
        <w:rPr>
          <w:rFonts w:ascii="Aptos Light" w:eastAsia="Aptos" w:hAnsi="Aptos Light" w:cs="Arial"/>
          <w:kern w:val="2"/>
          <w:sz w:val="18"/>
          <w:szCs w:val="18"/>
          <w14:ligatures w14:val="standardContextual"/>
        </w:rPr>
      </w:pPr>
    </w:p>
    <w:p w14:paraId="73860E03" w14:textId="77777777" w:rsidR="00F22722" w:rsidRPr="00F22722" w:rsidRDefault="00F22722" w:rsidP="00F22722">
      <w:pPr>
        <w:spacing w:after="200" w:line="240" w:lineRule="auto"/>
        <w:ind w:left="630"/>
        <w:rPr>
          <w:rFonts w:ascii="Aptos Light" w:eastAsia="Aptos" w:hAnsi="Aptos Light" w:cs="Arial"/>
          <w:i/>
          <w:iCs/>
          <w:color w:val="0E2841"/>
          <w:kern w:val="2"/>
          <w14:ligatures w14:val="standardContextual"/>
        </w:rPr>
      </w:pPr>
      <w:r w:rsidRPr="00F22722">
        <w:rPr>
          <w:rFonts w:ascii="Aptos Light" w:eastAsia="Aptos" w:hAnsi="Aptos Light" w:cs="Arial"/>
          <w:i/>
          <w:iCs/>
          <w:color w:val="0E2841"/>
          <w:kern w:val="2"/>
          <w14:ligatures w14:val="standardContextual"/>
        </w:rPr>
        <w:t xml:space="preserve">Figure </w:t>
      </w:r>
      <w:r w:rsidRPr="00F22722">
        <w:rPr>
          <w:rFonts w:ascii="Aptos Light" w:eastAsia="Aptos" w:hAnsi="Aptos Light" w:cs="Arial"/>
          <w:i/>
          <w:iCs/>
          <w:color w:val="0E2841"/>
          <w:kern w:val="2"/>
          <w14:ligatures w14:val="standardContextual"/>
        </w:rPr>
        <w:fldChar w:fldCharType="begin"/>
      </w:r>
      <w:r w:rsidRPr="00F22722">
        <w:rPr>
          <w:rFonts w:ascii="Aptos Light" w:eastAsia="Aptos" w:hAnsi="Aptos Light" w:cs="Arial"/>
          <w:i/>
          <w:iCs/>
          <w:color w:val="0E2841"/>
          <w:kern w:val="2"/>
          <w14:ligatures w14:val="standardContextual"/>
        </w:rPr>
        <w:instrText xml:space="preserve"> SEQ Figure \* ARABIC </w:instrText>
      </w:r>
      <w:r w:rsidRPr="00F22722">
        <w:rPr>
          <w:rFonts w:ascii="Aptos Light" w:eastAsia="Aptos" w:hAnsi="Aptos Light" w:cs="Arial"/>
          <w:i/>
          <w:iCs/>
          <w:color w:val="0E2841"/>
          <w:kern w:val="2"/>
          <w14:ligatures w14:val="standardContextual"/>
        </w:rPr>
        <w:fldChar w:fldCharType="separate"/>
      </w:r>
      <w:r w:rsidRPr="00F22722">
        <w:rPr>
          <w:rFonts w:ascii="Aptos Light" w:eastAsia="Aptos" w:hAnsi="Aptos Light" w:cs="Arial"/>
          <w:i/>
          <w:iCs/>
          <w:noProof/>
          <w:color w:val="0E2841"/>
          <w:kern w:val="2"/>
          <w14:ligatures w14:val="standardContextual"/>
        </w:rPr>
        <w:t>9</w:t>
      </w:r>
      <w:r w:rsidRPr="00F22722">
        <w:rPr>
          <w:rFonts w:ascii="Aptos Light" w:eastAsia="Aptos" w:hAnsi="Aptos Light" w:cs="Arial"/>
          <w:i/>
          <w:iCs/>
          <w:color w:val="0E2841"/>
          <w:kern w:val="2"/>
          <w14:ligatures w14:val="standardContextual"/>
        </w:rPr>
        <w:fldChar w:fldCharType="end"/>
      </w:r>
      <w:r w:rsidRPr="00F22722">
        <w:rPr>
          <w:rFonts w:ascii="Aptos Light" w:eastAsia="Aptos" w:hAnsi="Aptos Light" w:cs="Arial"/>
          <w:i/>
          <w:iCs/>
          <w:color w:val="0E2841"/>
          <w:kern w:val="2"/>
          <w14:ligatures w14:val="standardContextual"/>
        </w:rPr>
        <w:t>. 2023 CHES - Percent with High or Very High Psychological Distress by Trouble Paying for Basic Needs Within Communities of Focus</w:t>
      </w:r>
    </w:p>
    <w:p w14:paraId="78D478CE" w14:textId="77777777" w:rsidR="00F22722" w:rsidRPr="00F22722" w:rsidRDefault="00F22722" w:rsidP="00F22722">
      <w:pPr>
        <w:ind w:left="630"/>
        <w:rPr>
          <w:rFonts w:ascii="Aptos Light" w:eastAsia="Aptos" w:hAnsi="Aptos Light" w:cs="Arial"/>
          <w:kern w:val="2"/>
          <w:sz w:val="18"/>
          <w:szCs w:val="18"/>
          <w14:ligatures w14:val="standardContextual"/>
        </w:rPr>
      </w:pPr>
      <w:r w:rsidRPr="00F22722">
        <w:rPr>
          <w:rFonts w:ascii="Aptos Light" w:eastAsia="Aptos" w:hAnsi="Aptos Light" w:cs="Arial"/>
          <w:noProof/>
          <w:kern w:val="2"/>
          <w14:ligatures w14:val="standardContextual"/>
        </w:rPr>
        <w:drawing>
          <wp:inline distT="0" distB="0" distL="0" distR="0" wp14:anchorId="1BD538BA" wp14:editId="53D2D4E7">
            <wp:extent cx="5767070" cy="2085975"/>
            <wp:effectExtent l="0" t="0" r="5080" b="9525"/>
            <wp:docPr id="1788066934" name="Chart 1" descr="Bar chart titled ‘Figure 9. 2023 CHES Psychological Distress by Paying for Basic Needs Among Communities of Focus’ showing the percentage of those reporting psychological distress by  those reporting trouble paying for basic needs compared to those reporting no trouble paying for basic needs within four communities of focus: People of color, LGBQA Sexual Orientation, Transgender Identity, and people with disabilities. Among people  of color, 58.5% of those reporting trouble paying for basic needs reported psychological distress compared to 21.2% of those reporting no trouble paying for basic needs; among LGBQA Sexual Orientation, 77.6% of those reporting trouble paying for basic needs reported psychological distress compared to 39.1% of those reporting no trouble paying for basic needs; among those identifying as transgender, 88.9% of those reporting trouble paying for basic needs reported psychological distress compared to 66.0% of those reporting no trouble paying for basic needs; ; among people with disabilities, 72.9% of those reporting trouble paying for basic needs reported psychological distress compared to 35.0% of those reporting no trouble paying for basic needs">
              <a:extLst xmlns:a="http://schemas.openxmlformats.org/drawingml/2006/main">
                <a:ext uri="{FF2B5EF4-FFF2-40B4-BE49-F238E27FC236}">
                  <a16:creationId xmlns:a16="http://schemas.microsoft.com/office/drawing/2014/main" id="{6B5DF3FA-B979-5CA4-CCF3-073A1B0DD3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F22722">
        <w:rPr>
          <w:rFonts w:ascii="Aptos Light" w:eastAsia="Aptos" w:hAnsi="Aptos Light" w:cs="Arial"/>
          <w:kern w:val="2"/>
          <w14:ligatures w14:val="standardContextual"/>
        </w:rPr>
        <w:br/>
      </w:r>
      <w:r w:rsidRPr="00F22722">
        <w:rPr>
          <w:rFonts w:ascii="Aptos Light" w:eastAsia="Aptos" w:hAnsi="Aptos Light" w:cs="Arial"/>
          <w:kern w:val="2"/>
          <w:sz w:val="18"/>
          <w:szCs w:val="18"/>
          <w14:ligatures w14:val="standardContextual"/>
        </w:rPr>
        <w:t xml:space="preserve">*People of color include respondents that reported one of the following race/ethnicities: American Indian/Alaska Native, Asian, Native Hawaiian, Pacific Islander, Black, Hispanic/Latine/a/o, Middle Eastern/North African, or Multiracial. </w:t>
      </w:r>
      <w:r w:rsidRPr="00F22722">
        <w:rPr>
          <w:rFonts w:ascii="Aptos Light" w:eastAsia="Aptos" w:hAnsi="Aptos Light" w:cs="Arial"/>
          <w:kern w:val="2"/>
          <w:sz w:val="18"/>
          <w:szCs w:val="18"/>
          <w14:ligatures w14:val="standardContextual"/>
        </w:rPr>
        <w:br/>
        <w:t xml:space="preserve">**LGBQA includes respondents that reported their sexual orientation as being lesbian, gay, bisexual, queer, asexual, or other. </w:t>
      </w:r>
      <w:r w:rsidRPr="00F22722">
        <w:rPr>
          <w:rFonts w:ascii="Aptos Light" w:eastAsia="Aptos" w:hAnsi="Aptos Light" w:cs="Arial"/>
          <w:kern w:val="2"/>
          <w:sz w:val="18"/>
          <w:szCs w:val="18"/>
          <w14:ligatures w14:val="standardContextual"/>
        </w:rPr>
        <w:br/>
        <w:t>*** Basic needs include childcare or school, food or groceries, formula or baby food, health care, housing, technology, transportation, and utilities.</w:t>
      </w:r>
    </w:p>
    <w:p w14:paraId="0A2B7BFD" w14:textId="77777777" w:rsidR="00F22722" w:rsidRPr="00F22722" w:rsidRDefault="00F22722" w:rsidP="00F22722">
      <w:pPr>
        <w:ind w:left="720"/>
        <w:rPr>
          <w:rFonts w:ascii="Aptos Light" w:eastAsia="Aptos" w:hAnsi="Aptos Light" w:cs="Arial"/>
          <w:kern w:val="2"/>
          <w14:ligatures w14:val="standardContextual"/>
        </w:rPr>
      </w:pPr>
      <w:r w:rsidRPr="00F22722">
        <w:rPr>
          <w:rFonts w:ascii="Aptos Light" w:eastAsia="Aptos" w:hAnsi="Aptos Light" w:cs="Arial"/>
          <w:kern w:val="2"/>
          <w14:ligatures w14:val="standardContextual"/>
        </w:rPr>
        <w:t xml:space="preserve">Promoting economic stability within these populations may have a positive impact on health. Figure 9 demonstrates that members of communities of focus with more economic stability were more likely to have better overall mental health outcomes compared to those that were more economically unstable. For example, among people of color, the rate of psychological distress who did not report trouble paying for basic needs was 21.2% compared to 58.5% that did. This suggests that programs and interventions to improve </w:t>
      </w:r>
      <w:r w:rsidRPr="00F22722">
        <w:rPr>
          <w:rFonts w:ascii="Aptos Light" w:eastAsia="Aptos" w:hAnsi="Aptos Light" w:cs="Arial"/>
          <w:kern w:val="2"/>
          <w14:ligatures w14:val="standardContextual"/>
        </w:rPr>
        <w:lastRenderedPageBreak/>
        <w:t xml:space="preserve">economic stability within communities of focus may be effective in promoting overall mental health equity. It is important to note, however, that inequities still persist among members of these communities with higher levels of economic security. For example, 2 out of 3 adults that identified as transgender and reported not having trouble paying for basic needs still had high or very high psychological distress, suggesting that addressing economic insecurity alone is not sufficient to address inequities in mental health within these communities. </w:t>
      </w:r>
    </w:p>
    <w:p w14:paraId="6258477E" w14:textId="77777777" w:rsidR="00F22722" w:rsidRPr="00BA5EEE" w:rsidRDefault="00F22722">
      <w:pPr>
        <w:rPr>
          <w:rFonts w:ascii="Aptos Display" w:hAnsi="Aptos Display"/>
          <w:color w:val="2F5496"/>
          <w:sz w:val="32"/>
          <w:szCs w:val="32"/>
          <w:shd w:val="clear" w:color="auto" w:fill="FFFFFF"/>
        </w:rPr>
      </w:pPr>
    </w:p>
    <w:sectPr w:rsidR="00F22722" w:rsidRPr="00BA5EEE" w:rsidSect="006D3B92">
      <w:endnotePr>
        <w:numFmt w:val="decimal"/>
      </w:end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361F2" w14:textId="77777777" w:rsidR="00394BAF" w:rsidRDefault="00394BAF" w:rsidP="00F22722">
      <w:pPr>
        <w:spacing w:after="0" w:line="240" w:lineRule="auto"/>
      </w:pPr>
      <w:r>
        <w:separator/>
      </w:r>
    </w:p>
  </w:endnote>
  <w:endnote w:type="continuationSeparator" w:id="0">
    <w:p w14:paraId="0CAA5E33" w14:textId="77777777" w:rsidR="00394BAF" w:rsidRDefault="00394BAF" w:rsidP="00F22722">
      <w:pPr>
        <w:spacing w:after="0" w:line="240" w:lineRule="auto"/>
      </w:pPr>
      <w:r>
        <w:continuationSeparator/>
      </w:r>
    </w:p>
  </w:endnote>
  <w:endnote w:id="1">
    <w:p w14:paraId="0C30D398" w14:textId="77777777" w:rsidR="00F22722" w:rsidRDefault="00F22722" w:rsidP="00F22722">
      <w:pPr>
        <w:pStyle w:val="EndnoteText"/>
      </w:pPr>
      <w:r>
        <w:rPr>
          <w:rStyle w:val="EndnoteReference"/>
        </w:rPr>
        <w:endnoteRef/>
      </w:r>
      <w:r>
        <w:t xml:space="preserve"> </w:t>
      </w:r>
      <w:r w:rsidRPr="00187D39">
        <w:t xml:space="preserve">National Center for Chronic Disease Prevention and Health Promotion (US) Office on Smoking and Health. Community Health and Economic Prosperity: Engaging Businesses as Stewards and Stakeholders—A Report of the Surgeon General [Internet]. Washington (DC): US Department of Health and Human Services; 2021 Jan. CHAPTER 2, How Neighborhoods Shape Health and Opportunity. Available from: </w:t>
      </w:r>
      <w:hyperlink r:id="rId1" w:history="1">
        <w:r w:rsidRPr="008673CD">
          <w:rPr>
            <w:rStyle w:val="Hyperlink1"/>
          </w:rPr>
          <w:t>https://www.ncbi.nlm.nih.gov/books/NBK568862/</w:t>
        </w:r>
      </w:hyperlink>
    </w:p>
  </w:endnote>
  <w:endnote w:id="2">
    <w:p w14:paraId="48322750" w14:textId="77777777" w:rsidR="00F22722" w:rsidRDefault="00F22722" w:rsidP="00F22722">
      <w:pPr>
        <w:pStyle w:val="EndnoteText"/>
      </w:pPr>
      <w:r>
        <w:rPr>
          <w:rStyle w:val="EndnoteReference"/>
        </w:rPr>
        <w:endnoteRef/>
      </w:r>
      <w:r>
        <w:t xml:space="preserve"> Daniel </w:t>
      </w:r>
      <w:proofErr w:type="spellStart"/>
      <w:r>
        <w:t>Kopasker</w:t>
      </w:r>
      <w:proofErr w:type="spellEnd"/>
      <w:r>
        <w:t xml:space="preserve">, Catia Montagna, Keith A. Bender, Economic insecurity: A socioeconomic determinant of mental health, SSM - Population Health, Volume 6, 2018, Pages 184-194, ISSN 2352-8273, </w:t>
      </w:r>
      <w:hyperlink r:id="rId2" w:history="1">
        <w:r w:rsidRPr="00054D35">
          <w:rPr>
            <w:rStyle w:val="Hyperlink1"/>
          </w:rPr>
          <w:t>https://doi.org/10.1016/j.ssmph.2018.09.006</w:t>
        </w:r>
      </w:hyperlink>
      <w:r>
        <w:t>.</w:t>
      </w:r>
    </w:p>
  </w:endnote>
  <w:endnote w:id="3">
    <w:p w14:paraId="471B11A3" w14:textId="77777777" w:rsidR="00F22722" w:rsidRDefault="00F22722" w:rsidP="00F22722">
      <w:pPr>
        <w:pStyle w:val="EndnoteText"/>
      </w:pPr>
      <w:r>
        <w:rPr>
          <w:rStyle w:val="EndnoteReference"/>
        </w:rPr>
        <w:endnoteRef/>
      </w:r>
      <w:r>
        <w:t xml:space="preserve"> </w:t>
      </w:r>
      <w:r w:rsidRPr="00C87A7A">
        <w:t xml:space="preserve">Watson B, Osberg L. Healing and/or breaking? The mental health implications of repeated economic insecurity. Soc Sci Med. 2017 </w:t>
      </w:r>
      <w:proofErr w:type="gramStart"/>
      <w:r w:rsidRPr="00C87A7A">
        <w:t>Sep;188:119</w:t>
      </w:r>
      <w:proofErr w:type="gramEnd"/>
      <w:r w:rsidRPr="00C87A7A">
        <w:t xml:space="preserve">-127. </w:t>
      </w:r>
      <w:proofErr w:type="spellStart"/>
      <w:r w:rsidRPr="00C87A7A">
        <w:t>doi</w:t>
      </w:r>
      <w:proofErr w:type="spellEnd"/>
      <w:r w:rsidRPr="00C87A7A">
        <w:t xml:space="preserve">: </w:t>
      </w:r>
      <w:hyperlink r:id="rId3" w:history="1">
        <w:r w:rsidRPr="00D85B65">
          <w:rPr>
            <w:rStyle w:val="Hyperlink1"/>
          </w:rPr>
          <w:t>https://doi.org/10.1016/j.socscimed.2017.06.042</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Light">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82F25" w14:textId="77777777" w:rsidR="00394BAF" w:rsidRDefault="00394BAF" w:rsidP="00F22722">
      <w:pPr>
        <w:spacing w:after="0" w:line="240" w:lineRule="auto"/>
      </w:pPr>
      <w:r>
        <w:separator/>
      </w:r>
    </w:p>
  </w:footnote>
  <w:footnote w:type="continuationSeparator" w:id="0">
    <w:p w14:paraId="1655FFFD" w14:textId="77777777" w:rsidR="00394BAF" w:rsidRDefault="00394BAF" w:rsidP="00F22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D4954"/>
    <w:multiLevelType w:val="hybridMultilevel"/>
    <w:tmpl w:val="DE88AC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B01570"/>
    <w:multiLevelType w:val="hybridMultilevel"/>
    <w:tmpl w:val="4F06F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25581455">
    <w:abstractNumId w:val="1"/>
  </w:num>
  <w:num w:numId="2" w16cid:durableId="1275165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51811A"/>
    <w:rsid w:val="00052893"/>
    <w:rsid w:val="000B0D90"/>
    <w:rsid w:val="000D5B54"/>
    <w:rsid w:val="0014171A"/>
    <w:rsid w:val="001F470B"/>
    <w:rsid w:val="00212F97"/>
    <w:rsid w:val="00315BE9"/>
    <w:rsid w:val="00394BAF"/>
    <w:rsid w:val="005A143D"/>
    <w:rsid w:val="005E06A1"/>
    <w:rsid w:val="006D3B92"/>
    <w:rsid w:val="006E76E0"/>
    <w:rsid w:val="009C1565"/>
    <w:rsid w:val="00A43ECD"/>
    <w:rsid w:val="00A83533"/>
    <w:rsid w:val="00AB61CA"/>
    <w:rsid w:val="00BA5EEE"/>
    <w:rsid w:val="00C818EE"/>
    <w:rsid w:val="00DC4816"/>
    <w:rsid w:val="00E842F7"/>
    <w:rsid w:val="00F11485"/>
    <w:rsid w:val="00F22722"/>
    <w:rsid w:val="032C037A"/>
    <w:rsid w:val="0482B82C"/>
    <w:rsid w:val="1D015639"/>
    <w:rsid w:val="3D51811A"/>
    <w:rsid w:val="42D27D00"/>
    <w:rsid w:val="558ABCDC"/>
    <w:rsid w:val="61E38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1811A"/>
  <w15:chartTrackingRefBased/>
  <w15:docId w15:val="{5A2F5267-CAA6-4D66-A091-D08E0B56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E842F7"/>
  </w:style>
  <w:style w:type="character" w:customStyle="1" w:styleId="eop">
    <w:name w:val="eop"/>
    <w:basedOn w:val="DefaultParagraphFont"/>
    <w:rsid w:val="00E842F7"/>
  </w:style>
  <w:style w:type="character" w:customStyle="1" w:styleId="Hyperlink1">
    <w:name w:val="Hyperlink1"/>
    <w:basedOn w:val="DefaultParagraphFont"/>
    <w:uiPriority w:val="99"/>
    <w:unhideWhenUsed/>
    <w:rsid w:val="00F22722"/>
    <w:rPr>
      <w:color w:val="467886"/>
      <w:u w:val="single"/>
    </w:rPr>
  </w:style>
  <w:style w:type="paragraph" w:styleId="EndnoteText">
    <w:name w:val="endnote text"/>
    <w:basedOn w:val="Normal"/>
    <w:link w:val="EndnoteTextChar"/>
    <w:uiPriority w:val="99"/>
    <w:unhideWhenUsed/>
    <w:rsid w:val="00F22722"/>
    <w:pPr>
      <w:spacing w:after="0" w:line="240" w:lineRule="auto"/>
    </w:pPr>
    <w:rPr>
      <w:rFonts w:ascii="Aptos Light" w:hAnsi="Aptos Light"/>
      <w:kern w:val="2"/>
      <w:sz w:val="20"/>
      <w:szCs w:val="20"/>
      <w14:ligatures w14:val="standardContextual"/>
    </w:rPr>
  </w:style>
  <w:style w:type="character" w:customStyle="1" w:styleId="EndnoteTextChar">
    <w:name w:val="Endnote Text Char"/>
    <w:basedOn w:val="DefaultParagraphFont"/>
    <w:link w:val="EndnoteText"/>
    <w:uiPriority w:val="99"/>
    <w:rsid w:val="00F22722"/>
    <w:rPr>
      <w:rFonts w:ascii="Aptos Light" w:hAnsi="Aptos Light"/>
      <w:kern w:val="2"/>
      <w:sz w:val="20"/>
      <w:szCs w:val="20"/>
      <w14:ligatures w14:val="standardContextual"/>
    </w:rPr>
  </w:style>
  <w:style w:type="character" w:styleId="EndnoteReference">
    <w:name w:val="endnote reference"/>
    <w:basedOn w:val="DefaultParagraphFont"/>
    <w:uiPriority w:val="99"/>
    <w:semiHidden/>
    <w:unhideWhenUsed/>
    <w:rsid w:val="00F22722"/>
    <w:rPr>
      <w:vertAlign w:val="superscript"/>
    </w:rPr>
  </w:style>
  <w:style w:type="paragraph" w:customStyle="1" w:styleId="Caption1">
    <w:name w:val="Caption1"/>
    <w:basedOn w:val="Normal"/>
    <w:next w:val="Normal"/>
    <w:uiPriority w:val="35"/>
    <w:unhideWhenUsed/>
    <w:qFormat/>
    <w:rsid w:val="00F22722"/>
    <w:pPr>
      <w:spacing w:after="200" w:line="240" w:lineRule="auto"/>
    </w:pPr>
    <w:rPr>
      <w:rFonts w:ascii="Aptos Light" w:hAnsi="Aptos Light"/>
      <w:i/>
      <w:iCs/>
      <w:color w:val="0E2841"/>
      <w:kern w:val="2"/>
      <w:sz w:val="18"/>
      <w:szCs w:val="18"/>
      <w14:ligatures w14:val="standardContextual"/>
    </w:rPr>
  </w:style>
  <w:style w:type="character" w:styleId="Hyperlink">
    <w:name w:val="Hyperlink"/>
    <w:basedOn w:val="DefaultParagraphFont"/>
    <w:uiPriority w:val="99"/>
    <w:semiHidden/>
    <w:unhideWhenUsed/>
    <w:rsid w:val="00F227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doi.org/10.1016/j.socscimed.2017.06.042" TargetMode="External"/><Relationship Id="rId2" Type="http://schemas.openxmlformats.org/officeDocument/2006/relationships/hyperlink" Target="https://doi.org/10.1016/j.ssmph.2018.09.006" TargetMode="External"/><Relationship Id="rId1" Type="http://schemas.openxmlformats.org/officeDocument/2006/relationships/hyperlink" Target="https://www.ncbi.nlm.nih.gov/books/NBK568862/"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talin\Downloads\CHES%20MH%20Chapter%20Figure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talin\Downloads\CHES%20MH%20Chapter%20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44699113884026"/>
          <c:y val="7.2249589490968796E-2"/>
          <c:w val="0.82696985354793429"/>
          <c:h val="0.48782643548866733"/>
        </c:manualLayout>
      </c:layout>
      <c:barChart>
        <c:barDir val="col"/>
        <c:grouping val="clustered"/>
        <c:varyColors val="0"/>
        <c:ser>
          <c:idx val="0"/>
          <c:order val="0"/>
          <c:tx>
            <c:strRef>
              <c:f>Econ!$A$2</c:f>
              <c:strCache>
                <c:ptCount val="1"/>
                <c:pt idx="0">
                  <c:v>Trouble Paying for Basic Needs</c:v>
                </c:pt>
              </c:strCache>
            </c:strRef>
          </c:tx>
          <c:spPr>
            <a:solidFill>
              <a:schemeClr val="tx2">
                <a:lumMod val="75000"/>
                <a:lumOff val="2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Econ!$B$1:$D$1</c:f>
              <c:strCache>
                <c:ptCount val="3"/>
                <c:pt idx="0">
                  <c:v>Psychological Distress</c:v>
                </c:pt>
                <c:pt idx="1">
                  <c:v>Suicidal Ideation</c:v>
                </c:pt>
                <c:pt idx="2">
                  <c:v>Social Isolation</c:v>
                </c:pt>
              </c:strCache>
            </c:strRef>
          </c:cat>
          <c:val>
            <c:numRef>
              <c:f>Econ!$B$2:$D$2</c:f>
              <c:numCache>
                <c:formatCode>0.0%</c:formatCode>
                <c:ptCount val="3"/>
                <c:pt idx="0">
                  <c:v>0.35399999999999998</c:v>
                </c:pt>
                <c:pt idx="1">
                  <c:v>0.13600000000000001</c:v>
                </c:pt>
                <c:pt idx="2">
                  <c:v>0.25700000000000001</c:v>
                </c:pt>
              </c:numCache>
            </c:numRef>
          </c:val>
          <c:extLst>
            <c:ext xmlns:c16="http://schemas.microsoft.com/office/drawing/2014/chart" uri="{C3380CC4-5D6E-409C-BE32-E72D297353CC}">
              <c16:uniqueId val="{00000000-261A-42A0-8AEC-337F7DF3D3C3}"/>
            </c:ext>
          </c:extLst>
        </c:ser>
        <c:ser>
          <c:idx val="1"/>
          <c:order val="1"/>
          <c:tx>
            <c:strRef>
              <c:f>Econ!$A$3</c:f>
              <c:strCache>
                <c:ptCount val="1"/>
                <c:pt idx="0">
                  <c:v>No Trouble Paying for Basic Needs</c:v>
                </c:pt>
              </c:strCache>
            </c:strRef>
          </c:tx>
          <c:spPr>
            <a:solidFill>
              <a:schemeClr val="bg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Econ!$B$1:$D$1</c:f>
              <c:strCache>
                <c:ptCount val="3"/>
                <c:pt idx="0">
                  <c:v>Psychological Distress</c:v>
                </c:pt>
                <c:pt idx="1">
                  <c:v>Suicidal Ideation</c:v>
                </c:pt>
                <c:pt idx="2">
                  <c:v>Social Isolation</c:v>
                </c:pt>
              </c:strCache>
            </c:strRef>
          </c:cat>
          <c:val>
            <c:numRef>
              <c:f>Econ!$B$3:$D$3</c:f>
              <c:numCache>
                <c:formatCode>0.0%</c:formatCode>
                <c:ptCount val="3"/>
                <c:pt idx="0">
                  <c:v>8.1000000000000003E-2</c:v>
                </c:pt>
                <c:pt idx="1">
                  <c:v>4.7300000000000002E-2</c:v>
                </c:pt>
                <c:pt idx="2">
                  <c:v>6.4000000000000001E-2</c:v>
                </c:pt>
              </c:numCache>
            </c:numRef>
          </c:val>
          <c:extLst>
            <c:ext xmlns:c16="http://schemas.microsoft.com/office/drawing/2014/chart" uri="{C3380CC4-5D6E-409C-BE32-E72D297353CC}">
              <c16:uniqueId val="{00000001-261A-42A0-8AEC-337F7DF3D3C3}"/>
            </c:ext>
          </c:extLst>
        </c:ser>
        <c:dLbls>
          <c:showLegendKey val="0"/>
          <c:showVal val="0"/>
          <c:showCatName val="0"/>
          <c:showSerName val="0"/>
          <c:showPercent val="0"/>
          <c:showBubbleSize val="0"/>
        </c:dLbls>
        <c:gapWidth val="219"/>
        <c:overlap val="-27"/>
        <c:axId val="536440112"/>
        <c:axId val="536439392"/>
      </c:barChart>
      <c:catAx>
        <c:axId val="53644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36439392"/>
        <c:crosses val="autoZero"/>
        <c:auto val="1"/>
        <c:lblAlgn val="ctr"/>
        <c:lblOffset val="100"/>
        <c:noMultiLvlLbl val="0"/>
      </c:catAx>
      <c:valAx>
        <c:axId val="536439392"/>
        <c:scaling>
          <c:orientation val="minMax"/>
        </c:scaling>
        <c:delete val="0"/>
        <c:axPos val="l"/>
        <c:numFmt formatCode="0%" sourceLinked="0"/>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36440112"/>
        <c:crosses val="autoZero"/>
        <c:crossBetween val="between"/>
      </c:valAx>
      <c:spPr>
        <a:noFill/>
        <a:ln>
          <a:noFill/>
        </a:ln>
        <a:effectLst/>
      </c:spPr>
    </c:plotArea>
    <c:legend>
      <c:legendPos val="b"/>
      <c:layout>
        <c:manualLayout>
          <c:xMode val="edge"/>
          <c:yMode val="edge"/>
          <c:x val="4.9999870279806458E-2"/>
          <c:y val="0.76436704032685554"/>
          <c:w val="0.9"/>
          <c:h val="0.1108382141887436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Econ!$A$85</c:f>
              <c:strCache>
                <c:ptCount val="1"/>
                <c:pt idx="0">
                  <c:v>Trouble Paying for Any Basic Needs***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Econ!$B$84:$E$84</c:f>
              <c:strCache>
                <c:ptCount val="4"/>
                <c:pt idx="0">
                  <c:v>People of Color*</c:v>
                </c:pt>
                <c:pt idx="1">
                  <c:v>LGBQA Sexual Orientation**</c:v>
                </c:pt>
                <c:pt idx="2">
                  <c:v>Transgender Identity</c:v>
                </c:pt>
                <c:pt idx="3">
                  <c:v>People with Disabilities</c:v>
                </c:pt>
              </c:strCache>
            </c:strRef>
          </c:cat>
          <c:val>
            <c:numRef>
              <c:f>Econ!$B$85:$E$85</c:f>
              <c:numCache>
                <c:formatCode>0.0%</c:formatCode>
                <c:ptCount val="4"/>
                <c:pt idx="0">
                  <c:v>0.58499999999999996</c:v>
                </c:pt>
                <c:pt idx="1">
                  <c:v>0.77600000000000002</c:v>
                </c:pt>
                <c:pt idx="2">
                  <c:v>0.88900000000000001</c:v>
                </c:pt>
                <c:pt idx="3">
                  <c:v>0.72899999999999998</c:v>
                </c:pt>
              </c:numCache>
            </c:numRef>
          </c:val>
          <c:extLst>
            <c:ext xmlns:c16="http://schemas.microsoft.com/office/drawing/2014/chart" uri="{C3380CC4-5D6E-409C-BE32-E72D297353CC}">
              <c16:uniqueId val="{00000000-868D-434B-95E9-98CDCCA88207}"/>
            </c:ext>
          </c:extLst>
        </c:ser>
        <c:ser>
          <c:idx val="1"/>
          <c:order val="1"/>
          <c:tx>
            <c:strRef>
              <c:f>Econ!$A$86</c:f>
              <c:strCache>
                <c:ptCount val="1"/>
                <c:pt idx="0">
                  <c:v>No Trouble Paying for Basic Needs***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Econ!$B$84:$E$84</c:f>
              <c:strCache>
                <c:ptCount val="4"/>
                <c:pt idx="0">
                  <c:v>People of Color*</c:v>
                </c:pt>
                <c:pt idx="1">
                  <c:v>LGBQA Sexual Orientation**</c:v>
                </c:pt>
                <c:pt idx="2">
                  <c:v>Transgender Identity</c:v>
                </c:pt>
                <c:pt idx="3">
                  <c:v>People with Disabilities</c:v>
                </c:pt>
              </c:strCache>
            </c:strRef>
          </c:cat>
          <c:val>
            <c:numRef>
              <c:f>Econ!$B$86:$E$86</c:f>
              <c:numCache>
                <c:formatCode>0.0%</c:formatCode>
                <c:ptCount val="4"/>
                <c:pt idx="0">
                  <c:v>0.21199999999999999</c:v>
                </c:pt>
                <c:pt idx="1">
                  <c:v>0.39100000000000001</c:v>
                </c:pt>
                <c:pt idx="2">
                  <c:v>0.66</c:v>
                </c:pt>
                <c:pt idx="3">
                  <c:v>0.35</c:v>
                </c:pt>
              </c:numCache>
            </c:numRef>
          </c:val>
          <c:extLst>
            <c:ext xmlns:c16="http://schemas.microsoft.com/office/drawing/2014/chart" uri="{C3380CC4-5D6E-409C-BE32-E72D297353CC}">
              <c16:uniqueId val="{00000001-868D-434B-95E9-98CDCCA88207}"/>
            </c:ext>
          </c:extLst>
        </c:ser>
        <c:dLbls>
          <c:showLegendKey val="0"/>
          <c:showVal val="0"/>
          <c:showCatName val="0"/>
          <c:showSerName val="0"/>
          <c:showPercent val="0"/>
          <c:showBubbleSize val="0"/>
        </c:dLbls>
        <c:gapWidth val="219"/>
        <c:overlap val="-27"/>
        <c:axId val="726101152"/>
        <c:axId val="726101872"/>
      </c:barChart>
      <c:catAx>
        <c:axId val="726101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726101872"/>
        <c:crosses val="autoZero"/>
        <c:auto val="1"/>
        <c:lblAlgn val="ctr"/>
        <c:lblOffset val="100"/>
        <c:noMultiLvlLbl val="0"/>
      </c:catAx>
      <c:valAx>
        <c:axId val="726101872"/>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101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6" ma:contentTypeDescription="Create a new document." ma:contentTypeScope="" ma:versionID="f21956b4973b5fcbded2abcca61261a6">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9236597faee29a2451ea37cea2ebc0b4"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5104E-6888-4762-AA1D-E5484B1AD7A8}">
  <ds:schemaRefs>
    <ds:schemaRef ds:uri="http://schemas.microsoft.com/sharepoint/v3/contenttype/forms"/>
  </ds:schemaRefs>
</ds:datastoreItem>
</file>

<file path=customXml/itemProps2.xml><?xml version="1.0" encoding="utf-8"?>
<ds:datastoreItem xmlns:ds="http://schemas.openxmlformats.org/officeDocument/2006/customXml" ds:itemID="{F4BCFEE0-8EA4-4A07-94F1-BD041F0BFA42}">
  <ds:schemaRefs>
    <ds:schemaRef ds:uri="http://purl.org/dc/terms/"/>
    <ds:schemaRef ds:uri="8df8dc5e-e5f0-476b-aed9-3b59e9fde31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d325074-d398-43b9-9fad-f1a483cc331c"/>
    <ds:schemaRef ds:uri="http://www.w3.org/XML/1998/namespace"/>
    <ds:schemaRef ds:uri="http://purl.org/dc/dcmitype/"/>
  </ds:schemaRefs>
</ds:datastoreItem>
</file>

<file path=customXml/itemProps3.xml><?xml version="1.0" encoding="utf-8"?>
<ds:datastoreItem xmlns:ds="http://schemas.openxmlformats.org/officeDocument/2006/customXml" ds:itemID="{DB1813C8-646C-47A5-B021-468BBC9A3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1377</Words>
  <Characters>7850</Characters>
  <Application>Microsoft Office Word</Application>
  <DocSecurity>0</DocSecurity>
  <Lines>65</Lines>
  <Paragraphs>18</Paragraphs>
  <ScaleCrop>false</ScaleCrop>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Ta-wei (DPH)</dc:creator>
  <cp:keywords/>
  <dc:description/>
  <cp:lastModifiedBy>Lin, Ta-wei (DPH)</cp:lastModifiedBy>
  <cp:revision>21</cp:revision>
  <dcterms:created xsi:type="dcterms:W3CDTF">2024-10-24T13:59:00Z</dcterms:created>
  <dcterms:modified xsi:type="dcterms:W3CDTF">2024-11-01T20:04:00Z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