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c="http://schemas.openxmlformats.org/drawingml/2006/chart" mc:Ignorable="w14 w15 w16se w16cid w16 w16cex w16sdtdh w16du wp14">
  <w:body>
    <w:p w:rsidR="00026281" w:rsidP="018C4276" w:rsidRDefault="00026281" w14:paraId="497AFB07" w14:textId="4D6AE9CF">
      <w:pPr>
        <w:pStyle w:val="paragraph"/>
        <w:spacing w:before="0" w:beforeAutospacing="off" w:after="0" w:afterAutospacing="off"/>
        <w:textAlignment w:val="baseline"/>
        <w:rPr>
          <w:rFonts w:ascii="Segoe UI" w:hAnsi="Segoe UI" w:cs="Segoe UI"/>
          <w:sz w:val="18"/>
          <w:szCs w:val="18"/>
        </w:rPr>
      </w:pPr>
      <w:r w:rsidR="00026281">
        <w:rPr>
          <w:rStyle w:val="normaltextrun"/>
          <w:rFonts w:ascii="Aptos Display" w:hAnsi="Aptos Display" w:cs="Segoe UI"/>
          <w:b w:val="1"/>
          <w:bCs w:val="1"/>
          <w:color w:val="2F5496"/>
          <w:sz w:val="32"/>
          <w:szCs w:val="32"/>
          <w:shd w:val="clear" w:color="auto" w:fill="FFFFFF"/>
        </w:rPr>
        <w:t xml:space="preserve">2023 CHES Mental Health Report </w:t>
      </w:r>
      <w:r w:rsidR="30907833">
        <w:rPr>
          <w:rStyle w:val="normaltextrun"/>
          <w:rFonts w:ascii="Aptos Display" w:hAnsi="Aptos Display" w:cs="Segoe UI"/>
          <w:b w:val="1"/>
          <w:bCs w:val="1"/>
          <w:color w:val="2F5496"/>
          <w:sz w:val="32"/>
          <w:szCs w:val="32"/>
          <w:shd w:val="clear" w:color="auto" w:fill="FFFFFF"/>
        </w:rPr>
        <w:t xml:space="preserve">- </w:t>
      </w:r>
      <w:r w:rsidR="00026281">
        <w:rPr>
          <w:rStyle w:val="normaltextrun"/>
          <w:rFonts w:ascii="Aptos Display" w:hAnsi="Aptos Display" w:cs="Segoe UI"/>
          <w:b w:val="1"/>
          <w:bCs w:val="1"/>
          <w:color w:val="2F5496"/>
          <w:sz w:val="32"/>
          <w:szCs w:val="32"/>
          <w:shd w:val="clear" w:color="auto" w:fill="FFFFFF"/>
        </w:rPr>
        <w:t>Drivers of Mental Health Inequities</w:t>
      </w:r>
      <w:r w:rsidR="00026281">
        <w:rPr>
          <w:rStyle w:val="eop"/>
          <w:rFonts w:ascii="Aptos Display" w:hAnsi="Aptos Display" w:cs="Segoe UI"/>
          <w:color w:val="2F5496"/>
          <w:sz w:val="32"/>
          <w:szCs w:val="32"/>
        </w:rPr>
        <w:t> </w:t>
      </w:r>
    </w:p>
    <w:p w:rsidR="00026281" w:rsidP="00026281" w:rsidRDefault="008C00A0" w14:paraId="0DFD22F3" w14:textId="41206001">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color w:val="2F5496"/>
          <w:sz w:val="32"/>
          <w:szCs w:val="32"/>
          <w:shd w:val="clear" w:color="auto" w:fill="FFFFFF"/>
        </w:rPr>
        <w:t>Housing</w:t>
      </w:r>
      <w:r w:rsidR="00026281">
        <w:rPr>
          <w:rStyle w:val="normaltextrun"/>
          <w:rFonts w:ascii="Aptos Display" w:hAnsi="Aptos Display" w:cs="Segoe UI"/>
          <w:color w:val="2F5496"/>
          <w:sz w:val="32"/>
          <w:szCs w:val="32"/>
          <w:shd w:val="clear" w:color="auto" w:fill="FFFFFF"/>
        </w:rPr>
        <w:t xml:space="preserve"> and Mental Health</w:t>
      </w:r>
      <w:r w:rsidR="00026281">
        <w:rPr>
          <w:rStyle w:val="eop"/>
          <w:rFonts w:ascii="Aptos Display" w:hAnsi="Aptos Display" w:cs="Segoe UI"/>
          <w:color w:val="2F5496"/>
          <w:sz w:val="32"/>
          <w:szCs w:val="32"/>
        </w:rPr>
        <w:t> </w:t>
      </w:r>
    </w:p>
    <w:p w:rsidRPr="002D2B06" w:rsidR="00612A05" w:rsidRDefault="00FF2C07" w14:paraId="2C078E63" w14:textId="7682134E">
      <w:pPr>
        <w:rPr>
          <w:rFonts w:ascii="Aptos Light" w:hAnsi="Aptos Light"/>
        </w:rPr>
      </w:pPr>
      <w:r>
        <w:rPr>
          <w:rFonts w:ascii="Aptos Light" w:hAnsi="Aptos Light"/>
        </w:rPr>
        <w:br/>
      </w:r>
      <w:r w:rsidR="001A4954">
        <w:rPr>
          <w:rFonts w:ascii="Aptos Light" w:hAnsi="Aptos Light"/>
        </w:rPr>
        <w:t>T</w:t>
      </w:r>
      <w:r w:rsidRPr="002D2B06" w:rsidR="003B6122">
        <w:rPr>
          <w:rFonts w:ascii="Aptos Light" w:hAnsi="Aptos Light"/>
        </w:rPr>
        <w:t>he CHEI Health Inequities Framework</w:t>
      </w:r>
      <w:r w:rsidR="001A4954">
        <w:rPr>
          <w:rFonts w:ascii="Aptos Light" w:hAnsi="Aptos Light"/>
        </w:rPr>
        <w:t xml:space="preserve"> demonstrates that </w:t>
      </w:r>
      <w:r w:rsidRPr="002D2B06" w:rsidR="003B6122">
        <w:rPr>
          <w:rFonts w:ascii="Aptos Light" w:hAnsi="Aptos Light"/>
        </w:rPr>
        <w:t>there is no single pathway that leads to mental well-being and no single cause that fully explains why certain populations have worse mental health outcomes. Many individual-level, environmental, social, structural, and historical factors work together to influence overall mental health. This section will highlight findings from the 2023 CHES that help demonstrate how inequities in social opportunities, resources, and key exposures contribute to inequities in mental health outcomes.  </w:t>
      </w:r>
    </w:p>
    <w:p w:rsidRPr="002D2B06" w:rsidR="002D2B06" w:rsidP="002D2B06" w:rsidRDefault="002D2B06" w14:paraId="46921586" w14:textId="77777777">
      <w:pPr>
        <w:keepNext/>
        <w:keepLines/>
        <w:spacing w:before="160" w:after="80"/>
        <w:outlineLvl w:val="2"/>
        <w:rPr>
          <w:rFonts w:ascii="Aptos Light" w:hAnsi="Aptos Light" w:eastAsia="Yu Gothic Light" w:cs="Times New Roman"/>
          <w:b/>
          <w:bCs/>
          <w:color w:val="0F4761"/>
          <w:kern w:val="2"/>
          <w:sz w:val="24"/>
          <w:szCs w:val="24"/>
          <w14:ligatures w14:val="standardContextual"/>
        </w:rPr>
      </w:pPr>
      <w:bookmarkStart w:name="_Toc174622965" w:id="0"/>
      <w:r w:rsidRPr="002D2B06">
        <w:rPr>
          <w:rFonts w:ascii="Aptos Light" w:hAnsi="Aptos Light" w:eastAsia="Yu Gothic Light" w:cs="Times New Roman"/>
          <w:b/>
          <w:bCs/>
          <w:color w:val="0F4761"/>
          <w:kern w:val="2"/>
          <w:sz w:val="24"/>
          <w:szCs w:val="24"/>
          <w14:ligatures w14:val="standardContextual"/>
        </w:rPr>
        <w:t>Societal Resources</w:t>
      </w:r>
      <w:bookmarkEnd w:id="0"/>
    </w:p>
    <w:p w:rsidRPr="002D2B06" w:rsidR="002D2B06" w:rsidP="002D2B06" w:rsidRDefault="002D2B06" w14:paraId="6D508D45" w14:textId="77777777">
      <w:pPr>
        <w:rPr>
          <w:rFonts w:ascii="Aptos Light" w:hAnsi="Aptos Light" w:eastAsia="Aptos" w:cs="Arial"/>
          <w:kern w:val="2"/>
          <w14:ligatures w14:val="standardContextual"/>
        </w:rPr>
      </w:pPr>
      <w:r w:rsidRPr="002D2B06">
        <w:rPr>
          <w:rFonts w:ascii="Aptos Light" w:hAnsi="Aptos Light" w:eastAsia="Aptos" w:cs="Arial"/>
          <w:kern w:val="2"/>
          <w14:ligatures w14:val="standardContextual"/>
        </w:rPr>
        <w:t xml:space="preserve">Equitable access to important societal resources, such as housing, social support, technology, and transportation, are necessary to promote health equity. Access to these resources is closely connected to many of the social status opportunities described in the previous section. Economic stability, employment, and education can promote access and utilization of these resources to promote health. Policies, systems, and institutions create patterns of advantage and disadvantage that help shape inequities in resource access. CHES 2023 gathers important information on these key resources and connects them to mental health outcomes. The following sections will highlight findings related to three important societal resources: (1) Social Networks and Support, (2) Housing, and (3) Health Care Access. </w:t>
      </w:r>
    </w:p>
    <w:p w:rsidRPr="002D2B06" w:rsidR="002D2B06" w:rsidP="002D2B06" w:rsidRDefault="002D2B06" w14:paraId="464876DE" w14:textId="77777777">
      <w:pPr>
        <w:ind w:left="720"/>
        <w:rPr>
          <w:rFonts w:ascii="Aptos Light" w:hAnsi="Aptos Light" w:eastAsia="Aptos" w:cs="Arial"/>
          <w:kern w:val="2"/>
          <w14:ligatures w14:val="standardContextual"/>
        </w:rPr>
      </w:pPr>
      <w:r w:rsidRPr="002D2B06">
        <w:rPr>
          <w:rFonts w:ascii="Aptos Light" w:hAnsi="Aptos Light" w:eastAsia="Aptos" w:cs="Segoe UI"/>
          <w:noProof/>
          <w:color w:val="000000"/>
          <w:kern w:val="2"/>
          <w:sz w:val="18"/>
          <w:szCs w:val="18"/>
          <w14:ligatures w14:val="standardContextual"/>
        </w:rPr>
        <mc:AlternateContent>
          <mc:Choice Requires="wps">
            <w:drawing>
              <wp:anchor distT="0" distB="0" distL="114300" distR="114300" simplePos="0" relativeHeight="251658240" behindDoc="0" locked="0" layoutInCell="1" allowOverlap="1" wp14:anchorId="601288E2" wp14:editId="421A3DC3">
                <wp:simplePos x="0" y="0"/>
                <wp:positionH relativeFrom="column">
                  <wp:posOffset>3478242</wp:posOffset>
                </wp:positionH>
                <wp:positionV relativeFrom="paragraph">
                  <wp:posOffset>863253</wp:posOffset>
                </wp:positionV>
                <wp:extent cx="1490573" cy="765953"/>
                <wp:effectExtent l="19050" t="19050" r="14605" b="15240"/>
                <wp:wrapNone/>
                <wp:docPr id="997077935" name="Rectangle 41"/>
                <wp:cNvGraphicFramePr/>
                <a:graphic xmlns:a="http://schemas.openxmlformats.org/drawingml/2006/main">
                  <a:graphicData uri="http://schemas.microsoft.com/office/word/2010/wordprocessingShape">
                    <wps:wsp>
                      <wps:cNvSpPr/>
                      <wps:spPr>
                        <a:xfrm>
                          <a:off x="0" y="0"/>
                          <a:ext cx="1490573" cy="765953"/>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61611E7">
              <v:rect id="Rectangle 41" style="position:absolute;margin-left:273.9pt;margin-top:67.95pt;width:117.3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25504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"/>
            </w:pict>
          </mc:Fallback>
        </mc:AlternateContent>
      </w:r>
      <w:r w:rsidRPr="002D2B06">
        <w:rPr>
          <w:rFonts w:ascii="Aptos Light" w:hAnsi="Aptos Light" w:eastAsia="Aptos" w:cs="Arial"/>
          <w:noProof/>
          <w:kern w:val="2"/>
          <w14:ligatures w14:val="standardContextual"/>
        </w:rPr>
        <w:drawing>
          <wp:inline distT="0" distB="0" distL="0" distR="0" wp14:anchorId="03C03EC1" wp14:editId="2D401F8A">
            <wp:extent cx="6107502" cy="2473539"/>
            <wp:effectExtent l="0" t="0" r="7620" b="3175"/>
            <wp:docPr id="1321802874" name="Picture 1"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societal resources box to show that the following section will be focused on resources such as housing, social support, and health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02874" name="Picture 1"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societal resources box to show that the following section will be focused on resources such as housing, social support, and health resources."/>
                    <pic:cNvPicPr/>
                  </pic:nvPicPr>
                  <pic:blipFill>
                    <a:blip r:embed="rId10"/>
                    <a:stretch>
                      <a:fillRect/>
                    </a:stretch>
                  </pic:blipFill>
                  <pic:spPr>
                    <a:xfrm>
                      <a:off x="0" y="0"/>
                      <a:ext cx="6139460" cy="2486482"/>
                    </a:xfrm>
                    <a:prstGeom prst="rect">
                      <a:avLst/>
                    </a:prstGeom>
                  </pic:spPr>
                </pic:pic>
              </a:graphicData>
            </a:graphic>
          </wp:inline>
        </w:drawing>
      </w:r>
    </w:p>
    <w:p w:rsidRPr="00DE08CB" w:rsidR="00DE08CB" w:rsidP="00DE08CB" w:rsidRDefault="00DE08CB" w14:paraId="12DD1D2C" w14:textId="77777777">
      <w:pPr>
        <w:keepNext/>
        <w:keepLines/>
        <w:spacing w:before="80" w:after="40"/>
        <w:ind w:firstLine="720"/>
        <w:outlineLvl w:val="3"/>
        <w:rPr>
          <w:rFonts w:ascii="Aptos Light" w:hAnsi="Aptos Light" w:eastAsia="Yu Gothic Light" w:cs="Times New Roman"/>
          <w:b/>
          <w:bCs/>
          <w:i/>
          <w:iCs/>
          <w:color w:val="0F4761"/>
          <w:kern w:val="2"/>
          <w:sz w:val="24"/>
          <w:szCs w:val="24"/>
          <w14:ligatures w14:val="standardContextual"/>
        </w:rPr>
      </w:pPr>
      <w:bookmarkStart w:name="_Toc174622967" w:id="1"/>
      <w:r w:rsidRPr="00DE08CB">
        <w:rPr>
          <w:rFonts w:ascii="Aptos Light" w:hAnsi="Aptos Light" w:eastAsia="Yu Gothic Light" w:cs="Times New Roman"/>
          <w:b/>
          <w:bCs/>
          <w:i/>
          <w:iCs/>
          <w:color w:val="0F4761"/>
          <w:kern w:val="2"/>
          <w:sz w:val="24"/>
          <w:szCs w:val="24"/>
          <w14:ligatures w14:val="standardContextual"/>
        </w:rPr>
        <w:t>Housing</w:t>
      </w:r>
      <w:bookmarkEnd w:id="1"/>
    </w:p>
    <w:p w:rsidRPr="00DE08CB" w:rsidR="00DE08CB" w:rsidP="00DE08CB" w:rsidRDefault="00DE08CB" w14:paraId="47B4D49C" w14:textId="77777777">
      <w:pPr>
        <w:ind w:left="720"/>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 xml:space="preserve">As a key social determinant of health, housing plays a critical role in health and health equity. There are many aspects of housing that have important connections to mental health, as summarized in the figure below. </w:t>
      </w:r>
    </w:p>
    <w:p w:rsidR="00DF27E6" w:rsidRDefault="00DF27E6" w14:paraId="288503D6" w14:textId="77777777">
      <w:pPr>
        <w:rPr>
          <w:rFonts w:ascii="Aptos Light" w:hAnsi="Aptos Light" w:eastAsia="Aptos" w:cs="Arial"/>
          <w:i/>
          <w:iCs/>
          <w:color w:val="0E2841"/>
          <w:kern w:val="2"/>
          <w14:ligatures w14:val="standardContextual"/>
        </w:rPr>
      </w:pPr>
      <w:r>
        <w:rPr>
          <w:rFonts w:ascii="Aptos Light" w:hAnsi="Aptos Light" w:eastAsia="Aptos" w:cs="Arial"/>
          <w:i/>
          <w:iCs/>
          <w:color w:val="0E2841"/>
          <w:kern w:val="2"/>
          <w14:ligatures w14:val="standardContextual"/>
        </w:rPr>
        <w:br w:type="page"/>
      </w:r>
    </w:p>
    <w:p w:rsidRPr="00DE08CB" w:rsidR="00DE08CB" w:rsidP="00DE08CB" w:rsidRDefault="00DE08CB" w14:paraId="7F4D4447" w14:textId="0EDF5322">
      <w:pPr>
        <w:spacing w:after="200" w:line="240" w:lineRule="auto"/>
        <w:ind w:firstLine="720"/>
        <w:rPr>
          <w:rFonts w:ascii="Aptos Light" w:hAnsi="Aptos Light" w:eastAsia="Aptos" w:cs="Arial"/>
          <w:i/>
          <w:iCs/>
          <w:color w:val="0E2841"/>
          <w:kern w:val="2"/>
          <w:sz w:val="18"/>
          <w:szCs w:val="18"/>
          <w14:ligatures w14:val="standardContextual"/>
        </w:rPr>
      </w:pPr>
      <w:r w:rsidRPr="00DE08CB">
        <w:rPr>
          <w:rFonts w:ascii="Aptos Light" w:hAnsi="Aptos Light" w:eastAsia="Aptos" w:cs="Arial"/>
          <w:i/>
          <w:iCs/>
          <w:color w:val="0E2841"/>
          <w:kern w:val="2"/>
          <w14:ligatures w14:val="standardContextual"/>
        </w:rPr>
        <w:t xml:space="preserve">Figure </w:t>
      </w:r>
      <w:r w:rsidRPr="00DE08CB">
        <w:rPr>
          <w:rFonts w:ascii="Aptos Light" w:hAnsi="Aptos Light" w:eastAsia="Aptos" w:cs="Arial"/>
          <w:i/>
          <w:iCs/>
          <w:color w:val="0E2841"/>
          <w:kern w:val="2"/>
          <w14:ligatures w14:val="standardContextual"/>
        </w:rPr>
        <w:fldChar w:fldCharType="begin"/>
      </w:r>
      <w:r w:rsidRPr="00DE08CB">
        <w:rPr>
          <w:rFonts w:ascii="Aptos Light" w:hAnsi="Aptos Light" w:eastAsia="Aptos" w:cs="Arial"/>
          <w:i/>
          <w:iCs/>
          <w:color w:val="0E2841"/>
          <w:kern w:val="2"/>
          <w14:ligatures w14:val="standardContextual"/>
        </w:rPr>
        <w:instrText xml:space="preserve"> SEQ Figure \* ARABIC </w:instrText>
      </w:r>
      <w:r w:rsidRPr="00DE08CB">
        <w:rPr>
          <w:rFonts w:ascii="Aptos Light" w:hAnsi="Aptos Light" w:eastAsia="Aptos" w:cs="Arial"/>
          <w:i/>
          <w:iCs/>
          <w:color w:val="0E2841"/>
          <w:kern w:val="2"/>
          <w14:ligatures w14:val="standardContextual"/>
        </w:rPr>
        <w:fldChar w:fldCharType="separate"/>
      </w:r>
      <w:r w:rsidRPr="00DE08CB">
        <w:rPr>
          <w:rFonts w:ascii="Aptos Light" w:hAnsi="Aptos Light" w:eastAsia="Aptos" w:cs="Arial"/>
          <w:i/>
          <w:iCs/>
          <w:noProof/>
          <w:color w:val="0E2841"/>
          <w:kern w:val="2"/>
          <w14:ligatures w14:val="standardContextual"/>
        </w:rPr>
        <w:t>13</w:t>
      </w:r>
      <w:r w:rsidRPr="00DE08CB">
        <w:rPr>
          <w:rFonts w:ascii="Aptos Light" w:hAnsi="Aptos Light" w:eastAsia="Aptos" w:cs="Arial"/>
          <w:i/>
          <w:iCs/>
          <w:color w:val="0E2841"/>
          <w:kern w:val="2"/>
          <w14:ligatures w14:val="standardContextual"/>
        </w:rPr>
        <w:fldChar w:fldCharType="end"/>
      </w:r>
      <w:r w:rsidRPr="00DE08CB">
        <w:rPr>
          <w:rFonts w:ascii="Aptos Light" w:hAnsi="Aptos Light" w:eastAsia="Aptos" w:cs="Arial"/>
          <w:i/>
          <w:iCs/>
          <w:color w:val="0E2841"/>
          <w:kern w:val="2"/>
          <w14:ligatures w14:val="standardContextual"/>
        </w:rPr>
        <w:t>. Housing and Mental Health Pathways</w:t>
      </w:r>
    </w:p>
    <w:p w:rsidRPr="00DE08CB" w:rsidR="00DE08CB" w:rsidP="00DE08CB" w:rsidRDefault="00DE08CB" w14:paraId="52414F4E" w14:textId="77777777">
      <w:pPr>
        <w:rPr>
          <w:rFonts w:ascii="Aptos Light" w:hAnsi="Aptos Light" w:eastAsia="Aptos" w:cs="Arial"/>
          <w:kern w:val="2"/>
          <w14:ligatures w14:val="standardContextual"/>
        </w:rPr>
      </w:pPr>
      <w:r w:rsidRPr="00DE08CB">
        <w:rPr>
          <w:rFonts w:ascii="Aptos Light" w:hAnsi="Aptos Light" w:eastAsia="Aptos" w:cs="Arial"/>
          <w:noProof/>
          <w:kern w:val="2"/>
          <w14:ligatures w14:val="standardContextual"/>
        </w:rPr>
        <w:drawing>
          <wp:inline distT="0" distB="0" distL="0" distR="0" wp14:anchorId="0A2E6B7C" wp14:editId="4AB90FE8">
            <wp:extent cx="6858000" cy="3832860"/>
            <wp:effectExtent l="0" t="0" r="0" b="0"/>
            <wp:docPr id="1617658781" name="Picture 1" descr="Figure 13 shows a framework that connects various aspects of housing and mental health. Systems and policies impact the cost, supply, and distribution of housing. This in turn impacts neighborhood level housing factors, like neighborhood-level exposures and community resources, housing-level factors like quality and accessible design, and individual-level factors like housing affordability and housing stability. &#10;&#10;These factors in turn impacts various mid and downstream determinants of health, including environmental exposures, social networks &amp; supports, access to resources &amp; opportunities, exposure to violence, chronic stress, health-related behaviors, sleep quality, and access to basic needs. These mid and downstream determinants of health impacts health outcomes and health equ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58781" name="Picture 1" descr="Figure 13 shows a framework that connects various aspects of housing and mental health. Systems and policies impact the cost, supply, and distribution of housing. This in turn impacts neighborhood level housing factors, like neighborhood-level exposures and community resources, housing-level factors like quality and accessible design, and individual-level factors like housing affordability and housing stability. &#10;&#10;These factors in turn impacts various mid and downstream determinants of health, including environmental exposures, social networks &amp; supports, access to resources &amp; opportunities, exposure to violence, chronic stress, health-related behaviors, sleep quality, and access to basic needs. These mid and downstream determinants of health impacts health outcomes and health equity. "/>
                    <pic:cNvPicPr/>
                  </pic:nvPicPr>
                  <pic:blipFill>
                    <a:blip r:embed="rId11"/>
                    <a:stretch>
                      <a:fillRect/>
                    </a:stretch>
                  </pic:blipFill>
                  <pic:spPr>
                    <a:xfrm>
                      <a:off x="0" y="0"/>
                      <a:ext cx="6858000" cy="3832860"/>
                    </a:xfrm>
                    <a:prstGeom prst="rect">
                      <a:avLst/>
                    </a:prstGeom>
                  </pic:spPr>
                </pic:pic>
              </a:graphicData>
            </a:graphic>
          </wp:inline>
        </w:drawing>
      </w:r>
    </w:p>
    <w:p w:rsidRPr="00DE08CB" w:rsidR="00DE08CB" w:rsidP="00DE08CB" w:rsidRDefault="00DE08CB" w14:paraId="2E8C3263" w14:textId="77777777">
      <w:pPr>
        <w:keepNext/>
        <w:keepLines/>
        <w:spacing w:before="80" w:after="40"/>
        <w:ind w:firstLine="720"/>
        <w:outlineLvl w:val="4"/>
        <w:rPr>
          <w:rFonts w:ascii="Aptos Light" w:hAnsi="Aptos Light" w:eastAsia="Yu Gothic Light" w:cs="Times New Roman"/>
          <w:color w:val="0F4761"/>
          <w:kern w:val="2"/>
          <w:sz w:val="24"/>
          <w:szCs w:val="24"/>
          <w14:ligatures w14:val="standardContextual"/>
        </w:rPr>
      </w:pPr>
      <w:r w:rsidRPr="00DE08CB">
        <w:rPr>
          <w:rFonts w:ascii="Aptos Light" w:hAnsi="Aptos Light" w:eastAsia="Yu Gothic Light" w:cs="Times New Roman"/>
          <w:color w:val="0F4761"/>
          <w:kern w:val="2"/>
          <w:sz w:val="24"/>
          <w:szCs w:val="24"/>
          <w14:ligatures w14:val="standardContextual"/>
        </w:rPr>
        <w:t>Systems Level</w:t>
      </w:r>
    </w:p>
    <w:p w:rsidRPr="00DE08CB" w:rsidR="00DE08CB" w:rsidP="00DE08CB" w:rsidRDefault="00DE08CB" w14:paraId="5375CBA4" w14:textId="77777777">
      <w:pPr>
        <w:ind w:left="720"/>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Federal, state, and local regulations and policies, and macroeconomic factors shape the overall housing landscape, influencing the cost, supply, distribution, and quality of homes. These systems and policies create patterns of advantage and disadvantage, resulting in inequitable access to safe and affordable housing within and across communities resulting in inequities in access to intergenerational wealth-building, impacting long-term family security and community stability</w:t>
      </w:r>
      <w:r w:rsidRPr="00DE08CB">
        <w:rPr>
          <w:rFonts w:ascii="Aptos Light" w:hAnsi="Aptos Light" w:eastAsia="Aptos" w:cs="Arial"/>
          <w:kern w:val="2"/>
          <w:vertAlign w:val="superscript"/>
          <w14:ligatures w14:val="standardContextual"/>
        </w:rPr>
        <w:endnoteReference w:id="2"/>
      </w:r>
      <w:r w:rsidRPr="00DE08CB">
        <w:rPr>
          <w:rFonts w:ascii="Aptos Light" w:hAnsi="Aptos Light" w:eastAsia="Aptos" w:cs="Arial"/>
          <w:kern w:val="2"/>
          <w14:ligatures w14:val="standardContextual"/>
        </w:rPr>
        <w:t xml:space="preserve">. </w:t>
      </w:r>
      <w:r w:rsidRPr="00DE08CB">
        <w:rPr>
          <w:rFonts w:ascii="Aptos Light" w:hAnsi="Aptos Light" w:eastAsia="Aptos" w:cs="Arial"/>
          <w:color w:val="000000"/>
          <w:kern w:val="2"/>
          <w:shd w:val="clear" w:color="auto" w:fill="FFFFFF"/>
          <w14:ligatures w14:val="standardContextual"/>
        </w:rPr>
        <w:t>As an example, historical laws, policies, and institutional practices that enforced racial segregation in the U.S. created and maintained racially distinct neighborhoods and communities and led to unjust home devaluation and neighborhood disinvestment within communities of color</w:t>
      </w:r>
      <w:r w:rsidRPr="00DE08CB">
        <w:rPr>
          <w:rFonts w:ascii="Aptos Light" w:hAnsi="Aptos Light" w:eastAsia="Aptos" w:cs="Arial"/>
          <w:kern w:val="2"/>
          <w:vertAlign w:val="superscript"/>
          <w14:ligatures w14:val="standardContextual"/>
        </w:rPr>
        <w:endnoteReference w:id="3"/>
      </w:r>
      <w:r w:rsidRPr="00DE08CB">
        <w:rPr>
          <w:rFonts w:ascii="Aptos Light" w:hAnsi="Aptos Light" w:eastAsia="Aptos" w:cs="Arial"/>
          <w:color w:val="000000"/>
          <w:kern w:val="2"/>
          <w:shd w:val="clear" w:color="auto" w:fill="FFFFFF"/>
          <w14:ligatures w14:val="standardContextual"/>
        </w:rPr>
        <w:t>. Past and present-day laws, policies, and practices related to segregation continue to drive economic inequity, patterns of violence and crime, and concentrations of poor health across communities.  </w:t>
      </w:r>
    </w:p>
    <w:p w:rsidRPr="00DE08CB" w:rsidR="00DE08CB" w:rsidP="00DE08CB" w:rsidRDefault="00DE08CB" w14:paraId="69123DF3" w14:textId="77777777">
      <w:pPr>
        <w:keepNext/>
        <w:keepLines/>
        <w:spacing w:before="80" w:after="40"/>
        <w:ind w:firstLine="720"/>
        <w:outlineLvl w:val="4"/>
        <w:rPr>
          <w:rFonts w:ascii="Aptos Light" w:hAnsi="Aptos Light" w:eastAsia="Yu Gothic Light" w:cs="Times New Roman"/>
          <w:color w:val="0F4761"/>
          <w:kern w:val="2"/>
          <w:sz w:val="24"/>
          <w:szCs w:val="24"/>
          <w14:ligatures w14:val="standardContextual"/>
        </w:rPr>
      </w:pPr>
      <w:r w:rsidRPr="00DE08CB">
        <w:rPr>
          <w:rFonts w:ascii="Aptos Light" w:hAnsi="Aptos Light" w:eastAsia="Yu Gothic Light" w:cs="Times New Roman"/>
          <w:color w:val="0F4761"/>
          <w:kern w:val="2"/>
          <w:sz w:val="24"/>
          <w:szCs w:val="24"/>
          <w14:ligatures w14:val="standardContextual"/>
        </w:rPr>
        <w:t>Neighborhood Level</w:t>
      </w:r>
    </w:p>
    <w:p w:rsidRPr="00DE08CB" w:rsidR="00DE08CB" w:rsidP="00DE08CB" w:rsidRDefault="00DE08CB" w14:paraId="7BDF7847" w14:textId="77777777">
      <w:pPr>
        <w:ind w:left="720"/>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Where we live strongly influences our level of access to community resources that influence our health, such as transportation, green space, and educational and job opportunities. Our neighborhoods also influence our social networks and levels of social support, which serve as important facilitators for positive mental health and well-being. Key exposures at the neighborhood level, such as violence, crime, and environmental hazards, also increase our risk for poor health outcomes. Exposure to neighborhood violence and crime, which are shaped by systemic racism, segregation, land use, and social control, can lead to poor mental health outcomes like chronic and post-traumatic stress</w:t>
      </w:r>
      <w:r w:rsidRPr="00DE08CB">
        <w:rPr>
          <w:rFonts w:ascii="Aptos Light" w:hAnsi="Aptos Light" w:eastAsia="Aptos" w:cs="Arial"/>
          <w:kern w:val="2"/>
          <w:vertAlign w:val="superscript"/>
          <w14:ligatures w14:val="standardContextual"/>
        </w:rPr>
        <w:endnoteReference w:id="4"/>
      </w:r>
      <w:r w:rsidRPr="00DE08CB">
        <w:rPr>
          <w:rFonts w:ascii="Aptos Light" w:hAnsi="Aptos Light" w:eastAsia="Aptos" w:cs="Arial"/>
          <w:kern w:val="2"/>
          <w14:ligatures w14:val="standardContextual"/>
        </w:rPr>
        <w:t>. Environmental risk factors like air pollution, water quality, hazardous waste, noise, extreme temperature, and weather events strongly influence our physical and mental health</w:t>
      </w:r>
      <w:r w:rsidRPr="00DE08CB">
        <w:rPr>
          <w:rFonts w:ascii="Aptos Light" w:hAnsi="Aptos Light" w:eastAsia="Aptos" w:cs="Arial"/>
          <w:kern w:val="2"/>
          <w:vertAlign w:val="superscript"/>
          <w14:ligatures w14:val="standardContextual"/>
        </w:rPr>
        <w:endnoteReference w:id="5"/>
      </w:r>
      <w:r w:rsidRPr="00DE08CB">
        <w:rPr>
          <w:rFonts w:ascii="Aptos Light" w:hAnsi="Aptos Light" w:eastAsia="Aptos" w:cs="Arial"/>
          <w:kern w:val="2"/>
          <w14:ligatures w14:val="standardContextual"/>
        </w:rPr>
        <w:t>. Inequities in environmental exposures that disproportionately impact specific populations and groups, including many communities of color, are likely to worsen as a result of climate change</w:t>
      </w:r>
      <w:r w:rsidRPr="00DE08CB">
        <w:rPr>
          <w:rFonts w:ascii="Aptos Light" w:hAnsi="Aptos Light" w:eastAsia="Aptos" w:cs="Arial"/>
          <w:kern w:val="2"/>
          <w:vertAlign w:val="superscript"/>
          <w14:ligatures w14:val="standardContextual"/>
        </w:rPr>
        <w:endnoteReference w:id="6"/>
      </w:r>
      <w:r w:rsidRPr="00DE08CB">
        <w:rPr>
          <w:rFonts w:ascii="Aptos Light" w:hAnsi="Aptos Light" w:eastAsia="Aptos" w:cs="Arial"/>
          <w:kern w:val="2"/>
          <w14:ligatures w14:val="standardContextual"/>
        </w:rPr>
        <w:t>.  </w:t>
      </w:r>
    </w:p>
    <w:p w:rsidRPr="00DE08CB" w:rsidR="00DE08CB" w:rsidP="00DE08CB" w:rsidRDefault="00DE08CB" w14:paraId="4716364D" w14:textId="77777777">
      <w:pPr>
        <w:keepNext/>
        <w:keepLines/>
        <w:spacing w:before="80" w:after="40"/>
        <w:ind w:firstLine="720"/>
        <w:outlineLvl w:val="4"/>
        <w:rPr>
          <w:rFonts w:ascii="Aptos Light" w:hAnsi="Aptos Light" w:eastAsia="Yu Gothic Light" w:cs="Times New Roman"/>
          <w:color w:val="0F4761"/>
          <w:kern w:val="2"/>
          <w:sz w:val="24"/>
          <w:szCs w:val="24"/>
          <w14:ligatures w14:val="standardContextual"/>
        </w:rPr>
      </w:pPr>
      <w:r w:rsidRPr="00DE08CB">
        <w:rPr>
          <w:rFonts w:ascii="Aptos Light" w:hAnsi="Aptos Light" w:eastAsia="Yu Gothic Light" w:cs="Times New Roman"/>
          <w:color w:val="0F4761"/>
          <w:kern w:val="2"/>
          <w:sz w:val="24"/>
          <w:szCs w:val="24"/>
          <w14:ligatures w14:val="standardContextual"/>
        </w:rPr>
        <w:t>Housing Level</w:t>
      </w:r>
    </w:p>
    <w:p w:rsidRPr="00DE08CB" w:rsidR="00DE08CB" w:rsidP="00DE08CB" w:rsidRDefault="00DE08CB" w14:paraId="3A2E0137" w14:textId="77777777">
      <w:pPr>
        <w:ind w:left="720"/>
        <w:rPr>
          <w:rFonts w:ascii="Aptos Light" w:hAnsi="Aptos Light" w:eastAsia="Aptos" w:cs="Arial"/>
          <w:color w:val="000000"/>
          <w:kern w:val="2"/>
          <w:shd w:val="clear" w:color="auto" w:fill="FFFFFF"/>
          <w14:ligatures w14:val="standardContextual"/>
        </w:rPr>
      </w:pPr>
      <w:r w:rsidRPr="00DE08CB">
        <w:rPr>
          <w:rFonts w:ascii="Aptos Light" w:hAnsi="Aptos Light" w:eastAsia="Aptos" w:cs="Arial"/>
          <w:color w:val="000000"/>
          <w:kern w:val="2"/>
          <w:shd w:val="clear" w:color="auto" w:fill="FFFFFF"/>
          <w14:ligatures w14:val="standardContextual"/>
        </w:rPr>
        <w:t>Housing conditions, quality, and design impact health-related household exposures that individuals may experience in their homes. Household-level hazards like lead and carbon monoxide</w:t>
      </w:r>
      <w:r w:rsidRPr="00DE08CB">
        <w:rPr>
          <w:rFonts w:ascii="Aptos Light" w:hAnsi="Aptos Light" w:eastAsia="Aptos" w:cs="Arial"/>
          <w:kern w:val="2"/>
          <w:vertAlign w:val="superscript"/>
          <w14:ligatures w14:val="standardContextual"/>
        </w:rPr>
        <w:endnoteReference w:id="7"/>
      </w:r>
      <w:r w:rsidRPr="00DE08CB">
        <w:rPr>
          <w:rFonts w:ascii="Aptos Light" w:hAnsi="Aptos Light" w:eastAsia="Aptos" w:cs="Arial"/>
          <w:color w:val="000000"/>
          <w:kern w:val="2"/>
          <w:shd w:val="clear" w:color="auto" w:fill="FFFFFF"/>
          <w14:ligatures w14:val="standardContextual"/>
        </w:rPr>
        <w:t xml:space="preserve">, extreme hot and cold </w:t>
      </w:r>
      <w:r w:rsidRPr="00DE08CB">
        <w:rPr>
          <w:rFonts w:ascii="Aptos Light" w:hAnsi="Aptos Light" w:eastAsia="Aptos" w:cs="Arial"/>
          <w:color w:val="000000"/>
          <w:kern w:val="2"/>
          <w:shd w:val="clear" w:color="auto" w:fill="FFFFFF"/>
          <w14:ligatures w14:val="standardContextual"/>
        </w:rPr>
        <w:t>temperatures, and exposures such as pests and mold can lead to or exacerbate chronic conditions, infectious diseases, and chronic stress</w:t>
      </w:r>
      <w:r w:rsidRPr="00DE08CB">
        <w:rPr>
          <w:rFonts w:ascii="Aptos Light" w:hAnsi="Aptos Light" w:eastAsia="Aptos" w:cs="Arial"/>
          <w:kern w:val="2"/>
          <w:vertAlign w:val="superscript"/>
          <w14:ligatures w14:val="standardContextual"/>
        </w:rPr>
        <w:endnoteReference w:id="8"/>
      </w:r>
      <w:r w:rsidRPr="00DE08CB">
        <w:rPr>
          <w:rFonts w:ascii="Aptos Light" w:hAnsi="Aptos Light" w:eastAsia="Aptos" w:cs="Arial"/>
          <w:color w:val="000000"/>
          <w:kern w:val="2"/>
          <w:shd w:val="clear" w:color="auto" w:fill="FFFFFF"/>
          <w14:ligatures w14:val="standardContextual"/>
        </w:rPr>
        <w:t>. Poor housing quality and inaccessible housing design can also inhibit physical access and mobility within the home and can increase risk of physical injury, especially for individuals with disabilities</w:t>
      </w:r>
      <w:r w:rsidRPr="00DE08CB">
        <w:rPr>
          <w:rFonts w:ascii="Aptos Light" w:hAnsi="Aptos Light" w:eastAsia="Aptos" w:cs="Arial"/>
          <w:color w:val="000000"/>
          <w:kern w:val="2"/>
          <w:shd w:val="clear" w:color="auto" w:fill="FFFFFF"/>
          <w:vertAlign w:val="superscript"/>
          <w14:ligatures w14:val="standardContextual"/>
        </w:rPr>
        <w:endnoteReference w:id="9"/>
      </w:r>
      <w:r w:rsidRPr="00DE08CB">
        <w:rPr>
          <w:rFonts w:ascii="Aptos Light" w:hAnsi="Aptos Light" w:eastAsia="Aptos" w:cs="Arial"/>
          <w:color w:val="000000"/>
          <w:kern w:val="2"/>
          <w:shd w:val="clear" w:color="auto" w:fill="FFFFFF"/>
          <w14:ligatures w14:val="standardContextual"/>
        </w:rPr>
        <w:t xml:space="preserve">. </w:t>
      </w:r>
    </w:p>
    <w:p w:rsidRPr="00DE08CB" w:rsidR="00DE08CB" w:rsidP="00DE08CB" w:rsidRDefault="00DE08CB" w14:paraId="11F15B46" w14:textId="77777777">
      <w:pPr>
        <w:keepNext/>
        <w:keepLines/>
        <w:spacing w:before="80" w:after="40"/>
        <w:ind w:firstLine="720"/>
        <w:outlineLvl w:val="4"/>
        <w:rPr>
          <w:rFonts w:ascii="Aptos Light" w:hAnsi="Aptos Light" w:eastAsia="Yu Gothic Light" w:cs="Times New Roman"/>
          <w:color w:val="156082"/>
          <w:kern w:val="2"/>
          <w:sz w:val="24"/>
          <w:szCs w:val="24"/>
          <w14:textFill>
            <w14:solidFill>
              <w14:srgbClr w14:val="156082">
                <w14:lumMod w14:val="75000"/>
              </w14:srgbClr>
            </w14:solidFill>
          </w14:textFill>
          <w14:ligatures w14:val="standardContextual"/>
        </w:rPr>
      </w:pPr>
      <w:r w:rsidRPr="00DE08CB">
        <w:rPr>
          <w:rFonts w:ascii="Aptos Light" w:hAnsi="Aptos Light" w:eastAsia="Yu Gothic Light" w:cs="Times New Roman"/>
          <w:color w:val="156082"/>
          <w:kern w:val="2"/>
          <w:sz w:val="24"/>
          <w:szCs w:val="24"/>
          <w:shd w:val="clear" w:color="auto" w:fill="FFFFFF"/>
          <w14:textFill>
            <w14:solidFill>
              <w14:srgbClr w14:val="156082">
                <w14:lumMod w14:val="75000"/>
              </w14:srgbClr>
            </w14:solidFill>
          </w14:textFill>
          <w14:ligatures w14:val="standardContextual"/>
        </w:rPr>
        <w:t>Individuals and Families</w:t>
      </w:r>
    </w:p>
    <w:p w:rsidRPr="00DE08CB" w:rsidR="00DE08CB" w:rsidP="00DE08CB" w:rsidRDefault="00DE08CB" w14:paraId="73473A0F" w14:textId="77777777">
      <w:pPr>
        <w:ind w:left="720"/>
        <w:rPr>
          <w:rFonts w:ascii="Aptos Light" w:hAnsi="Aptos Light" w:eastAsia="Aptos" w:cs="Arial"/>
          <w:color w:val="000000"/>
          <w:kern w:val="2"/>
          <w:shd w:val="clear" w:color="auto" w:fill="FFFFFF"/>
          <w14:ligatures w14:val="standardContextual"/>
        </w:rPr>
      </w:pPr>
      <w:r w:rsidRPr="00DE08CB">
        <w:rPr>
          <w:rFonts w:ascii="Aptos Light" w:hAnsi="Aptos Light" w:eastAsia="Aptos" w:cs="Arial"/>
          <w:color w:val="000000"/>
          <w:kern w:val="2"/>
          <w:shd w:val="clear" w:color="auto" w:fill="FFFFFF"/>
          <w14:ligatures w14:val="standardContextual"/>
        </w:rPr>
        <w:t>Individual and family-level dimensions of housing also play an essential role in health. Housing affordability is closely tied to overall economic stability and access to basic needs. Individuals and families that spend a high percentage of their income on rent, mortgage, and other housing-related costs are at higher risk for food insecurity and poor health outcomes</w:t>
      </w:r>
      <w:r w:rsidRPr="00DE08CB">
        <w:rPr>
          <w:rFonts w:ascii="Aptos Light" w:hAnsi="Aptos Light" w:eastAsia="Aptos" w:cs="Arial"/>
          <w:kern w:val="2"/>
          <w:vertAlign w:val="superscript"/>
          <w14:ligatures w14:val="standardContextual"/>
        </w:rPr>
        <w:endnoteReference w:id="10"/>
      </w:r>
      <w:r w:rsidRPr="00DE08CB">
        <w:rPr>
          <w:rFonts w:ascii="Aptos Light" w:hAnsi="Aptos Light" w:eastAsia="Aptos" w:cs="Arial"/>
          <w:color w:val="000000"/>
          <w:kern w:val="2"/>
          <w:shd w:val="clear" w:color="auto" w:fill="FFFFFF"/>
          <w14:ligatures w14:val="standardContextual"/>
        </w:rPr>
        <w:t>. Housing unaffordability can also lead to overcrowding, which can negatively impact relationships and lead to poor sleep quality and chronic stress</w:t>
      </w:r>
      <w:r w:rsidRPr="00DE08CB">
        <w:rPr>
          <w:rFonts w:ascii="Aptos Light" w:hAnsi="Aptos Light" w:eastAsia="Aptos" w:cs="Arial"/>
          <w:kern w:val="2"/>
          <w:vertAlign w:val="superscript"/>
          <w14:ligatures w14:val="standardContextual"/>
        </w:rPr>
        <w:endnoteReference w:id="11"/>
      </w:r>
      <w:r w:rsidRPr="00DE08CB">
        <w:rPr>
          <w:rFonts w:ascii="Aptos Light" w:hAnsi="Aptos Light" w:eastAsia="Aptos" w:cs="Arial"/>
          <w:color w:val="000000"/>
          <w:kern w:val="2"/>
          <w:shd w:val="clear" w:color="auto" w:fill="FFFFFF"/>
          <w14:ligatures w14:val="standardContextual"/>
        </w:rPr>
        <w:t xml:space="preserve">. </w:t>
      </w:r>
    </w:p>
    <w:p w:rsidRPr="00DE08CB" w:rsidR="00DE08CB" w:rsidP="00DE08CB" w:rsidRDefault="00DE08CB" w14:paraId="0E8B430B" w14:textId="77777777">
      <w:pPr>
        <w:ind w:left="720"/>
        <w:rPr>
          <w:rFonts w:ascii="Aptos Light" w:hAnsi="Aptos Light" w:eastAsia="Aptos" w:cs="Arial"/>
          <w:kern w:val="2"/>
          <w14:ligatures w14:val="standardContextual"/>
        </w:rPr>
      </w:pPr>
      <w:r w:rsidRPr="00DE08CB">
        <w:rPr>
          <w:rFonts w:ascii="Aptos Light" w:hAnsi="Aptos Light" w:eastAsia="Aptos" w:cs="Arial"/>
          <w:color w:val="000000"/>
          <w:kern w:val="2"/>
          <w:shd w:val="clear" w:color="auto" w:fill="FFFFFF"/>
          <w14:ligatures w14:val="standardContextual"/>
        </w:rPr>
        <w:t>Housing stability has also been shown to be an important facilitator of overall health. People in unstable or uncertain living arrangements are at higher risk for depression, anxiety, substance use, psychological distress, and suicide</w:t>
      </w:r>
      <w:r w:rsidRPr="00DE08CB">
        <w:rPr>
          <w:rFonts w:ascii="Aptos Light" w:hAnsi="Aptos Light" w:eastAsia="Aptos" w:cs="Arial"/>
          <w:kern w:val="2"/>
          <w:vertAlign w:val="superscript"/>
          <w14:ligatures w14:val="standardContextual"/>
        </w:rPr>
        <w:endnoteReference w:id="12"/>
      </w:r>
      <w:r w:rsidRPr="00DE08CB">
        <w:rPr>
          <w:rFonts w:ascii="Aptos Light" w:hAnsi="Aptos Light" w:eastAsia="Aptos" w:cs="Arial"/>
          <w:color w:val="000000"/>
          <w:kern w:val="2"/>
          <w:shd w:val="clear" w:color="auto" w:fill="FFFFFF"/>
          <w14:ligatures w14:val="standardContextual"/>
        </w:rPr>
        <w:t>. Acute and chronic homelessness, the most extreme forms of housing instability, has a dramatic impact on physical and mental health. People who experience homelessness die nearly 30 years earlier than the average American</w:t>
      </w:r>
      <w:r w:rsidRPr="00DE08CB">
        <w:rPr>
          <w:rFonts w:ascii="Aptos Light" w:hAnsi="Aptos Light" w:eastAsia="Aptos" w:cs="Arial"/>
          <w:kern w:val="2"/>
          <w:vertAlign w:val="superscript"/>
          <w14:ligatures w14:val="standardContextual"/>
        </w:rPr>
        <w:endnoteReference w:id="13"/>
      </w:r>
      <w:r w:rsidRPr="00DE08CB">
        <w:rPr>
          <w:rFonts w:ascii="Aptos Light" w:hAnsi="Aptos Light" w:eastAsia="Aptos" w:cs="Arial"/>
          <w:color w:val="000000"/>
          <w:kern w:val="2"/>
          <w:shd w:val="clear" w:color="auto" w:fill="FFFFFF"/>
          <w14:ligatures w14:val="standardContextual"/>
        </w:rPr>
        <w:t>.</w:t>
      </w:r>
      <w:r w:rsidRPr="00DE08CB">
        <w:rPr>
          <w:rFonts w:ascii="Aptos Light" w:hAnsi="Aptos Light" w:eastAsia="Aptos" w:cs="Arial"/>
          <w:kern w:val="2"/>
          <w14:ligatures w14:val="standardContextual"/>
        </w:rPr>
        <w:t xml:space="preserve"> </w:t>
      </w:r>
      <w:r w:rsidRPr="00DE08CB">
        <w:rPr>
          <w:rFonts w:ascii="Aptos Light" w:hAnsi="Aptos Light" w:eastAsia="Aptos" w:cs="Arial"/>
          <w:color w:val="000000"/>
          <w:kern w:val="2"/>
          <w:shd w:val="clear" w:color="auto" w:fill="FFFFFF"/>
          <w14:ligatures w14:val="standardContextual"/>
        </w:rPr>
        <w:t>Children are particularly vulnerable to the negative health impacts related to housing instability and can experience higher rates of malnutrition, vaccine-preventable infectious diseases, asthma, obesity, and dental and vision problems, as well as emotional, behavioral, and developmental issues. Consequently, these children miss more school and are less successful academically. Families with children with special health care needs are more likely to fall behind in rent or mortgage payments and experience homelessness, creating a cycle of poor health, housing insecurity, and poverty from an early age.</w:t>
      </w:r>
    </w:p>
    <w:p w:rsidRPr="00DE08CB" w:rsidR="00DE08CB" w:rsidP="00DE08CB" w:rsidRDefault="00DE08CB" w14:paraId="0F97BE90" w14:textId="77777777">
      <w:pPr>
        <w:ind w:left="720"/>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The 2023 CHES</w:t>
      </w:r>
      <w:r w:rsidRPr="00DE08CB" w:rsidDel="00336FBF">
        <w:rPr>
          <w:rFonts w:ascii="Aptos Light" w:hAnsi="Aptos Light" w:eastAsia="Aptos" w:cs="Arial"/>
          <w:kern w:val="2"/>
          <w14:ligatures w14:val="standardContextual"/>
        </w:rPr>
        <w:t xml:space="preserve"> </w:t>
      </w:r>
      <w:r w:rsidRPr="00DE08CB">
        <w:rPr>
          <w:rFonts w:ascii="Aptos Light" w:hAnsi="Aptos Light" w:eastAsia="Aptos" w:cs="Arial"/>
          <w:kern w:val="2"/>
          <w14:ligatures w14:val="standardContextual"/>
        </w:rPr>
        <w:t xml:space="preserve">collected important information related to housing, including affordability, neighborhood-level violence, and environmental exposures within the home.  These include: </w:t>
      </w:r>
    </w:p>
    <w:p w:rsidRPr="00DE08CB" w:rsidR="00DE08CB" w:rsidP="00DE08CB" w:rsidRDefault="00DE08CB" w14:paraId="4B764B51" w14:textId="77777777">
      <w:pPr>
        <w:numPr>
          <w:ilvl w:val="0"/>
          <w:numId w:val="5"/>
        </w:numPr>
        <w:contextualSpacing/>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Trouble paying for housing and housing-related expenses.</w:t>
      </w:r>
    </w:p>
    <w:p w:rsidRPr="00DE08CB" w:rsidR="00DE08CB" w:rsidP="00DE08CB" w:rsidRDefault="00DE08CB" w14:paraId="14343453" w14:textId="77777777">
      <w:pPr>
        <w:numPr>
          <w:ilvl w:val="0"/>
          <w:numId w:val="5"/>
        </w:numPr>
        <w:contextualSpacing/>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 xml:space="preserve">Housing </w:t>
      </w:r>
      <w:proofErr w:type="gramStart"/>
      <w:r w:rsidRPr="00DE08CB">
        <w:rPr>
          <w:rFonts w:ascii="Aptos Light" w:hAnsi="Aptos Light" w:eastAsia="Aptos" w:cs="Arial"/>
          <w:kern w:val="2"/>
          <w14:ligatures w14:val="standardContextual"/>
        </w:rPr>
        <w:t>stability, or</w:t>
      </w:r>
      <w:proofErr w:type="gramEnd"/>
      <w:r w:rsidRPr="00DE08CB">
        <w:rPr>
          <w:rFonts w:ascii="Aptos Light" w:hAnsi="Aptos Light" w:eastAsia="Aptos" w:cs="Arial"/>
          <w:kern w:val="2"/>
          <w14:ligatures w14:val="standardContextual"/>
        </w:rPr>
        <w:t xml:space="preserve"> having a steady place to live.</w:t>
      </w:r>
    </w:p>
    <w:p w:rsidRPr="00DE08CB" w:rsidR="00DE08CB" w:rsidP="00DE08CB" w:rsidRDefault="00DE08CB" w14:paraId="31C81C16" w14:textId="77777777">
      <w:pPr>
        <w:numPr>
          <w:ilvl w:val="0"/>
          <w:numId w:val="5"/>
        </w:numPr>
        <w:contextualSpacing/>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Current living arrangements.</w:t>
      </w:r>
    </w:p>
    <w:p w:rsidRPr="00DE08CB" w:rsidR="00DE08CB" w:rsidP="00DE08CB" w:rsidRDefault="00DE08CB" w14:paraId="64EA39DA" w14:textId="77777777">
      <w:pPr>
        <w:numPr>
          <w:ilvl w:val="0"/>
          <w:numId w:val="5"/>
        </w:numPr>
        <w:contextualSpacing/>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Problems in the home (including lead paint or pipes, mold or water leaks, too hot during the summer, not enough heat in the winter, and pests).</w:t>
      </w:r>
    </w:p>
    <w:p w:rsidRPr="00DE08CB" w:rsidR="00DE08CB" w:rsidP="00DE08CB" w:rsidRDefault="00DE08CB" w14:paraId="08BA5370" w14:textId="77777777">
      <w:pPr>
        <w:ind w:left="720"/>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br w:type="page"/>
      </w:r>
    </w:p>
    <w:p w:rsidRPr="00DE08CB" w:rsidR="00DE08CB" w:rsidP="00DE08CB" w:rsidRDefault="00DE08CB" w14:paraId="6F1FB119" w14:textId="77777777">
      <w:pPr>
        <w:spacing w:after="200" w:line="240" w:lineRule="auto"/>
        <w:ind w:firstLine="720"/>
        <w:rPr>
          <w:rFonts w:ascii="Aptos Light" w:hAnsi="Aptos Light" w:eastAsia="Aptos" w:cs="Arial"/>
          <w:b/>
          <w:bCs/>
          <w:i/>
          <w:iCs/>
          <w:color w:val="0E2841"/>
          <w:kern w:val="2"/>
          <w14:ligatures w14:val="standardContextual"/>
        </w:rPr>
      </w:pPr>
      <w:bookmarkStart w:name="_Toc174604048" w:id="2"/>
      <w:r w:rsidRPr="00DE08CB">
        <w:rPr>
          <w:rFonts w:ascii="Aptos Light" w:hAnsi="Aptos Light" w:eastAsia="Aptos" w:cs="Arial"/>
          <w:i/>
          <w:iCs/>
          <w:color w:val="0E2841"/>
          <w:kern w:val="2"/>
          <w14:ligatures w14:val="standardContextual"/>
        </w:rPr>
        <w:t xml:space="preserve">Table </w:t>
      </w:r>
      <w:r w:rsidRPr="00DE08CB">
        <w:rPr>
          <w:rFonts w:ascii="Aptos Light" w:hAnsi="Aptos Light" w:eastAsia="Aptos" w:cs="Arial"/>
          <w:i/>
          <w:iCs/>
          <w:color w:val="0E2841"/>
          <w:kern w:val="2"/>
          <w14:ligatures w14:val="standardContextual"/>
        </w:rPr>
        <w:fldChar w:fldCharType="begin"/>
      </w:r>
      <w:r w:rsidRPr="00DE08CB">
        <w:rPr>
          <w:rFonts w:ascii="Aptos Light" w:hAnsi="Aptos Light" w:eastAsia="Aptos" w:cs="Arial"/>
          <w:i/>
          <w:iCs/>
          <w:color w:val="0E2841"/>
          <w:kern w:val="2"/>
          <w14:ligatures w14:val="standardContextual"/>
        </w:rPr>
        <w:instrText xml:space="preserve"> SEQ Table \* ARABIC </w:instrText>
      </w:r>
      <w:r w:rsidRPr="00DE08CB">
        <w:rPr>
          <w:rFonts w:ascii="Aptos Light" w:hAnsi="Aptos Light" w:eastAsia="Aptos" w:cs="Arial"/>
          <w:i/>
          <w:iCs/>
          <w:color w:val="0E2841"/>
          <w:kern w:val="2"/>
          <w14:ligatures w14:val="standardContextual"/>
        </w:rPr>
        <w:fldChar w:fldCharType="separate"/>
      </w:r>
      <w:r w:rsidRPr="00DE08CB">
        <w:rPr>
          <w:rFonts w:ascii="Aptos Light" w:hAnsi="Aptos Light" w:eastAsia="Aptos" w:cs="Arial"/>
          <w:i/>
          <w:iCs/>
          <w:noProof/>
          <w:color w:val="0E2841"/>
          <w:kern w:val="2"/>
          <w14:ligatures w14:val="standardContextual"/>
        </w:rPr>
        <w:t>10</w:t>
      </w:r>
      <w:r w:rsidRPr="00DE08CB">
        <w:rPr>
          <w:rFonts w:ascii="Aptos Light" w:hAnsi="Aptos Light" w:eastAsia="Aptos" w:cs="Arial"/>
          <w:i/>
          <w:iCs/>
          <w:color w:val="0E2841"/>
          <w:kern w:val="2"/>
          <w14:ligatures w14:val="standardContextual"/>
        </w:rPr>
        <w:fldChar w:fldCharType="end"/>
      </w:r>
      <w:r w:rsidRPr="00DE08CB">
        <w:rPr>
          <w:rFonts w:ascii="Aptos Light" w:hAnsi="Aptos Light" w:eastAsia="Aptos" w:cs="Arial"/>
          <w:i/>
          <w:iCs/>
          <w:color w:val="0E2841"/>
          <w:kern w:val="2"/>
          <w14:ligatures w14:val="standardContextual"/>
        </w:rPr>
        <w:t>. 2023 CHES - Adult Housing and Mental Health Indicators</w:t>
      </w:r>
      <w:bookmarkEnd w:id="2"/>
    </w:p>
    <w:tbl>
      <w:tblPr>
        <w:tblW w:w="10155" w:type="dxa"/>
        <w:tblInd w:w="720" w:type="dxa"/>
        <w:tblLayout w:type="fixed"/>
        <w:tblCellMar>
          <w:top w:w="15" w:type="dxa"/>
          <w:left w:w="15" w:type="dxa"/>
          <w:bottom w:w="15" w:type="dxa"/>
          <w:right w:w="15" w:type="dxa"/>
        </w:tblCellMar>
        <w:tblLook w:val="04A0" w:firstRow="1" w:lastRow="0" w:firstColumn="1" w:lastColumn="0" w:noHBand="0" w:noVBand="1"/>
      </w:tblPr>
      <w:tblGrid>
        <w:gridCol w:w="4140"/>
        <w:gridCol w:w="2430"/>
        <w:gridCol w:w="1530"/>
        <w:gridCol w:w="2055"/>
      </w:tblGrid>
      <w:tr w:rsidRPr="00DE08CB" w:rsidR="00DE08CB" w:rsidTr="004164B3" w14:paraId="05B4C83D" w14:textId="77777777">
        <w:trPr>
          <w:trHeight w:val="50"/>
          <w:tblHeader/>
        </w:trPr>
        <w:tc>
          <w:tcPr>
            <w:tcW w:w="4140" w:type="dxa"/>
            <w:tcBorders>
              <w:top w:val="single" w:color="auto" w:sz="12" w:space="0"/>
              <w:bottom w:val="single" w:color="auto" w:sz="12" w:space="0"/>
            </w:tcBorders>
            <w:tcMar>
              <w:top w:w="100" w:type="dxa"/>
              <w:left w:w="100" w:type="dxa"/>
              <w:bottom w:w="100" w:type="dxa"/>
              <w:right w:w="100" w:type="dxa"/>
            </w:tcMar>
            <w:hideMark/>
          </w:tcPr>
          <w:p w:rsidRPr="00DE08CB" w:rsidR="00DE08CB" w:rsidP="00DE08CB" w:rsidRDefault="00DE08CB" w14:paraId="2DD9FBE0" w14:textId="77777777">
            <w:pPr>
              <w:spacing w:after="0" w:line="240" w:lineRule="auto"/>
              <w:jc w:val="center"/>
              <w:rPr>
                <w:rFonts w:ascii="Aptos Light" w:hAnsi="Aptos Light" w:eastAsia="Times New Roman" w:cs="Times New Roman"/>
                <w:b/>
                <w:bCs/>
                <w:kern w:val="2"/>
                <w:sz w:val="18"/>
                <w:szCs w:val="18"/>
                <w14:ligatures w14:val="standardContextual"/>
              </w:rPr>
            </w:pPr>
          </w:p>
        </w:tc>
        <w:tc>
          <w:tcPr>
            <w:tcW w:w="2430" w:type="dxa"/>
            <w:tcBorders>
              <w:top w:val="single" w:color="auto" w:sz="12" w:space="0"/>
              <w:bottom w:val="single" w:color="auto" w:sz="12" w:space="0"/>
            </w:tcBorders>
            <w:tcMar>
              <w:top w:w="100" w:type="dxa"/>
              <w:left w:w="100" w:type="dxa"/>
              <w:bottom w:w="100" w:type="dxa"/>
              <w:right w:w="100" w:type="dxa"/>
            </w:tcMar>
            <w:hideMark/>
          </w:tcPr>
          <w:p w:rsidRPr="00DE08CB" w:rsidR="00DE08CB" w:rsidP="00DE08CB" w:rsidRDefault="00DE08CB" w14:paraId="1EA09A84" w14:textId="77777777">
            <w:pPr>
              <w:spacing w:after="0" w:line="240" w:lineRule="auto"/>
              <w:jc w:val="center"/>
              <w:rPr>
                <w:rFonts w:ascii="Aptos Light" w:hAnsi="Aptos Light" w:eastAsia="Times New Roman" w:cs="Arial"/>
                <w:b/>
                <w:color w:val="000000"/>
                <w:kern w:val="2"/>
                <w:sz w:val="18"/>
                <w:szCs w:val="18"/>
                <w14:ligatures w14:val="standardContextual"/>
              </w:rPr>
            </w:pPr>
            <w:r w:rsidRPr="00DE08CB">
              <w:rPr>
                <w:rFonts w:ascii="Aptos Light" w:hAnsi="Aptos Light" w:eastAsia="Times New Roman" w:cs="Arial"/>
                <w:b/>
                <w:color w:val="000000"/>
                <w:kern w:val="2"/>
                <w:sz w:val="18"/>
                <w:szCs w:val="18"/>
                <w14:ligatures w14:val="standardContextual"/>
              </w:rPr>
              <w:t xml:space="preserve">Psychological Distress – </w:t>
            </w:r>
            <w:r w:rsidRPr="00DE08CB">
              <w:rPr>
                <w:rFonts w:ascii="Aptos Light" w:hAnsi="Aptos Light" w:eastAsia="Aptos" w:cs="Arial"/>
                <w:kern w:val="2"/>
                <w14:ligatures w14:val="standardContextual"/>
              </w:rPr>
              <w:br/>
            </w:r>
            <w:r w:rsidRPr="00DE08CB">
              <w:rPr>
                <w:rFonts w:ascii="Aptos Light" w:hAnsi="Aptos Light" w:eastAsia="Times New Roman" w:cs="Arial"/>
                <w:b/>
                <w:bCs/>
                <w:color w:val="000000"/>
                <w:kern w:val="2"/>
                <w:sz w:val="18"/>
                <w:szCs w:val="18"/>
                <w14:ligatures w14:val="standardContextual"/>
              </w:rPr>
              <w:t>High/</w:t>
            </w:r>
            <w:r w:rsidRPr="00DE08CB">
              <w:rPr>
                <w:rFonts w:ascii="Aptos Light" w:hAnsi="Aptos Light" w:eastAsia="Times New Roman" w:cs="Arial"/>
                <w:b/>
                <w:color w:val="000000"/>
                <w:kern w:val="2"/>
                <w:sz w:val="18"/>
                <w:szCs w:val="18"/>
                <w14:ligatures w14:val="standardContextual"/>
              </w:rPr>
              <w:t>Very High</w:t>
            </w:r>
          </w:p>
          <w:p w:rsidRPr="00DE08CB" w:rsidR="00DE08CB" w:rsidP="00DE08CB" w:rsidRDefault="00DE08CB" w14:paraId="12548123" w14:textId="77777777">
            <w:pPr>
              <w:spacing w:after="0" w:line="240" w:lineRule="auto"/>
              <w:jc w:val="center"/>
              <w:rPr>
                <w:rFonts w:ascii="Aptos Light" w:hAnsi="Aptos Light" w:eastAsia="Times New Roman" w:cs="Times New Roman"/>
                <w:b/>
                <w:bCs/>
                <w:kern w:val="2"/>
                <w:sz w:val="18"/>
                <w:szCs w:val="18"/>
                <w14:ligatures w14:val="standardContextual"/>
              </w:rPr>
            </w:pPr>
            <w:r w:rsidRPr="00DE08CB">
              <w:rPr>
                <w:rFonts w:ascii="Aptos Light" w:hAnsi="Aptos Light" w:eastAsia="Times New Roman" w:cs="Arial"/>
                <w:b/>
                <w:color w:val="000000"/>
                <w:kern w:val="2"/>
                <w:sz w:val="18"/>
                <w:szCs w:val="18"/>
                <w14:ligatures w14:val="standardContextual"/>
              </w:rPr>
              <w:t>Weighted %</w:t>
            </w:r>
          </w:p>
        </w:tc>
        <w:tc>
          <w:tcPr>
            <w:tcW w:w="1530" w:type="dxa"/>
            <w:tcBorders>
              <w:top w:val="single" w:color="auto" w:sz="12" w:space="0"/>
              <w:bottom w:val="single" w:color="auto" w:sz="12" w:space="0"/>
            </w:tcBorders>
            <w:tcMar>
              <w:top w:w="100" w:type="dxa"/>
              <w:left w:w="100" w:type="dxa"/>
              <w:bottom w:w="100" w:type="dxa"/>
              <w:right w:w="100" w:type="dxa"/>
            </w:tcMar>
            <w:hideMark/>
          </w:tcPr>
          <w:p w:rsidRPr="00DE08CB" w:rsidR="00DE08CB" w:rsidP="00DE08CB" w:rsidRDefault="00DE08CB" w14:paraId="4EEAE49F" w14:textId="77777777">
            <w:pPr>
              <w:spacing w:after="0" w:line="240" w:lineRule="auto"/>
              <w:jc w:val="center"/>
              <w:rPr>
                <w:rFonts w:ascii="Aptos Light" w:hAnsi="Aptos Light" w:eastAsia="Times New Roman" w:cs="Arial"/>
                <w:b/>
                <w:bCs/>
                <w:color w:val="000000"/>
                <w:kern w:val="2"/>
                <w:sz w:val="18"/>
                <w:szCs w:val="18"/>
                <w14:ligatures w14:val="standardContextual"/>
              </w:rPr>
            </w:pPr>
            <w:r w:rsidRPr="00DE08CB">
              <w:rPr>
                <w:rFonts w:ascii="Aptos Light" w:hAnsi="Aptos Light" w:eastAsia="Times New Roman" w:cs="Arial"/>
                <w:b/>
                <w:bCs/>
                <w:color w:val="000000"/>
                <w:kern w:val="2"/>
                <w:sz w:val="18"/>
                <w:szCs w:val="18"/>
                <w14:ligatures w14:val="standardContextual"/>
              </w:rPr>
              <w:t>Suicidal Ideation</w:t>
            </w:r>
          </w:p>
          <w:p w:rsidRPr="00DE08CB" w:rsidR="00DE08CB" w:rsidP="00DE08CB" w:rsidRDefault="00DE08CB" w14:paraId="2451777D" w14:textId="77777777">
            <w:pPr>
              <w:spacing w:after="0" w:line="240" w:lineRule="auto"/>
              <w:jc w:val="center"/>
              <w:rPr>
                <w:rFonts w:ascii="Aptos Light" w:hAnsi="Aptos Light" w:eastAsia="Times New Roman" w:cs="Times New Roman"/>
                <w:b/>
                <w:bCs/>
                <w:kern w:val="2"/>
                <w:sz w:val="18"/>
                <w:szCs w:val="18"/>
                <w14:ligatures w14:val="standardContextual"/>
              </w:rPr>
            </w:pPr>
            <w:r w:rsidRPr="00DE08CB">
              <w:rPr>
                <w:rFonts w:ascii="Aptos Light" w:hAnsi="Aptos Light" w:eastAsia="Times New Roman" w:cs="Arial"/>
                <w:b/>
                <w:color w:val="000000"/>
                <w:kern w:val="2"/>
                <w:sz w:val="18"/>
                <w:szCs w:val="18"/>
                <w14:ligatures w14:val="standardContextual"/>
              </w:rPr>
              <w:t>Weighted %</w:t>
            </w:r>
          </w:p>
        </w:tc>
        <w:tc>
          <w:tcPr>
            <w:tcW w:w="2055" w:type="dxa"/>
            <w:tcBorders>
              <w:top w:val="single" w:color="auto" w:sz="12" w:space="0"/>
              <w:bottom w:val="single" w:color="auto" w:sz="12" w:space="0"/>
            </w:tcBorders>
            <w:tcMar>
              <w:top w:w="100" w:type="dxa"/>
              <w:left w:w="100" w:type="dxa"/>
              <w:bottom w:w="100" w:type="dxa"/>
              <w:right w:w="100" w:type="dxa"/>
            </w:tcMar>
            <w:hideMark/>
          </w:tcPr>
          <w:p w:rsidRPr="00DE08CB" w:rsidR="00DE08CB" w:rsidP="00DE08CB" w:rsidRDefault="00DE08CB" w14:paraId="6461B413" w14:textId="77777777">
            <w:pPr>
              <w:spacing w:after="0" w:line="240" w:lineRule="auto"/>
              <w:jc w:val="center"/>
              <w:rPr>
                <w:rFonts w:ascii="Aptos Light" w:hAnsi="Aptos Light" w:eastAsia="Times New Roman" w:cs="Arial"/>
                <w:b/>
                <w:bCs/>
                <w:color w:val="000000"/>
                <w:kern w:val="2"/>
                <w:sz w:val="18"/>
                <w:szCs w:val="18"/>
                <w14:ligatures w14:val="standardContextual"/>
              </w:rPr>
            </w:pPr>
            <w:r w:rsidRPr="00DE08CB">
              <w:rPr>
                <w:rFonts w:ascii="Aptos Light" w:hAnsi="Aptos Light" w:eastAsia="Times New Roman" w:cs="Arial"/>
                <w:b/>
                <w:bCs/>
                <w:color w:val="000000"/>
                <w:kern w:val="2"/>
                <w:sz w:val="18"/>
                <w:szCs w:val="18"/>
                <w14:ligatures w14:val="standardContextual"/>
              </w:rPr>
              <w:t>Social Isolation</w:t>
            </w:r>
          </w:p>
          <w:p w:rsidRPr="00DE08CB" w:rsidR="00DE08CB" w:rsidP="00DE08CB" w:rsidRDefault="00DE08CB" w14:paraId="1346298D" w14:textId="77777777">
            <w:pPr>
              <w:spacing w:after="0" w:line="240" w:lineRule="auto"/>
              <w:jc w:val="center"/>
              <w:rPr>
                <w:rFonts w:ascii="Aptos Light" w:hAnsi="Aptos Light" w:eastAsia="Times New Roman" w:cs="Times New Roman"/>
                <w:b/>
                <w:bCs/>
                <w:kern w:val="2"/>
                <w:sz w:val="18"/>
                <w:szCs w:val="18"/>
                <w14:ligatures w14:val="standardContextual"/>
              </w:rPr>
            </w:pPr>
            <w:r w:rsidRPr="00DE08CB">
              <w:rPr>
                <w:rFonts w:ascii="Aptos Light" w:hAnsi="Aptos Light" w:eastAsia="Times New Roman" w:cs="Arial"/>
                <w:b/>
                <w:color w:val="000000"/>
                <w:kern w:val="2"/>
                <w:sz w:val="18"/>
                <w:szCs w:val="18"/>
                <w14:ligatures w14:val="standardContextual"/>
              </w:rPr>
              <w:t>Weighted %</w:t>
            </w:r>
          </w:p>
        </w:tc>
      </w:tr>
      <w:tr w:rsidRPr="00DE08CB" w:rsidR="00DE08CB" w:rsidTr="00DE08CB" w14:paraId="66340791" w14:textId="77777777">
        <w:trPr>
          <w:trHeight w:val="24"/>
          <w:tblHeader/>
        </w:trPr>
        <w:tc>
          <w:tcPr>
            <w:tcW w:w="4140" w:type="dxa"/>
            <w:tcBorders>
              <w:top w:val="single" w:color="auto" w:sz="2" w:space="0"/>
              <w:bottom w:val="single" w:color="BFBFBF" w:sz="2" w:space="0"/>
            </w:tcBorders>
            <w:tcMar>
              <w:top w:w="0" w:type="dxa"/>
              <w:left w:w="100" w:type="dxa"/>
              <w:bottom w:w="0" w:type="dxa"/>
              <w:right w:w="100" w:type="dxa"/>
            </w:tcMar>
            <w:vAlign w:val="center"/>
          </w:tcPr>
          <w:p w:rsidRPr="00DE08CB" w:rsidR="00DE08CB" w:rsidP="00DE08CB" w:rsidRDefault="00DE08CB" w14:paraId="0372809D" w14:textId="77777777">
            <w:pPr>
              <w:spacing w:after="0" w:line="240" w:lineRule="auto"/>
              <w:rPr>
                <w:rFonts w:ascii="Aptos Light" w:hAnsi="Aptos Light" w:eastAsia="Times New Roman" w:cs="Arial"/>
                <w:b/>
                <w:bCs/>
                <w:color w:val="000000"/>
                <w:kern w:val="2"/>
                <w:sz w:val="18"/>
                <w:szCs w:val="18"/>
                <w14:ligatures w14:val="standardContextual"/>
              </w:rPr>
            </w:pPr>
            <w:r w:rsidRPr="00DE08CB">
              <w:rPr>
                <w:rFonts w:ascii="Aptos Light" w:hAnsi="Aptos Light" w:eastAsia="Times New Roman" w:cs="Arial"/>
                <w:b/>
                <w:bCs/>
                <w:color w:val="000000"/>
                <w:kern w:val="2"/>
                <w:sz w:val="18"/>
                <w:szCs w:val="18"/>
                <w14:ligatures w14:val="standardContextual"/>
              </w:rPr>
              <w:t>Expenses (past year)</w:t>
            </w:r>
          </w:p>
        </w:tc>
        <w:tc>
          <w:tcPr>
            <w:tcW w:w="2430" w:type="dxa"/>
            <w:tcBorders>
              <w:top w:val="single" w:color="auto" w:sz="2" w:space="0"/>
              <w:bottom w:val="single" w:color="BFBFBF" w:sz="2" w:space="0"/>
            </w:tcBorders>
            <w:tcMar>
              <w:top w:w="100" w:type="dxa"/>
              <w:left w:w="100" w:type="dxa"/>
              <w:bottom w:w="100" w:type="dxa"/>
              <w:right w:w="100" w:type="dxa"/>
            </w:tcMar>
            <w:vAlign w:val="center"/>
          </w:tcPr>
          <w:p w:rsidRPr="00DE08CB" w:rsidR="00DE08CB" w:rsidP="00DE08CB" w:rsidRDefault="00DE08CB" w14:paraId="5ABCC034" w14:textId="77777777">
            <w:pPr>
              <w:spacing w:after="0" w:line="240" w:lineRule="auto"/>
              <w:jc w:val="center"/>
              <w:rPr>
                <w:rFonts w:ascii="Aptos Light" w:hAnsi="Aptos Light" w:eastAsia="Times New Roman" w:cs="Arial"/>
                <w:color w:val="000000"/>
                <w:kern w:val="2"/>
                <w:sz w:val="18"/>
                <w:szCs w:val="18"/>
                <w14:ligatures w14:val="standardContextual"/>
              </w:rPr>
            </w:pPr>
          </w:p>
        </w:tc>
        <w:tc>
          <w:tcPr>
            <w:tcW w:w="1530" w:type="dxa"/>
            <w:tcBorders>
              <w:top w:val="single" w:color="auto" w:sz="2" w:space="0"/>
              <w:bottom w:val="single" w:color="BFBFBF" w:sz="2" w:space="0"/>
            </w:tcBorders>
            <w:tcMar>
              <w:top w:w="100" w:type="dxa"/>
              <w:left w:w="100" w:type="dxa"/>
              <w:bottom w:w="100" w:type="dxa"/>
              <w:right w:w="100" w:type="dxa"/>
            </w:tcMar>
            <w:vAlign w:val="center"/>
          </w:tcPr>
          <w:p w:rsidRPr="00DE08CB" w:rsidR="00DE08CB" w:rsidP="00DE08CB" w:rsidRDefault="00DE08CB" w14:paraId="16267B70" w14:textId="77777777">
            <w:pPr>
              <w:spacing w:after="0" w:line="240" w:lineRule="auto"/>
              <w:jc w:val="center"/>
              <w:rPr>
                <w:rFonts w:ascii="Aptos Light" w:hAnsi="Aptos Light" w:eastAsia="Times New Roman" w:cs="Arial"/>
                <w:color w:val="000000"/>
                <w:kern w:val="2"/>
                <w:sz w:val="18"/>
                <w:szCs w:val="18"/>
                <w14:ligatures w14:val="standardContextual"/>
              </w:rPr>
            </w:pPr>
          </w:p>
        </w:tc>
        <w:tc>
          <w:tcPr>
            <w:tcW w:w="2055" w:type="dxa"/>
            <w:tcBorders>
              <w:top w:val="single" w:color="auto" w:sz="2" w:space="0"/>
              <w:bottom w:val="single" w:color="BFBFBF" w:sz="2" w:space="0"/>
            </w:tcBorders>
            <w:tcMar>
              <w:top w:w="100" w:type="dxa"/>
              <w:left w:w="100" w:type="dxa"/>
              <w:bottom w:w="100" w:type="dxa"/>
              <w:right w:w="100" w:type="dxa"/>
            </w:tcMar>
            <w:vAlign w:val="center"/>
          </w:tcPr>
          <w:p w:rsidRPr="00DE08CB" w:rsidR="00DE08CB" w:rsidP="00DE08CB" w:rsidRDefault="00DE08CB" w14:paraId="5D5A246B" w14:textId="77777777">
            <w:pPr>
              <w:spacing w:after="0" w:line="240" w:lineRule="auto"/>
              <w:jc w:val="center"/>
              <w:rPr>
                <w:rFonts w:ascii="Aptos Light" w:hAnsi="Aptos Light" w:eastAsia="Times New Roman" w:cs="Arial"/>
                <w:color w:val="000000"/>
                <w:kern w:val="2"/>
                <w:sz w:val="18"/>
                <w:szCs w:val="18"/>
                <w14:ligatures w14:val="standardContextual"/>
              </w:rPr>
            </w:pPr>
          </w:p>
        </w:tc>
      </w:tr>
      <w:tr w:rsidRPr="00DE08CB" w:rsidR="00DE08CB" w:rsidTr="00DE08CB" w14:paraId="08C9851A" w14:textId="77777777">
        <w:trPr>
          <w:trHeight w:val="25"/>
          <w:tblHeader/>
        </w:trPr>
        <w:tc>
          <w:tcPr>
            <w:tcW w:w="4140" w:type="dxa"/>
            <w:tcBorders>
              <w:top w:val="single" w:color="BFBFBF" w:sz="2" w:space="0"/>
              <w:bottom w:val="single" w:color="BFBFBF" w:sz="2" w:space="0"/>
            </w:tcBorders>
            <w:tcMar>
              <w:top w:w="0" w:type="dxa"/>
              <w:left w:w="100" w:type="dxa"/>
              <w:bottom w:w="0" w:type="dxa"/>
              <w:right w:w="100" w:type="dxa"/>
            </w:tcMar>
          </w:tcPr>
          <w:p w:rsidRPr="00DE08CB" w:rsidR="00DE08CB" w:rsidP="00DE08CB" w:rsidRDefault="00DE08CB" w14:paraId="751338B0" w14:textId="77777777">
            <w:pPr>
              <w:spacing w:after="0" w:line="240" w:lineRule="auto"/>
              <w:ind w:left="255"/>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Trouble Paying for Housing Expenses</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7D72B12B"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63.9***</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3403BAEE"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16.2***</w:t>
            </w:r>
          </w:p>
        </w:tc>
        <w:tc>
          <w:tcPr>
            <w:tcW w:w="2055"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0E26FD21"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30.1***</w:t>
            </w:r>
          </w:p>
        </w:tc>
      </w:tr>
      <w:tr w:rsidRPr="00DE08CB" w:rsidR="00DE08CB" w:rsidTr="00DE08CB" w14:paraId="368791DE" w14:textId="77777777">
        <w:trPr>
          <w:trHeight w:val="25"/>
          <w:tblHeader/>
        </w:trPr>
        <w:tc>
          <w:tcPr>
            <w:tcW w:w="4140" w:type="dxa"/>
            <w:tcBorders>
              <w:top w:val="single" w:color="BFBFBF" w:sz="2" w:space="0"/>
              <w:bottom w:val="single" w:color="BFBFBF" w:sz="2" w:space="0"/>
            </w:tcBorders>
            <w:tcMar>
              <w:top w:w="0" w:type="dxa"/>
              <w:left w:w="100" w:type="dxa"/>
              <w:bottom w:w="0" w:type="dxa"/>
              <w:right w:w="100" w:type="dxa"/>
            </w:tcMar>
          </w:tcPr>
          <w:p w:rsidRPr="00DE08CB" w:rsidR="00DE08CB" w:rsidP="00DE08CB" w:rsidRDefault="00DE08CB" w14:paraId="3603ED12" w14:textId="77777777">
            <w:pPr>
              <w:spacing w:after="0" w:line="240" w:lineRule="auto"/>
              <w:ind w:left="255"/>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 xml:space="preserve">No Trouble Paying for Housing Expenses </w:t>
            </w:r>
            <w:r w:rsidRPr="00DE08CB">
              <w:rPr>
                <w:rFonts w:ascii="Aptos Light" w:hAnsi="Aptos Light" w:eastAsia="Times New Roman" w:cs="Times New Roman"/>
                <w:i/>
                <w:iCs/>
                <w:kern w:val="2"/>
                <w:sz w:val="18"/>
                <w:szCs w:val="18"/>
                <w14:ligatures w14:val="standardContextual"/>
              </w:rPr>
              <w:t>(ref)</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4FAA8EF9"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25.0</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5D3BD294"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5.7</w:t>
            </w:r>
          </w:p>
        </w:tc>
        <w:tc>
          <w:tcPr>
            <w:tcW w:w="2055"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5B0A55B9"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9.2</w:t>
            </w:r>
          </w:p>
        </w:tc>
      </w:tr>
      <w:tr w:rsidRPr="00DE08CB" w:rsidR="00DE08CB" w:rsidTr="00DE08CB" w14:paraId="4D1F38E0" w14:textId="77777777">
        <w:trPr>
          <w:trHeight w:val="25"/>
          <w:tblHeader/>
        </w:trPr>
        <w:tc>
          <w:tcPr>
            <w:tcW w:w="4140" w:type="dxa"/>
            <w:tcBorders>
              <w:top w:val="single" w:color="BFBFBF" w:sz="2" w:space="0"/>
              <w:bottom w:val="single" w:color="BFBFBF" w:sz="2" w:space="0"/>
            </w:tcBorders>
            <w:tcMar>
              <w:top w:w="0" w:type="dxa"/>
              <w:left w:w="100" w:type="dxa"/>
              <w:bottom w:w="0" w:type="dxa"/>
              <w:right w:w="100" w:type="dxa"/>
            </w:tcMar>
          </w:tcPr>
          <w:p w:rsidRPr="00DE08CB" w:rsidR="00DE08CB" w:rsidP="00DE08CB" w:rsidRDefault="00DE08CB" w14:paraId="09F3CE90" w14:textId="77777777">
            <w:pPr>
              <w:spacing w:after="0" w:line="240" w:lineRule="auto"/>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b/>
                <w:bCs/>
                <w:kern w:val="2"/>
                <w:sz w:val="18"/>
                <w:szCs w:val="18"/>
                <w14:ligatures w14:val="standardContextual"/>
              </w:rPr>
              <w:t>Housing Stability</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694826C7"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1004908A"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2055"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1A29B55C"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DE08CB" w:rsidR="00DE08CB" w:rsidTr="00DE08CB" w14:paraId="3A4DA834" w14:textId="77777777">
        <w:trPr>
          <w:trHeight w:val="25"/>
          <w:tblHeader/>
        </w:trPr>
        <w:tc>
          <w:tcPr>
            <w:tcW w:w="4140" w:type="dxa"/>
            <w:tcBorders>
              <w:top w:val="single" w:color="BFBFBF" w:sz="2" w:space="0"/>
              <w:bottom w:val="single" w:color="BFBFBF" w:sz="2" w:space="0"/>
            </w:tcBorders>
            <w:tcMar>
              <w:top w:w="0" w:type="dxa"/>
              <w:left w:w="100" w:type="dxa"/>
              <w:bottom w:w="0" w:type="dxa"/>
              <w:right w:w="100" w:type="dxa"/>
            </w:tcMar>
          </w:tcPr>
          <w:p w:rsidRPr="00DE08CB" w:rsidR="00DE08CB" w:rsidP="00DE08CB" w:rsidRDefault="00DE08CB" w14:paraId="41D5DAE4" w14:textId="77777777">
            <w:pPr>
              <w:spacing w:after="0" w:line="240" w:lineRule="auto"/>
              <w:ind w:left="255"/>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 xml:space="preserve">Steady Place to Live </w:t>
            </w:r>
            <w:r w:rsidRPr="00DE08CB">
              <w:rPr>
                <w:rFonts w:ascii="Aptos Light" w:hAnsi="Aptos Light" w:eastAsia="Times New Roman" w:cs="Times New Roman"/>
                <w:i/>
                <w:iCs/>
                <w:kern w:val="2"/>
                <w:sz w:val="18"/>
                <w:szCs w:val="18"/>
                <w14:ligatures w14:val="standardContextual"/>
              </w:rPr>
              <w:t>(ref)</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443B3DC9"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28.8</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2FBE2382"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6.8</w:t>
            </w:r>
          </w:p>
        </w:tc>
        <w:tc>
          <w:tcPr>
            <w:tcW w:w="2055"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2C6503C0"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10.7</w:t>
            </w:r>
          </w:p>
        </w:tc>
      </w:tr>
      <w:tr w:rsidRPr="00DE08CB" w:rsidR="00DE08CB" w:rsidTr="00DE08CB" w14:paraId="0E54B4C4" w14:textId="77777777">
        <w:trPr>
          <w:trHeight w:val="25"/>
          <w:tblHeader/>
        </w:trPr>
        <w:tc>
          <w:tcPr>
            <w:tcW w:w="4140" w:type="dxa"/>
            <w:tcBorders>
              <w:top w:val="single" w:color="BFBFBF" w:sz="2" w:space="0"/>
              <w:bottom w:val="single" w:color="BFBFBF" w:sz="2" w:space="0"/>
            </w:tcBorders>
            <w:tcMar>
              <w:top w:w="0" w:type="dxa"/>
              <w:left w:w="100" w:type="dxa"/>
              <w:bottom w:w="0" w:type="dxa"/>
              <w:right w:w="100" w:type="dxa"/>
            </w:tcMar>
          </w:tcPr>
          <w:p w:rsidRPr="00DE08CB" w:rsidR="00DE08CB" w:rsidP="00DE08CB" w:rsidRDefault="00DE08CB" w14:paraId="503AA95B" w14:textId="77777777">
            <w:pPr>
              <w:spacing w:after="0" w:line="240" w:lineRule="auto"/>
              <w:ind w:left="255"/>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Steady Place to Live but Worried About Losing</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757FF96C"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70.4***</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49909D9E"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20.3***</w:t>
            </w:r>
          </w:p>
        </w:tc>
        <w:tc>
          <w:tcPr>
            <w:tcW w:w="2055"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4BFB9A21"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37.4***</w:t>
            </w:r>
          </w:p>
        </w:tc>
      </w:tr>
      <w:tr w:rsidRPr="00DE08CB" w:rsidR="00DE08CB" w:rsidTr="00DE08CB" w14:paraId="7EF9C296" w14:textId="77777777">
        <w:trPr>
          <w:trHeight w:val="25"/>
          <w:tblHeader/>
        </w:trPr>
        <w:tc>
          <w:tcPr>
            <w:tcW w:w="4140" w:type="dxa"/>
            <w:tcBorders>
              <w:top w:val="single" w:color="BFBFBF" w:sz="2" w:space="0"/>
              <w:bottom w:val="single" w:color="BFBFBF" w:sz="2" w:space="0"/>
            </w:tcBorders>
            <w:tcMar>
              <w:top w:w="0" w:type="dxa"/>
              <w:left w:w="100" w:type="dxa"/>
              <w:bottom w:w="0" w:type="dxa"/>
              <w:right w:w="100" w:type="dxa"/>
            </w:tcMar>
          </w:tcPr>
          <w:p w:rsidRPr="00DE08CB" w:rsidR="00DE08CB" w:rsidP="00DE08CB" w:rsidRDefault="00DE08CB" w14:paraId="62A76F56" w14:textId="77777777">
            <w:pPr>
              <w:spacing w:after="0" w:line="240" w:lineRule="auto"/>
              <w:ind w:left="255"/>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No Steady Place to Live</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4C670F8E"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72.0***</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28CCA835"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20.5***</w:t>
            </w:r>
          </w:p>
        </w:tc>
        <w:tc>
          <w:tcPr>
            <w:tcW w:w="2055"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4E5DC920"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41.1***</w:t>
            </w:r>
          </w:p>
        </w:tc>
      </w:tr>
      <w:tr w:rsidRPr="00DE08CB" w:rsidR="00DE08CB" w:rsidTr="00DE08CB" w14:paraId="6830510B" w14:textId="77777777">
        <w:trPr>
          <w:trHeight w:val="25"/>
          <w:tblHeader/>
        </w:trPr>
        <w:tc>
          <w:tcPr>
            <w:tcW w:w="4140" w:type="dxa"/>
            <w:tcBorders>
              <w:top w:val="single" w:color="BFBFBF" w:sz="2" w:space="0"/>
              <w:bottom w:val="single" w:color="BFBFBF" w:sz="2" w:space="0"/>
            </w:tcBorders>
            <w:tcMar>
              <w:top w:w="0" w:type="dxa"/>
              <w:left w:w="100" w:type="dxa"/>
              <w:bottom w:w="0" w:type="dxa"/>
              <w:right w:w="100" w:type="dxa"/>
            </w:tcMar>
          </w:tcPr>
          <w:p w:rsidRPr="00DE08CB" w:rsidR="00DE08CB" w:rsidP="00DE08CB" w:rsidRDefault="00DE08CB" w14:paraId="4EAAFF42" w14:textId="77777777">
            <w:pPr>
              <w:spacing w:after="0" w:line="240" w:lineRule="auto"/>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b/>
                <w:bCs/>
                <w:kern w:val="2"/>
                <w:sz w:val="18"/>
                <w:szCs w:val="18"/>
                <w14:ligatures w14:val="standardContextual"/>
              </w:rPr>
              <w:t>Problems in Home</w:t>
            </w:r>
            <w:r w:rsidRPr="00DE08CB">
              <w:rPr>
                <w:rFonts w:ascii="Aptos Light" w:hAnsi="Aptos Light" w:eastAsia="Times New Roman" w:cs="Times New Roman"/>
                <w:b/>
                <w:bCs/>
                <w:kern w:val="2"/>
                <w:sz w:val="18"/>
                <w:szCs w:val="18"/>
                <w:vertAlign w:val="superscript"/>
                <w14:ligatures w14:val="standardContextual"/>
              </w:rPr>
              <w:t>1</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110F701B"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184C6938" w14:textId="77777777">
            <w:pPr>
              <w:spacing w:after="0" w:line="240" w:lineRule="auto"/>
              <w:jc w:val="center"/>
              <w:rPr>
                <w:rFonts w:ascii="Aptos Light" w:hAnsi="Aptos Light" w:eastAsia="Times New Roman" w:cs="Times New Roman"/>
                <w:kern w:val="2"/>
                <w:sz w:val="18"/>
                <w:szCs w:val="18"/>
                <w14:ligatures w14:val="standardContextual"/>
              </w:rPr>
            </w:pPr>
          </w:p>
        </w:tc>
        <w:tc>
          <w:tcPr>
            <w:tcW w:w="2055"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466D3FAB" w14:textId="77777777">
            <w:pPr>
              <w:spacing w:after="0" w:line="240" w:lineRule="auto"/>
              <w:jc w:val="center"/>
              <w:rPr>
                <w:rFonts w:ascii="Aptos Light" w:hAnsi="Aptos Light" w:eastAsia="Times New Roman" w:cs="Times New Roman"/>
                <w:kern w:val="2"/>
                <w:sz w:val="18"/>
                <w:szCs w:val="18"/>
                <w14:ligatures w14:val="standardContextual"/>
              </w:rPr>
            </w:pPr>
          </w:p>
        </w:tc>
      </w:tr>
      <w:tr w:rsidRPr="00DE08CB" w:rsidR="00DE08CB" w:rsidTr="00DE08CB" w14:paraId="04171EA0" w14:textId="77777777">
        <w:trPr>
          <w:trHeight w:val="25"/>
          <w:tblHeader/>
        </w:trPr>
        <w:tc>
          <w:tcPr>
            <w:tcW w:w="4140" w:type="dxa"/>
            <w:tcBorders>
              <w:top w:val="single" w:color="BFBFBF" w:sz="2" w:space="0"/>
              <w:bottom w:val="single" w:color="BFBFBF" w:sz="2" w:space="0"/>
            </w:tcBorders>
            <w:tcMar>
              <w:top w:w="0" w:type="dxa"/>
              <w:left w:w="100" w:type="dxa"/>
              <w:bottom w:w="0" w:type="dxa"/>
              <w:right w:w="100" w:type="dxa"/>
            </w:tcMar>
          </w:tcPr>
          <w:p w:rsidRPr="00DE08CB" w:rsidR="00DE08CB" w:rsidP="00DE08CB" w:rsidRDefault="00DE08CB" w14:paraId="20A20F9B" w14:textId="77777777">
            <w:pPr>
              <w:spacing w:after="0" w:line="240" w:lineRule="auto"/>
              <w:ind w:left="255"/>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One or more problems in the home</w:t>
            </w:r>
          </w:p>
        </w:tc>
        <w:tc>
          <w:tcPr>
            <w:tcW w:w="24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043D6369"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49.6***</w:t>
            </w:r>
          </w:p>
        </w:tc>
        <w:tc>
          <w:tcPr>
            <w:tcW w:w="1530"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421B6C2A"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14.2***</w:t>
            </w:r>
          </w:p>
        </w:tc>
        <w:tc>
          <w:tcPr>
            <w:tcW w:w="2055" w:type="dxa"/>
            <w:tcBorders>
              <w:top w:val="single" w:color="BFBFBF" w:sz="2" w:space="0"/>
              <w:bottom w:val="single" w:color="BFBFBF" w:sz="2" w:space="0"/>
            </w:tcBorders>
            <w:tcMar>
              <w:top w:w="100" w:type="dxa"/>
              <w:left w:w="100" w:type="dxa"/>
              <w:bottom w:w="100" w:type="dxa"/>
              <w:right w:w="100" w:type="dxa"/>
            </w:tcMar>
            <w:vAlign w:val="center"/>
          </w:tcPr>
          <w:p w:rsidRPr="00DE08CB" w:rsidR="00DE08CB" w:rsidP="00DE08CB" w:rsidRDefault="00DE08CB" w14:paraId="311169DD"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22.9***</w:t>
            </w:r>
          </w:p>
        </w:tc>
      </w:tr>
      <w:tr w:rsidRPr="00DE08CB" w:rsidR="00DE08CB" w:rsidTr="00DE08CB" w14:paraId="33E2A5C2" w14:textId="77777777">
        <w:trPr>
          <w:trHeight w:val="25"/>
          <w:tblHeader/>
        </w:trPr>
        <w:tc>
          <w:tcPr>
            <w:tcW w:w="4140" w:type="dxa"/>
            <w:tcBorders>
              <w:top w:val="single" w:color="BFBFBF" w:sz="2" w:space="0"/>
              <w:bottom w:val="single" w:color="000000" w:sz="12" w:space="0"/>
            </w:tcBorders>
            <w:tcMar>
              <w:top w:w="0" w:type="dxa"/>
              <w:left w:w="100" w:type="dxa"/>
              <w:bottom w:w="0" w:type="dxa"/>
              <w:right w:w="100" w:type="dxa"/>
            </w:tcMar>
          </w:tcPr>
          <w:p w:rsidRPr="00DE08CB" w:rsidR="00DE08CB" w:rsidP="00DE08CB" w:rsidRDefault="00DE08CB" w14:paraId="05FEA3B7" w14:textId="77777777">
            <w:pPr>
              <w:spacing w:after="0" w:line="240" w:lineRule="auto"/>
              <w:ind w:left="255"/>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 xml:space="preserve">No problems in the home </w:t>
            </w:r>
            <w:r w:rsidRPr="00DE08CB">
              <w:rPr>
                <w:rFonts w:ascii="Aptos Light" w:hAnsi="Aptos Light" w:eastAsia="Times New Roman" w:cs="Times New Roman"/>
                <w:i/>
                <w:iCs/>
                <w:kern w:val="2"/>
                <w:sz w:val="18"/>
                <w:szCs w:val="18"/>
                <w14:ligatures w14:val="standardContextual"/>
              </w:rPr>
              <w:t>(ref</w:t>
            </w:r>
            <w:r w:rsidRPr="00DE08CB">
              <w:rPr>
                <w:rFonts w:ascii="Aptos Light" w:hAnsi="Aptos Light" w:eastAsia="Times New Roman" w:cs="Times New Roman"/>
                <w:kern w:val="2"/>
                <w:sz w:val="18"/>
                <w:szCs w:val="18"/>
                <w14:ligatures w14:val="standardContextual"/>
              </w:rPr>
              <w:t>)</w:t>
            </w:r>
          </w:p>
        </w:tc>
        <w:tc>
          <w:tcPr>
            <w:tcW w:w="2430" w:type="dxa"/>
            <w:tcBorders>
              <w:top w:val="single" w:color="BFBFBF" w:sz="2" w:space="0"/>
              <w:bottom w:val="single" w:color="000000" w:sz="12" w:space="0"/>
            </w:tcBorders>
            <w:tcMar>
              <w:top w:w="100" w:type="dxa"/>
              <w:left w:w="100" w:type="dxa"/>
              <w:bottom w:w="100" w:type="dxa"/>
              <w:right w:w="100" w:type="dxa"/>
            </w:tcMar>
            <w:vAlign w:val="center"/>
          </w:tcPr>
          <w:p w:rsidRPr="00DE08CB" w:rsidR="00DE08CB" w:rsidP="00DE08CB" w:rsidRDefault="00DE08CB" w14:paraId="14DB50D1"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24.7</w:t>
            </w:r>
          </w:p>
        </w:tc>
        <w:tc>
          <w:tcPr>
            <w:tcW w:w="1530" w:type="dxa"/>
            <w:tcBorders>
              <w:top w:val="single" w:color="BFBFBF" w:sz="2" w:space="0"/>
              <w:bottom w:val="single" w:color="000000" w:sz="12" w:space="0"/>
            </w:tcBorders>
            <w:tcMar>
              <w:top w:w="100" w:type="dxa"/>
              <w:left w:w="100" w:type="dxa"/>
              <w:bottom w:w="100" w:type="dxa"/>
              <w:right w:w="100" w:type="dxa"/>
            </w:tcMar>
            <w:vAlign w:val="center"/>
          </w:tcPr>
          <w:p w:rsidRPr="00DE08CB" w:rsidR="00DE08CB" w:rsidP="00DE08CB" w:rsidRDefault="00DE08CB" w14:paraId="3CB81148"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5.2</w:t>
            </w:r>
          </w:p>
        </w:tc>
        <w:tc>
          <w:tcPr>
            <w:tcW w:w="2055" w:type="dxa"/>
            <w:tcBorders>
              <w:top w:val="single" w:color="BFBFBF" w:sz="2" w:space="0"/>
              <w:bottom w:val="single" w:color="000000" w:sz="12" w:space="0"/>
            </w:tcBorders>
            <w:tcMar>
              <w:top w:w="100" w:type="dxa"/>
              <w:left w:w="100" w:type="dxa"/>
              <w:bottom w:w="100" w:type="dxa"/>
              <w:right w:w="100" w:type="dxa"/>
            </w:tcMar>
            <w:vAlign w:val="center"/>
          </w:tcPr>
          <w:p w:rsidRPr="00DE08CB" w:rsidR="00DE08CB" w:rsidP="00DE08CB" w:rsidRDefault="00DE08CB" w14:paraId="7C7BC933" w14:textId="77777777">
            <w:pPr>
              <w:spacing w:after="0" w:line="240" w:lineRule="auto"/>
              <w:jc w:val="center"/>
              <w:rPr>
                <w:rFonts w:ascii="Aptos Light" w:hAnsi="Aptos Light" w:eastAsia="Times New Roman" w:cs="Times New Roman"/>
                <w:kern w:val="2"/>
                <w:sz w:val="18"/>
                <w:szCs w:val="18"/>
                <w14:ligatures w14:val="standardContextual"/>
              </w:rPr>
            </w:pPr>
            <w:r w:rsidRPr="00DE08CB">
              <w:rPr>
                <w:rFonts w:ascii="Aptos Light" w:hAnsi="Aptos Light" w:eastAsia="Times New Roman" w:cs="Times New Roman"/>
                <w:kern w:val="2"/>
                <w:sz w:val="18"/>
                <w:szCs w:val="18"/>
                <w14:ligatures w14:val="standardContextual"/>
              </w:rPr>
              <w:t>8.8</w:t>
            </w:r>
          </w:p>
        </w:tc>
      </w:tr>
    </w:tbl>
    <w:p w:rsidRPr="00DE08CB" w:rsidR="00DE08CB" w:rsidP="00DE08CB" w:rsidRDefault="00DE08CB" w14:paraId="18FDE39D" w14:textId="77777777">
      <w:pPr>
        <w:ind w:left="720"/>
        <w:rPr>
          <w:rFonts w:ascii="Aptos Light" w:hAnsi="Aptos Light" w:eastAsia="Aptos" w:cs="Arial"/>
          <w:kern w:val="2"/>
          <w:sz w:val="18"/>
          <w:szCs w:val="18"/>
          <w14:ligatures w14:val="standardContextual"/>
        </w:rPr>
      </w:pPr>
      <w:r w:rsidRPr="00DE08CB">
        <w:rPr>
          <w:rFonts w:ascii="Aptos Light" w:hAnsi="Aptos Light" w:eastAsia="Aptos" w:cs="Arial"/>
          <w:kern w:val="2"/>
          <w:sz w:val="18"/>
          <w:szCs w:val="18"/>
          <w:vertAlign w:val="superscript"/>
          <w14:ligatures w14:val="standardContextual"/>
        </w:rPr>
        <w:t>1</w:t>
      </w:r>
      <w:r w:rsidRPr="00DE08CB">
        <w:rPr>
          <w:rFonts w:ascii="Aptos Light" w:hAnsi="Aptos Light" w:eastAsia="Aptos" w:cs="Arial"/>
          <w:kern w:val="2"/>
          <w:sz w:val="18"/>
          <w:szCs w:val="18"/>
          <w14:ligatures w14:val="standardContextual"/>
        </w:rPr>
        <w:t>Problems in the home include lead paint or pipes, mold or water leaks, noise from the neighborhood, not enough heat during the winter, pests (e.g., bugs, roaches, mice, rats), poor air quality or air pollution, too hot during the summer, too many people living in the space, and water is not safe to drink.</w:t>
      </w:r>
      <w:r w:rsidRPr="00DE08CB">
        <w:rPr>
          <w:rFonts w:ascii="Aptos Light" w:hAnsi="Aptos Light" w:eastAsia="Aptos" w:cs="Arial"/>
          <w:kern w:val="2"/>
          <w:sz w:val="18"/>
          <w:szCs w:val="18"/>
          <w14:ligatures w14:val="standardContextual"/>
        </w:rPr>
        <w:br/>
      </w:r>
      <w:r w:rsidRPr="00DE08CB">
        <w:rPr>
          <w:rFonts w:ascii="Aptos Light" w:hAnsi="Aptos Light" w:eastAsia="Aptos" w:cs="Arial"/>
          <w:kern w:val="2"/>
          <w:sz w:val="18"/>
          <w:szCs w:val="18"/>
          <w14:ligatures w14:val="standardContextual"/>
        </w:rPr>
        <w:t>*** p&lt;.0001, ** p&lt;.001, * p&lt;.05</w:t>
      </w:r>
      <w:r w:rsidRPr="00DE08CB">
        <w:rPr>
          <w:rFonts w:ascii="Aptos Light" w:hAnsi="Aptos Light" w:eastAsia="Aptos" w:cs="Arial"/>
          <w:kern w:val="2"/>
          <w:sz w:val="18"/>
          <w:szCs w:val="18"/>
          <w14:ligatures w14:val="standardContextual"/>
        </w:rPr>
        <w:tab/>
      </w:r>
      <w:r w:rsidRPr="00DE08CB">
        <w:rPr>
          <w:rFonts w:ascii="Aptos Light" w:hAnsi="Aptos Light" w:eastAsia="Aptos" w:cs="Arial"/>
          <w:kern w:val="2"/>
          <w:sz w:val="18"/>
          <w:szCs w:val="18"/>
          <w14:ligatures w14:val="standardContextual"/>
        </w:rPr>
        <w:br/>
      </w:r>
      <w:r w:rsidRPr="00DE08CB">
        <w:rPr>
          <w:rFonts w:ascii="Aptos Light" w:hAnsi="Aptos Light" w:eastAsia="Aptos" w:cs="Arial"/>
          <w:kern w:val="2"/>
          <w:sz w:val="18"/>
          <w:szCs w:val="18"/>
          <w14:ligatures w14:val="standardContextual"/>
        </w:rPr>
        <w:t>P-values from Pearson chi-square test indicate whether weighted responses from those identifying as specified group significantly differ from those identifying as the noted reference group.</w:t>
      </w:r>
    </w:p>
    <w:p w:rsidRPr="00DE08CB" w:rsidR="00DE08CB" w:rsidP="00DE08CB" w:rsidRDefault="00DE08CB" w14:paraId="5F11B33C" w14:textId="77777777">
      <w:pPr>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ab/>
      </w:r>
      <w:r w:rsidRPr="00DE08CB">
        <w:rPr>
          <w:rFonts w:ascii="Aptos Light" w:hAnsi="Aptos Light" w:eastAsia="Aptos" w:cs="Arial"/>
          <w:noProof/>
          <w:kern w:val="2"/>
          <w14:ligatures w14:val="standardContextual"/>
        </w:rPr>
        <mc:AlternateContent>
          <mc:Choice Requires="wpg">
            <w:drawing>
              <wp:inline distT="0" distB="0" distL="0" distR="0" wp14:anchorId="34317F3F" wp14:editId="69EB6BC6">
                <wp:extent cx="6857365" cy="2676525"/>
                <wp:effectExtent l="0" t="0" r="635" b="9525"/>
                <wp:docPr id="1289631375" name="Group 42"/>
                <wp:cNvGraphicFramePr/>
                <a:graphic xmlns:a="http://schemas.openxmlformats.org/drawingml/2006/main">
                  <a:graphicData uri="http://schemas.microsoft.com/office/word/2010/wordprocessingGroup">
                    <wpg:wgp>
                      <wpg:cNvGrpSpPr/>
                      <wpg:grpSpPr>
                        <a:xfrm>
                          <a:off x="0" y="0"/>
                          <a:ext cx="6857365" cy="2676525"/>
                          <a:chOff x="0" y="0"/>
                          <a:chExt cx="6857365" cy="2676940"/>
                        </a:xfrm>
                      </wpg:grpSpPr>
                      <wps:wsp>
                        <wps:cNvPr id="1432063920" name="Text Box 44"/>
                        <wps:cNvSpPr txBox="1">
                          <a:spLocks noChangeArrowheads="1"/>
                        </wps:cNvSpPr>
                        <wps:spPr bwMode="auto">
                          <a:xfrm>
                            <a:off x="154379" y="296885"/>
                            <a:ext cx="6697345" cy="979663"/>
                          </a:xfrm>
                          <a:prstGeom prst="rect">
                            <a:avLst/>
                          </a:prstGeom>
                          <a:solidFill>
                            <a:srgbClr val="0E2841">
                              <a:lumMod val="10000"/>
                              <a:lumOff val="90000"/>
                            </a:srgbClr>
                          </a:solidFill>
                          <a:ln w="9525">
                            <a:noFill/>
                            <a:miter lim="800000"/>
                            <a:headEnd/>
                            <a:tailEnd/>
                          </a:ln>
                        </wps:spPr>
                        <wps:txbx>
                          <w:txbxContent>
                            <w:p w:rsidRPr="00861BA2" w:rsidR="00DE08CB" w:rsidP="00DE08CB" w:rsidRDefault="00DE08CB" w14:paraId="3C4942E6" w14:textId="77777777">
                              <w:pPr>
                                <w:rPr>
                                  <w:b/>
                                  <w:bCs/>
                                </w:rPr>
                              </w:pPr>
                              <w:r>
                                <w:rPr>
                                  <w:b/>
                                  <w:bCs/>
                                </w:rPr>
                                <w:t>Housing Expenses and Economic Security</w:t>
                              </w:r>
                            </w:p>
                            <w:p w:rsidR="00DE08CB" w:rsidP="00DE08CB" w:rsidRDefault="00DE08CB" w14:paraId="61983FC7" w14:textId="77777777">
                              <w:pPr>
                                <w:pStyle w:val="ListParagraph"/>
                                <w:numPr>
                                  <w:ilvl w:val="0"/>
                                  <w:numId w:val="4"/>
                                </w:numPr>
                              </w:pPr>
                              <w:r>
                                <w:t xml:space="preserve">Adults who reported having trouble paying for housing-related expenses were 2.6 times as likely to report high or very high psychological distress, over 2.8 times as likely to report suicidal ideation, and 3.3 times as likely to report social isolation compared to those who did not have trouble. </w:t>
                              </w:r>
                            </w:p>
                            <w:p w:rsidR="00DE08CB" w:rsidP="00DE08CB" w:rsidRDefault="00DE08CB" w14:paraId="28D3A769" w14:textId="77777777">
                              <w:pPr>
                                <w:pStyle w:val="ListParagraph"/>
                                <w:ind w:left="540"/>
                              </w:pPr>
                            </w:p>
                          </w:txbxContent>
                        </wps:txbx>
                        <wps:bodyPr rot="0" vert="horz" wrap="square" lIns="91440" tIns="45720" rIns="91440" bIns="45720" anchor="t" anchorCtr="0">
                          <a:noAutofit/>
                        </wps:bodyPr>
                      </wps:wsp>
                      <wps:wsp>
                        <wps:cNvPr id="2065324744" name="Text Box 45"/>
                        <wps:cNvSpPr txBox="1">
                          <a:spLocks noChangeArrowheads="1"/>
                        </wps:cNvSpPr>
                        <wps:spPr bwMode="auto">
                          <a:xfrm>
                            <a:off x="0" y="0"/>
                            <a:ext cx="6857365" cy="304676"/>
                          </a:xfrm>
                          <a:prstGeom prst="rect">
                            <a:avLst/>
                          </a:prstGeom>
                          <a:solidFill>
                            <a:srgbClr val="0E2841">
                              <a:lumMod val="90000"/>
                              <a:lumOff val="10000"/>
                            </a:srgbClr>
                          </a:solidFill>
                          <a:ln w="9525">
                            <a:noFill/>
                            <a:miter lim="800000"/>
                            <a:headEnd/>
                            <a:tailEnd/>
                          </a:ln>
                        </wps:spPr>
                        <wps:txbx>
                          <w:txbxContent>
                            <w:p w:rsidRPr="000C75E1" w:rsidR="00DE08CB" w:rsidP="00DE08CB" w:rsidRDefault="00DE08CB" w14:paraId="5ACA331F" w14:textId="77777777">
                              <w:pPr>
                                <w:rPr>
                                  <w:b/>
                                  <w:bCs/>
                                  <w:sz w:val="28"/>
                                  <w:szCs w:val="28"/>
                                </w:rPr>
                              </w:pPr>
                              <w:r>
                                <w:rPr>
                                  <w:b/>
                                  <w:bCs/>
                                  <w:sz w:val="28"/>
                                  <w:szCs w:val="28"/>
                                </w:rPr>
                                <w:t>Connection Between Housing and Mental Health</w:t>
                              </w:r>
                            </w:p>
                          </w:txbxContent>
                        </wps:txbx>
                        <wps:bodyPr rot="0" vert="horz" wrap="square" lIns="91440" tIns="45720" rIns="91440" bIns="45720" anchor="t" anchorCtr="0">
                          <a:noAutofit/>
                        </wps:bodyPr>
                      </wps:wsp>
                      <wps:wsp>
                        <wps:cNvPr id="2135100364" name="Text Box 46"/>
                        <wps:cNvSpPr txBox="1">
                          <a:spLocks noChangeArrowheads="1"/>
                        </wps:cNvSpPr>
                        <wps:spPr bwMode="auto">
                          <a:xfrm>
                            <a:off x="154379" y="1276124"/>
                            <a:ext cx="6697345" cy="1400816"/>
                          </a:xfrm>
                          <a:prstGeom prst="rect">
                            <a:avLst/>
                          </a:prstGeom>
                          <a:solidFill>
                            <a:srgbClr val="0E2841">
                              <a:lumMod val="25000"/>
                              <a:lumOff val="75000"/>
                            </a:srgbClr>
                          </a:solidFill>
                          <a:ln w="9525">
                            <a:noFill/>
                            <a:miter lim="800000"/>
                            <a:headEnd/>
                            <a:tailEnd/>
                          </a:ln>
                        </wps:spPr>
                        <wps:txbx>
                          <w:txbxContent>
                            <w:p w:rsidR="00DE08CB" w:rsidP="00DE08CB" w:rsidRDefault="00DE08CB" w14:paraId="1A180D26" w14:textId="77777777">
                              <w:pPr>
                                <w:rPr>
                                  <w:b/>
                                  <w:bCs/>
                                </w:rPr>
                              </w:pPr>
                              <w:r>
                                <w:rPr>
                                  <w:b/>
                                  <w:bCs/>
                                </w:rPr>
                                <w:t>Housing Stability</w:t>
                              </w:r>
                            </w:p>
                            <w:p w:rsidR="00DE08CB" w:rsidP="00DE08CB" w:rsidRDefault="00DE08CB" w14:paraId="27BD18F6" w14:textId="77777777">
                              <w:pPr>
                                <w:pStyle w:val="ListParagraph"/>
                                <w:numPr>
                                  <w:ilvl w:val="0"/>
                                  <w:numId w:val="6"/>
                                </w:numPr>
                              </w:pPr>
                              <w:r>
                                <w:t xml:space="preserve">Adults who reported having a steady place to live had significantly lower levels of psychological distress, suicidal ideation, and social isolation compared to those who did not have a steady place to live. </w:t>
                              </w:r>
                            </w:p>
                            <w:p w:rsidR="00DE08CB" w:rsidP="00DE08CB" w:rsidRDefault="00DE08CB" w14:paraId="1C736B03" w14:textId="77777777">
                              <w:pPr>
                                <w:pStyle w:val="ListParagraph"/>
                                <w:numPr>
                                  <w:ilvl w:val="0"/>
                                  <w:numId w:val="6"/>
                                </w:numPr>
                              </w:pPr>
                              <w:r>
                                <w:t xml:space="preserve">Adults who had a steady place to live but were worried about losing their housing had similar rates of psychological distress, suicidal ideation, and social isolation compared to those who reported not having a steady place to live. </w:t>
                              </w:r>
                            </w:p>
                          </w:txbxContent>
                        </wps:txbx>
                        <wps:bodyPr rot="0" vert="horz" wrap="square" lIns="91440" tIns="45720" rIns="91440" bIns="45720" anchor="t" anchorCtr="0">
                          <a:noAutofit/>
                        </wps:bodyPr>
                      </wps:wsp>
                    </wpg:wgp>
                  </a:graphicData>
                </a:graphic>
              </wp:inline>
            </w:drawing>
          </mc:Choice>
          <mc:Fallback>
            <w:pict w14:anchorId="4552FCD0">
              <v:group id="Group 42" style="width:539.95pt;height:210.75pt;mso-position-horizontal-relative:char;mso-position-vertical-relative:line" coordsize="68573,26769" o:spid="_x0000_s1026" w14:anchorId="34317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">
                <v:shapetype id="_x0000_t202" coordsize="21600,21600" o:spt="202" path="m,l,21600r21600,l21600,xe">
                  <v:stroke joinstyle="miter"/>
                  <v:path gradientshapeok="t" o:connecttype="rect"/>
                </v:shapetype>
                <v:shape id="Text Box 44" style="position:absolute;left:1543;top:2968;width:66974;height:9797;visibility:visible;mso-wrap-style:square;v-text-anchor:top" o:spid="_x0000_s1027" fillcolor="#dceaf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">
                  <v:textbox>
                    <w:txbxContent>
                      <w:p w:rsidRPr="00861BA2" w:rsidR="00DE08CB" w:rsidP="00DE08CB" w:rsidRDefault="00DE08CB" w14:paraId="6B27C6B6" w14:textId="77777777">
                        <w:pPr>
                          <w:rPr>
                            <w:b/>
                            <w:bCs/>
                          </w:rPr>
                        </w:pPr>
                        <w:r>
                          <w:rPr>
                            <w:b/>
                            <w:bCs/>
                          </w:rPr>
                          <w:t>Housing Expenses and Economic Security</w:t>
                        </w:r>
                      </w:p>
                      <w:p w:rsidR="00DE08CB" w:rsidP="00DE08CB" w:rsidRDefault="00DE08CB" w14:paraId="1B5299E8" w14:textId="77777777">
                        <w:pPr>
                          <w:pStyle w:val="ListParagraph"/>
                          <w:numPr>
                            <w:ilvl w:val="0"/>
                            <w:numId w:val="4"/>
                          </w:numPr>
                        </w:pPr>
                        <w:r>
                          <w:t xml:space="preserve">Adults who reported having trouble paying for housing-related expenses were 2.6 times as likely to report high or very high psychological distress, over 2.8 times as likely to report suicidal ideation, and 3.3 times as likely to report social isolation compared to those who did not have trouble. </w:t>
                        </w:r>
                      </w:p>
                      <w:p w:rsidR="00DE08CB" w:rsidP="00DE08CB" w:rsidRDefault="00DE08CB" w14:paraId="672A6659" w14:textId="77777777">
                        <w:pPr>
                          <w:pStyle w:val="ListParagraph"/>
                          <w:ind w:left="540"/>
                        </w:pPr>
                      </w:p>
                    </w:txbxContent>
                  </v:textbox>
                </v:shape>
                <v:shape id="Text Box 45" style="position:absolute;width:68573;height:3046;visibility:visible;mso-wrap-style:square;v-text-anchor:top" o:spid="_x0000_s1028" fillcolor="#163e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">
                  <v:textbox>
                    <w:txbxContent>
                      <w:p w:rsidRPr="000C75E1" w:rsidR="00DE08CB" w:rsidP="00DE08CB" w:rsidRDefault="00DE08CB" w14:paraId="0301D9D1" w14:textId="77777777">
                        <w:pPr>
                          <w:rPr>
                            <w:b/>
                            <w:bCs/>
                            <w:sz w:val="28"/>
                            <w:szCs w:val="28"/>
                          </w:rPr>
                        </w:pPr>
                        <w:r>
                          <w:rPr>
                            <w:b/>
                            <w:bCs/>
                            <w:sz w:val="28"/>
                            <w:szCs w:val="28"/>
                          </w:rPr>
                          <w:t>Connection Between Housing and Mental Health</w:t>
                        </w:r>
                      </w:p>
                    </w:txbxContent>
                  </v:textbox>
                </v:shape>
                <v:shape id="Text Box 46" style="position:absolute;left:1543;top:12761;width:66974;height:14008;visibility:visible;mso-wrap-style:square;v-text-anchor:top" o:spid="_x0000_s1029" fillcolor="#a6caec"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">
                  <v:textbox>
                    <w:txbxContent>
                      <w:p w:rsidR="00DE08CB" w:rsidP="00DE08CB" w:rsidRDefault="00DE08CB" w14:paraId="1E839CAA" w14:textId="77777777">
                        <w:pPr>
                          <w:rPr>
                            <w:b/>
                            <w:bCs/>
                          </w:rPr>
                        </w:pPr>
                        <w:r>
                          <w:rPr>
                            <w:b/>
                            <w:bCs/>
                          </w:rPr>
                          <w:t>Housing Stability</w:t>
                        </w:r>
                      </w:p>
                      <w:p w:rsidR="00DE08CB" w:rsidP="00DE08CB" w:rsidRDefault="00DE08CB" w14:paraId="04DEDB64" w14:textId="77777777">
                        <w:pPr>
                          <w:pStyle w:val="ListParagraph"/>
                          <w:numPr>
                            <w:ilvl w:val="0"/>
                            <w:numId w:val="6"/>
                          </w:numPr>
                        </w:pPr>
                        <w:r>
                          <w:t xml:space="preserve">Adults who reported having a steady place to live had significantly lower levels of psychological distress, suicidal ideation, and social isolation compared to those who did not have a steady place to live. </w:t>
                        </w:r>
                      </w:p>
                      <w:p w:rsidR="00DE08CB" w:rsidP="00DE08CB" w:rsidRDefault="00DE08CB" w14:paraId="274B6B9F" w14:textId="77777777">
                        <w:pPr>
                          <w:pStyle w:val="ListParagraph"/>
                          <w:numPr>
                            <w:ilvl w:val="0"/>
                            <w:numId w:val="6"/>
                          </w:numPr>
                        </w:pPr>
                        <w:r>
                          <w:t xml:space="preserve">Adults who had a steady place to live but were worried about losing their housing had similar rates of psychological distress, suicidal ideation, and social isolation compared to those who reported not having a steady place to live. </w:t>
                        </w:r>
                      </w:p>
                    </w:txbxContent>
                  </v:textbox>
                </v:shape>
                <w10:anchorlock/>
              </v:group>
            </w:pict>
          </mc:Fallback>
        </mc:AlternateContent>
      </w:r>
    </w:p>
    <w:p w:rsidRPr="00DE08CB" w:rsidR="00DE08CB" w:rsidP="00DE08CB" w:rsidRDefault="00DE08CB" w14:paraId="4515DD4A" w14:textId="77777777">
      <w:pPr>
        <w:rPr>
          <w:rFonts w:ascii="Aptos Light" w:hAnsi="Aptos Light" w:eastAsia="Aptos" w:cs="Arial"/>
          <w:kern w:val="2"/>
          <w14:ligatures w14:val="standardContextual"/>
        </w:rPr>
      </w:pPr>
    </w:p>
    <w:p w:rsidRPr="00DE08CB" w:rsidR="00DE08CB" w:rsidP="00DE08CB" w:rsidRDefault="00DE08CB" w14:paraId="72D72736" w14:textId="77777777">
      <w:pPr>
        <w:ind w:left="720"/>
        <w:rPr>
          <w:rFonts w:ascii="Aptos Light" w:hAnsi="Aptos Light" w:eastAsia="Aptos" w:cs="Arial"/>
          <w:kern w:val="2"/>
          <w14:ligatures w14:val="standardContextual"/>
        </w:rPr>
      </w:pPr>
    </w:p>
    <w:p w:rsidRPr="00DE08CB" w:rsidR="00DE08CB" w:rsidP="00DE08CB" w:rsidRDefault="00DE08CB" w14:paraId="43083FD3" w14:textId="77777777">
      <w:pPr>
        <w:ind w:left="720"/>
        <w:rPr>
          <w:rFonts w:ascii="Aptos Light" w:hAnsi="Aptos Light" w:eastAsia="Aptos" w:cs="Arial"/>
          <w:kern w:val="2"/>
          <w14:ligatures w14:val="standardContextual"/>
        </w:rPr>
      </w:pPr>
    </w:p>
    <w:p w:rsidRPr="00DE08CB" w:rsidR="00DE08CB" w:rsidP="00DE08CB" w:rsidRDefault="00DE08CB" w14:paraId="2E854936" w14:textId="77777777">
      <w:pPr>
        <w:ind w:left="720"/>
        <w:rPr>
          <w:rFonts w:ascii="Aptos Light" w:hAnsi="Aptos Light" w:eastAsia="Aptos" w:cs="Arial"/>
          <w:kern w:val="2"/>
          <w14:ligatures w14:val="standardContextual"/>
        </w:rPr>
      </w:pPr>
    </w:p>
    <w:p w:rsidRPr="00DE08CB" w:rsidR="00DE08CB" w:rsidP="00DE08CB" w:rsidRDefault="00DE08CB" w14:paraId="4A566200" w14:textId="77777777">
      <w:pPr>
        <w:ind w:left="720"/>
        <w:rPr>
          <w:rFonts w:ascii="Aptos Light" w:hAnsi="Aptos Light" w:eastAsia="Aptos" w:cs="Arial"/>
          <w:kern w:val="2"/>
          <w14:ligatures w14:val="standardContextual"/>
        </w:rPr>
      </w:pPr>
    </w:p>
    <w:p w:rsidRPr="00DE08CB" w:rsidR="00DE08CB" w:rsidP="00DE08CB" w:rsidRDefault="00DE08CB" w14:paraId="6EFA7B7B" w14:textId="77777777">
      <w:pPr>
        <w:spacing w:after="200" w:line="240" w:lineRule="auto"/>
        <w:ind w:left="720"/>
        <w:rPr>
          <w:rFonts w:ascii="Aptos Light" w:hAnsi="Aptos Light" w:eastAsia="Aptos" w:cs="Arial"/>
          <w:i/>
          <w:iCs/>
          <w:color w:val="0E2841"/>
          <w:kern w:val="2"/>
          <w:sz w:val="18"/>
          <w:szCs w:val="18"/>
          <w14:ligatures w14:val="standardContextual"/>
        </w:rPr>
      </w:pPr>
      <w:r w:rsidRPr="00DE08CB">
        <w:rPr>
          <w:rFonts w:ascii="Aptos Light" w:hAnsi="Aptos Light" w:eastAsia="Aptos" w:cs="Arial"/>
          <w:i/>
          <w:iCs/>
          <w:color w:val="0E2841"/>
          <w:kern w:val="2"/>
          <w14:ligatures w14:val="standardContextual"/>
        </w:rPr>
        <w:t xml:space="preserve">Figure </w:t>
      </w:r>
      <w:r w:rsidRPr="00DE08CB">
        <w:rPr>
          <w:rFonts w:ascii="Aptos Light" w:hAnsi="Aptos Light" w:eastAsia="Aptos" w:cs="Arial"/>
          <w:i/>
          <w:iCs/>
          <w:color w:val="0E2841"/>
          <w:kern w:val="2"/>
          <w14:ligatures w14:val="standardContextual"/>
        </w:rPr>
        <w:fldChar w:fldCharType="begin"/>
      </w:r>
      <w:r w:rsidRPr="00DE08CB">
        <w:rPr>
          <w:rFonts w:ascii="Aptos Light" w:hAnsi="Aptos Light" w:eastAsia="Aptos" w:cs="Arial"/>
          <w:i/>
          <w:iCs/>
          <w:color w:val="0E2841"/>
          <w:kern w:val="2"/>
          <w14:ligatures w14:val="standardContextual"/>
        </w:rPr>
        <w:instrText xml:space="preserve"> SEQ Figure \* ARABIC </w:instrText>
      </w:r>
      <w:r w:rsidRPr="00DE08CB">
        <w:rPr>
          <w:rFonts w:ascii="Aptos Light" w:hAnsi="Aptos Light" w:eastAsia="Aptos" w:cs="Arial"/>
          <w:i/>
          <w:iCs/>
          <w:color w:val="0E2841"/>
          <w:kern w:val="2"/>
          <w14:ligatures w14:val="standardContextual"/>
        </w:rPr>
        <w:fldChar w:fldCharType="separate"/>
      </w:r>
      <w:r w:rsidRPr="00DE08CB">
        <w:rPr>
          <w:rFonts w:ascii="Aptos Light" w:hAnsi="Aptos Light" w:eastAsia="Aptos" w:cs="Arial"/>
          <w:i/>
          <w:iCs/>
          <w:noProof/>
          <w:color w:val="0E2841"/>
          <w:kern w:val="2"/>
          <w14:ligatures w14:val="standardContextual"/>
        </w:rPr>
        <w:t>14</w:t>
      </w:r>
      <w:r w:rsidRPr="00DE08CB">
        <w:rPr>
          <w:rFonts w:ascii="Aptos Light" w:hAnsi="Aptos Light" w:eastAsia="Aptos" w:cs="Arial"/>
          <w:i/>
          <w:iCs/>
          <w:color w:val="0E2841"/>
          <w:kern w:val="2"/>
          <w14:ligatures w14:val="standardContextual"/>
        </w:rPr>
        <w:fldChar w:fldCharType="end"/>
      </w:r>
      <w:r w:rsidRPr="00DE08CB">
        <w:rPr>
          <w:rFonts w:ascii="Aptos Light" w:hAnsi="Aptos Light" w:eastAsia="Aptos" w:cs="Arial"/>
          <w:i/>
          <w:iCs/>
          <w:color w:val="0E2841"/>
          <w:kern w:val="2"/>
          <w14:ligatures w14:val="standardContextual"/>
        </w:rPr>
        <w:t>.CHES 2023 – Adult High or Very High Psychological Distress by Housing Stability within Communities of Focus</w:t>
      </w:r>
    </w:p>
    <w:p w:rsidRPr="00DE08CB" w:rsidR="00DE08CB" w:rsidP="00DE08CB" w:rsidRDefault="00DE08CB" w14:paraId="1A600397" w14:textId="77777777">
      <w:pPr>
        <w:ind w:left="720"/>
        <w:rPr>
          <w:rFonts w:ascii="Aptos Light" w:hAnsi="Aptos Light" w:eastAsia="Aptos" w:cs="Arial"/>
          <w:kern w:val="2"/>
          <w:highlight w:val="yellow"/>
          <w14:ligatures w14:val="standardContextual"/>
        </w:rPr>
      </w:pPr>
      <w:r w:rsidRPr="00DE08CB">
        <w:rPr>
          <w:rFonts w:ascii="Aptos Light" w:hAnsi="Aptos Light" w:eastAsia="Aptos" w:cs="Arial"/>
          <w:noProof/>
          <w:kern w:val="2"/>
          <w14:ligatures w14:val="standardContextual"/>
        </w:rPr>
        <w:drawing>
          <wp:inline distT="0" distB="0" distL="0" distR="0" wp14:anchorId="07928D9C" wp14:editId="1941D51F">
            <wp:extent cx="6191250" cy="2133600"/>
            <wp:effectExtent l="0" t="0" r="0" b="0"/>
            <wp:docPr id="1789009338" name="Chart 43" descr="Figure 14 shows the association between housing stability and psychological distress across various communities of focus. &#10;Overall, rates of psychological distress are higher among those that have no steady place to live or have a steady place but are worried about losing. &#10;&#10;Among people of color, 69.9% of respondents that reported not having a steady place to live had psychological distress. 67.3% of respondents that reported a steady place to live but worried about losing had psychological distress. 29.0% of respondents with a steady place to live had psychological distress. People of color include respondents that reported one of the following race/ethnicities: American Indian/Alaska Native, Asian, Native Hawaiian, Pacific Islander, Black, Hispanic/Latine/a/o, Middle Eastern/North African, or Multiracial. &#10;&#10;Among people who identify as lesbian, gay, bisexual, queer, or asexual, 87.1% of respondents that reported not having a steady place to live had psychological distress. 78.5% of respondents that reported a steady place to live but worried about losing had psychological distress. 47.7% of respondents with a steady place to live had psychological distress.&#10;&#10;Among people who identify as transgender, 91.5% of respondents that reported a steady place to live but worried about losing had psychological distress. 29.0% of respondents with a steady place to live had psychological distress. &#10;&#10;Among people with disabilities, 81.4% of respondents that reported not having a steady place to live had psychological distress. 81.6% of respondents that reported a steady place to live but worried about losing had psychological distress. 43.5% of respondents with a steady place to live had psychological distress.">
              <a:extLst xmlns:a="http://schemas.openxmlformats.org/drawingml/2006/main">
                <a:ext uri="{FF2B5EF4-FFF2-40B4-BE49-F238E27FC236}">
                  <a16:creationId xmlns:a16="http://schemas.microsoft.com/office/drawing/2014/main" id="{91B8342F-870D-64C1-0495-53FF4FD517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E08CB">
        <w:rPr>
          <w:rFonts w:ascii="Aptos Light" w:hAnsi="Aptos Light" w:eastAsia="Aptos" w:cs="Arial"/>
          <w:kern w:val="2"/>
          <w:highlight w:val="yellow"/>
          <w14:ligatures w14:val="standardContextual"/>
        </w:rPr>
        <w:br/>
      </w:r>
      <w:r w:rsidRPr="00DE08CB">
        <w:rPr>
          <w:rFonts w:ascii="Aptos Light" w:hAnsi="Aptos Light" w:eastAsia="Aptos" w:cs="Arial"/>
          <w:kern w:val="2"/>
          <w:sz w:val="18"/>
          <w:szCs w:val="18"/>
          <w14:ligatures w14:val="standardContextual"/>
        </w:rPr>
        <w:t xml:space="preserve">* Data within category suppressed due to small numbers. </w:t>
      </w:r>
      <w:r w:rsidRPr="00DE08CB">
        <w:rPr>
          <w:rFonts w:ascii="Aptos Light" w:hAnsi="Aptos Light" w:eastAsia="Aptos" w:cs="Arial"/>
          <w:kern w:val="2"/>
          <w:sz w:val="18"/>
          <w:szCs w:val="18"/>
          <w14:ligatures w14:val="standardContextual"/>
        </w:rPr>
        <w:br/>
      </w:r>
      <w:r w:rsidRPr="00DE08CB">
        <w:rPr>
          <w:rFonts w:ascii="Aptos Light" w:hAnsi="Aptos Light" w:eastAsia="Aptos" w:cs="Arial"/>
          <w:kern w:val="2"/>
          <w:sz w:val="18"/>
          <w:szCs w:val="18"/>
          <w14:ligatures w14:val="standardContextual"/>
        </w:rPr>
        <w:t xml:space="preserve">**People of color include respondents that reported one of the following race/ethnicities: American Indian/Alaska Native, Asian, Native Hawaiian, Pacific Islander, Black, Hispanic/Latine/a/o, Middle Eastern/North African, or Multiracial. </w:t>
      </w:r>
      <w:r w:rsidRPr="00DE08CB">
        <w:rPr>
          <w:rFonts w:ascii="Aptos Light" w:hAnsi="Aptos Light" w:eastAsia="Aptos" w:cs="Arial"/>
          <w:kern w:val="2"/>
          <w:sz w:val="18"/>
          <w:szCs w:val="18"/>
          <w14:ligatures w14:val="standardContextual"/>
        </w:rPr>
        <w:br/>
      </w:r>
      <w:r w:rsidRPr="00DE08CB">
        <w:rPr>
          <w:rFonts w:ascii="Aptos Light" w:hAnsi="Aptos Light" w:eastAsia="Aptos" w:cs="Arial"/>
          <w:kern w:val="2"/>
          <w:sz w:val="18"/>
          <w:szCs w:val="18"/>
          <w14:ligatures w14:val="standardContextual"/>
        </w:rPr>
        <w:t>***LGBQA includes respondents that reported their sexual orientation as being lesbian, gay, bisexual, queer, asexual, or other.</w:t>
      </w:r>
    </w:p>
    <w:p w:rsidRPr="00DE08CB" w:rsidR="00DE08CB" w:rsidP="00DE08CB" w:rsidRDefault="00DE08CB" w14:paraId="70766C87" w14:textId="77777777">
      <w:pPr>
        <w:ind w:left="720"/>
        <w:rPr>
          <w:rFonts w:ascii="Aptos Light" w:hAnsi="Aptos Light" w:eastAsia="Aptos" w:cs="Arial"/>
          <w:kern w:val="2"/>
          <w14:ligatures w14:val="standardContextual"/>
        </w:rPr>
      </w:pPr>
      <w:r w:rsidRPr="00DE08CB">
        <w:rPr>
          <w:rFonts w:ascii="Aptos Light" w:hAnsi="Aptos Light" w:eastAsia="Aptos" w:cs="Arial"/>
          <w:kern w:val="2"/>
          <w14:ligatures w14:val="standardContextual"/>
        </w:rPr>
        <w:t xml:space="preserve">Promoting access to safe, stable, affordable housing is a key strategy to promote mental health and health equity. Within communities of focus, those who have access to stable, affordable housing were more likely to have better mental health outcomes. For example, the rate of high or very high psychological distress within residents of color who reported having a steady place to live were significantly lower than residents of color who reported not having a steady place to live (29.0% vs 69.9%). </w:t>
      </w:r>
    </w:p>
    <w:p w:rsidR="003B6122" w:rsidRDefault="003B6122" w14:paraId="6FBE9E66" w14:textId="77777777"/>
    <w:sectPr w:rsidR="003B6122" w:rsidSect="00026281">
      <w:footnotePr>
        <w:numFmt w:val="chicago"/>
      </w:footnotePr>
      <w:endnotePr>
        <w:numFmt w:val="decimal"/>
      </w:endnotePr>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D6791" w:rsidP="002D2B06" w:rsidRDefault="00CD6791" w14:paraId="003E83BF" w14:textId="77777777">
      <w:pPr>
        <w:spacing w:after="0" w:line="240" w:lineRule="auto"/>
      </w:pPr>
      <w:r>
        <w:separator/>
      </w:r>
    </w:p>
  </w:endnote>
  <w:endnote w:type="continuationSeparator" w:id="0">
    <w:p w:rsidR="00CD6791" w:rsidP="002D2B06" w:rsidRDefault="00CD6791" w14:paraId="2DFAEE0D" w14:textId="77777777">
      <w:pPr>
        <w:spacing w:after="0" w:line="240" w:lineRule="auto"/>
      </w:pPr>
      <w:r>
        <w:continuationSeparator/>
      </w:r>
    </w:p>
  </w:endnote>
  <w:endnote w:type="continuationNotice" w:id="1">
    <w:p w:rsidR="00CD6791" w:rsidRDefault="00CD6791" w14:paraId="0AF094C1" w14:textId="77777777">
      <w:pPr>
        <w:spacing w:after="0" w:line="240" w:lineRule="auto"/>
      </w:pPr>
    </w:p>
  </w:endnote>
  <w:endnote w:id="2">
    <w:p w:rsidR="00DE08CB" w:rsidP="00DE08CB" w:rsidRDefault="00DE08CB" w14:paraId="280D8AF6" w14:textId="77777777">
      <w:pPr>
        <w:pStyle w:val="EndnoteText"/>
      </w:pPr>
      <w:r>
        <w:rPr>
          <w:rStyle w:val="EndnoteReference"/>
        </w:rPr>
        <w:endnoteRef/>
      </w:r>
      <w:r>
        <w:t xml:space="preserve"> </w:t>
      </w:r>
      <w:r w:rsidRPr="001F4643">
        <w:t>Matthias Braubach, Jon Fairburn, Social inequities in environmental risks associated with housing and residential location—a review of evidence,</w:t>
      </w:r>
      <w:r w:rsidRPr="001F4643">
        <w:rPr>
          <w:rFonts w:ascii="Arial" w:hAnsi="Arial" w:cs="Arial"/>
        </w:rPr>
        <w:t> </w:t>
      </w:r>
      <w:r w:rsidRPr="001F4643">
        <w:rPr>
          <w:i/>
          <w:iCs/>
        </w:rPr>
        <w:t>European Journal of Public Health</w:t>
      </w:r>
      <w:r w:rsidRPr="001F4643">
        <w:t>, Volume 20, Issue 1, February 2010, Pages 36–42,</w:t>
      </w:r>
      <w:r w:rsidRPr="001F4643">
        <w:rPr>
          <w:rFonts w:ascii="Arial" w:hAnsi="Arial" w:cs="Arial"/>
        </w:rPr>
        <w:t> </w:t>
      </w:r>
      <w:hyperlink w:tgtFrame="_blank" w:history="1" r:id="rId1">
        <w:r w:rsidRPr="001F4643">
          <w:rPr>
            <w:rStyle w:val="Hyperlink"/>
          </w:rPr>
          <w:t>https://doi.org/10.1093/eurpub/ckp221</w:t>
        </w:r>
      </w:hyperlink>
    </w:p>
  </w:endnote>
  <w:endnote w:id="3">
    <w:p w:rsidR="00DE08CB" w:rsidP="00DE08CB" w:rsidRDefault="00DE08CB" w14:paraId="2A98D9F5" w14:textId="77777777">
      <w:pPr>
        <w:pStyle w:val="EndnoteText"/>
      </w:pPr>
      <w:r>
        <w:rPr>
          <w:rStyle w:val="EndnoteReference"/>
        </w:rPr>
        <w:endnoteRef/>
      </w:r>
      <w:r>
        <w:t xml:space="preserve"> Massey DS, Denton NA. American Apartheid: Segregation and the Making of the Underclass. Cambridge, Massachusetts: Harvard University Press; 1993. </w:t>
      </w:r>
    </w:p>
  </w:endnote>
  <w:endnote w:id="4">
    <w:p w:rsidR="00DE08CB" w:rsidP="00DE08CB" w:rsidRDefault="00DE08CB" w14:paraId="44EE56A2" w14:textId="77777777">
      <w:pPr>
        <w:pStyle w:val="EndnoteText"/>
      </w:pPr>
      <w:r>
        <w:rPr>
          <w:rStyle w:val="EndnoteReference"/>
        </w:rPr>
        <w:endnoteRef/>
      </w:r>
      <w:r>
        <w:t xml:space="preserve"> U.S. Department of Housing and Urban Development, Office of Policy Development and Research. Evidence Matters: Neighborhoods and Violent Crime. Summer 2016. </w:t>
      </w:r>
      <w:hyperlink w:history="1" r:id="rId2">
        <w:r w:rsidRPr="00FA499F">
          <w:rPr>
            <w:rStyle w:val="Hyperlink"/>
          </w:rPr>
          <w:t>https://www.huduser.gov/portal/periodicals/em/summer16/highlight2.html</w:t>
        </w:r>
      </w:hyperlink>
    </w:p>
  </w:endnote>
  <w:endnote w:id="5">
    <w:p w:rsidR="00DE08CB" w:rsidP="00DE08CB" w:rsidRDefault="00DE08CB" w14:paraId="067E5B66" w14:textId="77777777">
      <w:pPr>
        <w:pStyle w:val="EndnoteText"/>
      </w:pPr>
      <w:r>
        <w:rPr>
          <w:rStyle w:val="EndnoteReference"/>
        </w:rPr>
        <w:endnoteRef/>
      </w:r>
      <w:r>
        <w:t xml:space="preserve"> </w:t>
      </w:r>
      <w:r w:rsidRPr="000F69C4">
        <w:t>Gochfeld M, Burger J. Disproportionate exposures in environmental justice and other populations: the importance of outliers. Am J Public Health. 2011 Dec;101 Suppl 1(Suppl 1):S53-63. doi: </w:t>
      </w:r>
      <w:hyperlink w:tgtFrame="_blank" w:history="1" r:id="rId3">
        <w:r w:rsidRPr="000F69C4">
          <w:rPr>
            <w:rStyle w:val="Hyperlink"/>
          </w:rPr>
          <w:t>https://doi.org/10.2105/AJPH.2011.300121</w:t>
        </w:r>
      </w:hyperlink>
      <w:r w:rsidRPr="000F69C4">
        <w:t> </w:t>
      </w:r>
    </w:p>
  </w:endnote>
  <w:endnote w:id="6">
    <w:p w:rsidR="00DE08CB" w:rsidP="00DE08CB" w:rsidRDefault="00DE08CB" w14:paraId="388503AA" w14:textId="77777777">
      <w:pPr>
        <w:pStyle w:val="EndnoteText"/>
      </w:pPr>
      <w:r>
        <w:rPr>
          <w:rStyle w:val="EndnoteReference"/>
        </w:rPr>
        <w:endnoteRef/>
      </w:r>
      <w:r>
        <w:t xml:space="preserve"> </w:t>
      </w:r>
      <w:r w:rsidRPr="000F69C4">
        <w:t>Campbell-Lendrum, D., Corvalán, C. Climate Change and Developing-Country Cities: Implications For Environmental Health and Equity.</w:t>
      </w:r>
      <w:r w:rsidRPr="000F69C4">
        <w:rPr>
          <w:rFonts w:ascii="Arial" w:hAnsi="Arial" w:cs="Arial"/>
        </w:rPr>
        <w:t> </w:t>
      </w:r>
      <w:r w:rsidRPr="000F69C4">
        <w:rPr>
          <w:i/>
          <w:iCs/>
        </w:rPr>
        <w:t>J Urban Health</w:t>
      </w:r>
      <w:r w:rsidRPr="000F69C4">
        <w:rPr>
          <w:rFonts w:ascii="Arial" w:hAnsi="Arial" w:cs="Arial"/>
        </w:rPr>
        <w:t> </w:t>
      </w:r>
      <w:r w:rsidRPr="000F69C4">
        <w:rPr>
          <w:b/>
          <w:bCs/>
        </w:rPr>
        <w:t>84</w:t>
      </w:r>
      <w:r w:rsidRPr="000F69C4">
        <w:rPr>
          <w:rFonts w:ascii="Arial" w:hAnsi="Arial" w:cs="Arial"/>
        </w:rPr>
        <w:t> </w:t>
      </w:r>
      <w:r w:rsidRPr="000F69C4">
        <w:t>(Suppl 1), 109–117 (2007). </w:t>
      </w:r>
      <w:hyperlink w:tgtFrame="_blank" w:history="1" r:id="rId4">
        <w:r w:rsidRPr="000F69C4">
          <w:rPr>
            <w:rStyle w:val="Hyperlink"/>
          </w:rPr>
          <w:t>https://doi.org/10.1007/s11524-007-9170-x</w:t>
        </w:r>
      </w:hyperlink>
    </w:p>
  </w:endnote>
  <w:endnote w:id="7">
    <w:p w:rsidR="00DE08CB" w:rsidP="00DE08CB" w:rsidRDefault="00DE08CB" w14:paraId="61EA5FA8" w14:textId="77777777">
      <w:pPr>
        <w:pStyle w:val="EndnoteText"/>
      </w:pPr>
      <w:r>
        <w:rPr>
          <w:rStyle w:val="EndnoteReference"/>
        </w:rPr>
        <w:endnoteRef/>
      </w:r>
      <w:r>
        <w:t xml:space="preserve"> </w:t>
      </w:r>
      <w:r w:rsidRPr="001B7953">
        <w:t>Davis, A., (May 31, 2007) "Home Environmental Health Risks." OJIN: The Online Journal of Issues in Nursing. Vol. 12 No. 2 Manuscript 4.</w:t>
      </w:r>
      <w:r w:rsidRPr="00CB3370">
        <w:t xml:space="preserve"> </w:t>
      </w:r>
      <w:hyperlink w:history="1" r:id="rId5">
        <w:r w:rsidRPr="00A42775">
          <w:rPr>
            <w:rStyle w:val="Hyperlink"/>
          </w:rPr>
          <w:t>https://doi.org/10.3912/OJIN.Vol12No02Man04</w:t>
        </w:r>
      </w:hyperlink>
    </w:p>
  </w:endnote>
  <w:endnote w:id="8">
    <w:p w:rsidR="00DE08CB" w:rsidP="00DE08CB" w:rsidRDefault="00DE08CB" w14:paraId="77649422" w14:textId="77777777">
      <w:pPr>
        <w:pStyle w:val="EndnoteText"/>
      </w:pPr>
      <w:r>
        <w:rPr>
          <w:rStyle w:val="EndnoteReference"/>
        </w:rPr>
        <w:endnoteRef/>
      </w:r>
      <w:r>
        <w:t xml:space="preserve"> </w:t>
      </w:r>
      <w:r w:rsidRPr="001A2C88">
        <w:t xml:space="preserve">Krieger J, Higgins DL. Housing and health: time again for public health action. Am J Public Health. 2002 May;92(5):758-68. </w:t>
      </w:r>
      <w:hyperlink w:history="1" r:id="rId6">
        <w:r w:rsidRPr="00FA499F">
          <w:rPr>
            <w:rStyle w:val="Hyperlink"/>
          </w:rPr>
          <w:t>https://doi.org/10.2105/ajph.92.5.758</w:t>
        </w:r>
      </w:hyperlink>
      <w:r w:rsidRPr="001A2C88">
        <w:t>.</w:t>
      </w:r>
    </w:p>
  </w:endnote>
  <w:endnote w:id="9">
    <w:p w:rsidR="00DE08CB" w:rsidP="00DE08CB" w:rsidRDefault="00DE08CB" w14:paraId="6893CFF7" w14:textId="77777777">
      <w:pPr>
        <w:pStyle w:val="EndnoteText"/>
      </w:pPr>
      <w:r>
        <w:rPr>
          <w:rStyle w:val="EndnoteReference"/>
        </w:rPr>
        <w:endnoteRef/>
      </w:r>
      <w:r>
        <w:t xml:space="preserve"> </w:t>
      </w:r>
      <w:r w:rsidRPr="00863CE3">
        <w:t xml:space="preserve">Imrie, R. (2005). Accessible Housing: Quality, Disability and Design (1st ed.). Routledge. </w:t>
      </w:r>
      <w:hyperlink w:history="1" r:id="rId7">
        <w:r w:rsidRPr="00863B8D">
          <w:rPr>
            <w:rStyle w:val="Hyperlink"/>
          </w:rPr>
          <w:t>https://doi.org/10.4324/9780203616734</w:t>
        </w:r>
      </w:hyperlink>
    </w:p>
  </w:endnote>
  <w:endnote w:id="10">
    <w:p w:rsidR="00DE08CB" w:rsidP="00DE08CB" w:rsidRDefault="00DE08CB" w14:paraId="099E1B10" w14:textId="77777777">
      <w:pPr>
        <w:pStyle w:val="EndnoteText"/>
      </w:pPr>
      <w:r>
        <w:rPr>
          <w:rStyle w:val="EndnoteReference"/>
        </w:rPr>
        <w:endnoteRef/>
      </w:r>
      <w:r>
        <w:t xml:space="preserve"> University of Wisconsin Population Health Institute, County Health Rankings &amp; Roadmaps. 2019 County Health Rankings Key Findings Report. </w:t>
      </w:r>
      <w:hyperlink w:history="1" r:id="rId8">
        <w:r w:rsidRPr="00FA499F">
          <w:rPr>
            <w:rStyle w:val="Hyperlink"/>
          </w:rPr>
          <w:t>https://www.countyhealthrankings.org/reports/2019-county-health-rankings-key-findings-report</w:t>
        </w:r>
      </w:hyperlink>
    </w:p>
  </w:endnote>
  <w:endnote w:id="11">
    <w:p w:rsidR="00DE08CB" w:rsidP="00DE08CB" w:rsidRDefault="00DE08CB" w14:paraId="1180F09C" w14:textId="77777777">
      <w:pPr>
        <w:pStyle w:val="EndnoteText"/>
      </w:pPr>
      <w:r>
        <w:rPr>
          <w:rStyle w:val="EndnoteReference"/>
        </w:rPr>
        <w:endnoteRef/>
      </w:r>
      <w:r>
        <w:t xml:space="preserve"> </w:t>
      </w:r>
      <w:r w:rsidRPr="00F16E7D">
        <w:t xml:space="preserve">Gove, Walter R., et al. “Overcrowding in the Home: An Empirical Investigation of Its Possible Pathological Consequences.” American Sociological Review, vol. 44, no. 1, 1979, pp. 59–80. JSTOR, </w:t>
      </w:r>
      <w:hyperlink w:history="1" r:id="rId9">
        <w:r w:rsidRPr="00E866FB">
          <w:rPr>
            <w:rStyle w:val="Hyperlink"/>
          </w:rPr>
          <w:t>https://doi.org/10.2307/2094818</w:t>
        </w:r>
      </w:hyperlink>
    </w:p>
  </w:endnote>
  <w:endnote w:id="12">
    <w:p w:rsidR="00DE08CB" w:rsidP="00DE08CB" w:rsidRDefault="00DE08CB" w14:paraId="1A9B4234" w14:textId="77777777">
      <w:pPr>
        <w:pStyle w:val="EndnoteText"/>
      </w:pPr>
      <w:r>
        <w:rPr>
          <w:rStyle w:val="EndnoteReference"/>
        </w:rPr>
        <w:endnoteRef/>
      </w:r>
      <w:r>
        <w:t xml:space="preserve"> </w:t>
      </w:r>
      <w:r w:rsidRPr="00090BB1">
        <w:t xml:space="preserve">Taylor, Lauren A. Housing and Health: An Overview of the Literature, Housing Policy Brief, Health Affairs, June 2018. </w:t>
      </w:r>
      <w:hyperlink w:history="1" r:id="rId10">
        <w:r w:rsidRPr="00F33B8E">
          <w:rPr>
            <w:rStyle w:val="Hyperlink"/>
          </w:rPr>
          <w:t>https://www.healthaffairs.org/do/10.1377/hpb20180313.396577/</w:t>
        </w:r>
      </w:hyperlink>
    </w:p>
  </w:endnote>
  <w:endnote w:id="13">
    <w:p w:rsidR="00DE08CB" w:rsidP="00DE08CB" w:rsidRDefault="00DE08CB" w14:paraId="51477AD7" w14:textId="77777777">
      <w:pPr>
        <w:pStyle w:val="EndnoteText"/>
      </w:pPr>
      <w:r>
        <w:rPr>
          <w:rStyle w:val="EndnoteReference"/>
        </w:rPr>
        <w:endnoteRef/>
      </w:r>
      <w:r>
        <w:t xml:space="preserve"> United States Interagency Council on Homelessness. Data &amp; Trends: State of Homelessness. </w:t>
      </w:r>
      <w:hyperlink w:history="1" r:id="rId11">
        <w:r w:rsidRPr="00FA499F">
          <w:rPr>
            <w:rStyle w:val="Hyperlink"/>
          </w:rPr>
          <w:t>https://www.usich.gov/guidance-reports-data/data-trends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D6791" w:rsidP="002D2B06" w:rsidRDefault="00CD6791" w14:paraId="0369756E" w14:textId="77777777">
      <w:pPr>
        <w:spacing w:after="0" w:line="240" w:lineRule="auto"/>
      </w:pPr>
      <w:r>
        <w:separator/>
      </w:r>
    </w:p>
  </w:footnote>
  <w:footnote w:type="continuationSeparator" w:id="0">
    <w:p w:rsidR="00CD6791" w:rsidP="002D2B06" w:rsidRDefault="00CD6791" w14:paraId="1F71F842" w14:textId="77777777">
      <w:pPr>
        <w:spacing w:after="0" w:line="240" w:lineRule="auto"/>
      </w:pPr>
      <w:r>
        <w:continuationSeparator/>
      </w:r>
    </w:p>
  </w:footnote>
  <w:footnote w:type="continuationNotice" w:id="1">
    <w:p w:rsidR="00CD6791" w:rsidRDefault="00CD6791" w14:paraId="290BC9E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A68"/>
    <w:multiLevelType w:val="hybridMultilevel"/>
    <w:tmpl w:val="073038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3E5405B"/>
    <w:multiLevelType w:val="hybridMultilevel"/>
    <w:tmpl w:val="4EF814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5DDC19B2"/>
    <w:multiLevelType w:val="hybridMultilevel"/>
    <w:tmpl w:val="DA50AB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68E30F79"/>
    <w:multiLevelType w:val="hybridMultilevel"/>
    <w:tmpl w:val="8B803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7F37876"/>
    <w:multiLevelType w:val="hybridMultilevel"/>
    <w:tmpl w:val="41945F5C"/>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7BCA4596"/>
    <w:multiLevelType w:val="hybridMultilevel"/>
    <w:tmpl w:val="8EAC08A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805665735">
    <w:abstractNumId w:val="1"/>
  </w:num>
  <w:num w:numId="2" w16cid:durableId="61828369">
    <w:abstractNumId w:val="4"/>
  </w:num>
  <w:num w:numId="3" w16cid:durableId="56323398">
    <w:abstractNumId w:val="2"/>
  </w:num>
  <w:num w:numId="4" w16cid:durableId="1719434598">
    <w:abstractNumId w:val="0"/>
  </w:num>
  <w:num w:numId="5" w16cid:durableId="990527351">
    <w:abstractNumId w:val="5"/>
  </w:num>
  <w:num w:numId="6" w16cid:durableId="42935006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0"/>
  <w:trackRevisions w:val="false"/>
  <w:defaultTabStop w:val="720"/>
  <w:characterSpacingControl w:val="doNotCompres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7112A"/>
    <w:rsid w:val="00006098"/>
    <w:rsid w:val="00026281"/>
    <w:rsid w:val="001A4954"/>
    <w:rsid w:val="002D2B06"/>
    <w:rsid w:val="003B6122"/>
    <w:rsid w:val="003E3982"/>
    <w:rsid w:val="004F21B9"/>
    <w:rsid w:val="00612A05"/>
    <w:rsid w:val="00692E13"/>
    <w:rsid w:val="006D3945"/>
    <w:rsid w:val="006E3393"/>
    <w:rsid w:val="007C0E7C"/>
    <w:rsid w:val="00842ABA"/>
    <w:rsid w:val="008C00A0"/>
    <w:rsid w:val="008D5279"/>
    <w:rsid w:val="00B766CF"/>
    <w:rsid w:val="00BF2671"/>
    <w:rsid w:val="00C36246"/>
    <w:rsid w:val="00C442FF"/>
    <w:rsid w:val="00CD6791"/>
    <w:rsid w:val="00DE08CB"/>
    <w:rsid w:val="00DF27E6"/>
    <w:rsid w:val="00EC3229"/>
    <w:rsid w:val="00EE5F2A"/>
    <w:rsid w:val="00F11485"/>
    <w:rsid w:val="00F255D6"/>
    <w:rsid w:val="00FA11DE"/>
    <w:rsid w:val="00FA27FB"/>
    <w:rsid w:val="00FF2C07"/>
    <w:rsid w:val="018C4276"/>
    <w:rsid w:val="1647112A"/>
    <w:rsid w:val="3090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112A"/>
  <w15:chartTrackingRefBased/>
  <w15:docId w15:val="{B043A357-DFE2-4244-ADB0-7DA02B10E3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2628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026281"/>
  </w:style>
  <w:style w:type="character" w:styleId="eop" w:customStyle="1">
    <w:name w:val="eop"/>
    <w:basedOn w:val="DefaultParagraphFont"/>
    <w:rsid w:val="00026281"/>
  </w:style>
  <w:style w:type="paragraph" w:styleId="ListParagraph">
    <w:name w:val="List Paragraph"/>
    <w:basedOn w:val="Normal"/>
    <w:uiPriority w:val="34"/>
    <w:qFormat/>
    <w:rsid w:val="002D2B06"/>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FootnoteTextChar" w:customStyle="1">
    <w:name w:val="Footnote Text Char"/>
    <w:basedOn w:val="DefaultParagraphFont"/>
    <w:link w:val="FootnoteText"/>
    <w:uiPriority w:val="99"/>
    <w:rsid w:val="002D2B06"/>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2D2B06"/>
    <w:rPr>
      <w:vertAlign w:val="superscript"/>
    </w:rPr>
  </w:style>
  <w:style w:type="character" w:styleId="Hyperlink1" w:customStyle="1">
    <w:name w:val="Hyperlink1"/>
    <w:basedOn w:val="DefaultParagraphFont"/>
    <w:uiPriority w:val="99"/>
    <w:unhideWhenUsed/>
    <w:rsid w:val="002D2B06"/>
    <w:rPr>
      <w:color w:val="467886"/>
      <w:u w:val="single"/>
    </w:rPr>
  </w:style>
  <w:style w:type="paragraph" w:styleId="EndnoteText">
    <w:name w:val="endnote text"/>
    <w:basedOn w:val="Normal"/>
    <w:link w:val="EndnoteTextChar"/>
    <w:uiPriority w:val="99"/>
    <w:unhideWhenUsed/>
    <w:rsid w:val="002D2B06"/>
    <w:pPr>
      <w:spacing w:after="0" w:line="240" w:lineRule="auto"/>
    </w:pPr>
    <w:rPr>
      <w:rFonts w:ascii="Aptos Light" w:hAnsi="Aptos Light"/>
      <w:kern w:val="2"/>
      <w:sz w:val="20"/>
      <w:szCs w:val="20"/>
      <w14:ligatures w14:val="standardContextual"/>
    </w:rPr>
  </w:style>
  <w:style w:type="character" w:styleId="EndnoteTextChar" w:customStyle="1">
    <w:name w:val="Endnote Text Char"/>
    <w:basedOn w:val="DefaultParagraphFont"/>
    <w:link w:val="EndnoteText"/>
    <w:uiPriority w:val="99"/>
    <w:rsid w:val="002D2B06"/>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2D2B06"/>
    <w:rPr>
      <w:vertAlign w:val="superscript"/>
    </w:rPr>
  </w:style>
  <w:style w:type="character" w:styleId="Hyperlink">
    <w:name w:val="Hyperlink"/>
    <w:basedOn w:val="DefaultParagraphFont"/>
    <w:uiPriority w:val="99"/>
    <w:unhideWhenUsed/>
    <w:rsid w:val="002D2B06"/>
    <w:rPr>
      <w:color w:val="0563C1" w:themeColor="hyperlink"/>
      <w:u w:val="single"/>
    </w:rPr>
  </w:style>
  <w:style w:type="paragraph" w:styleId="Header">
    <w:name w:val="header"/>
    <w:basedOn w:val="Normal"/>
    <w:link w:val="HeaderChar"/>
    <w:uiPriority w:val="99"/>
    <w:semiHidden/>
    <w:unhideWhenUsed/>
    <w:rsid w:val="008D5279"/>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8D5279"/>
  </w:style>
  <w:style w:type="paragraph" w:styleId="Footer">
    <w:name w:val="footer"/>
    <w:basedOn w:val="Normal"/>
    <w:link w:val="FooterChar"/>
    <w:uiPriority w:val="99"/>
    <w:semiHidden/>
    <w:unhideWhenUsed/>
    <w:rsid w:val="008D5279"/>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8D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76860">
      <w:bodyDiv w:val="1"/>
      <w:marLeft w:val="0"/>
      <w:marRight w:val="0"/>
      <w:marTop w:val="0"/>
      <w:marBottom w:val="0"/>
      <w:divBdr>
        <w:top w:val="none" w:sz="0" w:space="0" w:color="auto"/>
        <w:left w:val="none" w:sz="0" w:space="0" w:color="auto"/>
        <w:bottom w:val="none" w:sz="0" w:space="0" w:color="auto"/>
        <w:right w:val="none" w:sz="0" w:space="0" w:color="auto"/>
      </w:divBdr>
      <w:divsChild>
        <w:div w:id="766658103">
          <w:marLeft w:val="0"/>
          <w:marRight w:val="0"/>
          <w:marTop w:val="0"/>
          <w:marBottom w:val="0"/>
          <w:divBdr>
            <w:top w:val="none" w:sz="0" w:space="0" w:color="auto"/>
            <w:left w:val="none" w:sz="0" w:space="0" w:color="auto"/>
            <w:bottom w:val="none" w:sz="0" w:space="0" w:color="auto"/>
            <w:right w:val="none" w:sz="0" w:space="0" w:color="auto"/>
          </w:divBdr>
        </w:div>
        <w:div w:id="135577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hart" Target="charts/chart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endnotes.xml.rels><?xml version="1.0" encoding="UTF-8" standalone="yes"?>
<Relationships xmlns="http://schemas.openxmlformats.org/package/2006/relationships"><Relationship Id="rId8" Type="http://schemas.openxmlformats.org/officeDocument/2006/relationships/hyperlink" Target="https://www.countyhealthrankings.org/reports/2019-county-health-rankings-key-findings-report" TargetMode="External"/><Relationship Id="rId3" Type="http://schemas.openxmlformats.org/officeDocument/2006/relationships/hyperlink" Target="https://doi.org/10.2105/AJPH.2011.300121" TargetMode="External"/><Relationship Id="rId7" Type="http://schemas.openxmlformats.org/officeDocument/2006/relationships/hyperlink" Target="https://doi.org/10.4324/9780203616734" TargetMode="External"/><Relationship Id="rId2" Type="http://schemas.openxmlformats.org/officeDocument/2006/relationships/hyperlink" Target="https://www.huduser.gov/portal/periodicals/em/summer16/highlight2.html" TargetMode="External"/><Relationship Id="rId1" Type="http://schemas.openxmlformats.org/officeDocument/2006/relationships/hyperlink" Target="https://doi.org/10.1093/eurpub/ckp221" TargetMode="External"/><Relationship Id="rId6" Type="http://schemas.openxmlformats.org/officeDocument/2006/relationships/hyperlink" Target="https://doi.org/10.2105/ajph.92.5.758" TargetMode="External"/><Relationship Id="rId11" Type="http://schemas.openxmlformats.org/officeDocument/2006/relationships/hyperlink" Target="https://www.usich.gov/guidance-reports-data/data-trends" TargetMode="External"/><Relationship Id="rId5" Type="http://schemas.openxmlformats.org/officeDocument/2006/relationships/hyperlink" Target="https://doi.org/10.3912/OJIN.Vol12No02Man04" TargetMode="External"/><Relationship Id="rId10" Type="http://schemas.openxmlformats.org/officeDocument/2006/relationships/hyperlink" Target="https://www.healthaffairs.org/do/10.1377/hpb20180313.396577/" TargetMode="External"/><Relationship Id="rId4" Type="http://schemas.openxmlformats.org/officeDocument/2006/relationships/hyperlink" Target="https://doi.org/10.1007/s11524-007-9170-x" TargetMode="External"/><Relationship Id="rId9" Type="http://schemas.openxmlformats.org/officeDocument/2006/relationships/hyperlink" Target="https://doi.org/10.2307/2094818"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Housing!$A$14</c:f>
              <c:strCache>
                <c:ptCount val="1"/>
                <c:pt idx="0">
                  <c:v>Steady Place to Live</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Housing!$B$13:$E$13</c:f>
              <c:strCache>
                <c:ptCount val="4"/>
                <c:pt idx="0">
                  <c:v>People of Color**</c:v>
                </c:pt>
                <c:pt idx="1">
                  <c:v>LGBQA Sexual Orientation***</c:v>
                </c:pt>
                <c:pt idx="2">
                  <c:v>Transgender Identity</c:v>
                </c:pt>
                <c:pt idx="3">
                  <c:v>People with Disabilities</c:v>
                </c:pt>
              </c:strCache>
            </c:strRef>
          </c:cat>
          <c:val>
            <c:numRef>
              <c:f>Housing!$B$14:$E$14</c:f>
              <c:numCache>
                <c:formatCode>0.0%</c:formatCode>
                <c:ptCount val="4"/>
                <c:pt idx="0">
                  <c:v>0.28999999999999998</c:v>
                </c:pt>
                <c:pt idx="1">
                  <c:v>0.47699999999999998</c:v>
                </c:pt>
                <c:pt idx="2">
                  <c:v>0.71099999999999997</c:v>
                </c:pt>
                <c:pt idx="3">
                  <c:v>0.435</c:v>
                </c:pt>
              </c:numCache>
            </c:numRef>
          </c:val>
          <c:extLst>
            <c:ext xmlns:c16="http://schemas.microsoft.com/office/drawing/2014/chart" uri="{C3380CC4-5D6E-409C-BE32-E72D297353CC}">
              <c16:uniqueId val="{00000000-6A51-44C4-B772-CC16CA96828B}"/>
            </c:ext>
          </c:extLst>
        </c:ser>
        <c:ser>
          <c:idx val="1"/>
          <c:order val="1"/>
          <c:tx>
            <c:strRef>
              <c:f>Housing!$A$15</c:f>
              <c:strCache>
                <c:ptCount val="1"/>
                <c:pt idx="0">
                  <c:v>Steady Place to Live But Worried About Losing</c:v>
                </c:pt>
              </c:strCache>
            </c:strRef>
          </c:tx>
          <c:spPr>
            <a:solidFill>
              <a:schemeClr val="tx2">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Housing!$B$13:$E$13</c:f>
              <c:strCache>
                <c:ptCount val="4"/>
                <c:pt idx="0">
                  <c:v>People of Color**</c:v>
                </c:pt>
                <c:pt idx="1">
                  <c:v>LGBQA Sexual Orientation***</c:v>
                </c:pt>
                <c:pt idx="2">
                  <c:v>Transgender Identity</c:v>
                </c:pt>
                <c:pt idx="3">
                  <c:v>People with Disabilities</c:v>
                </c:pt>
              </c:strCache>
            </c:strRef>
          </c:cat>
          <c:val>
            <c:numRef>
              <c:f>Housing!$B$15:$E$15</c:f>
              <c:numCache>
                <c:formatCode>0.0%</c:formatCode>
                <c:ptCount val="4"/>
                <c:pt idx="0">
                  <c:v>0.67300000000000004</c:v>
                </c:pt>
                <c:pt idx="1">
                  <c:v>0.78500000000000003</c:v>
                </c:pt>
                <c:pt idx="2">
                  <c:v>0.91500000000000004</c:v>
                </c:pt>
                <c:pt idx="3">
                  <c:v>0.81599999999999995</c:v>
                </c:pt>
              </c:numCache>
            </c:numRef>
          </c:val>
          <c:extLst>
            <c:ext xmlns:c16="http://schemas.microsoft.com/office/drawing/2014/chart" uri="{C3380CC4-5D6E-409C-BE32-E72D297353CC}">
              <c16:uniqueId val="{00000001-6A51-44C4-B772-CC16CA96828B}"/>
            </c:ext>
          </c:extLst>
        </c:ser>
        <c:ser>
          <c:idx val="2"/>
          <c:order val="2"/>
          <c:tx>
            <c:strRef>
              <c:f>Housing!$A$16</c:f>
              <c:strCache>
                <c:ptCount val="1"/>
                <c:pt idx="0">
                  <c:v>No Steady Place to Live</c:v>
                </c:pt>
              </c:strCache>
            </c:strRef>
          </c:tx>
          <c:spPr>
            <a:solidFill>
              <a:schemeClr val="tx2">
                <a:lumMod val="25000"/>
                <a:lumOff val="75000"/>
              </a:schemeClr>
            </a:solidFill>
            <a:ln>
              <a:noFill/>
            </a:ln>
            <a:effectLst/>
          </c:spPr>
          <c:invertIfNegative val="0"/>
          <c:dLbls>
            <c:dLbl>
              <c:idx val="2"/>
              <c:tx>
                <c:rich>
                  <a:bodyPr/>
                  <a:lstStyle/>
                  <a:p>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A51-44C4-B772-CC16CA9682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Housing!$B$13:$E$13</c:f>
              <c:strCache>
                <c:ptCount val="4"/>
                <c:pt idx="0">
                  <c:v>People of Color**</c:v>
                </c:pt>
                <c:pt idx="1">
                  <c:v>LGBQA Sexual Orientation***</c:v>
                </c:pt>
                <c:pt idx="2">
                  <c:v>Transgender Identity</c:v>
                </c:pt>
                <c:pt idx="3">
                  <c:v>People with Disabilities</c:v>
                </c:pt>
              </c:strCache>
            </c:strRef>
          </c:cat>
          <c:val>
            <c:numRef>
              <c:f>Housing!$B$16:$E$16</c:f>
              <c:numCache>
                <c:formatCode>0.0%</c:formatCode>
                <c:ptCount val="4"/>
                <c:pt idx="0">
                  <c:v>0.69899999999999995</c:v>
                </c:pt>
                <c:pt idx="1">
                  <c:v>0.871</c:v>
                </c:pt>
                <c:pt idx="2">
                  <c:v>0</c:v>
                </c:pt>
                <c:pt idx="3">
                  <c:v>0.81399999999999995</c:v>
                </c:pt>
              </c:numCache>
            </c:numRef>
          </c:val>
          <c:extLst>
            <c:ext xmlns:c16="http://schemas.microsoft.com/office/drawing/2014/chart" uri="{C3380CC4-5D6E-409C-BE32-E72D297353CC}">
              <c16:uniqueId val="{00000003-6A51-44C4-B772-CC16CA96828B}"/>
            </c:ext>
          </c:extLst>
        </c:ser>
        <c:dLbls>
          <c:showLegendKey val="0"/>
          <c:showVal val="0"/>
          <c:showCatName val="0"/>
          <c:showSerName val="0"/>
          <c:showPercent val="0"/>
          <c:showBubbleSize val="0"/>
        </c:dLbls>
        <c:gapWidth val="222"/>
        <c:overlap val="-49"/>
        <c:axId val="899605376"/>
        <c:axId val="899608616"/>
      </c:barChart>
      <c:catAx>
        <c:axId val="89960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899608616"/>
        <c:crosses val="autoZero"/>
        <c:auto val="1"/>
        <c:lblAlgn val="ctr"/>
        <c:lblOffset val="100"/>
        <c:noMultiLvlLbl val="0"/>
      </c:catAx>
      <c:valAx>
        <c:axId val="899608616"/>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60537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9FA32-13AF-41EA-A929-6ED2846E1962}">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AFE89663-5F9B-47AE-9E42-CCC9B8F2716E}">
  <ds:schemaRefs>
    <ds:schemaRef ds:uri="http://schemas.microsoft.com/sharepoint/v3/contenttype/forms"/>
  </ds:schemaRefs>
</ds:datastoreItem>
</file>

<file path=customXml/itemProps3.xml><?xml version="1.0" encoding="utf-8"?>
<ds:datastoreItem xmlns:ds="http://schemas.openxmlformats.org/officeDocument/2006/customXml" ds:itemID="{AD20BFB6-0516-48D0-BD5E-4B4C8656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25</cp:revision>
  <dcterms:created xsi:type="dcterms:W3CDTF">2024-10-27T22:18:00Z</dcterms:created>
  <dcterms:modified xsi:type="dcterms:W3CDTF">2024-10-29T18:18:47Z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