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96D8A" w14:textId="04C70C30" w:rsidR="00DD59E3" w:rsidRPr="00DD59E3" w:rsidRDefault="007E5FEE" w:rsidP="00DD59E3">
      <w:pPr>
        <w:pStyle w:val="Heading2"/>
        <w:rPr>
          <w:rFonts w:ascii="Aptos Display" w:eastAsia="Aptos Display" w:hAnsi="Aptos Display" w:cs="Aptos Display"/>
          <w:b/>
          <w:bCs/>
          <w:sz w:val="32"/>
          <w:szCs w:val="32"/>
        </w:rPr>
      </w:pPr>
      <w:bookmarkStart w:id="0" w:name="_Toc174622951"/>
      <w:r w:rsidRPr="1836FC9C">
        <w:rPr>
          <w:rFonts w:ascii="Aptos Display" w:eastAsia="Aptos Display" w:hAnsi="Aptos Display" w:cs="Aptos Display"/>
          <w:b/>
          <w:bCs/>
          <w:sz w:val="32"/>
          <w:szCs w:val="32"/>
        </w:rPr>
        <w:t xml:space="preserve">2023 CHES Mental Health Report </w:t>
      </w:r>
      <w:r w:rsidR="395CA633" w:rsidRPr="1836FC9C">
        <w:rPr>
          <w:rFonts w:ascii="Aptos Display" w:eastAsia="Aptos Display" w:hAnsi="Aptos Display" w:cs="Aptos Display"/>
          <w:b/>
          <w:bCs/>
          <w:sz w:val="32"/>
          <w:szCs w:val="32"/>
        </w:rPr>
        <w:t xml:space="preserve">- </w:t>
      </w:r>
      <w:r w:rsidRPr="1836FC9C">
        <w:rPr>
          <w:rFonts w:ascii="Aptos Display" w:eastAsia="Aptos Display" w:hAnsi="Aptos Display" w:cs="Aptos Display"/>
          <w:b/>
          <w:bCs/>
          <w:sz w:val="32"/>
          <w:szCs w:val="32"/>
        </w:rPr>
        <w:t>Inequities in Mental Health</w:t>
      </w:r>
      <w:r>
        <w:br/>
      </w:r>
      <w:r w:rsidR="00DD59E3" w:rsidRPr="1836FC9C">
        <w:rPr>
          <w:rFonts w:ascii="Aptos Display" w:eastAsia="Aptos Display" w:hAnsi="Aptos Display" w:cs="Aptos Display"/>
          <w:sz w:val="32"/>
          <w:szCs w:val="32"/>
        </w:rPr>
        <w:t>People with Disabilities</w:t>
      </w:r>
    </w:p>
    <w:p w14:paraId="1995433C" w14:textId="77777777" w:rsidR="00EA40D3" w:rsidRPr="00EA40D3" w:rsidRDefault="00EA40D3" w:rsidP="00EA40D3">
      <w:pPr>
        <w:keepNext/>
        <w:keepLines/>
        <w:spacing w:before="160" w:after="80"/>
        <w:outlineLvl w:val="2"/>
        <w:rPr>
          <w:rFonts w:ascii="Aptos Light" w:eastAsia="Yu Gothic Light" w:hAnsi="Aptos Light" w:cs="Times New Roman"/>
          <w:b/>
          <w:bCs/>
          <w:color w:val="0F4761"/>
          <w:kern w:val="2"/>
          <w:sz w:val="24"/>
          <w:szCs w:val="24"/>
          <w14:ligatures w14:val="standardContextual"/>
        </w:rPr>
      </w:pPr>
      <w:bookmarkStart w:id="1" w:name="_Toc174622957"/>
      <w:bookmarkEnd w:id="0"/>
      <w:r w:rsidRPr="00EA40D3">
        <w:rPr>
          <w:rFonts w:ascii="Aptos Light" w:eastAsia="Yu Gothic Light" w:hAnsi="Aptos Light" w:cs="Times New Roman"/>
          <w:b/>
          <w:bCs/>
          <w:color w:val="0F4761"/>
          <w:kern w:val="2"/>
          <w:sz w:val="24"/>
          <w:szCs w:val="24"/>
          <w14:ligatures w14:val="standardContextual"/>
        </w:rPr>
        <w:t>Communities Experiencing Inequities in Poor Mental Health</w:t>
      </w:r>
      <w:bookmarkEnd w:id="1"/>
    </w:p>
    <w:p w14:paraId="0E41031B" w14:textId="77777777" w:rsidR="00EA40D3" w:rsidRPr="00EA40D3" w:rsidRDefault="00EA40D3" w:rsidP="00EA40D3">
      <w:pPr>
        <w:rPr>
          <w:rFonts w:ascii="Aptos Light" w:eastAsia="Aptos" w:hAnsi="Aptos Light" w:cs="Arial"/>
          <w:kern w:val="2"/>
          <w14:ligatures w14:val="standardContextual"/>
        </w:rPr>
      </w:pPr>
      <w:r w:rsidRPr="00EA40D3">
        <w:rPr>
          <w:rFonts w:ascii="Aptos Light" w:eastAsia="Aptos" w:hAnsi="Aptos Light" w:cs="Arial"/>
          <w:kern w:val="2"/>
          <w14:ligatures w14:val="standardContextual"/>
        </w:rPr>
        <w:t xml:space="preserve">The Massachusetts Department of Public Health (DPH) envisions an equitable public health system that supports optimal well-being for all people in Massachusetts. This includes equitable opportunities for all to achieve mental health and emotional well-being. As summarized in the previous section, the overall burden of poor mental health in Massachusetts is high. However, this burden is not equal across all communities. Poor mental health outcomes are disproportionately concentrated within certain populations due to systems of oppression and other root causes of health inequities. </w:t>
      </w:r>
    </w:p>
    <w:p w14:paraId="6F20E006" w14:textId="77777777" w:rsidR="00EA40D3" w:rsidRPr="00EA40D3" w:rsidRDefault="00EA40D3" w:rsidP="00EA40D3">
      <w:pPr>
        <w:rPr>
          <w:rFonts w:ascii="Aptos Light" w:eastAsia="Aptos" w:hAnsi="Aptos Light" w:cs="Arial"/>
          <w:kern w:val="2"/>
          <w14:ligatures w14:val="standardContextual"/>
        </w:rPr>
      </w:pPr>
      <w:r w:rsidRPr="00EA40D3">
        <w:rPr>
          <w:rFonts w:ascii="Aptos Light" w:eastAsia="Aptos" w:hAnsi="Aptos Light" w:cs="Arial"/>
          <w:kern w:val="2"/>
          <w14:ligatures w14:val="standardContextual"/>
        </w:rPr>
        <w:t>This section will further explore the mental health findings to highlight inequities in poor mental health experienced within certain communities of focus. The 2023 CHES provides important insights</w:t>
      </w:r>
      <w:r w:rsidRPr="00EA40D3" w:rsidDel="00800ED4">
        <w:rPr>
          <w:rFonts w:ascii="Aptos Light" w:eastAsia="Aptos" w:hAnsi="Aptos Light" w:cs="Arial"/>
          <w:kern w:val="2"/>
          <w14:ligatures w14:val="standardContextual"/>
        </w:rPr>
        <w:t xml:space="preserve"> </w:t>
      </w:r>
      <w:r w:rsidRPr="00EA40D3">
        <w:rPr>
          <w:rFonts w:ascii="Aptos Light" w:eastAsia="Aptos" w:hAnsi="Aptos Light" w:cs="Arial"/>
          <w:kern w:val="2"/>
          <w14:ligatures w14:val="standardContextual"/>
        </w:rPr>
        <w:t xml:space="preserve">into mental health inequities within Massachusetts by allowing for disaggregation by populations that are often underrepresented or made invisible in other datasets. The following sections highlight several communities of focus that reported the highest burden of poor mental outcomes. Importantly, these are not the only communities that experience inequities in mental health. Future population spotlights will dive deeper into the needs, assets, and inequities experienced within each of our communities of focus. </w:t>
      </w:r>
    </w:p>
    <w:p w14:paraId="62EF04B1" w14:textId="77777777" w:rsidR="00EA40D3" w:rsidRPr="00EA40D3" w:rsidRDefault="00EA40D3" w:rsidP="00EA40D3">
      <w:pPr>
        <w:keepNext/>
        <w:keepLines/>
        <w:spacing w:before="80" w:after="40"/>
        <w:ind w:firstLine="720"/>
        <w:outlineLvl w:val="3"/>
        <w:rPr>
          <w:rFonts w:ascii="Aptos Light" w:eastAsia="Yu Gothic Light" w:hAnsi="Aptos Light" w:cs="Times New Roman"/>
          <w:b/>
          <w:bCs/>
          <w:i/>
          <w:iCs/>
          <w:color w:val="0F4761"/>
          <w:kern w:val="2"/>
          <w:sz w:val="24"/>
          <w:szCs w:val="24"/>
          <w14:ligatures w14:val="standardContextual"/>
        </w:rPr>
      </w:pPr>
      <w:bookmarkStart w:id="2" w:name="_Toc174622960"/>
      <w:r w:rsidRPr="00EA40D3">
        <w:rPr>
          <w:rFonts w:ascii="Aptos Light" w:eastAsia="Yu Gothic Light" w:hAnsi="Aptos Light" w:cs="Times New Roman"/>
          <w:b/>
          <w:bCs/>
          <w:i/>
          <w:iCs/>
          <w:color w:val="0F4761"/>
          <w:kern w:val="2"/>
          <w:sz w:val="24"/>
          <w:szCs w:val="24"/>
          <w14:ligatures w14:val="standardContextual"/>
        </w:rPr>
        <w:t>People with Disabilities</w:t>
      </w:r>
      <w:bookmarkEnd w:id="2"/>
    </w:p>
    <w:p w14:paraId="7FF7CC5A" w14:textId="77777777" w:rsidR="00BD7AE3" w:rsidRPr="00BD7AE3" w:rsidRDefault="00BD7AE3" w:rsidP="00BD7AE3">
      <w:pPr>
        <w:ind w:left="720"/>
        <w:rPr>
          <w:rFonts w:ascii="Aptos Light" w:eastAsia="Aptos" w:hAnsi="Aptos Light" w:cs="Arial"/>
          <w:kern w:val="2"/>
          <w14:ligatures w14:val="standardContextual"/>
        </w:rPr>
      </w:pPr>
      <w:r w:rsidRPr="00BD7AE3">
        <w:rPr>
          <w:rFonts w:ascii="Aptos Light" w:eastAsia="Aptos" w:hAnsi="Aptos Light" w:cs="Arial"/>
          <w:kern w:val="2"/>
          <w14:ligatures w14:val="standardContextual"/>
        </w:rPr>
        <w:t>People with disabilities are a diverse group of individuals with a wide range of identities, abilities, and experiences. Disabilities are defined as conditions interacting with environmental and social barriers that make it more difficult for people to do certain activities and interact with the world around them</w:t>
      </w:r>
      <w:r w:rsidRPr="00BD7AE3">
        <w:rPr>
          <w:rFonts w:ascii="Aptos Light" w:eastAsia="Aptos" w:hAnsi="Aptos Light" w:cs="Arial"/>
          <w:kern w:val="2"/>
          <w:vertAlign w:val="superscript"/>
          <w14:ligatures w14:val="standardContextual"/>
        </w:rPr>
        <w:endnoteReference w:id="2"/>
      </w:r>
      <w:r w:rsidRPr="00BD7AE3">
        <w:rPr>
          <w:rFonts w:ascii="Aptos Light" w:eastAsia="Aptos" w:hAnsi="Aptos Light" w:cs="Arial"/>
          <w:kern w:val="2"/>
          <w14:ligatures w14:val="standardContextual"/>
        </w:rPr>
        <w:t>. Ableism is a system of oppression that discriminates against and creates disadvantages for people with disabilities. Ableism leads to structural, environmental, and social barriers that make it more difficult for people with disabilities to fully engage and interact with the world around them</w:t>
      </w:r>
      <w:r w:rsidRPr="00BD7AE3">
        <w:rPr>
          <w:rFonts w:ascii="Aptos Light" w:eastAsia="Aptos" w:hAnsi="Aptos Light" w:cs="Arial"/>
          <w:kern w:val="2"/>
          <w:vertAlign w:val="superscript"/>
          <w14:ligatures w14:val="standardContextual"/>
        </w:rPr>
        <w:endnoteReference w:id="3"/>
      </w:r>
      <w:r w:rsidRPr="00BD7AE3">
        <w:rPr>
          <w:rFonts w:ascii="Aptos Light" w:eastAsia="Aptos" w:hAnsi="Aptos Light" w:cs="Arial"/>
          <w:kern w:val="2"/>
          <w14:ligatures w14:val="standardContextual"/>
        </w:rPr>
        <w:t>. People with disabilities often experience more mental distress than people without disabilities. In the US, an estimated 17.4 million adults with disabilities experience frequent mental distress, which is 4.6 times as often as adults without disabilities</w:t>
      </w:r>
      <w:r w:rsidRPr="00BD7AE3">
        <w:rPr>
          <w:rFonts w:ascii="Aptos Light" w:eastAsia="Aptos" w:hAnsi="Aptos Light" w:cs="Arial"/>
          <w:kern w:val="2"/>
          <w:vertAlign w:val="superscript"/>
          <w14:ligatures w14:val="standardContextual"/>
        </w:rPr>
        <w:endnoteReference w:id="4"/>
      </w:r>
      <w:r w:rsidRPr="00BD7AE3">
        <w:rPr>
          <w:rFonts w:ascii="Aptos Light" w:eastAsia="Aptos" w:hAnsi="Aptos Light" w:cs="Arial"/>
          <w:kern w:val="2"/>
          <w14:ligatures w14:val="standardContextual"/>
        </w:rPr>
        <w:t xml:space="preserve">. Consistent with national data, the 2023 CHES show that people with disabilities are more likely to experience poor mental health outcomes. </w:t>
      </w:r>
    </w:p>
    <w:p w14:paraId="71D0A8A4" w14:textId="77777777" w:rsidR="00EA40D3" w:rsidRPr="00EA40D3" w:rsidRDefault="00EA40D3" w:rsidP="00EA40D3">
      <w:pPr>
        <w:rPr>
          <w:rFonts w:ascii="Aptos Light" w:eastAsia="Aptos" w:hAnsi="Aptos Light" w:cs="Arial"/>
          <w:kern w:val="2"/>
          <w14:ligatures w14:val="standardContextual"/>
        </w:rPr>
      </w:pPr>
      <w:r w:rsidRPr="00EA40D3">
        <w:rPr>
          <w:rFonts w:ascii="Aptos Light" w:eastAsia="Aptos" w:hAnsi="Aptos Light" w:cs="Arial"/>
          <w:noProof/>
          <w:kern w:val="2"/>
          <w14:ligatures w14:val="standardContextual"/>
        </w:rPr>
        <mc:AlternateContent>
          <mc:Choice Requires="wps">
            <w:drawing>
              <wp:anchor distT="0" distB="0" distL="114300" distR="114300" simplePos="0" relativeHeight="251658240" behindDoc="0" locked="0" layoutInCell="1" allowOverlap="1" wp14:anchorId="6D885C9E" wp14:editId="2355FBA2">
                <wp:simplePos x="0" y="0"/>
                <wp:positionH relativeFrom="column">
                  <wp:posOffset>522761</wp:posOffset>
                </wp:positionH>
                <wp:positionV relativeFrom="paragraph">
                  <wp:posOffset>9525</wp:posOffset>
                </wp:positionV>
                <wp:extent cx="4238625" cy="457200"/>
                <wp:effectExtent l="0" t="0" r="9525" b="0"/>
                <wp:wrapSquare wrapText="bothSides"/>
                <wp:docPr id="1354783314" name="Text Box 1354783314"/>
                <wp:cNvGraphicFramePr/>
                <a:graphic xmlns:a="http://schemas.openxmlformats.org/drawingml/2006/main">
                  <a:graphicData uri="http://schemas.microsoft.com/office/word/2010/wordprocessingShape">
                    <wps:wsp>
                      <wps:cNvSpPr txBox="1"/>
                      <wps:spPr>
                        <a:xfrm>
                          <a:off x="0" y="0"/>
                          <a:ext cx="4238625" cy="457200"/>
                        </a:xfrm>
                        <a:prstGeom prst="rect">
                          <a:avLst/>
                        </a:prstGeom>
                        <a:solidFill>
                          <a:prstClr val="white"/>
                        </a:solidFill>
                        <a:ln>
                          <a:noFill/>
                        </a:ln>
                      </wps:spPr>
                      <wps:txbx>
                        <w:txbxContent>
                          <w:p w14:paraId="3BCBBA40" w14:textId="77777777" w:rsidR="00EA40D3" w:rsidRPr="00D40E97" w:rsidRDefault="00EA40D3" w:rsidP="00EA40D3">
                            <w:pPr>
                              <w:pStyle w:val="Caption1"/>
                              <w:rPr>
                                <w:noProof/>
                                <w:sz w:val="36"/>
                                <w:szCs w:val="36"/>
                              </w:rPr>
                            </w:pPr>
                            <w:r w:rsidRPr="00D40E97">
                              <w:rPr>
                                <w:sz w:val="22"/>
                                <w:szCs w:val="22"/>
                              </w:rPr>
                              <w:t xml:space="preserve">Figure </w:t>
                            </w:r>
                            <w:r w:rsidRPr="00D40E97">
                              <w:rPr>
                                <w:sz w:val="22"/>
                                <w:szCs w:val="22"/>
                              </w:rPr>
                              <w:fldChar w:fldCharType="begin"/>
                            </w:r>
                            <w:r w:rsidRPr="00D40E97">
                              <w:rPr>
                                <w:sz w:val="22"/>
                                <w:szCs w:val="22"/>
                              </w:rPr>
                              <w:instrText xml:space="preserve"> SEQ Figure \* ARABIC </w:instrText>
                            </w:r>
                            <w:r w:rsidRPr="00D40E97">
                              <w:rPr>
                                <w:sz w:val="22"/>
                                <w:szCs w:val="22"/>
                              </w:rPr>
                              <w:fldChar w:fldCharType="separate"/>
                            </w:r>
                            <w:r>
                              <w:rPr>
                                <w:noProof/>
                                <w:sz w:val="22"/>
                                <w:szCs w:val="22"/>
                              </w:rPr>
                              <w:t>7</w:t>
                            </w:r>
                            <w:r w:rsidRPr="00D40E97">
                              <w:rPr>
                                <w:sz w:val="22"/>
                                <w:szCs w:val="22"/>
                              </w:rPr>
                              <w:fldChar w:fldCharType="end"/>
                            </w:r>
                            <w:r w:rsidRPr="00D40E97">
                              <w:rPr>
                                <w:sz w:val="22"/>
                                <w:szCs w:val="22"/>
                              </w:rPr>
                              <w:t>. 2023 CHES – Adu</w:t>
                            </w:r>
                            <w:r>
                              <w:rPr>
                                <w:sz w:val="22"/>
                                <w:szCs w:val="22"/>
                              </w:rPr>
                              <w:t>l</w:t>
                            </w:r>
                            <w:r w:rsidRPr="00D40E97">
                              <w:rPr>
                                <w:sz w:val="22"/>
                                <w:szCs w:val="22"/>
                              </w:rPr>
                              <w:t>t Psychological Distress by Disability Status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885C9E" id="_x0000_t202" coordsize="21600,21600" o:spt="202" path="m,l,21600r21600,l21600,xe">
                <v:stroke joinstyle="miter"/>
                <v:path gradientshapeok="t" o:connecttype="rect"/>
              </v:shapetype>
              <v:shape id="Text Box 1354783314" o:spid="_x0000_s1026" type="#_x0000_t202" style="position:absolute;margin-left:41.15pt;margin-top:.75pt;width:333.75pt;height:3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" stroked="f">
                <v:textbox inset="0,0,0,0">
                  <w:txbxContent>
                    <w:p w14:paraId="3BCBBA40" w14:textId="77777777" w:rsidR="00EA40D3" w:rsidRPr="00D40E97" w:rsidRDefault="00EA40D3" w:rsidP="00EA40D3">
                      <w:pPr>
                        <w:pStyle w:val="Caption1"/>
                        <w:rPr>
                          <w:noProof/>
                          <w:sz w:val="36"/>
                          <w:szCs w:val="36"/>
                        </w:rPr>
                      </w:pPr>
                      <w:r w:rsidRPr="00D40E97">
                        <w:rPr>
                          <w:sz w:val="22"/>
                          <w:szCs w:val="22"/>
                        </w:rPr>
                        <w:t xml:space="preserve">Figure </w:t>
                      </w:r>
                      <w:r w:rsidRPr="00D40E97">
                        <w:rPr>
                          <w:sz w:val="22"/>
                          <w:szCs w:val="22"/>
                        </w:rPr>
                        <w:fldChar w:fldCharType="begin"/>
                      </w:r>
                      <w:r w:rsidRPr="00D40E97">
                        <w:rPr>
                          <w:sz w:val="22"/>
                          <w:szCs w:val="22"/>
                        </w:rPr>
                        <w:instrText xml:space="preserve"> SEQ Figure \* ARABIC </w:instrText>
                      </w:r>
                      <w:r w:rsidRPr="00D40E97">
                        <w:rPr>
                          <w:sz w:val="22"/>
                          <w:szCs w:val="22"/>
                        </w:rPr>
                        <w:fldChar w:fldCharType="separate"/>
                      </w:r>
                      <w:r>
                        <w:rPr>
                          <w:noProof/>
                          <w:sz w:val="22"/>
                          <w:szCs w:val="22"/>
                        </w:rPr>
                        <w:t>7</w:t>
                      </w:r>
                      <w:r w:rsidRPr="00D40E97">
                        <w:rPr>
                          <w:sz w:val="22"/>
                          <w:szCs w:val="22"/>
                        </w:rPr>
                        <w:fldChar w:fldCharType="end"/>
                      </w:r>
                      <w:r w:rsidRPr="00D40E97">
                        <w:rPr>
                          <w:sz w:val="22"/>
                          <w:szCs w:val="22"/>
                        </w:rPr>
                        <w:t>. 2023 CHES – Adu</w:t>
                      </w:r>
                      <w:r>
                        <w:rPr>
                          <w:sz w:val="22"/>
                          <w:szCs w:val="22"/>
                        </w:rPr>
                        <w:t>l</w:t>
                      </w:r>
                      <w:r w:rsidRPr="00D40E97">
                        <w:rPr>
                          <w:sz w:val="22"/>
                          <w:szCs w:val="22"/>
                        </w:rPr>
                        <w:t>t Psychological Distress by Disability Status</w:t>
                      </w:r>
                    </w:p>
                  </w:txbxContent>
                </v:textbox>
                <w10:wrap type="square"/>
              </v:shape>
            </w:pict>
          </mc:Fallback>
        </mc:AlternateContent>
      </w:r>
      <w:r w:rsidRPr="00EA40D3">
        <w:rPr>
          <w:rFonts w:ascii="Aptos Light" w:eastAsia="Aptos" w:hAnsi="Aptos Light" w:cs="Arial"/>
          <w:noProof/>
          <w:kern w:val="2"/>
          <w14:ligatures w14:val="standardContextual"/>
        </w:rPr>
        <mc:AlternateContent>
          <mc:Choice Requires="wps">
            <w:drawing>
              <wp:anchor distT="45720" distB="45720" distL="114300" distR="114300" simplePos="0" relativeHeight="251658242" behindDoc="0" locked="0" layoutInCell="1" allowOverlap="1" wp14:anchorId="34A32E6C" wp14:editId="7338C464">
                <wp:simplePos x="0" y="0"/>
                <wp:positionH relativeFrom="page">
                  <wp:posOffset>4076700</wp:posOffset>
                </wp:positionH>
                <wp:positionV relativeFrom="paragraph">
                  <wp:posOffset>434975</wp:posOffset>
                </wp:positionV>
                <wp:extent cx="3162300" cy="2637790"/>
                <wp:effectExtent l="0" t="0" r="0" b="0"/>
                <wp:wrapSquare wrapText="bothSides"/>
                <wp:docPr id="1637183727" name="Text Box 1637183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637790"/>
                        </a:xfrm>
                        <a:prstGeom prst="rect">
                          <a:avLst/>
                        </a:prstGeom>
                        <a:solidFill>
                          <a:srgbClr val="0E2841">
                            <a:lumMod val="90000"/>
                            <a:lumOff val="10000"/>
                          </a:srgbClr>
                        </a:solidFill>
                        <a:ln w="9525">
                          <a:noFill/>
                          <a:miter lim="800000"/>
                          <a:headEnd/>
                          <a:tailEnd/>
                        </a:ln>
                      </wps:spPr>
                      <wps:txbx>
                        <w:txbxContent>
                          <w:p w14:paraId="11B4EDF6" w14:textId="77777777" w:rsidR="00EA40D3" w:rsidRDefault="00EA40D3" w:rsidP="00EA40D3">
                            <w:r>
                              <w:t xml:space="preserve">Overall, people with disabilities had significantly worse mental health outcomes compared to people without disabilities. </w:t>
                            </w:r>
                          </w:p>
                          <w:p w14:paraId="6519BF7F" w14:textId="77777777" w:rsidR="00EA40D3" w:rsidRDefault="00EA40D3" w:rsidP="00EA40D3">
                            <w:pPr>
                              <w:pStyle w:val="ListParagraph"/>
                              <w:numPr>
                                <w:ilvl w:val="0"/>
                                <w:numId w:val="1"/>
                              </w:numPr>
                            </w:pPr>
                            <w:r>
                              <w:t>Approximately 1 in 2 adults aged 18 and older with disabilities and 3 in 4 youth aged 14 to 17 with disabilities reported high/very high psychological distress.</w:t>
                            </w:r>
                          </w:p>
                          <w:p w14:paraId="27D44FC4" w14:textId="77777777" w:rsidR="00EA40D3" w:rsidRDefault="00EA40D3" w:rsidP="00EA40D3">
                            <w:pPr>
                              <w:pStyle w:val="ListParagraph"/>
                              <w:numPr>
                                <w:ilvl w:val="0"/>
                                <w:numId w:val="1"/>
                              </w:numPr>
                            </w:pPr>
                            <w:r>
                              <w:t xml:space="preserve">Approximately 15% of adults with a disability and 35% of youth with a disability reported suicidal ideation. </w:t>
                            </w:r>
                          </w:p>
                          <w:p w14:paraId="1704E9DF" w14:textId="731ED1C2" w:rsidR="00EA40D3" w:rsidRDefault="00EA40D3" w:rsidP="00EA40D3">
                            <w:pPr>
                              <w:pStyle w:val="ListParagraph"/>
                              <w:numPr>
                                <w:ilvl w:val="0"/>
                                <w:numId w:val="1"/>
                              </w:numPr>
                            </w:pPr>
                            <w:r>
                              <w:t>Adults with a disability were over 3 times as likely to report social isolation compared to those without a disability.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32E6C" id="Text Box 1637183727" o:spid="_x0000_s1027" type="#_x0000_t202" style="position:absolute;margin-left:321pt;margin-top:34.25pt;width:249pt;height:207.7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" fillcolor="#163e64" stroked="f">
                <v:textbox>
                  <w:txbxContent>
                    <w:p w14:paraId="11B4EDF6" w14:textId="77777777" w:rsidR="00EA40D3" w:rsidRDefault="00EA40D3" w:rsidP="00EA40D3">
                      <w:r>
                        <w:t xml:space="preserve">Overall, people with disabilities had significantly worse mental health outcomes compared to people without disabilities. </w:t>
                      </w:r>
                    </w:p>
                    <w:p w14:paraId="6519BF7F" w14:textId="77777777" w:rsidR="00EA40D3" w:rsidRDefault="00EA40D3" w:rsidP="00EA40D3">
                      <w:pPr>
                        <w:pStyle w:val="ListParagraph"/>
                        <w:numPr>
                          <w:ilvl w:val="0"/>
                          <w:numId w:val="1"/>
                        </w:numPr>
                      </w:pPr>
                      <w:r>
                        <w:t>Approximately 1 in 2 adults aged 18 and older with disabilities and 3 in 4 youth aged 14 to 17 with disabilities reported high/very high psychological distress.</w:t>
                      </w:r>
                    </w:p>
                    <w:p w14:paraId="27D44FC4" w14:textId="77777777" w:rsidR="00EA40D3" w:rsidRDefault="00EA40D3" w:rsidP="00EA40D3">
                      <w:pPr>
                        <w:pStyle w:val="ListParagraph"/>
                        <w:numPr>
                          <w:ilvl w:val="0"/>
                          <w:numId w:val="1"/>
                        </w:numPr>
                      </w:pPr>
                      <w:r>
                        <w:t xml:space="preserve">Approximately 15% of adults with a disability and 35% of youth with a disability reported suicidal ideation. </w:t>
                      </w:r>
                    </w:p>
                    <w:p w14:paraId="1704E9DF" w14:textId="731ED1C2" w:rsidR="00EA40D3" w:rsidRDefault="00EA40D3" w:rsidP="00EA40D3">
                      <w:pPr>
                        <w:pStyle w:val="ListParagraph"/>
                        <w:numPr>
                          <w:ilvl w:val="0"/>
                          <w:numId w:val="1"/>
                        </w:numPr>
                      </w:pPr>
                      <w:r>
                        <w:t>Adults with a disability were over 3 times as likely to report social isolation compared to those without a disability.</w:t>
                      </w:r>
                    </w:p>
                  </w:txbxContent>
                </v:textbox>
                <w10:wrap type="square" anchorx="page"/>
              </v:shape>
            </w:pict>
          </mc:Fallback>
        </mc:AlternateContent>
      </w:r>
      <w:r w:rsidRPr="00EA40D3">
        <w:rPr>
          <w:rFonts w:ascii="Aptos Light" w:eastAsia="Aptos" w:hAnsi="Aptos Light" w:cs="Arial"/>
          <w:noProof/>
          <w:kern w:val="2"/>
          <w14:ligatures w14:val="standardContextual"/>
        </w:rPr>
        <mc:AlternateContent>
          <mc:Choice Requires="wps">
            <w:drawing>
              <wp:anchor distT="45720" distB="45720" distL="114300" distR="114300" simplePos="0" relativeHeight="251658241" behindDoc="0" locked="0" layoutInCell="1" allowOverlap="1" wp14:anchorId="63D32464" wp14:editId="770D5DED">
                <wp:simplePos x="0" y="0"/>
                <wp:positionH relativeFrom="column">
                  <wp:posOffset>220980</wp:posOffset>
                </wp:positionH>
                <wp:positionV relativeFrom="paragraph">
                  <wp:posOffset>428625</wp:posOffset>
                </wp:positionV>
                <wp:extent cx="3267075" cy="2647315"/>
                <wp:effectExtent l="0" t="0" r="28575" b="19685"/>
                <wp:wrapSquare wrapText="bothSides"/>
                <wp:docPr id="2007419168" name="Text Box 2007419168" descr="Bar chart titled ‘Figure 7. 2023 CHES Adult Psychological Distress by Disability Status’ showing the percentage of psychological distress indicators of those with at  least one disability compared to those with no disabilities: 50.8% of those with one disability reported psychological distress compared to 24.4% of those with no disability; 15.0% of those with at least one disability reported suicidal ideation compared to 4.5% of those without a disability; 25.8% of those with at least one disability reported social isolation compared to 8.4% of those with no disabil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647315"/>
                        </a:xfrm>
                        <a:prstGeom prst="rect">
                          <a:avLst/>
                        </a:prstGeom>
                        <a:solidFill>
                          <a:srgbClr val="FFFFFF"/>
                        </a:solidFill>
                        <a:ln w="9525">
                          <a:solidFill>
                            <a:sysClr val="window" lastClr="FFFFFF">
                              <a:lumMod val="75000"/>
                            </a:sysClr>
                          </a:solidFill>
                          <a:miter lim="800000"/>
                          <a:headEnd/>
                          <a:tailEnd/>
                        </a:ln>
                      </wps:spPr>
                      <wps:txbx>
                        <w:txbxContent>
                          <w:p w14:paraId="328CD76B" w14:textId="77777777" w:rsidR="00EA40D3" w:rsidRDefault="00EA40D3" w:rsidP="00EA40D3">
                            <w:r>
                              <w:rPr>
                                <w:noProof/>
                              </w:rPr>
                              <w:drawing>
                                <wp:inline distT="0" distB="0" distL="0" distR="0" wp14:anchorId="603101AE" wp14:editId="531A59EF">
                                  <wp:extent cx="3209925" cy="2495550"/>
                                  <wp:effectExtent l="0" t="0" r="0" b="0"/>
                                  <wp:docPr id="777829822" name="Chart 1">
                                    <a:extLst xmlns:a="http://schemas.openxmlformats.org/drawingml/2006/main">
                                      <a:ext uri="{FF2B5EF4-FFF2-40B4-BE49-F238E27FC236}">
                                        <a16:creationId xmlns:a16="http://schemas.microsoft.com/office/drawing/2014/main" id="{4CA72130-E323-FB12-6A4D-0D7ADC39DE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32464" id="Text Box 2007419168" o:spid="_x0000_s1028" type="#_x0000_t202" alt="Bar chart titled ‘Figure 7. 2023 CHES Adult Psychological Distress by Disability Status’ showing the percentage of psychological distress indicators of those with at  least one disability compared to those with no disabilities: 50.8% of those with one disability reported psychological distress compared to 24.4% of those with no disability; 15.0% of those with at least one disability reported suicidal ideation compared to 4.5% of those without a disability; 25.8% of those with at least one disability reported social isolation compared to 8.4% of those with no disability" style="position:absolute;margin-left:17.4pt;margin-top:33.75pt;width:257.25pt;height:208.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" strokecolor="#bfbfbf">
                <v:textbox>
                  <w:txbxContent>
                    <w:p w14:paraId="328CD76B" w14:textId="77777777" w:rsidR="00EA40D3" w:rsidRDefault="00EA40D3" w:rsidP="00EA40D3">
                      <w:r>
                        <w:rPr>
                          <w:noProof/>
                        </w:rPr>
                        <w:drawing>
                          <wp:inline distT="0" distB="0" distL="0" distR="0" wp14:anchorId="603101AE" wp14:editId="531A59EF">
                            <wp:extent cx="3209925" cy="2495550"/>
                            <wp:effectExtent l="0" t="0" r="0" b="0"/>
                            <wp:docPr id="777829822" name="Chart 1">
                              <a:extLst xmlns:a="http://schemas.openxmlformats.org/drawingml/2006/main">
                                <a:ext uri="{FF2B5EF4-FFF2-40B4-BE49-F238E27FC236}">
                                  <a16:creationId xmlns:a16="http://schemas.microsoft.com/office/drawing/2014/main" id="{4CA72130-E323-FB12-6A4D-0D7ADC39DE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w10:wrap type="square"/>
              </v:shape>
            </w:pict>
          </mc:Fallback>
        </mc:AlternateContent>
      </w:r>
    </w:p>
    <w:p w14:paraId="0FD7A3B2" w14:textId="298FBFF7" w:rsidR="00EA40D3" w:rsidRPr="00EA40D3" w:rsidRDefault="00EA40D3" w:rsidP="00EA40D3">
      <w:pPr>
        <w:ind w:left="720"/>
        <w:rPr>
          <w:rFonts w:ascii="Aptos Light" w:eastAsia="Aptos" w:hAnsi="Aptos Light" w:cs="Arial"/>
          <w:kern w:val="2"/>
          <w14:ligatures w14:val="standardContextual"/>
        </w:rPr>
      </w:pPr>
      <w:r w:rsidRPr="00EA40D3">
        <w:rPr>
          <w:rFonts w:ascii="Aptos Light" w:eastAsia="Aptos" w:hAnsi="Aptos Light" w:cs="Arial"/>
          <w:kern w:val="2"/>
          <w14:ligatures w14:val="standardContextual"/>
        </w:rPr>
        <w:lastRenderedPageBreak/>
        <w:br/>
        <w:t xml:space="preserve">The 2023 CHES intentionally sampled from individuals living with different types of disabilities, allowing for further disaggregation within the disability community. Unsurprisingly, mental health status was not uniform across disability type, highlighting the importance of data disaggregation within this community. As seen in Table 4, people with cognitive, learning/intellectual, and self-care/independent living disabilities reported particularly high rates of poor mental outcomes among all disability types. </w:t>
      </w:r>
    </w:p>
    <w:p w14:paraId="5EAFAAFF" w14:textId="77777777" w:rsidR="00EA40D3" w:rsidRPr="00EA40D3" w:rsidRDefault="00EA40D3" w:rsidP="00EA40D3">
      <w:pPr>
        <w:ind w:left="720"/>
        <w:rPr>
          <w:rFonts w:ascii="Aptos Light" w:eastAsia="Aptos" w:hAnsi="Aptos Light" w:cs="Arial"/>
          <w:kern w:val="2"/>
          <w14:ligatures w14:val="standardContextual"/>
        </w:rPr>
      </w:pPr>
    </w:p>
    <w:p w14:paraId="143FCF7B" w14:textId="77777777" w:rsidR="00EA40D3" w:rsidRPr="00EA40D3" w:rsidRDefault="00EA40D3" w:rsidP="00EA40D3">
      <w:pPr>
        <w:spacing w:after="200" w:line="240" w:lineRule="auto"/>
        <w:ind w:firstLine="720"/>
        <w:rPr>
          <w:rFonts w:ascii="Aptos Light" w:eastAsia="Aptos" w:hAnsi="Aptos Light" w:cs="Arial"/>
          <w:i/>
          <w:iCs/>
          <w:color w:val="0E2841"/>
          <w:kern w:val="2"/>
          <w14:ligatures w14:val="standardContextual"/>
        </w:rPr>
      </w:pPr>
      <w:bookmarkStart w:id="3" w:name="_Toc174604042"/>
      <w:r w:rsidRPr="00EA40D3">
        <w:rPr>
          <w:rFonts w:ascii="Aptos Light" w:eastAsia="Aptos" w:hAnsi="Aptos Light" w:cs="Arial"/>
          <w:i/>
          <w:iCs/>
          <w:color w:val="0E2841"/>
          <w:kern w:val="2"/>
          <w14:ligatures w14:val="standardContextual"/>
        </w:rPr>
        <w:t xml:space="preserve">Table </w:t>
      </w:r>
      <w:r w:rsidRPr="00EA40D3">
        <w:rPr>
          <w:rFonts w:ascii="Aptos Light" w:eastAsia="Aptos" w:hAnsi="Aptos Light" w:cs="Arial"/>
          <w:i/>
          <w:iCs/>
          <w:color w:val="0E2841"/>
          <w:kern w:val="2"/>
          <w14:ligatures w14:val="standardContextual"/>
        </w:rPr>
        <w:fldChar w:fldCharType="begin"/>
      </w:r>
      <w:r w:rsidRPr="00EA40D3">
        <w:rPr>
          <w:rFonts w:ascii="Aptos Light" w:eastAsia="Aptos" w:hAnsi="Aptos Light" w:cs="Arial"/>
          <w:i/>
          <w:iCs/>
          <w:color w:val="0E2841"/>
          <w:kern w:val="2"/>
          <w14:ligatures w14:val="standardContextual"/>
        </w:rPr>
        <w:instrText xml:space="preserve"> SEQ Table \* ARABIC </w:instrText>
      </w:r>
      <w:r w:rsidRPr="00EA40D3">
        <w:rPr>
          <w:rFonts w:ascii="Aptos Light" w:eastAsia="Aptos" w:hAnsi="Aptos Light" w:cs="Arial"/>
          <w:i/>
          <w:iCs/>
          <w:color w:val="0E2841"/>
          <w:kern w:val="2"/>
          <w14:ligatures w14:val="standardContextual"/>
        </w:rPr>
        <w:fldChar w:fldCharType="separate"/>
      </w:r>
      <w:r w:rsidRPr="00EA40D3">
        <w:rPr>
          <w:rFonts w:ascii="Aptos Light" w:eastAsia="Aptos" w:hAnsi="Aptos Light" w:cs="Arial"/>
          <w:i/>
          <w:iCs/>
          <w:noProof/>
          <w:color w:val="0E2841"/>
          <w:kern w:val="2"/>
          <w14:ligatures w14:val="standardContextual"/>
        </w:rPr>
        <w:t>4</w:t>
      </w:r>
      <w:r w:rsidRPr="00EA40D3">
        <w:rPr>
          <w:rFonts w:ascii="Aptos Light" w:eastAsia="Aptos" w:hAnsi="Aptos Light" w:cs="Arial"/>
          <w:i/>
          <w:iCs/>
          <w:color w:val="0E2841"/>
          <w:kern w:val="2"/>
          <w14:ligatures w14:val="standardContextual"/>
        </w:rPr>
        <w:fldChar w:fldCharType="end"/>
      </w:r>
      <w:r w:rsidRPr="00EA40D3">
        <w:rPr>
          <w:rFonts w:ascii="Aptos Light" w:eastAsia="Aptos" w:hAnsi="Aptos Light" w:cs="Arial"/>
          <w:i/>
          <w:iCs/>
          <w:color w:val="0E2841"/>
          <w:kern w:val="2"/>
          <w14:ligatures w14:val="standardContextual"/>
        </w:rPr>
        <w:t>. 2023 CHES Mental Health by Disability Type</w:t>
      </w:r>
      <w:bookmarkEnd w:id="3"/>
    </w:p>
    <w:tbl>
      <w:tblPr>
        <w:tblW w:w="9900" w:type="dxa"/>
        <w:tblInd w:w="720" w:type="dxa"/>
        <w:tblLayout w:type="fixed"/>
        <w:tblCellMar>
          <w:top w:w="15" w:type="dxa"/>
          <w:left w:w="15" w:type="dxa"/>
          <w:bottom w:w="15" w:type="dxa"/>
          <w:right w:w="15" w:type="dxa"/>
        </w:tblCellMar>
        <w:tblLook w:val="04A0" w:firstRow="1" w:lastRow="0" w:firstColumn="1" w:lastColumn="0" w:noHBand="0" w:noVBand="1"/>
      </w:tblPr>
      <w:tblGrid>
        <w:gridCol w:w="2250"/>
        <w:gridCol w:w="1320"/>
        <w:gridCol w:w="1320"/>
        <w:gridCol w:w="1320"/>
        <w:gridCol w:w="1260"/>
        <w:gridCol w:w="1170"/>
        <w:gridCol w:w="1260"/>
      </w:tblGrid>
      <w:tr w:rsidR="00EA40D3" w:rsidRPr="00EA40D3" w14:paraId="223B5D96" w14:textId="77777777">
        <w:trPr>
          <w:trHeight w:val="50"/>
          <w:tblHeader/>
        </w:trPr>
        <w:tc>
          <w:tcPr>
            <w:tcW w:w="2250" w:type="dxa"/>
            <w:tcBorders>
              <w:top w:val="single" w:sz="12" w:space="0" w:color="auto"/>
              <w:bottom w:val="single" w:sz="12" w:space="0" w:color="auto"/>
            </w:tcBorders>
            <w:tcMar>
              <w:top w:w="100" w:type="dxa"/>
              <w:left w:w="100" w:type="dxa"/>
              <w:bottom w:w="100" w:type="dxa"/>
              <w:right w:w="100" w:type="dxa"/>
            </w:tcMar>
            <w:vAlign w:val="center"/>
            <w:hideMark/>
          </w:tcPr>
          <w:p w14:paraId="6F07692A" w14:textId="77777777" w:rsidR="00EA40D3" w:rsidRPr="00EA40D3" w:rsidRDefault="00EA40D3" w:rsidP="00EA40D3">
            <w:pPr>
              <w:spacing w:after="0"/>
              <w:rPr>
                <w:rFonts w:ascii="Aptos Light" w:eastAsia="Aptos" w:hAnsi="Aptos Light" w:cs="Arial"/>
                <w:kern w:val="2"/>
                <w:sz w:val="18"/>
                <w:szCs w:val="18"/>
                <w14:ligatures w14:val="standardContextual"/>
              </w:rPr>
            </w:pPr>
          </w:p>
        </w:tc>
        <w:tc>
          <w:tcPr>
            <w:tcW w:w="2640" w:type="dxa"/>
            <w:gridSpan w:val="2"/>
            <w:tcBorders>
              <w:top w:val="single" w:sz="12" w:space="0" w:color="auto"/>
              <w:bottom w:val="single" w:sz="12" w:space="0" w:color="auto"/>
            </w:tcBorders>
            <w:tcMar>
              <w:top w:w="100" w:type="dxa"/>
              <w:left w:w="100" w:type="dxa"/>
              <w:bottom w:w="100" w:type="dxa"/>
              <w:right w:w="100" w:type="dxa"/>
            </w:tcMar>
            <w:vAlign w:val="center"/>
            <w:hideMark/>
          </w:tcPr>
          <w:p w14:paraId="0A5A550A" w14:textId="77777777" w:rsidR="00EA40D3" w:rsidRPr="00EA40D3" w:rsidRDefault="00EA40D3" w:rsidP="00EA40D3">
            <w:pPr>
              <w:spacing w:after="0"/>
              <w:jc w:val="center"/>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 xml:space="preserve">Psychological Distress – </w:t>
            </w:r>
            <w:r w:rsidRPr="00EA40D3">
              <w:rPr>
                <w:rFonts w:ascii="Aptos Light" w:eastAsia="Aptos" w:hAnsi="Aptos Light" w:cs="Arial"/>
                <w:kern w:val="2"/>
                <w:sz w:val="18"/>
                <w:szCs w:val="18"/>
                <w14:ligatures w14:val="standardContextual"/>
              </w:rPr>
              <w:br/>
              <w:t>High or Very High</w:t>
            </w:r>
          </w:p>
        </w:tc>
        <w:tc>
          <w:tcPr>
            <w:tcW w:w="2580" w:type="dxa"/>
            <w:gridSpan w:val="2"/>
            <w:tcBorders>
              <w:top w:val="single" w:sz="12" w:space="0" w:color="auto"/>
              <w:bottom w:val="single" w:sz="12" w:space="0" w:color="auto"/>
            </w:tcBorders>
            <w:tcMar>
              <w:top w:w="100" w:type="dxa"/>
              <w:left w:w="100" w:type="dxa"/>
              <w:bottom w:w="100" w:type="dxa"/>
              <w:right w:w="100" w:type="dxa"/>
            </w:tcMar>
            <w:vAlign w:val="center"/>
            <w:hideMark/>
          </w:tcPr>
          <w:p w14:paraId="467D1FF2" w14:textId="77777777" w:rsidR="00EA40D3" w:rsidRPr="00EA40D3" w:rsidRDefault="00EA40D3" w:rsidP="00EA40D3">
            <w:pPr>
              <w:spacing w:after="0"/>
              <w:jc w:val="center"/>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Suicidal Ideation</w:t>
            </w:r>
          </w:p>
        </w:tc>
        <w:tc>
          <w:tcPr>
            <w:tcW w:w="2430" w:type="dxa"/>
            <w:gridSpan w:val="2"/>
            <w:tcBorders>
              <w:top w:val="single" w:sz="12" w:space="0" w:color="auto"/>
              <w:bottom w:val="single" w:sz="12" w:space="0" w:color="auto"/>
            </w:tcBorders>
            <w:tcMar>
              <w:top w:w="100" w:type="dxa"/>
              <w:left w:w="100" w:type="dxa"/>
              <w:bottom w:w="100" w:type="dxa"/>
              <w:right w:w="100" w:type="dxa"/>
            </w:tcMar>
            <w:vAlign w:val="center"/>
            <w:hideMark/>
          </w:tcPr>
          <w:p w14:paraId="493F7369" w14:textId="77777777" w:rsidR="00EA40D3" w:rsidRPr="00EA40D3" w:rsidRDefault="00EA40D3" w:rsidP="00EA40D3">
            <w:pPr>
              <w:spacing w:after="0"/>
              <w:jc w:val="center"/>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Social Isolation</w:t>
            </w:r>
          </w:p>
        </w:tc>
      </w:tr>
      <w:tr w:rsidR="00EA40D3" w:rsidRPr="00EA40D3" w14:paraId="29A45D7F" w14:textId="77777777">
        <w:trPr>
          <w:trHeight w:val="419"/>
          <w:tblHeader/>
        </w:trPr>
        <w:tc>
          <w:tcPr>
            <w:tcW w:w="2250" w:type="dxa"/>
            <w:tcBorders>
              <w:top w:val="single" w:sz="12" w:space="0" w:color="auto"/>
              <w:bottom w:val="single" w:sz="2" w:space="0" w:color="auto"/>
            </w:tcBorders>
            <w:tcMar>
              <w:top w:w="100" w:type="dxa"/>
              <w:left w:w="100" w:type="dxa"/>
              <w:bottom w:w="100" w:type="dxa"/>
              <w:right w:w="100" w:type="dxa"/>
            </w:tcMar>
            <w:vAlign w:val="center"/>
            <w:hideMark/>
          </w:tcPr>
          <w:p w14:paraId="5A82002F" w14:textId="77777777" w:rsidR="00EA40D3" w:rsidRPr="00EA40D3" w:rsidRDefault="00EA40D3" w:rsidP="00EA40D3">
            <w:pPr>
              <w:spacing w:after="0"/>
              <w:rPr>
                <w:rFonts w:ascii="Aptos Light" w:eastAsia="Aptos" w:hAnsi="Aptos Light" w:cs="Arial"/>
                <w:kern w:val="2"/>
                <w:sz w:val="18"/>
                <w:szCs w:val="18"/>
                <w14:ligatures w14:val="standardContextual"/>
              </w:rPr>
            </w:pPr>
          </w:p>
        </w:tc>
        <w:tc>
          <w:tcPr>
            <w:tcW w:w="1320" w:type="dxa"/>
            <w:tcBorders>
              <w:top w:val="single" w:sz="12" w:space="0" w:color="auto"/>
              <w:bottom w:val="single" w:sz="2" w:space="0" w:color="auto"/>
            </w:tcBorders>
            <w:tcMar>
              <w:top w:w="100" w:type="dxa"/>
              <w:left w:w="100" w:type="dxa"/>
              <w:bottom w:w="100" w:type="dxa"/>
              <w:right w:w="100" w:type="dxa"/>
            </w:tcMar>
            <w:vAlign w:val="center"/>
            <w:hideMark/>
          </w:tcPr>
          <w:p w14:paraId="484DE9DC" w14:textId="77777777" w:rsidR="00EA40D3" w:rsidRPr="00EA40D3" w:rsidRDefault="00EA40D3" w:rsidP="00EA40D3">
            <w:pPr>
              <w:spacing w:after="0"/>
              <w:jc w:val="center"/>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Adult (18+) Weighted %</w:t>
            </w:r>
          </w:p>
        </w:tc>
        <w:tc>
          <w:tcPr>
            <w:tcW w:w="1320" w:type="dxa"/>
            <w:tcBorders>
              <w:top w:val="single" w:sz="12" w:space="0" w:color="auto"/>
              <w:bottom w:val="single" w:sz="2" w:space="0" w:color="auto"/>
            </w:tcBorders>
            <w:tcMar>
              <w:top w:w="100" w:type="dxa"/>
              <w:left w:w="100" w:type="dxa"/>
              <w:bottom w:w="100" w:type="dxa"/>
              <w:right w:w="100" w:type="dxa"/>
            </w:tcMar>
            <w:vAlign w:val="center"/>
            <w:hideMark/>
          </w:tcPr>
          <w:p w14:paraId="70116E24" w14:textId="77777777" w:rsidR="00EA40D3" w:rsidRPr="00EA40D3" w:rsidRDefault="00EA40D3" w:rsidP="00EA40D3">
            <w:pPr>
              <w:spacing w:after="0"/>
              <w:jc w:val="center"/>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Youth (14-17) Weighted %</w:t>
            </w:r>
          </w:p>
        </w:tc>
        <w:tc>
          <w:tcPr>
            <w:tcW w:w="1320" w:type="dxa"/>
            <w:tcBorders>
              <w:top w:val="single" w:sz="12" w:space="0" w:color="auto"/>
              <w:bottom w:val="single" w:sz="2" w:space="0" w:color="auto"/>
            </w:tcBorders>
            <w:tcMar>
              <w:top w:w="100" w:type="dxa"/>
              <w:left w:w="100" w:type="dxa"/>
              <w:bottom w:w="100" w:type="dxa"/>
              <w:right w:w="100" w:type="dxa"/>
            </w:tcMar>
            <w:vAlign w:val="center"/>
            <w:hideMark/>
          </w:tcPr>
          <w:p w14:paraId="67BB5762" w14:textId="77777777" w:rsidR="00EA40D3" w:rsidRPr="00EA40D3" w:rsidRDefault="00EA40D3" w:rsidP="00EA40D3">
            <w:pPr>
              <w:spacing w:after="0"/>
              <w:jc w:val="center"/>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Adult (18+) Weighted %</w:t>
            </w:r>
          </w:p>
        </w:tc>
        <w:tc>
          <w:tcPr>
            <w:tcW w:w="1260" w:type="dxa"/>
            <w:tcBorders>
              <w:top w:val="single" w:sz="12" w:space="0" w:color="auto"/>
              <w:bottom w:val="single" w:sz="2" w:space="0" w:color="auto"/>
            </w:tcBorders>
            <w:tcMar>
              <w:top w:w="100" w:type="dxa"/>
              <w:left w:w="100" w:type="dxa"/>
              <w:bottom w:w="100" w:type="dxa"/>
              <w:right w:w="100" w:type="dxa"/>
            </w:tcMar>
            <w:vAlign w:val="center"/>
            <w:hideMark/>
          </w:tcPr>
          <w:p w14:paraId="191431A1" w14:textId="77777777" w:rsidR="00EA40D3" w:rsidRPr="00EA40D3" w:rsidRDefault="00EA40D3" w:rsidP="00EA40D3">
            <w:pPr>
              <w:spacing w:after="0"/>
              <w:jc w:val="center"/>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Youth (14-17) Weighted %</w:t>
            </w:r>
          </w:p>
        </w:tc>
        <w:tc>
          <w:tcPr>
            <w:tcW w:w="1170" w:type="dxa"/>
            <w:tcBorders>
              <w:top w:val="single" w:sz="12" w:space="0" w:color="auto"/>
              <w:bottom w:val="single" w:sz="2" w:space="0" w:color="auto"/>
            </w:tcBorders>
            <w:tcMar>
              <w:top w:w="100" w:type="dxa"/>
              <w:left w:w="100" w:type="dxa"/>
              <w:bottom w:w="100" w:type="dxa"/>
              <w:right w:w="100" w:type="dxa"/>
            </w:tcMar>
            <w:vAlign w:val="center"/>
            <w:hideMark/>
          </w:tcPr>
          <w:p w14:paraId="36C0BDF6" w14:textId="77777777" w:rsidR="00EA40D3" w:rsidRPr="00EA40D3" w:rsidRDefault="00EA40D3" w:rsidP="00EA40D3">
            <w:pPr>
              <w:spacing w:after="0"/>
              <w:jc w:val="center"/>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Adult (18+) Weighted %</w:t>
            </w:r>
          </w:p>
        </w:tc>
        <w:tc>
          <w:tcPr>
            <w:tcW w:w="1260" w:type="dxa"/>
            <w:tcBorders>
              <w:top w:val="single" w:sz="12" w:space="0" w:color="auto"/>
              <w:bottom w:val="single" w:sz="2" w:space="0" w:color="auto"/>
            </w:tcBorders>
            <w:tcMar>
              <w:top w:w="100" w:type="dxa"/>
              <w:left w:w="100" w:type="dxa"/>
              <w:bottom w:w="100" w:type="dxa"/>
              <w:right w:w="100" w:type="dxa"/>
            </w:tcMar>
            <w:vAlign w:val="center"/>
            <w:hideMark/>
          </w:tcPr>
          <w:p w14:paraId="1B44635B" w14:textId="77777777" w:rsidR="00EA40D3" w:rsidRPr="00EA40D3" w:rsidRDefault="00EA40D3" w:rsidP="00EA40D3">
            <w:pPr>
              <w:spacing w:after="0"/>
              <w:jc w:val="center"/>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Youth (14-17) Weighted %</w:t>
            </w:r>
          </w:p>
        </w:tc>
      </w:tr>
      <w:tr w:rsidR="00EA40D3" w:rsidRPr="00EA40D3" w14:paraId="10B75286" w14:textId="77777777" w:rsidTr="00EA40D3">
        <w:trPr>
          <w:trHeight w:val="20"/>
        </w:trPr>
        <w:tc>
          <w:tcPr>
            <w:tcW w:w="2250" w:type="dxa"/>
            <w:tcBorders>
              <w:top w:val="single" w:sz="2" w:space="0" w:color="auto"/>
              <w:bottom w:val="single" w:sz="2" w:space="0" w:color="BFBFBF"/>
            </w:tcBorders>
            <w:tcMar>
              <w:top w:w="100" w:type="dxa"/>
              <w:left w:w="100" w:type="dxa"/>
              <w:bottom w:w="100" w:type="dxa"/>
              <w:right w:w="100" w:type="dxa"/>
            </w:tcMar>
            <w:vAlign w:val="center"/>
          </w:tcPr>
          <w:p w14:paraId="21A396E6"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People with Disabilities</w:t>
            </w:r>
          </w:p>
        </w:tc>
        <w:tc>
          <w:tcPr>
            <w:tcW w:w="1320" w:type="dxa"/>
            <w:tcBorders>
              <w:top w:val="single" w:sz="2" w:space="0" w:color="auto"/>
              <w:bottom w:val="single" w:sz="2" w:space="0" w:color="BFBFBF"/>
            </w:tcBorders>
            <w:tcMar>
              <w:top w:w="100" w:type="dxa"/>
              <w:left w:w="100" w:type="dxa"/>
              <w:bottom w:w="100" w:type="dxa"/>
              <w:right w:w="100" w:type="dxa"/>
            </w:tcMar>
            <w:vAlign w:val="center"/>
          </w:tcPr>
          <w:p w14:paraId="1BE0AD27"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p>
        </w:tc>
        <w:tc>
          <w:tcPr>
            <w:tcW w:w="1320" w:type="dxa"/>
            <w:tcBorders>
              <w:top w:val="single" w:sz="2" w:space="0" w:color="auto"/>
              <w:bottom w:val="single" w:sz="2" w:space="0" w:color="BFBFBF"/>
            </w:tcBorders>
            <w:tcMar>
              <w:top w:w="100" w:type="dxa"/>
              <w:left w:w="100" w:type="dxa"/>
              <w:bottom w:w="100" w:type="dxa"/>
              <w:right w:w="100" w:type="dxa"/>
            </w:tcMar>
            <w:vAlign w:val="center"/>
          </w:tcPr>
          <w:p w14:paraId="155F8278"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p>
        </w:tc>
        <w:tc>
          <w:tcPr>
            <w:tcW w:w="1320" w:type="dxa"/>
            <w:tcBorders>
              <w:top w:val="single" w:sz="2" w:space="0" w:color="auto"/>
              <w:bottom w:val="single" w:sz="2" w:space="0" w:color="BFBFBF"/>
            </w:tcBorders>
            <w:tcMar>
              <w:top w:w="100" w:type="dxa"/>
              <w:left w:w="100" w:type="dxa"/>
              <w:bottom w:w="100" w:type="dxa"/>
              <w:right w:w="100" w:type="dxa"/>
            </w:tcMar>
            <w:vAlign w:val="center"/>
          </w:tcPr>
          <w:p w14:paraId="0C1CEC25"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p>
        </w:tc>
        <w:tc>
          <w:tcPr>
            <w:tcW w:w="1260" w:type="dxa"/>
            <w:tcBorders>
              <w:top w:val="single" w:sz="2" w:space="0" w:color="auto"/>
              <w:bottom w:val="single" w:sz="2" w:space="0" w:color="BFBFBF"/>
            </w:tcBorders>
            <w:tcMar>
              <w:top w:w="100" w:type="dxa"/>
              <w:left w:w="100" w:type="dxa"/>
              <w:bottom w:w="100" w:type="dxa"/>
              <w:right w:w="100" w:type="dxa"/>
            </w:tcMar>
            <w:vAlign w:val="center"/>
          </w:tcPr>
          <w:p w14:paraId="4C9C03E8"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p>
        </w:tc>
        <w:tc>
          <w:tcPr>
            <w:tcW w:w="1170" w:type="dxa"/>
            <w:tcBorders>
              <w:top w:val="single" w:sz="2" w:space="0" w:color="auto"/>
              <w:bottom w:val="single" w:sz="2" w:space="0" w:color="BFBFBF"/>
            </w:tcBorders>
            <w:tcMar>
              <w:top w:w="100" w:type="dxa"/>
              <w:left w:w="100" w:type="dxa"/>
              <w:bottom w:w="100" w:type="dxa"/>
              <w:right w:w="100" w:type="dxa"/>
            </w:tcMar>
            <w:vAlign w:val="center"/>
          </w:tcPr>
          <w:p w14:paraId="184ECB87"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p>
        </w:tc>
        <w:tc>
          <w:tcPr>
            <w:tcW w:w="1260" w:type="dxa"/>
            <w:tcBorders>
              <w:top w:val="single" w:sz="2" w:space="0" w:color="auto"/>
              <w:bottom w:val="single" w:sz="2" w:space="0" w:color="BFBFBF"/>
            </w:tcBorders>
            <w:tcMar>
              <w:top w:w="100" w:type="dxa"/>
              <w:left w:w="100" w:type="dxa"/>
              <w:bottom w:w="100" w:type="dxa"/>
              <w:right w:w="100" w:type="dxa"/>
            </w:tcMar>
            <w:vAlign w:val="center"/>
          </w:tcPr>
          <w:p w14:paraId="21E2B144"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p>
        </w:tc>
      </w:tr>
      <w:tr w:rsidR="00EA40D3" w:rsidRPr="00EA40D3" w14:paraId="0DD9CDC3" w14:textId="77777777" w:rsidTr="00EA40D3">
        <w:trPr>
          <w:trHeight w:val="20"/>
        </w:trPr>
        <w:tc>
          <w:tcPr>
            <w:tcW w:w="2250" w:type="dxa"/>
            <w:tcBorders>
              <w:top w:val="single" w:sz="2" w:space="0" w:color="BFBFBF"/>
              <w:bottom w:val="single" w:sz="2" w:space="0" w:color="BFBFBF"/>
            </w:tcBorders>
            <w:tcMar>
              <w:top w:w="100" w:type="dxa"/>
              <w:left w:w="100" w:type="dxa"/>
              <w:bottom w:w="100" w:type="dxa"/>
              <w:right w:w="100" w:type="dxa"/>
            </w:tcMar>
            <w:vAlign w:val="center"/>
          </w:tcPr>
          <w:p w14:paraId="63E5A9D5" w14:textId="77777777" w:rsidR="00EA40D3" w:rsidRPr="00EA40D3" w:rsidRDefault="00EA40D3" w:rsidP="00EA40D3">
            <w:pPr>
              <w:spacing w:after="0"/>
              <w:ind w:left="343"/>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At Least One Disability</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7CB13155"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50.8***</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34BE8BBB"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74.4***</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0D035689"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15.0***</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541B71D4"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34.6***</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3BEAA45D"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25.8***</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33B04F2A"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33.1***</w:t>
            </w:r>
          </w:p>
        </w:tc>
      </w:tr>
      <w:tr w:rsidR="00EA40D3" w:rsidRPr="00EA40D3" w14:paraId="406426F4" w14:textId="77777777" w:rsidTr="00EA40D3">
        <w:trPr>
          <w:trHeight w:val="20"/>
        </w:trPr>
        <w:tc>
          <w:tcPr>
            <w:tcW w:w="2250" w:type="dxa"/>
            <w:tcBorders>
              <w:top w:val="single" w:sz="2" w:space="0" w:color="BFBFBF"/>
              <w:bottom w:val="single" w:sz="2" w:space="0" w:color="BFBFBF"/>
            </w:tcBorders>
            <w:tcMar>
              <w:top w:w="100" w:type="dxa"/>
              <w:left w:w="100" w:type="dxa"/>
              <w:bottom w:w="100" w:type="dxa"/>
              <w:right w:w="100" w:type="dxa"/>
            </w:tcMar>
            <w:vAlign w:val="center"/>
          </w:tcPr>
          <w:p w14:paraId="77B75A99" w14:textId="77777777" w:rsidR="00EA40D3" w:rsidRPr="00EA40D3" w:rsidRDefault="00EA40D3" w:rsidP="00EA40D3">
            <w:pPr>
              <w:spacing w:after="0"/>
              <w:ind w:left="343"/>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Blind/Vision Impaired</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501B9897"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49.9***</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4DB9C02E"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63.0***</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6A0E910E"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10.5***</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4BDFB8F3"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34.6***</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60C72D93"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30.0***</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542C3E70"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39.6***</w:t>
            </w:r>
          </w:p>
        </w:tc>
      </w:tr>
      <w:tr w:rsidR="00EA40D3" w:rsidRPr="00EA40D3" w14:paraId="4DD0B976" w14:textId="77777777" w:rsidTr="00EA40D3">
        <w:trPr>
          <w:trHeight w:val="20"/>
        </w:trPr>
        <w:tc>
          <w:tcPr>
            <w:tcW w:w="2250" w:type="dxa"/>
            <w:tcBorders>
              <w:top w:val="single" w:sz="2" w:space="0" w:color="BFBFBF"/>
              <w:bottom w:val="single" w:sz="2" w:space="0" w:color="BFBFBF"/>
            </w:tcBorders>
            <w:tcMar>
              <w:top w:w="100" w:type="dxa"/>
              <w:left w:w="100" w:type="dxa"/>
              <w:bottom w:w="100" w:type="dxa"/>
              <w:right w:w="100" w:type="dxa"/>
            </w:tcMar>
            <w:vAlign w:val="center"/>
          </w:tcPr>
          <w:p w14:paraId="5D37376E" w14:textId="77777777" w:rsidR="00EA40D3" w:rsidRPr="00EA40D3" w:rsidRDefault="00EA40D3" w:rsidP="00EA40D3">
            <w:pPr>
              <w:spacing w:after="0"/>
              <w:ind w:left="343"/>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Cognitive Disability</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2A565A2B"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73.3***</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4DCDE9FA"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77.2***</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6F960B29"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24.4***</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6A3720F3"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36.1***</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5FF7EA42"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39.5***</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44E2D9F7"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35.8***</w:t>
            </w:r>
          </w:p>
        </w:tc>
      </w:tr>
      <w:tr w:rsidR="00EA40D3" w:rsidRPr="00EA40D3" w14:paraId="791AD7A4" w14:textId="77777777" w:rsidTr="00EA40D3">
        <w:trPr>
          <w:trHeight w:val="20"/>
        </w:trPr>
        <w:tc>
          <w:tcPr>
            <w:tcW w:w="2250" w:type="dxa"/>
            <w:tcBorders>
              <w:top w:val="single" w:sz="2" w:space="0" w:color="BFBFBF"/>
              <w:bottom w:val="single" w:sz="2" w:space="0" w:color="BFBFBF"/>
            </w:tcBorders>
            <w:tcMar>
              <w:top w:w="100" w:type="dxa"/>
              <w:left w:w="100" w:type="dxa"/>
              <w:bottom w:w="100" w:type="dxa"/>
              <w:right w:w="100" w:type="dxa"/>
            </w:tcMar>
            <w:vAlign w:val="center"/>
          </w:tcPr>
          <w:p w14:paraId="5B67D0D0" w14:textId="77777777" w:rsidR="00EA40D3" w:rsidRPr="00EA40D3" w:rsidRDefault="00EA40D3" w:rsidP="00EA40D3">
            <w:pPr>
              <w:spacing w:after="0"/>
              <w:ind w:left="343"/>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Deaf/Hard of Hearing</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38C29973"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28.0*</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1C859B1C"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4C9C3BD7"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7.8***</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20B08990"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2F9A26B7"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15.2***</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47CC064F"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w:t>
            </w:r>
          </w:p>
        </w:tc>
      </w:tr>
      <w:tr w:rsidR="00EA40D3" w:rsidRPr="00EA40D3" w14:paraId="0C761420" w14:textId="77777777" w:rsidTr="00EA40D3">
        <w:trPr>
          <w:trHeight w:val="20"/>
        </w:trPr>
        <w:tc>
          <w:tcPr>
            <w:tcW w:w="2250" w:type="dxa"/>
            <w:tcBorders>
              <w:top w:val="single" w:sz="2" w:space="0" w:color="BFBFBF"/>
              <w:bottom w:val="single" w:sz="2" w:space="0" w:color="BFBFBF"/>
            </w:tcBorders>
            <w:tcMar>
              <w:top w:w="100" w:type="dxa"/>
              <w:left w:w="100" w:type="dxa"/>
              <w:bottom w:w="100" w:type="dxa"/>
              <w:right w:w="100" w:type="dxa"/>
            </w:tcMar>
            <w:vAlign w:val="center"/>
          </w:tcPr>
          <w:p w14:paraId="15CFB1B5" w14:textId="77777777" w:rsidR="00EA40D3" w:rsidRPr="00EA40D3" w:rsidRDefault="00EA40D3" w:rsidP="00EA40D3">
            <w:pPr>
              <w:spacing w:after="0"/>
              <w:ind w:left="343"/>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Learning/Intellectual Disability</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5BE11B6F"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65.9***</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65E65161"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66.8***</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4FCCF132"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25.4***</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044DE7C8"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29.8***</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3BC18440"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40.3***</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09FB659E"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34.3***</w:t>
            </w:r>
          </w:p>
        </w:tc>
      </w:tr>
      <w:tr w:rsidR="00EA40D3" w:rsidRPr="00EA40D3" w14:paraId="25B1EF2D" w14:textId="77777777" w:rsidTr="00EA40D3">
        <w:trPr>
          <w:trHeight w:val="20"/>
        </w:trPr>
        <w:tc>
          <w:tcPr>
            <w:tcW w:w="2250" w:type="dxa"/>
            <w:tcBorders>
              <w:top w:val="single" w:sz="2" w:space="0" w:color="BFBFBF"/>
              <w:bottom w:val="single" w:sz="2" w:space="0" w:color="BFBFBF"/>
            </w:tcBorders>
            <w:tcMar>
              <w:top w:w="100" w:type="dxa"/>
              <w:left w:w="100" w:type="dxa"/>
              <w:bottom w:w="100" w:type="dxa"/>
              <w:right w:w="100" w:type="dxa"/>
            </w:tcMar>
            <w:vAlign w:val="center"/>
          </w:tcPr>
          <w:p w14:paraId="28EECC2B" w14:textId="77777777" w:rsidR="00EA40D3" w:rsidRPr="00EA40D3" w:rsidRDefault="00EA40D3" w:rsidP="00EA40D3">
            <w:pPr>
              <w:spacing w:after="0"/>
              <w:ind w:left="343"/>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Mobility Disability</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6C1B5E77"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44.0***</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7103FB0E"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75.5***</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40C343CB"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10.4***</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1E0C9864"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50.8***</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643EFF68"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21.3***</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5FD912C5"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49.6***</w:t>
            </w:r>
          </w:p>
        </w:tc>
      </w:tr>
      <w:tr w:rsidR="00EA40D3" w:rsidRPr="00EA40D3" w14:paraId="50F76D43" w14:textId="77777777" w:rsidTr="00EA40D3">
        <w:trPr>
          <w:trHeight w:val="20"/>
        </w:trPr>
        <w:tc>
          <w:tcPr>
            <w:tcW w:w="2250" w:type="dxa"/>
            <w:tcBorders>
              <w:top w:val="single" w:sz="2" w:space="0" w:color="BFBFBF"/>
              <w:bottom w:val="single" w:sz="2" w:space="0" w:color="BFBFBF"/>
            </w:tcBorders>
            <w:tcMar>
              <w:top w:w="100" w:type="dxa"/>
              <w:left w:w="100" w:type="dxa"/>
              <w:bottom w:w="100" w:type="dxa"/>
              <w:right w:w="100" w:type="dxa"/>
            </w:tcMar>
            <w:vAlign w:val="center"/>
          </w:tcPr>
          <w:p w14:paraId="3631627F" w14:textId="77777777" w:rsidR="00EA40D3" w:rsidRPr="00EA40D3" w:rsidRDefault="00EA40D3" w:rsidP="00EA40D3">
            <w:pPr>
              <w:spacing w:after="0"/>
              <w:ind w:left="343"/>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Self-Care/Independent Living Disability</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1F9C711D"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65.1***</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4FAC2A3E"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86.7***</w:t>
            </w:r>
          </w:p>
        </w:tc>
        <w:tc>
          <w:tcPr>
            <w:tcW w:w="1320" w:type="dxa"/>
            <w:tcBorders>
              <w:top w:val="single" w:sz="2" w:space="0" w:color="BFBFBF"/>
              <w:bottom w:val="single" w:sz="2" w:space="0" w:color="BFBFBF"/>
            </w:tcBorders>
            <w:tcMar>
              <w:top w:w="100" w:type="dxa"/>
              <w:left w:w="100" w:type="dxa"/>
              <w:bottom w:w="100" w:type="dxa"/>
              <w:right w:w="100" w:type="dxa"/>
            </w:tcMar>
            <w:vAlign w:val="center"/>
          </w:tcPr>
          <w:p w14:paraId="1ADD7C05"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21.9***</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3DEB8A15"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55.3***</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101D1F4C"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39.0***</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48466E04"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53.4***</w:t>
            </w:r>
          </w:p>
        </w:tc>
      </w:tr>
      <w:tr w:rsidR="00EA40D3" w:rsidRPr="00EA40D3" w14:paraId="5C6AAF65" w14:textId="77777777" w:rsidTr="00EA40D3">
        <w:trPr>
          <w:trHeight w:val="20"/>
        </w:trPr>
        <w:tc>
          <w:tcPr>
            <w:tcW w:w="2250" w:type="dxa"/>
            <w:tcBorders>
              <w:top w:val="single" w:sz="2" w:space="0" w:color="BFBFBF"/>
              <w:bottom w:val="single" w:sz="2" w:space="0" w:color="auto"/>
            </w:tcBorders>
            <w:tcMar>
              <w:top w:w="100" w:type="dxa"/>
              <w:left w:w="100" w:type="dxa"/>
              <w:bottom w:w="100" w:type="dxa"/>
              <w:right w:w="100" w:type="dxa"/>
            </w:tcMar>
            <w:vAlign w:val="center"/>
          </w:tcPr>
          <w:p w14:paraId="3F278D10" w14:textId="77777777" w:rsidR="00EA40D3" w:rsidRPr="00EA40D3" w:rsidRDefault="00EA40D3" w:rsidP="00EA40D3">
            <w:pPr>
              <w:spacing w:after="0"/>
              <w:ind w:left="343"/>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No Disability (</w:t>
            </w:r>
            <w:r w:rsidRPr="00EA40D3">
              <w:rPr>
                <w:rFonts w:ascii="Aptos Light" w:eastAsia="Aptos" w:hAnsi="Aptos Light" w:cs="Arial"/>
                <w:i/>
                <w:iCs/>
                <w:kern w:val="2"/>
                <w:sz w:val="18"/>
                <w:szCs w:val="18"/>
                <w14:ligatures w14:val="standardContextual"/>
              </w:rPr>
              <w:t>ref</w:t>
            </w:r>
            <w:r w:rsidRPr="00EA40D3">
              <w:rPr>
                <w:rFonts w:ascii="Aptos Light" w:eastAsia="Aptos" w:hAnsi="Aptos Light" w:cs="Arial"/>
                <w:kern w:val="2"/>
                <w:sz w:val="18"/>
                <w:szCs w:val="18"/>
                <w14:ligatures w14:val="standardContextual"/>
              </w:rPr>
              <w:t>)</w:t>
            </w:r>
          </w:p>
        </w:tc>
        <w:tc>
          <w:tcPr>
            <w:tcW w:w="1320" w:type="dxa"/>
            <w:tcBorders>
              <w:top w:val="single" w:sz="2" w:space="0" w:color="BFBFBF"/>
              <w:bottom w:val="single" w:sz="2" w:space="0" w:color="auto"/>
            </w:tcBorders>
            <w:tcMar>
              <w:top w:w="100" w:type="dxa"/>
              <w:left w:w="100" w:type="dxa"/>
              <w:bottom w:w="100" w:type="dxa"/>
              <w:right w:w="100" w:type="dxa"/>
            </w:tcMar>
            <w:vAlign w:val="center"/>
          </w:tcPr>
          <w:p w14:paraId="6B5B83F7"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24.4</w:t>
            </w:r>
          </w:p>
        </w:tc>
        <w:tc>
          <w:tcPr>
            <w:tcW w:w="1320" w:type="dxa"/>
            <w:tcBorders>
              <w:top w:val="single" w:sz="2" w:space="0" w:color="BFBFBF"/>
              <w:bottom w:val="single" w:sz="2" w:space="0" w:color="auto"/>
            </w:tcBorders>
            <w:tcMar>
              <w:top w:w="100" w:type="dxa"/>
              <w:left w:w="100" w:type="dxa"/>
              <w:bottom w:w="100" w:type="dxa"/>
              <w:right w:w="100" w:type="dxa"/>
            </w:tcMar>
            <w:vAlign w:val="center"/>
          </w:tcPr>
          <w:p w14:paraId="30E27CD0"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36.3</w:t>
            </w:r>
          </w:p>
        </w:tc>
        <w:tc>
          <w:tcPr>
            <w:tcW w:w="1320" w:type="dxa"/>
            <w:tcBorders>
              <w:top w:val="single" w:sz="2" w:space="0" w:color="BFBFBF"/>
              <w:bottom w:val="single" w:sz="2" w:space="0" w:color="auto"/>
            </w:tcBorders>
            <w:tcMar>
              <w:top w:w="100" w:type="dxa"/>
              <w:left w:w="100" w:type="dxa"/>
              <w:bottom w:w="100" w:type="dxa"/>
              <w:right w:w="100" w:type="dxa"/>
            </w:tcMar>
            <w:vAlign w:val="center"/>
          </w:tcPr>
          <w:p w14:paraId="7BDB088F"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4.5</w:t>
            </w:r>
          </w:p>
        </w:tc>
        <w:tc>
          <w:tcPr>
            <w:tcW w:w="1260" w:type="dxa"/>
            <w:tcBorders>
              <w:top w:val="single" w:sz="2" w:space="0" w:color="BFBFBF"/>
              <w:bottom w:val="single" w:sz="2" w:space="0" w:color="auto"/>
            </w:tcBorders>
            <w:tcMar>
              <w:top w:w="100" w:type="dxa"/>
              <w:left w:w="100" w:type="dxa"/>
              <w:bottom w:w="100" w:type="dxa"/>
              <w:right w:w="100" w:type="dxa"/>
            </w:tcMar>
            <w:vAlign w:val="center"/>
          </w:tcPr>
          <w:p w14:paraId="1CE43D5A"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9.0</w:t>
            </w:r>
          </w:p>
        </w:tc>
        <w:tc>
          <w:tcPr>
            <w:tcW w:w="1170" w:type="dxa"/>
            <w:tcBorders>
              <w:top w:val="single" w:sz="2" w:space="0" w:color="BFBFBF"/>
              <w:bottom w:val="single" w:sz="2" w:space="0" w:color="auto"/>
            </w:tcBorders>
            <w:tcMar>
              <w:top w:w="100" w:type="dxa"/>
              <w:left w:w="100" w:type="dxa"/>
              <w:bottom w:w="100" w:type="dxa"/>
              <w:right w:w="100" w:type="dxa"/>
            </w:tcMar>
            <w:vAlign w:val="center"/>
          </w:tcPr>
          <w:p w14:paraId="7B1272A5"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8.4</w:t>
            </w:r>
          </w:p>
        </w:tc>
        <w:tc>
          <w:tcPr>
            <w:tcW w:w="1260" w:type="dxa"/>
            <w:tcBorders>
              <w:top w:val="single" w:sz="2" w:space="0" w:color="BFBFBF"/>
              <w:bottom w:val="single" w:sz="2" w:space="0" w:color="auto"/>
            </w:tcBorders>
            <w:tcMar>
              <w:top w:w="100" w:type="dxa"/>
              <w:left w:w="100" w:type="dxa"/>
              <w:bottom w:w="100" w:type="dxa"/>
              <w:right w:w="100" w:type="dxa"/>
            </w:tcMar>
            <w:vAlign w:val="center"/>
          </w:tcPr>
          <w:p w14:paraId="0DC512B0" w14:textId="77777777" w:rsidR="00EA40D3" w:rsidRPr="00EA40D3" w:rsidRDefault="00EA40D3" w:rsidP="00EA40D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10.3</w:t>
            </w:r>
          </w:p>
        </w:tc>
      </w:tr>
    </w:tbl>
    <w:p w14:paraId="03D79E25" w14:textId="77777777" w:rsidR="00EA40D3" w:rsidRPr="00EA40D3" w:rsidRDefault="00EA40D3" w:rsidP="00EA40D3">
      <w:pPr>
        <w:ind w:left="72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 Data from groups that have fewer than 30 survey respondents were suppressed.</w:t>
      </w:r>
      <w:r w:rsidRPr="00EA40D3">
        <w:rPr>
          <w:rFonts w:ascii="Aptos Light" w:eastAsia="Aptos" w:hAnsi="Aptos Light" w:cs="Arial"/>
          <w:kern w:val="2"/>
          <w:sz w:val="18"/>
          <w:szCs w:val="18"/>
          <w14:ligatures w14:val="standardContextual"/>
        </w:rPr>
        <w:br/>
        <w:t xml:space="preserve">*** p&lt;.0001, ** p&lt;.001, * p&lt;.05 </w:t>
      </w:r>
      <w:r w:rsidRPr="00EA40D3">
        <w:rPr>
          <w:rFonts w:ascii="Aptos Light" w:eastAsia="Aptos" w:hAnsi="Aptos Light" w:cs="Arial"/>
          <w:kern w:val="2"/>
          <w:sz w:val="18"/>
          <w:szCs w:val="18"/>
          <w14:ligatures w14:val="standardContextual"/>
        </w:rPr>
        <w:tab/>
        <w:t>P-values from Pearson chi-square test indicate whether weighted responses from those identifying as specified group significantly differ from those identifying as the noted reference group.</w:t>
      </w:r>
    </w:p>
    <w:p w14:paraId="01DAACDD" w14:textId="77777777" w:rsidR="00EA40D3" w:rsidRPr="00EA40D3" w:rsidRDefault="00EA40D3" w:rsidP="00EA40D3">
      <w:pPr>
        <w:rPr>
          <w:rFonts w:ascii="Aptos Light" w:eastAsia="Aptos" w:hAnsi="Aptos Light" w:cs="Arial"/>
          <w:kern w:val="2"/>
          <w14:ligatures w14:val="standardContextual"/>
        </w:rPr>
      </w:pPr>
      <w:r w:rsidRPr="00EA40D3">
        <w:rPr>
          <w:rFonts w:ascii="Aptos Light" w:eastAsia="Aptos" w:hAnsi="Aptos Light" w:cs="Arial"/>
          <w:noProof/>
          <w:kern w:val="2"/>
          <w14:ligatures w14:val="standardContextual"/>
        </w:rPr>
        <mc:AlternateContent>
          <mc:Choice Requires="wpg">
            <w:drawing>
              <wp:anchor distT="0" distB="0" distL="114300" distR="114300" simplePos="0" relativeHeight="251658251" behindDoc="0" locked="0" layoutInCell="1" allowOverlap="1" wp14:anchorId="3665ED3D" wp14:editId="7F4B174C">
                <wp:simplePos x="0" y="0"/>
                <wp:positionH relativeFrom="column">
                  <wp:posOffset>5938</wp:posOffset>
                </wp:positionH>
                <wp:positionV relativeFrom="paragraph">
                  <wp:posOffset>289370</wp:posOffset>
                </wp:positionV>
                <wp:extent cx="6857365" cy="2553195"/>
                <wp:effectExtent l="0" t="0" r="635" b="0"/>
                <wp:wrapNone/>
                <wp:docPr id="1398728741" name="Group 47"/>
                <wp:cNvGraphicFramePr/>
                <a:graphic xmlns:a="http://schemas.openxmlformats.org/drawingml/2006/main">
                  <a:graphicData uri="http://schemas.microsoft.com/office/word/2010/wordprocessingGroup">
                    <wpg:wgp>
                      <wpg:cNvGrpSpPr/>
                      <wpg:grpSpPr>
                        <a:xfrm>
                          <a:off x="0" y="0"/>
                          <a:ext cx="6857365" cy="2553195"/>
                          <a:chOff x="0" y="0"/>
                          <a:chExt cx="6857365" cy="2553195"/>
                        </a:xfrm>
                      </wpg:grpSpPr>
                      <wps:wsp>
                        <wps:cNvPr id="539222049" name="Text Box 44"/>
                        <wps:cNvSpPr txBox="1">
                          <a:spLocks noChangeArrowheads="1"/>
                        </wps:cNvSpPr>
                        <wps:spPr bwMode="auto">
                          <a:xfrm>
                            <a:off x="154379" y="296883"/>
                            <a:ext cx="6697345" cy="1009403"/>
                          </a:xfrm>
                          <a:prstGeom prst="rect">
                            <a:avLst/>
                          </a:prstGeom>
                          <a:solidFill>
                            <a:srgbClr val="0E2841">
                              <a:lumMod val="10000"/>
                              <a:lumOff val="90000"/>
                            </a:srgbClr>
                          </a:solidFill>
                          <a:ln w="9525">
                            <a:noFill/>
                            <a:miter lim="800000"/>
                            <a:headEnd/>
                            <a:tailEnd/>
                          </a:ln>
                        </wps:spPr>
                        <wps:txbx>
                          <w:txbxContent>
                            <w:p w14:paraId="34F90AFA" w14:textId="77777777" w:rsidR="00EA40D3" w:rsidRPr="00861BA2" w:rsidRDefault="00EA40D3" w:rsidP="00EA40D3">
                              <w:pPr>
                                <w:rPr>
                                  <w:b/>
                                  <w:bCs/>
                                </w:rPr>
                              </w:pPr>
                              <w:r>
                                <w:rPr>
                                  <w:b/>
                                  <w:bCs/>
                                </w:rPr>
                                <w:t>People with Cognitive Disability</w:t>
                              </w:r>
                            </w:p>
                            <w:p w14:paraId="5126FAE7" w14:textId="77777777" w:rsidR="00EA40D3" w:rsidRDefault="00EA40D3" w:rsidP="00EA40D3">
                              <w:pPr>
                                <w:pStyle w:val="ListParagraph"/>
                                <w:numPr>
                                  <w:ilvl w:val="0"/>
                                  <w:numId w:val="1"/>
                                </w:numPr>
                              </w:pPr>
                              <w:r>
                                <w:t xml:space="preserve">About 3 in 4 adults and youth with a cognitive disability reported having high or very high psychological distress. </w:t>
                              </w:r>
                            </w:p>
                            <w:p w14:paraId="5F7440D7" w14:textId="77777777" w:rsidR="00EA40D3" w:rsidRDefault="00EA40D3" w:rsidP="00EA40D3">
                              <w:pPr>
                                <w:pStyle w:val="ListParagraph"/>
                                <w:numPr>
                                  <w:ilvl w:val="0"/>
                                  <w:numId w:val="1"/>
                                </w:numPr>
                              </w:pPr>
                              <w:r>
                                <w:t xml:space="preserve">1 in 4 adults and over 1 in 3 youth with a cognitive disability reported suicidal ideation. </w:t>
                              </w:r>
                            </w:p>
                            <w:p w14:paraId="09E8588B" w14:textId="77777777" w:rsidR="00EA40D3" w:rsidRDefault="00EA40D3" w:rsidP="00EA40D3">
                              <w:pPr>
                                <w:pStyle w:val="ListParagraph"/>
                                <w:ind w:left="540"/>
                              </w:pPr>
                            </w:p>
                          </w:txbxContent>
                        </wps:txbx>
                        <wps:bodyPr rot="0" vert="horz" wrap="square" lIns="91440" tIns="45720" rIns="91440" bIns="45720" anchor="t" anchorCtr="0">
                          <a:noAutofit/>
                        </wps:bodyPr>
                      </wps:wsp>
                      <wps:wsp>
                        <wps:cNvPr id="1158939395" name="Text Box 45"/>
                        <wps:cNvSpPr txBox="1">
                          <a:spLocks noChangeArrowheads="1"/>
                        </wps:cNvSpPr>
                        <wps:spPr bwMode="auto">
                          <a:xfrm>
                            <a:off x="0" y="0"/>
                            <a:ext cx="6857365" cy="304676"/>
                          </a:xfrm>
                          <a:prstGeom prst="rect">
                            <a:avLst/>
                          </a:prstGeom>
                          <a:solidFill>
                            <a:srgbClr val="0E2841">
                              <a:lumMod val="90000"/>
                              <a:lumOff val="10000"/>
                            </a:srgbClr>
                          </a:solidFill>
                          <a:ln w="9525">
                            <a:noFill/>
                            <a:miter lim="800000"/>
                            <a:headEnd/>
                            <a:tailEnd/>
                          </a:ln>
                        </wps:spPr>
                        <wps:txbx>
                          <w:txbxContent>
                            <w:p w14:paraId="31997735" w14:textId="77777777" w:rsidR="00EA40D3" w:rsidRPr="000C75E1" w:rsidRDefault="00EA40D3" w:rsidP="00EA40D3">
                              <w:pPr>
                                <w:rPr>
                                  <w:b/>
                                  <w:bCs/>
                                  <w:sz w:val="28"/>
                                  <w:szCs w:val="28"/>
                                </w:rPr>
                              </w:pPr>
                              <w:r>
                                <w:rPr>
                                  <w:b/>
                                  <w:bCs/>
                                  <w:sz w:val="28"/>
                                  <w:szCs w:val="28"/>
                                </w:rPr>
                                <w:t>Inequities Spotlight</w:t>
                              </w:r>
                            </w:p>
                          </w:txbxContent>
                        </wps:txbx>
                        <wps:bodyPr rot="0" vert="horz" wrap="square" lIns="91440" tIns="45720" rIns="91440" bIns="45720" anchor="t" anchorCtr="0">
                          <a:noAutofit/>
                        </wps:bodyPr>
                      </wps:wsp>
                      <wps:wsp>
                        <wps:cNvPr id="371238367" name="Text Box 46"/>
                        <wps:cNvSpPr txBox="1">
                          <a:spLocks noChangeArrowheads="1"/>
                        </wps:cNvSpPr>
                        <wps:spPr bwMode="auto">
                          <a:xfrm>
                            <a:off x="154379" y="1306286"/>
                            <a:ext cx="6697345" cy="1246909"/>
                          </a:xfrm>
                          <a:prstGeom prst="rect">
                            <a:avLst/>
                          </a:prstGeom>
                          <a:solidFill>
                            <a:srgbClr val="0E2841">
                              <a:lumMod val="25000"/>
                              <a:lumOff val="75000"/>
                            </a:srgbClr>
                          </a:solidFill>
                          <a:ln w="9525">
                            <a:noFill/>
                            <a:miter lim="800000"/>
                            <a:headEnd/>
                            <a:tailEnd/>
                          </a:ln>
                        </wps:spPr>
                        <wps:txbx>
                          <w:txbxContent>
                            <w:p w14:paraId="677EF442" w14:textId="77777777" w:rsidR="00EA40D3" w:rsidRDefault="00EA40D3" w:rsidP="00EA40D3">
                              <w:pPr>
                                <w:rPr>
                                  <w:b/>
                                  <w:bCs/>
                                </w:rPr>
                              </w:pPr>
                              <w:r w:rsidRPr="008C5D19">
                                <w:rPr>
                                  <w:b/>
                                  <w:bCs/>
                                </w:rPr>
                                <w:t>People with a Learning / Intellectual Disability</w:t>
                              </w:r>
                            </w:p>
                            <w:p w14:paraId="0C6D772C" w14:textId="77777777" w:rsidR="00EA40D3" w:rsidRDefault="00EA40D3" w:rsidP="00EA40D3">
                              <w:pPr>
                                <w:pStyle w:val="ListParagraph"/>
                                <w:numPr>
                                  <w:ilvl w:val="0"/>
                                  <w:numId w:val="1"/>
                                </w:numPr>
                              </w:pPr>
                              <w:r>
                                <w:t xml:space="preserve">Adults with a learning/intellectual disability were 2.7 times as likely to report high or very high psychological distress and 5.6 times as likely to report suicidal ideation compared to adults without a disability. </w:t>
                              </w:r>
                            </w:p>
                            <w:p w14:paraId="5E819BBD" w14:textId="77777777" w:rsidR="00EA40D3" w:rsidRDefault="00EA40D3" w:rsidP="00EA40D3">
                              <w:pPr>
                                <w:pStyle w:val="ListParagraph"/>
                                <w:numPr>
                                  <w:ilvl w:val="0"/>
                                  <w:numId w:val="1"/>
                                </w:numPr>
                              </w:pPr>
                              <w:r>
                                <w:t xml:space="preserve">About 4 in 10 adults and 1 in 3 youth with a learning/intellectual disability reported social isolation. </w:t>
                              </w:r>
                            </w:p>
                            <w:p w14:paraId="2D4089D0" w14:textId="77777777" w:rsidR="00EA40D3" w:rsidRDefault="00EA40D3" w:rsidP="00EA40D3">
                              <w:pPr>
                                <w:pStyle w:val="ListParagraph"/>
                                <w:ind w:left="540"/>
                              </w:pPr>
                            </w:p>
                          </w:txbxContent>
                        </wps:txbx>
                        <wps:bodyPr rot="0" vert="horz" wrap="square" lIns="91440" tIns="45720" rIns="91440" bIns="45720" anchor="t" anchorCtr="0">
                          <a:noAutofit/>
                        </wps:bodyPr>
                      </wps:wsp>
                    </wpg:wgp>
                  </a:graphicData>
                </a:graphic>
              </wp:anchor>
            </w:drawing>
          </mc:Choice>
          <mc:Fallback>
            <w:pict>
              <v:group w14:anchorId="3665ED3D" id="Group 47" o:spid="_x0000_s1029" style="position:absolute;margin-left:.45pt;margin-top:22.8pt;width:539.95pt;height:201.05pt;z-index:251658251" coordsize="68573,25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">
                <v:shape id="Text Box 44" o:spid="_x0000_s1030" type="#_x0000_t202" style="position:absolute;left:1543;top:2968;width:66974;height:10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" fillcolor="#dceaf7" stroked="f">
                  <v:textbox>
                    <w:txbxContent>
                      <w:p w14:paraId="34F90AFA" w14:textId="77777777" w:rsidR="00EA40D3" w:rsidRPr="00861BA2" w:rsidRDefault="00EA40D3" w:rsidP="00EA40D3">
                        <w:pPr>
                          <w:rPr>
                            <w:b/>
                            <w:bCs/>
                          </w:rPr>
                        </w:pPr>
                        <w:r>
                          <w:rPr>
                            <w:b/>
                            <w:bCs/>
                          </w:rPr>
                          <w:t>People with Cognitive Disability</w:t>
                        </w:r>
                      </w:p>
                      <w:p w14:paraId="5126FAE7" w14:textId="77777777" w:rsidR="00EA40D3" w:rsidRDefault="00EA40D3" w:rsidP="00EA40D3">
                        <w:pPr>
                          <w:pStyle w:val="ListParagraph"/>
                          <w:numPr>
                            <w:ilvl w:val="0"/>
                            <w:numId w:val="1"/>
                          </w:numPr>
                        </w:pPr>
                        <w:r>
                          <w:t xml:space="preserve">About 3 in 4 adults and youth with a cognitive disability reported having high or very high psychological distress. </w:t>
                        </w:r>
                      </w:p>
                      <w:p w14:paraId="5F7440D7" w14:textId="77777777" w:rsidR="00EA40D3" w:rsidRDefault="00EA40D3" w:rsidP="00EA40D3">
                        <w:pPr>
                          <w:pStyle w:val="ListParagraph"/>
                          <w:numPr>
                            <w:ilvl w:val="0"/>
                            <w:numId w:val="1"/>
                          </w:numPr>
                        </w:pPr>
                        <w:r>
                          <w:t xml:space="preserve">1 in 4 adults and over 1 in 3 youth with a cognitive disability reported suicidal ideation. </w:t>
                        </w:r>
                      </w:p>
                      <w:p w14:paraId="09E8588B" w14:textId="77777777" w:rsidR="00EA40D3" w:rsidRDefault="00EA40D3" w:rsidP="00EA40D3">
                        <w:pPr>
                          <w:pStyle w:val="ListParagraph"/>
                          <w:ind w:left="540"/>
                        </w:pPr>
                      </w:p>
                    </w:txbxContent>
                  </v:textbox>
                </v:shape>
                <v:shape id="Text Box 45" o:spid="_x0000_s1031" type="#_x0000_t202" style="position:absolute;width:68573;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" fillcolor="#163e64" stroked="f">
                  <v:textbox>
                    <w:txbxContent>
                      <w:p w14:paraId="31997735" w14:textId="77777777" w:rsidR="00EA40D3" w:rsidRPr="000C75E1" w:rsidRDefault="00EA40D3" w:rsidP="00EA40D3">
                        <w:pPr>
                          <w:rPr>
                            <w:b/>
                            <w:bCs/>
                            <w:sz w:val="28"/>
                            <w:szCs w:val="28"/>
                          </w:rPr>
                        </w:pPr>
                        <w:r>
                          <w:rPr>
                            <w:b/>
                            <w:bCs/>
                            <w:sz w:val="28"/>
                            <w:szCs w:val="28"/>
                          </w:rPr>
                          <w:t>Inequities Spotlight</w:t>
                        </w:r>
                      </w:p>
                    </w:txbxContent>
                  </v:textbox>
                </v:shape>
                <v:shape id="Text Box 46" o:spid="_x0000_s1032" type="#_x0000_t202" style="position:absolute;left:1543;top:13062;width:66974;height:12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" fillcolor="#a6caec" stroked="f">
                  <v:textbox>
                    <w:txbxContent>
                      <w:p w14:paraId="677EF442" w14:textId="77777777" w:rsidR="00EA40D3" w:rsidRDefault="00EA40D3" w:rsidP="00EA40D3">
                        <w:pPr>
                          <w:rPr>
                            <w:b/>
                            <w:bCs/>
                          </w:rPr>
                        </w:pPr>
                        <w:r w:rsidRPr="008C5D19">
                          <w:rPr>
                            <w:b/>
                            <w:bCs/>
                          </w:rPr>
                          <w:t>People with a Learning / Intellectual Disability</w:t>
                        </w:r>
                      </w:p>
                      <w:p w14:paraId="0C6D772C" w14:textId="77777777" w:rsidR="00EA40D3" w:rsidRDefault="00EA40D3" w:rsidP="00EA40D3">
                        <w:pPr>
                          <w:pStyle w:val="ListParagraph"/>
                          <w:numPr>
                            <w:ilvl w:val="0"/>
                            <w:numId w:val="1"/>
                          </w:numPr>
                        </w:pPr>
                        <w:r>
                          <w:t xml:space="preserve">Adults with a learning/intellectual disability were 2.7 times as likely to report high or very high psychological distress and 5.6 times as likely to report suicidal ideation compared to adults without a disability. </w:t>
                        </w:r>
                      </w:p>
                      <w:p w14:paraId="5E819BBD" w14:textId="77777777" w:rsidR="00EA40D3" w:rsidRDefault="00EA40D3" w:rsidP="00EA40D3">
                        <w:pPr>
                          <w:pStyle w:val="ListParagraph"/>
                          <w:numPr>
                            <w:ilvl w:val="0"/>
                            <w:numId w:val="1"/>
                          </w:numPr>
                        </w:pPr>
                        <w:r>
                          <w:t xml:space="preserve">About 4 in 10 adults and 1 in 3 youth with a learning/intellectual disability reported social isolation. </w:t>
                        </w:r>
                      </w:p>
                      <w:p w14:paraId="2D4089D0" w14:textId="77777777" w:rsidR="00EA40D3" w:rsidRDefault="00EA40D3" w:rsidP="00EA40D3">
                        <w:pPr>
                          <w:pStyle w:val="ListParagraph"/>
                          <w:ind w:left="540"/>
                        </w:pPr>
                      </w:p>
                    </w:txbxContent>
                  </v:textbox>
                </v:shape>
              </v:group>
            </w:pict>
          </mc:Fallback>
        </mc:AlternateContent>
      </w:r>
    </w:p>
    <w:p w14:paraId="3D264F56" w14:textId="77777777" w:rsidR="00EA40D3" w:rsidRPr="00EA40D3" w:rsidRDefault="00EA40D3" w:rsidP="00EA40D3">
      <w:pPr>
        <w:rPr>
          <w:rFonts w:ascii="Aptos Light" w:eastAsia="Aptos" w:hAnsi="Aptos Light" w:cs="Arial"/>
          <w:kern w:val="2"/>
          <w14:ligatures w14:val="standardContextual"/>
        </w:rPr>
      </w:pPr>
    </w:p>
    <w:p w14:paraId="01BE60CD" w14:textId="77777777" w:rsidR="00EA40D3" w:rsidRPr="00EA40D3" w:rsidRDefault="00EA40D3" w:rsidP="00EA40D3">
      <w:pPr>
        <w:rPr>
          <w:rFonts w:ascii="Aptos Light" w:eastAsia="Aptos" w:hAnsi="Aptos Light" w:cs="Arial"/>
          <w:kern w:val="2"/>
          <w14:ligatures w14:val="standardContextual"/>
        </w:rPr>
      </w:pPr>
    </w:p>
    <w:p w14:paraId="7F9458AF" w14:textId="77777777" w:rsidR="00EA40D3" w:rsidRPr="00EA40D3" w:rsidRDefault="00EA40D3" w:rsidP="00EA40D3">
      <w:pPr>
        <w:rPr>
          <w:rFonts w:ascii="Aptos Light" w:eastAsia="Aptos" w:hAnsi="Aptos Light" w:cs="Arial"/>
          <w:kern w:val="2"/>
          <w14:ligatures w14:val="standardContextual"/>
        </w:rPr>
      </w:pPr>
    </w:p>
    <w:p w14:paraId="791B24F7" w14:textId="77777777" w:rsidR="00EA40D3" w:rsidRPr="00EA40D3" w:rsidRDefault="00EA40D3" w:rsidP="00EA40D3">
      <w:pPr>
        <w:rPr>
          <w:rFonts w:ascii="Aptos Light" w:eastAsia="Aptos" w:hAnsi="Aptos Light" w:cs="Arial"/>
          <w:kern w:val="2"/>
          <w14:ligatures w14:val="standardContextual"/>
        </w:rPr>
      </w:pPr>
    </w:p>
    <w:p w14:paraId="2165FE29" w14:textId="77777777" w:rsidR="00EA40D3" w:rsidRPr="00EA40D3" w:rsidRDefault="00EA40D3" w:rsidP="00EA40D3">
      <w:pPr>
        <w:rPr>
          <w:rFonts w:ascii="Aptos Light" w:eastAsia="Aptos" w:hAnsi="Aptos Light" w:cs="Arial"/>
          <w:kern w:val="2"/>
          <w14:ligatures w14:val="standardContextual"/>
        </w:rPr>
      </w:pPr>
    </w:p>
    <w:p w14:paraId="60D42A0F" w14:textId="77777777" w:rsidR="00EA40D3" w:rsidRPr="00EA40D3" w:rsidRDefault="00EA40D3" w:rsidP="00EA40D3">
      <w:pPr>
        <w:rPr>
          <w:rFonts w:ascii="Aptos Light" w:eastAsia="Aptos" w:hAnsi="Aptos Light" w:cs="Arial"/>
          <w:kern w:val="2"/>
          <w14:ligatures w14:val="standardContextual"/>
        </w:rPr>
      </w:pPr>
    </w:p>
    <w:p w14:paraId="465E6002" w14:textId="77777777" w:rsidR="00EA40D3" w:rsidRPr="00EA40D3" w:rsidRDefault="00EA40D3" w:rsidP="00EA40D3">
      <w:pPr>
        <w:rPr>
          <w:rFonts w:ascii="Aptos Light" w:eastAsia="Aptos" w:hAnsi="Aptos Light" w:cs="Arial"/>
          <w:kern w:val="2"/>
          <w14:ligatures w14:val="standardContextual"/>
        </w:rPr>
      </w:pPr>
    </w:p>
    <w:p w14:paraId="2D960F69" w14:textId="77777777" w:rsidR="00EA40D3" w:rsidRPr="00EA40D3" w:rsidRDefault="00EA40D3" w:rsidP="00EA40D3">
      <w:pPr>
        <w:rPr>
          <w:rFonts w:ascii="Aptos Light" w:eastAsia="Aptos" w:hAnsi="Aptos Light" w:cs="Arial"/>
          <w:kern w:val="2"/>
          <w14:ligatures w14:val="standardContextual"/>
        </w:rPr>
      </w:pPr>
    </w:p>
    <w:p w14:paraId="70D9EB16" w14:textId="77777777" w:rsidR="00EA40D3" w:rsidRPr="00EA40D3" w:rsidRDefault="00EA40D3" w:rsidP="00EA40D3">
      <w:pPr>
        <w:rPr>
          <w:rFonts w:ascii="Aptos Light" w:eastAsia="Aptos" w:hAnsi="Aptos Light" w:cs="Arial"/>
          <w:kern w:val="2"/>
          <w14:ligatures w14:val="standardContextual"/>
        </w:rPr>
      </w:pPr>
    </w:p>
    <w:p w14:paraId="731C90D1" w14:textId="77777777" w:rsidR="00EA40D3" w:rsidRDefault="00EA40D3" w:rsidP="00EA40D3">
      <w:pPr>
        <w:rPr>
          <w:rFonts w:ascii="Aptos Light" w:eastAsia="Aptos" w:hAnsi="Aptos Light" w:cs="Arial"/>
          <w:kern w:val="2"/>
          <w14:ligatures w14:val="standardContextual"/>
        </w:rPr>
      </w:pPr>
    </w:p>
    <w:p w14:paraId="060CF509" w14:textId="28AC3115" w:rsidR="00DD59E3" w:rsidRDefault="00DD59E3" w:rsidP="00EA40D3">
      <w:pPr>
        <w:rPr>
          <w:rFonts w:ascii="Aptos Light" w:eastAsia="Aptos" w:hAnsi="Aptos Light" w:cs="Arial"/>
          <w:kern w:val="2"/>
          <w14:ligatures w14:val="standardContextual"/>
        </w:rPr>
      </w:pPr>
      <w:r w:rsidRPr="00EA40D3">
        <w:rPr>
          <w:rFonts w:ascii="Aptos Light" w:eastAsia="Aptos" w:hAnsi="Aptos Light" w:cs="Arial"/>
          <w:noProof/>
          <w:kern w:val="2"/>
          <w14:ligatures w14:val="standardContextual"/>
        </w:rPr>
        <mc:AlternateContent>
          <mc:Choice Requires="wpg">
            <w:drawing>
              <wp:anchor distT="0" distB="0" distL="114300" distR="114300" simplePos="0" relativeHeight="251658249" behindDoc="0" locked="0" layoutInCell="1" allowOverlap="1" wp14:anchorId="7EC9AC27" wp14:editId="3686EB5F">
                <wp:simplePos x="0" y="0"/>
                <wp:positionH relativeFrom="column">
                  <wp:posOffset>79375</wp:posOffset>
                </wp:positionH>
                <wp:positionV relativeFrom="paragraph">
                  <wp:posOffset>-90170</wp:posOffset>
                </wp:positionV>
                <wp:extent cx="6857365" cy="2781301"/>
                <wp:effectExtent l="0" t="0" r="635" b="0"/>
                <wp:wrapNone/>
                <wp:docPr id="1125430537" name="Group 55"/>
                <wp:cNvGraphicFramePr/>
                <a:graphic xmlns:a="http://schemas.openxmlformats.org/drawingml/2006/main">
                  <a:graphicData uri="http://schemas.microsoft.com/office/word/2010/wordprocessingGroup">
                    <wpg:wgp>
                      <wpg:cNvGrpSpPr/>
                      <wpg:grpSpPr>
                        <a:xfrm>
                          <a:off x="0" y="0"/>
                          <a:ext cx="6857365" cy="2781301"/>
                          <a:chOff x="0" y="0"/>
                          <a:chExt cx="6857365" cy="2641784"/>
                        </a:xfrm>
                      </wpg:grpSpPr>
                      <wpg:grpSp>
                        <wpg:cNvPr id="1222952622" name="Group 48"/>
                        <wpg:cNvGrpSpPr/>
                        <wpg:grpSpPr>
                          <a:xfrm>
                            <a:off x="0" y="0"/>
                            <a:ext cx="6857365" cy="1779283"/>
                            <a:chOff x="0" y="0"/>
                            <a:chExt cx="6857365" cy="1779923"/>
                          </a:xfrm>
                        </wpg:grpSpPr>
                        <wps:wsp>
                          <wps:cNvPr id="1007556828" name="Text Box 44"/>
                          <wps:cNvSpPr txBox="1">
                            <a:spLocks noChangeArrowheads="1"/>
                          </wps:cNvSpPr>
                          <wps:spPr bwMode="auto">
                            <a:xfrm>
                              <a:off x="154379" y="296747"/>
                              <a:ext cx="6697345" cy="1483176"/>
                            </a:xfrm>
                            <a:prstGeom prst="rect">
                              <a:avLst/>
                            </a:prstGeom>
                            <a:solidFill>
                              <a:srgbClr val="0E2841">
                                <a:lumMod val="10000"/>
                                <a:lumOff val="90000"/>
                              </a:srgbClr>
                            </a:solidFill>
                            <a:ln w="9525">
                              <a:noFill/>
                              <a:miter lim="800000"/>
                              <a:headEnd/>
                              <a:tailEnd/>
                            </a:ln>
                          </wps:spPr>
                          <wps:txbx>
                            <w:txbxContent>
                              <w:p w14:paraId="1FF3B679" w14:textId="77777777" w:rsidR="00EA40D3" w:rsidRPr="008C5D19" w:rsidRDefault="00EA40D3" w:rsidP="00EA40D3">
                                <w:r w:rsidRPr="008C5D19">
                                  <w:rPr>
                                    <w:b/>
                                    <w:bCs/>
                                  </w:rPr>
                                  <w:t>People with a Self-Care / Independent Living Disability</w:t>
                                </w:r>
                              </w:p>
                              <w:p w14:paraId="63AC057D" w14:textId="77777777" w:rsidR="00EA40D3" w:rsidRDefault="00EA40D3" w:rsidP="00EA40D3">
                                <w:pPr>
                                  <w:pStyle w:val="ListParagraph"/>
                                  <w:numPr>
                                    <w:ilvl w:val="0"/>
                                    <w:numId w:val="1"/>
                                  </w:numPr>
                                </w:pPr>
                                <w:r>
                                  <w:t xml:space="preserve">Youth with a self-care/independent living disability were 2.4 times as likely to report high or very high psychological distress compared to youth without a disability. </w:t>
                                </w:r>
                              </w:p>
                              <w:p w14:paraId="595B7BD4" w14:textId="77777777" w:rsidR="00EA40D3" w:rsidRDefault="00EA40D3" w:rsidP="00EA40D3">
                                <w:pPr>
                                  <w:pStyle w:val="ListParagraph"/>
                                  <w:numPr>
                                    <w:ilvl w:val="0"/>
                                    <w:numId w:val="1"/>
                                  </w:numPr>
                                </w:pPr>
                                <w:r>
                                  <w:t>Youth with a self-care/independent living disability reported the highest rate of high or very high psychological distress (86.7%), suicidal ideation (55.3%) and social isolation (53.4%) of all disability types.</w:t>
                                </w:r>
                              </w:p>
                              <w:p w14:paraId="25AA51AE" w14:textId="77777777" w:rsidR="00EA40D3" w:rsidRDefault="00EA40D3" w:rsidP="00EA40D3">
                                <w:pPr>
                                  <w:pStyle w:val="ListParagraph"/>
                                  <w:ind w:left="540"/>
                                </w:pPr>
                              </w:p>
                            </w:txbxContent>
                          </wps:txbx>
                          <wps:bodyPr rot="0" vert="horz" wrap="square" lIns="91440" tIns="45720" rIns="91440" bIns="45720" anchor="t" anchorCtr="0">
                            <a:noAutofit/>
                          </wps:bodyPr>
                        </wps:wsp>
                        <wps:wsp>
                          <wps:cNvPr id="376087553" name="Text Box 45"/>
                          <wps:cNvSpPr txBox="1">
                            <a:spLocks noChangeArrowheads="1"/>
                          </wps:cNvSpPr>
                          <wps:spPr bwMode="auto">
                            <a:xfrm>
                              <a:off x="0" y="0"/>
                              <a:ext cx="6857365" cy="304676"/>
                            </a:xfrm>
                            <a:prstGeom prst="rect">
                              <a:avLst/>
                            </a:prstGeom>
                            <a:solidFill>
                              <a:srgbClr val="0E2841">
                                <a:lumMod val="90000"/>
                                <a:lumOff val="10000"/>
                              </a:srgbClr>
                            </a:solidFill>
                            <a:ln w="9525">
                              <a:noFill/>
                              <a:miter lim="800000"/>
                              <a:headEnd/>
                              <a:tailEnd/>
                            </a:ln>
                          </wps:spPr>
                          <wps:txbx>
                            <w:txbxContent>
                              <w:p w14:paraId="120C35A3" w14:textId="77777777" w:rsidR="00EA40D3" w:rsidRPr="000C75E1" w:rsidRDefault="00EA40D3" w:rsidP="00EA40D3">
                                <w:pPr>
                                  <w:rPr>
                                    <w:b/>
                                    <w:bCs/>
                                    <w:sz w:val="28"/>
                                    <w:szCs w:val="28"/>
                                  </w:rPr>
                                </w:pPr>
                                <w:r>
                                  <w:rPr>
                                    <w:b/>
                                    <w:bCs/>
                                    <w:sz w:val="28"/>
                                    <w:szCs w:val="28"/>
                                  </w:rPr>
                                  <w:t>Inequities Spotlight</w:t>
                                </w:r>
                              </w:p>
                            </w:txbxContent>
                          </wps:txbx>
                          <wps:bodyPr rot="0" vert="horz" wrap="square" lIns="91440" tIns="45720" rIns="91440" bIns="45720" anchor="t" anchorCtr="0">
                            <a:noAutofit/>
                          </wps:bodyPr>
                        </wps:wsp>
                      </wpg:grpSp>
                      <wps:wsp>
                        <wps:cNvPr id="1387899961" name="Text Box 44"/>
                        <wps:cNvSpPr txBox="1">
                          <a:spLocks noChangeArrowheads="1"/>
                        </wps:cNvSpPr>
                        <wps:spPr bwMode="auto">
                          <a:xfrm>
                            <a:off x="160020" y="1490021"/>
                            <a:ext cx="6697345" cy="1151763"/>
                          </a:xfrm>
                          <a:prstGeom prst="rect">
                            <a:avLst/>
                          </a:prstGeom>
                          <a:solidFill>
                            <a:srgbClr val="0E2841">
                              <a:lumMod val="25000"/>
                              <a:lumOff val="75000"/>
                            </a:srgbClr>
                          </a:solidFill>
                          <a:ln w="9525">
                            <a:noFill/>
                            <a:miter lim="800000"/>
                            <a:headEnd/>
                            <a:tailEnd/>
                          </a:ln>
                        </wps:spPr>
                        <wps:txbx>
                          <w:txbxContent>
                            <w:p w14:paraId="7972753E" w14:textId="77777777" w:rsidR="00EA40D3" w:rsidRPr="008C5D19" w:rsidRDefault="00EA40D3" w:rsidP="00EA40D3">
                              <w:r>
                                <w:rPr>
                                  <w:b/>
                                  <w:bCs/>
                                </w:rPr>
                                <w:t>Youth with a Mobility Disability</w:t>
                              </w:r>
                            </w:p>
                            <w:p w14:paraId="3708D338" w14:textId="77777777" w:rsidR="00EA40D3" w:rsidRDefault="00EA40D3" w:rsidP="00EA40D3">
                              <w:pPr>
                                <w:pStyle w:val="ListParagraph"/>
                                <w:numPr>
                                  <w:ilvl w:val="0"/>
                                  <w:numId w:val="1"/>
                                </w:numPr>
                              </w:pPr>
                              <w:r>
                                <w:t xml:space="preserve">1 in 2 Youth with a mobility disability reported social isolation, which is the second highest among all disability groups. </w:t>
                              </w:r>
                            </w:p>
                            <w:p w14:paraId="689BE362" w14:textId="77777777" w:rsidR="00EA40D3" w:rsidRDefault="00EA40D3" w:rsidP="00EA40D3">
                              <w:pPr>
                                <w:pStyle w:val="ListParagraph"/>
                                <w:numPr>
                                  <w:ilvl w:val="0"/>
                                  <w:numId w:val="1"/>
                                </w:numPr>
                              </w:pPr>
                              <w:r>
                                <w:t xml:space="preserve">1 in 2 youth with a mobility disability reported suicidal ideation and 3 in 4 had high or very high psychological distress.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EC9AC27" id="Group 55" o:spid="_x0000_s1033" style="position:absolute;margin-left:6.25pt;margin-top:-7.1pt;width:539.95pt;height:219pt;z-index:251658249;mso-height-relative:margin" coordsize="68573,2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">
                <v:group id="Group 48" o:spid="_x0000_s1034" style="position:absolute;width:68573;height:17792" coordsize="68573,1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">
                  <v:shape id="Text Box 44" o:spid="_x0000_s1035" type="#_x0000_t202" style="position:absolute;left:1543;top:2967;width:66974;height:14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" fillcolor="#dceaf7" stroked="f">
                    <v:textbox>
                      <w:txbxContent>
                        <w:p w14:paraId="1FF3B679" w14:textId="77777777" w:rsidR="00EA40D3" w:rsidRPr="008C5D19" w:rsidRDefault="00EA40D3" w:rsidP="00EA40D3">
                          <w:r w:rsidRPr="008C5D19">
                            <w:rPr>
                              <w:b/>
                              <w:bCs/>
                            </w:rPr>
                            <w:t>People with a Self-Care / Independent Living Disability</w:t>
                          </w:r>
                        </w:p>
                        <w:p w14:paraId="63AC057D" w14:textId="77777777" w:rsidR="00EA40D3" w:rsidRDefault="00EA40D3" w:rsidP="00EA40D3">
                          <w:pPr>
                            <w:pStyle w:val="ListParagraph"/>
                            <w:numPr>
                              <w:ilvl w:val="0"/>
                              <w:numId w:val="1"/>
                            </w:numPr>
                          </w:pPr>
                          <w:r>
                            <w:t xml:space="preserve">Youth with a self-care/independent living disability were 2.4 times as likely to report high or very high psychological distress compared to youth without a disability. </w:t>
                          </w:r>
                        </w:p>
                        <w:p w14:paraId="595B7BD4" w14:textId="77777777" w:rsidR="00EA40D3" w:rsidRDefault="00EA40D3" w:rsidP="00EA40D3">
                          <w:pPr>
                            <w:pStyle w:val="ListParagraph"/>
                            <w:numPr>
                              <w:ilvl w:val="0"/>
                              <w:numId w:val="1"/>
                            </w:numPr>
                          </w:pPr>
                          <w:r>
                            <w:t>Youth with a self-care/independent living disability reported the highest rate of high or very high psychological distress (86.7%), suicidal ideation (55.3%) and social isolation (53.4%) of all disability types.</w:t>
                          </w:r>
                        </w:p>
                        <w:p w14:paraId="25AA51AE" w14:textId="77777777" w:rsidR="00EA40D3" w:rsidRDefault="00EA40D3" w:rsidP="00EA40D3">
                          <w:pPr>
                            <w:pStyle w:val="ListParagraph"/>
                            <w:ind w:left="540"/>
                          </w:pPr>
                        </w:p>
                      </w:txbxContent>
                    </v:textbox>
                  </v:shape>
                  <v:shape id="Text Box 45" o:spid="_x0000_s1036" type="#_x0000_t202" style="position:absolute;width:68573;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" fillcolor="#163e64" stroked="f">
                    <v:textbox>
                      <w:txbxContent>
                        <w:p w14:paraId="120C35A3" w14:textId="77777777" w:rsidR="00EA40D3" w:rsidRPr="000C75E1" w:rsidRDefault="00EA40D3" w:rsidP="00EA40D3">
                          <w:pPr>
                            <w:rPr>
                              <w:b/>
                              <w:bCs/>
                              <w:sz w:val="28"/>
                              <w:szCs w:val="28"/>
                            </w:rPr>
                          </w:pPr>
                          <w:r>
                            <w:rPr>
                              <w:b/>
                              <w:bCs/>
                              <w:sz w:val="28"/>
                              <w:szCs w:val="28"/>
                            </w:rPr>
                            <w:t>Inequities Spotlight</w:t>
                          </w:r>
                        </w:p>
                      </w:txbxContent>
                    </v:textbox>
                  </v:shape>
                </v:group>
                <v:shape id="Text Box 44" o:spid="_x0000_s1037" type="#_x0000_t202" style="position:absolute;left:1600;top:14900;width:66973;height:1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" fillcolor="#a6caec" stroked="f">
                  <v:textbox>
                    <w:txbxContent>
                      <w:p w14:paraId="7972753E" w14:textId="77777777" w:rsidR="00EA40D3" w:rsidRPr="008C5D19" w:rsidRDefault="00EA40D3" w:rsidP="00EA40D3">
                        <w:r>
                          <w:rPr>
                            <w:b/>
                            <w:bCs/>
                          </w:rPr>
                          <w:t>Youth with a Mobility Disability</w:t>
                        </w:r>
                      </w:p>
                      <w:p w14:paraId="3708D338" w14:textId="77777777" w:rsidR="00EA40D3" w:rsidRDefault="00EA40D3" w:rsidP="00EA40D3">
                        <w:pPr>
                          <w:pStyle w:val="ListParagraph"/>
                          <w:numPr>
                            <w:ilvl w:val="0"/>
                            <w:numId w:val="1"/>
                          </w:numPr>
                        </w:pPr>
                        <w:r>
                          <w:t xml:space="preserve">1 in 2 Youth with a mobility disability reported social isolation, which is the second highest among all disability groups. </w:t>
                        </w:r>
                      </w:p>
                      <w:p w14:paraId="689BE362" w14:textId="77777777" w:rsidR="00EA40D3" w:rsidRDefault="00EA40D3" w:rsidP="00EA40D3">
                        <w:pPr>
                          <w:pStyle w:val="ListParagraph"/>
                          <w:numPr>
                            <w:ilvl w:val="0"/>
                            <w:numId w:val="1"/>
                          </w:numPr>
                        </w:pPr>
                        <w:r>
                          <w:t xml:space="preserve">1 in 2 youth with a mobility disability reported suicidal ideation and 3 in 4 had high or very high psychological distress. </w:t>
                        </w:r>
                      </w:p>
                    </w:txbxContent>
                  </v:textbox>
                </v:shape>
              </v:group>
            </w:pict>
          </mc:Fallback>
        </mc:AlternateContent>
      </w:r>
    </w:p>
    <w:p w14:paraId="1F0561FC" w14:textId="4BE9004B" w:rsidR="00DD59E3" w:rsidRDefault="00DD59E3" w:rsidP="00EA40D3">
      <w:pPr>
        <w:rPr>
          <w:rFonts w:ascii="Aptos Light" w:eastAsia="Aptos" w:hAnsi="Aptos Light" w:cs="Arial"/>
          <w:kern w:val="2"/>
          <w14:ligatures w14:val="standardContextual"/>
        </w:rPr>
      </w:pPr>
    </w:p>
    <w:p w14:paraId="31D6C2D2" w14:textId="77777777" w:rsidR="00DD59E3" w:rsidRDefault="00DD59E3" w:rsidP="00EA40D3">
      <w:pPr>
        <w:rPr>
          <w:rFonts w:ascii="Aptos Light" w:eastAsia="Aptos" w:hAnsi="Aptos Light" w:cs="Arial"/>
          <w:kern w:val="2"/>
          <w14:ligatures w14:val="standardContextual"/>
        </w:rPr>
      </w:pPr>
    </w:p>
    <w:p w14:paraId="78F99922" w14:textId="708D716F" w:rsidR="00DD59E3" w:rsidRDefault="00DD59E3" w:rsidP="00EA40D3">
      <w:pPr>
        <w:rPr>
          <w:rFonts w:ascii="Aptos Light" w:eastAsia="Aptos" w:hAnsi="Aptos Light" w:cs="Arial"/>
          <w:kern w:val="2"/>
          <w14:ligatures w14:val="standardContextual"/>
        </w:rPr>
      </w:pPr>
    </w:p>
    <w:p w14:paraId="0A10484E" w14:textId="77777777" w:rsidR="00DD59E3" w:rsidRDefault="00DD59E3" w:rsidP="00EA40D3">
      <w:pPr>
        <w:rPr>
          <w:rFonts w:ascii="Aptos Light" w:eastAsia="Aptos" w:hAnsi="Aptos Light" w:cs="Arial"/>
          <w:kern w:val="2"/>
          <w14:ligatures w14:val="standardContextual"/>
        </w:rPr>
      </w:pPr>
    </w:p>
    <w:p w14:paraId="3409AEFD" w14:textId="77777777" w:rsidR="00DD59E3" w:rsidRDefault="00DD59E3" w:rsidP="00EA40D3">
      <w:pPr>
        <w:rPr>
          <w:rFonts w:ascii="Aptos Light" w:eastAsia="Aptos" w:hAnsi="Aptos Light" w:cs="Arial"/>
          <w:kern w:val="2"/>
          <w14:ligatures w14:val="standardContextual"/>
        </w:rPr>
      </w:pPr>
    </w:p>
    <w:p w14:paraId="561B0943" w14:textId="35056146" w:rsidR="00DD59E3" w:rsidRDefault="00DD59E3" w:rsidP="00EA40D3">
      <w:pPr>
        <w:rPr>
          <w:rFonts w:ascii="Aptos Light" w:eastAsia="Aptos" w:hAnsi="Aptos Light" w:cs="Arial"/>
          <w:kern w:val="2"/>
          <w14:ligatures w14:val="standardContextual"/>
        </w:rPr>
      </w:pPr>
    </w:p>
    <w:p w14:paraId="1FCB1F02" w14:textId="77777777" w:rsidR="00DD59E3" w:rsidRDefault="00DD59E3" w:rsidP="00EA40D3">
      <w:pPr>
        <w:rPr>
          <w:rFonts w:ascii="Aptos Light" w:eastAsia="Aptos" w:hAnsi="Aptos Light" w:cs="Arial"/>
          <w:kern w:val="2"/>
          <w14:ligatures w14:val="standardContextual"/>
        </w:rPr>
      </w:pPr>
    </w:p>
    <w:p w14:paraId="6A2633D2" w14:textId="77777777" w:rsidR="00DD59E3" w:rsidRPr="00EA40D3" w:rsidRDefault="00DD59E3" w:rsidP="00EA40D3">
      <w:pPr>
        <w:rPr>
          <w:rFonts w:ascii="Aptos Light" w:eastAsia="Aptos" w:hAnsi="Aptos Light" w:cs="Arial"/>
          <w:kern w:val="2"/>
          <w14:ligatures w14:val="standardContextual"/>
        </w:rPr>
      </w:pPr>
    </w:p>
    <w:p w14:paraId="2C078E63" w14:textId="70E3BCE1" w:rsidR="000A7B96" w:rsidRPr="00DD59E3" w:rsidRDefault="000A7B96">
      <w:pPr>
        <w:rPr>
          <w:rFonts w:ascii="Aptos Light" w:eastAsia="Aptos" w:hAnsi="Aptos Light" w:cs="Arial"/>
          <w:kern w:val="2"/>
          <w14:ligatures w14:val="standardContextual"/>
        </w:rPr>
      </w:pPr>
    </w:p>
    <w:sectPr w:rsidR="000A7B96" w:rsidRPr="00DD59E3" w:rsidSect="00881DFA">
      <w:endnotePr>
        <w:numFmt w:val="decimal"/>
      </w:end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EB3C2" w14:textId="77777777" w:rsidR="00C03AE7" w:rsidRDefault="00C03AE7" w:rsidP="00EA40D3">
      <w:pPr>
        <w:spacing w:after="0" w:line="240" w:lineRule="auto"/>
      </w:pPr>
      <w:r>
        <w:separator/>
      </w:r>
    </w:p>
  </w:endnote>
  <w:endnote w:type="continuationSeparator" w:id="0">
    <w:p w14:paraId="68B89C5F" w14:textId="77777777" w:rsidR="00C03AE7" w:rsidRDefault="00C03AE7" w:rsidP="00EA40D3">
      <w:pPr>
        <w:spacing w:after="0" w:line="240" w:lineRule="auto"/>
      </w:pPr>
      <w:r>
        <w:continuationSeparator/>
      </w:r>
    </w:p>
  </w:endnote>
  <w:endnote w:type="continuationNotice" w:id="1">
    <w:p w14:paraId="637E8F68" w14:textId="77777777" w:rsidR="00C03AE7" w:rsidRDefault="00C03AE7">
      <w:pPr>
        <w:spacing w:after="0" w:line="240" w:lineRule="auto"/>
      </w:pPr>
    </w:p>
  </w:endnote>
  <w:endnote w:id="2">
    <w:p w14:paraId="6067A2C9" w14:textId="77777777" w:rsidR="00BD7AE3" w:rsidRDefault="00BD7AE3" w:rsidP="00BD7AE3">
      <w:pPr>
        <w:pStyle w:val="EndnoteText"/>
      </w:pPr>
      <w:r>
        <w:rPr>
          <w:rStyle w:val="EndnoteReference"/>
        </w:rPr>
        <w:endnoteRef/>
      </w:r>
      <w:r>
        <w:t xml:space="preserve"> Centers for Disease Control and Prevention. The Mental Health of People with Disabilities. Accessed June 2024. </w:t>
      </w:r>
      <w:hyperlink r:id="rId1" w:history="1">
        <w:r w:rsidRPr="00A86CEB">
          <w:rPr>
            <w:rStyle w:val="Hyperlink"/>
          </w:rPr>
          <w:t>https://www.cdc.gov/ncbddd/disabilityandhealth/features/mental-health-for-all.html</w:t>
        </w:r>
      </w:hyperlink>
    </w:p>
  </w:endnote>
  <w:endnote w:id="3">
    <w:p w14:paraId="02DCF03C" w14:textId="77777777" w:rsidR="00BD7AE3" w:rsidRDefault="00BD7AE3" w:rsidP="00BD7AE3">
      <w:pPr>
        <w:pStyle w:val="EndnoteText"/>
      </w:pPr>
      <w:r>
        <w:rPr>
          <w:rStyle w:val="EndnoteReference"/>
        </w:rPr>
        <w:endnoteRef/>
      </w:r>
      <w:r>
        <w:t xml:space="preserve"> Lundberg, D, Chen, J. </w:t>
      </w:r>
      <w:r w:rsidRPr="00034FAB">
        <w:t>Structural ableism in public health and healthcare: a definition and conceptual framework</w:t>
      </w:r>
      <w:r>
        <w:t xml:space="preserve">, The Lancet Regional Health, Volume 30, 100650, February 2024. DOI : </w:t>
      </w:r>
      <w:hyperlink r:id="rId2" w:history="1">
        <w:r w:rsidRPr="00863B8D">
          <w:rPr>
            <w:rStyle w:val="Hyperlink"/>
          </w:rPr>
          <w:t>https://doi.org/10.1016/j.lana.2023.100650</w:t>
        </w:r>
      </w:hyperlink>
    </w:p>
  </w:endnote>
  <w:endnote w:id="4">
    <w:p w14:paraId="70F8E0E5" w14:textId="77777777" w:rsidR="00BD7AE3" w:rsidRDefault="00BD7AE3" w:rsidP="00BD7AE3">
      <w:pPr>
        <w:pStyle w:val="EndnoteText"/>
      </w:pPr>
      <w:r>
        <w:rPr>
          <w:rStyle w:val="EndnoteReference"/>
        </w:rPr>
        <w:endnoteRef/>
      </w:r>
      <w:r>
        <w:t xml:space="preserve"> </w:t>
      </w:r>
      <w:r w:rsidRPr="00406214">
        <w:t xml:space="preserve">Cree RA, Okoro CA, Zack MM, Carbone E. Frequent Mental Distress Among Adults, by Disability Status, Disability Type, and Selected Characteristics — United States, 2018. MMWR Morb Mortal Wkly Rep 2020;69:1238–1243. DOI: </w:t>
      </w:r>
      <w:hyperlink r:id="rId3" w:history="1">
        <w:r w:rsidRPr="00863B8D">
          <w:rPr>
            <w:rStyle w:val="Hyperlink"/>
          </w:rPr>
          <w:t>http://dx.doi.org/10.15585/mmwr.mm6936a2</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Light">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603DB" w14:textId="77777777" w:rsidR="00C03AE7" w:rsidRDefault="00C03AE7" w:rsidP="00EA40D3">
      <w:pPr>
        <w:spacing w:after="0" w:line="240" w:lineRule="auto"/>
      </w:pPr>
      <w:r>
        <w:separator/>
      </w:r>
    </w:p>
  </w:footnote>
  <w:footnote w:type="continuationSeparator" w:id="0">
    <w:p w14:paraId="5E2A22CE" w14:textId="77777777" w:rsidR="00C03AE7" w:rsidRDefault="00C03AE7" w:rsidP="00EA40D3">
      <w:pPr>
        <w:spacing w:after="0" w:line="240" w:lineRule="auto"/>
      </w:pPr>
      <w:r>
        <w:continuationSeparator/>
      </w:r>
    </w:p>
  </w:footnote>
  <w:footnote w:type="continuationNotice" w:id="1">
    <w:p w14:paraId="6289BCDD" w14:textId="77777777" w:rsidR="00C03AE7" w:rsidRDefault="00C03A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EB4B58"/>
    <w:multiLevelType w:val="hybridMultilevel"/>
    <w:tmpl w:val="84C0536E"/>
    <w:lvl w:ilvl="0" w:tplc="AB2076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6A0BDD"/>
    <w:multiLevelType w:val="hybridMultilevel"/>
    <w:tmpl w:val="27960F8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671371375">
    <w:abstractNumId w:val="1"/>
  </w:num>
  <w:num w:numId="2" w16cid:durableId="1738821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ECACD5"/>
    <w:rsid w:val="00031D1B"/>
    <w:rsid w:val="000A1E6A"/>
    <w:rsid w:val="000A7B96"/>
    <w:rsid w:val="001879F9"/>
    <w:rsid w:val="001F07D8"/>
    <w:rsid w:val="00215F13"/>
    <w:rsid w:val="002B021D"/>
    <w:rsid w:val="003B2D9C"/>
    <w:rsid w:val="00475EF1"/>
    <w:rsid w:val="005D1AED"/>
    <w:rsid w:val="00660931"/>
    <w:rsid w:val="006837ED"/>
    <w:rsid w:val="006A5D4B"/>
    <w:rsid w:val="006D6DD5"/>
    <w:rsid w:val="00744C0C"/>
    <w:rsid w:val="007742F9"/>
    <w:rsid w:val="007E5FEE"/>
    <w:rsid w:val="00840113"/>
    <w:rsid w:val="00881DFA"/>
    <w:rsid w:val="0091258B"/>
    <w:rsid w:val="00BD7AE3"/>
    <w:rsid w:val="00C03AE7"/>
    <w:rsid w:val="00CD36ED"/>
    <w:rsid w:val="00D03145"/>
    <w:rsid w:val="00D90095"/>
    <w:rsid w:val="00DD59E3"/>
    <w:rsid w:val="00EA40D3"/>
    <w:rsid w:val="00F11485"/>
    <w:rsid w:val="02ECACD5"/>
    <w:rsid w:val="1836FC9C"/>
    <w:rsid w:val="395CA633"/>
    <w:rsid w:val="79F32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ACD5"/>
  <w15:chartTrackingRefBased/>
  <w15:docId w15:val="{B449DE91-A363-4B48-8C48-DDD4313B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E5F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0D3"/>
    <w:pPr>
      <w:ind w:left="720"/>
      <w:contextualSpacing/>
    </w:pPr>
    <w:rPr>
      <w:rFonts w:ascii="Aptos Light" w:hAnsi="Aptos Light"/>
      <w:kern w:val="2"/>
      <w14:ligatures w14:val="standardContextual"/>
    </w:rPr>
  </w:style>
  <w:style w:type="paragraph" w:styleId="FootnoteText">
    <w:name w:val="footnote text"/>
    <w:basedOn w:val="Normal"/>
    <w:link w:val="FootnoteTextChar"/>
    <w:uiPriority w:val="99"/>
    <w:unhideWhenUsed/>
    <w:rsid w:val="00EA40D3"/>
    <w:pPr>
      <w:spacing w:after="0" w:line="240" w:lineRule="auto"/>
    </w:pPr>
    <w:rPr>
      <w:rFonts w:ascii="Aptos Light" w:hAnsi="Aptos Light"/>
      <w:kern w:val="2"/>
      <w:sz w:val="20"/>
      <w:szCs w:val="20"/>
      <w14:ligatures w14:val="standardContextual"/>
    </w:rPr>
  </w:style>
  <w:style w:type="character" w:customStyle="1" w:styleId="FootnoteTextChar">
    <w:name w:val="Footnote Text Char"/>
    <w:basedOn w:val="DefaultParagraphFont"/>
    <w:link w:val="FootnoteText"/>
    <w:uiPriority w:val="99"/>
    <w:rsid w:val="00EA40D3"/>
    <w:rPr>
      <w:rFonts w:ascii="Aptos Light" w:hAnsi="Aptos Light"/>
      <w:kern w:val="2"/>
      <w:sz w:val="20"/>
      <w:szCs w:val="20"/>
      <w14:ligatures w14:val="standardContextual"/>
    </w:rPr>
  </w:style>
  <w:style w:type="character" w:styleId="FootnoteReference">
    <w:name w:val="footnote reference"/>
    <w:basedOn w:val="DefaultParagraphFont"/>
    <w:uiPriority w:val="99"/>
    <w:semiHidden/>
    <w:unhideWhenUsed/>
    <w:rsid w:val="00EA40D3"/>
    <w:rPr>
      <w:vertAlign w:val="superscript"/>
    </w:rPr>
  </w:style>
  <w:style w:type="character" w:customStyle="1" w:styleId="Hyperlink1">
    <w:name w:val="Hyperlink1"/>
    <w:basedOn w:val="DefaultParagraphFont"/>
    <w:uiPriority w:val="99"/>
    <w:unhideWhenUsed/>
    <w:rsid w:val="00EA40D3"/>
    <w:rPr>
      <w:color w:val="467886"/>
      <w:u w:val="single"/>
    </w:rPr>
  </w:style>
  <w:style w:type="paragraph" w:styleId="EndnoteText">
    <w:name w:val="endnote text"/>
    <w:basedOn w:val="Normal"/>
    <w:link w:val="EndnoteTextChar"/>
    <w:uiPriority w:val="99"/>
    <w:unhideWhenUsed/>
    <w:rsid w:val="00EA40D3"/>
    <w:pPr>
      <w:spacing w:after="0" w:line="240" w:lineRule="auto"/>
    </w:pPr>
    <w:rPr>
      <w:rFonts w:ascii="Aptos Light" w:hAnsi="Aptos Light"/>
      <w:kern w:val="2"/>
      <w:sz w:val="20"/>
      <w:szCs w:val="20"/>
      <w14:ligatures w14:val="standardContextual"/>
    </w:rPr>
  </w:style>
  <w:style w:type="character" w:customStyle="1" w:styleId="EndnoteTextChar">
    <w:name w:val="Endnote Text Char"/>
    <w:basedOn w:val="DefaultParagraphFont"/>
    <w:link w:val="EndnoteText"/>
    <w:uiPriority w:val="99"/>
    <w:rsid w:val="00EA40D3"/>
    <w:rPr>
      <w:rFonts w:ascii="Aptos Light" w:hAnsi="Aptos Light"/>
      <w:kern w:val="2"/>
      <w:sz w:val="20"/>
      <w:szCs w:val="20"/>
      <w14:ligatures w14:val="standardContextual"/>
    </w:rPr>
  </w:style>
  <w:style w:type="character" w:styleId="EndnoteReference">
    <w:name w:val="endnote reference"/>
    <w:basedOn w:val="DefaultParagraphFont"/>
    <w:uiPriority w:val="99"/>
    <w:semiHidden/>
    <w:unhideWhenUsed/>
    <w:rsid w:val="00EA40D3"/>
    <w:rPr>
      <w:vertAlign w:val="superscript"/>
    </w:rPr>
  </w:style>
  <w:style w:type="paragraph" w:customStyle="1" w:styleId="Caption1">
    <w:name w:val="Caption1"/>
    <w:basedOn w:val="Normal"/>
    <w:next w:val="Normal"/>
    <w:uiPriority w:val="35"/>
    <w:unhideWhenUsed/>
    <w:qFormat/>
    <w:rsid w:val="00EA40D3"/>
    <w:pPr>
      <w:spacing w:after="200" w:line="240" w:lineRule="auto"/>
    </w:pPr>
    <w:rPr>
      <w:rFonts w:ascii="Aptos Light" w:hAnsi="Aptos Light"/>
      <w:i/>
      <w:iCs/>
      <w:color w:val="0E2841"/>
      <w:kern w:val="2"/>
      <w:sz w:val="18"/>
      <w:szCs w:val="18"/>
      <w14:ligatures w14:val="standardContextual"/>
    </w:rPr>
  </w:style>
  <w:style w:type="character" w:styleId="Hyperlink">
    <w:name w:val="Hyperlink"/>
    <w:basedOn w:val="DefaultParagraphFont"/>
    <w:uiPriority w:val="99"/>
    <w:unhideWhenUsed/>
    <w:rsid w:val="00EA40D3"/>
    <w:rPr>
      <w:color w:val="0563C1" w:themeColor="hyperlink"/>
      <w:u w:val="single"/>
    </w:rPr>
  </w:style>
  <w:style w:type="paragraph" w:styleId="Header">
    <w:name w:val="header"/>
    <w:basedOn w:val="Normal"/>
    <w:link w:val="HeaderChar"/>
    <w:uiPriority w:val="99"/>
    <w:semiHidden/>
    <w:unhideWhenUsed/>
    <w:rsid w:val="003B2D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2D9C"/>
  </w:style>
  <w:style w:type="paragraph" w:styleId="Footer">
    <w:name w:val="footer"/>
    <w:basedOn w:val="Normal"/>
    <w:link w:val="FooterChar"/>
    <w:uiPriority w:val="99"/>
    <w:semiHidden/>
    <w:unhideWhenUsed/>
    <w:rsid w:val="003B2D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2D9C"/>
  </w:style>
  <w:style w:type="character" w:customStyle="1" w:styleId="Heading2Char">
    <w:name w:val="Heading 2 Char"/>
    <w:basedOn w:val="DefaultParagraphFont"/>
    <w:link w:val="Heading2"/>
    <w:uiPriority w:val="9"/>
    <w:rsid w:val="007E5FE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3" Type="http://schemas.openxmlformats.org/officeDocument/2006/relationships/hyperlink" Target="http://dx.doi.org/10.15585/mmwr.mm6936a2" TargetMode="External"/><Relationship Id="rId2" Type="http://schemas.openxmlformats.org/officeDocument/2006/relationships/hyperlink" Target="https://doi.org/10.1016/j.lana.2023.100650" TargetMode="External"/><Relationship Id="rId1" Type="http://schemas.openxmlformats.org/officeDocument/2006/relationships/hyperlink" Target="https://www.cdc.gov/ncbddd/disabilityandhealth/features/mental-health-for-all.htm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alin\Downloads\CHES%20MH%20Chapter%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96265930676191"/>
          <c:y val="6.6066066066066062E-2"/>
          <c:w val="0.85223665340801469"/>
          <c:h val="0.63976921803693454"/>
        </c:manualLayout>
      </c:layout>
      <c:barChart>
        <c:barDir val="col"/>
        <c:grouping val="clustered"/>
        <c:varyColors val="0"/>
        <c:ser>
          <c:idx val="0"/>
          <c:order val="0"/>
          <c:tx>
            <c:strRef>
              <c:f>Disability!$A$43</c:f>
              <c:strCache>
                <c:ptCount val="1"/>
                <c:pt idx="0">
                  <c:v>No Disability</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Disability!$B$42:$D$42</c:f>
              <c:strCache>
                <c:ptCount val="3"/>
                <c:pt idx="0">
                  <c:v>Psychological Distress</c:v>
                </c:pt>
                <c:pt idx="1">
                  <c:v>Suicidal Ideation</c:v>
                </c:pt>
                <c:pt idx="2">
                  <c:v>Social Isolation</c:v>
                </c:pt>
              </c:strCache>
            </c:strRef>
          </c:cat>
          <c:val>
            <c:numRef>
              <c:f>Disability!$B$43:$D$43</c:f>
              <c:numCache>
                <c:formatCode>0.0%</c:formatCode>
                <c:ptCount val="3"/>
                <c:pt idx="0">
                  <c:v>0.24399999999999999</c:v>
                </c:pt>
                <c:pt idx="1">
                  <c:v>4.4999999999999998E-2</c:v>
                </c:pt>
                <c:pt idx="2">
                  <c:v>8.4000000000000005E-2</c:v>
                </c:pt>
              </c:numCache>
            </c:numRef>
          </c:val>
          <c:extLst>
            <c:ext xmlns:c16="http://schemas.microsoft.com/office/drawing/2014/chart" uri="{C3380CC4-5D6E-409C-BE32-E72D297353CC}">
              <c16:uniqueId val="{00000000-293C-4278-82E5-77ADEEC9D9A1}"/>
            </c:ext>
          </c:extLst>
        </c:ser>
        <c:ser>
          <c:idx val="1"/>
          <c:order val="1"/>
          <c:tx>
            <c:strRef>
              <c:f>Disability!$A$44</c:f>
              <c:strCache>
                <c:ptCount val="1"/>
                <c:pt idx="0">
                  <c:v>At Least One Disability</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Disability!$B$42:$D$42</c:f>
              <c:strCache>
                <c:ptCount val="3"/>
                <c:pt idx="0">
                  <c:v>Psychological Distress</c:v>
                </c:pt>
                <c:pt idx="1">
                  <c:v>Suicidal Ideation</c:v>
                </c:pt>
                <c:pt idx="2">
                  <c:v>Social Isolation</c:v>
                </c:pt>
              </c:strCache>
            </c:strRef>
          </c:cat>
          <c:val>
            <c:numRef>
              <c:f>Disability!$B$44:$D$44</c:f>
              <c:numCache>
                <c:formatCode>0.0%</c:formatCode>
                <c:ptCount val="3"/>
                <c:pt idx="0">
                  <c:v>0.50800000000000001</c:v>
                </c:pt>
                <c:pt idx="1">
                  <c:v>0.15</c:v>
                </c:pt>
                <c:pt idx="2">
                  <c:v>0.25800000000000001</c:v>
                </c:pt>
              </c:numCache>
            </c:numRef>
          </c:val>
          <c:extLst>
            <c:ext xmlns:c16="http://schemas.microsoft.com/office/drawing/2014/chart" uri="{C3380CC4-5D6E-409C-BE32-E72D297353CC}">
              <c16:uniqueId val="{00000001-293C-4278-82E5-77ADEEC9D9A1}"/>
            </c:ext>
          </c:extLst>
        </c:ser>
        <c:dLbls>
          <c:showLegendKey val="0"/>
          <c:showVal val="0"/>
          <c:showCatName val="0"/>
          <c:showSerName val="0"/>
          <c:showPercent val="0"/>
          <c:showBubbleSize val="0"/>
        </c:dLbls>
        <c:gapWidth val="219"/>
        <c:overlap val="-27"/>
        <c:axId val="551848200"/>
        <c:axId val="551852520"/>
      </c:barChart>
      <c:catAx>
        <c:axId val="551848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1852520"/>
        <c:crosses val="autoZero"/>
        <c:auto val="1"/>
        <c:lblAlgn val="ctr"/>
        <c:lblOffset val="100"/>
        <c:noMultiLvlLbl val="0"/>
      </c:catAx>
      <c:valAx>
        <c:axId val="55185252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51848200"/>
        <c:crosses val="autoZero"/>
        <c:crossBetween val="between"/>
      </c:valAx>
      <c:spPr>
        <a:noFill/>
        <a:ln>
          <a:noFill/>
        </a:ln>
        <a:effectLst/>
      </c:spPr>
    </c:plotArea>
    <c:legend>
      <c:legendPos val="b"/>
      <c:layout>
        <c:manualLayout>
          <c:xMode val="edge"/>
          <c:yMode val="edge"/>
          <c:x val="0.17728170576616067"/>
          <c:y val="0.88663592726584839"/>
          <c:w val="0.64543658846767871"/>
          <c:h val="0.1013520607221394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31B93-1F1D-4613-9E3D-DFD32D47413E}">
  <ds:schemaRefs>
    <ds:schemaRef ds:uri="http://schemas.microsoft.com/sharepoint/v3/contenttype/forms"/>
  </ds:schemaRefs>
</ds:datastoreItem>
</file>

<file path=customXml/itemProps2.xml><?xml version="1.0" encoding="utf-8"?>
<ds:datastoreItem xmlns:ds="http://schemas.openxmlformats.org/officeDocument/2006/customXml" ds:itemID="{A93C198E-1708-4591-8694-F1CBEB5B5E9C}">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3.xml><?xml version="1.0" encoding="utf-8"?>
<ds:datastoreItem xmlns:ds="http://schemas.openxmlformats.org/officeDocument/2006/customXml" ds:itemID="{A46113E7-2D06-4D77-B045-07636F253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Ta-wei (DPH)</dc:creator>
  <cp:keywords/>
  <dc:description/>
  <cp:lastModifiedBy>Lin, Ta-wei (DPH)</cp:lastModifiedBy>
  <cp:revision>20</cp:revision>
  <dcterms:created xsi:type="dcterms:W3CDTF">2024-10-24T13:37:00Z</dcterms:created>
  <dcterms:modified xsi:type="dcterms:W3CDTF">2024-11-05T16:08:00Z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