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B4F5" w14:textId="6D9A6454" w:rsidR="00C024B5" w:rsidRDefault="00FC78A8" w:rsidP="00445914">
      <w:pPr>
        <w:pStyle w:val="Title"/>
        <w:rPr>
          <w:rFonts w:eastAsia="Avenir Next LT Pro" w:cs="Avenir Next LT Pro"/>
        </w:rPr>
      </w:pPr>
      <w:r>
        <w:rPr>
          <w:noProof/>
        </w:rPr>
        <w:drawing>
          <wp:anchor distT="0" distB="0" distL="114300" distR="114300" simplePos="0" relativeHeight="251659264" behindDoc="1" locked="0" layoutInCell="1" allowOverlap="1" wp14:anchorId="5A199509" wp14:editId="2EA611AE">
            <wp:simplePos x="0" y="0"/>
            <wp:positionH relativeFrom="page">
              <wp:posOffset>0</wp:posOffset>
            </wp:positionH>
            <wp:positionV relativeFrom="page">
              <wp:posOffset>12700</wp:posOffset>
            </wp:positionV>
            <wp:extent cx="7764549" cy="10048240"/>
            <wp:effectExtent l="0" t="0" r="0" b="0"/>
            <wp:wrapNone/>
            <wp:docPr id="157383571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35712" name="Pictur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764549" cy="10048240"/>
                    </a:xfrm>
                    <a:prstGeom prst="rect">
                      <a:avLst/>
                    </a:prstGeom>
                    <a:solidFill>
                      <a:srgbClr val="005994"/>
                    </a:solidFill>
                  </pic:spPr>
                </pic:pic>
              </a:graphicData>
            </a:graphic>
          </wp:anchor>
        </w:drawing>
      </w:r>
      <w:r w:rsidR="00C024B5">
        <w:tab/>
      </w:r>
    </w:p>
    <w:p w14:paraId="40BFFE95" w14:textId="77777777" w:rsidR="00C024B5" w:rsidRDefault="00C024B5" w:rsidP="00445914">
      <w:pPr>
        <w:pStyle w:val="Title"/>
      </w:pPr>
    </w:p>
    <w:p w14:paraId="0149AB17" w14:textId="77777777" w:rsidR="003D2EC8" w:rsidRDefault="003D2EC8" w:rsidP="00445914">
      <w:pPr>
        <w:pStyle w:val="Title"/>
      </w:pPr>
    </w:p>
    <w:p w14:paraId="63142A15" w14:textId="77777777" w:rsidR="00A33E26" w:rsidRDefault="00A24A73" w:rsidP="00445914">
      <w:pPr>
        <w:pStyle w:val="Title"/>
      </w:pPr>
      <w:r>
        <w:t xml:space="preserve">Suicide </w:t>
      </w:r>
      <w:r w:rsidR="00A33E26">
        <w:t>Prevention</w:t>
      </w:r>
    </w:p>
    <w:p w14:paraId="49390841" w14:textId="217E7439" w:rsidR="00C024B5" w:rsidRDefault="00A24A73" w:rsidP="00445914">
      <w:pPr>
        <w:pStyle w:val="Title"/>
      </w:pPr>
      <w:r>
        <w:t>Data Brief</w:t>
      </w:r>
      <w:r w:rsidR="005E1493">
        <w:t xml:space="preserve"> 202</w:t>
      </w:r>
      <w:r w:rsidR="004F57B0">
        <w:t>3</w:t>
      </w:r>
    </w:p>
    <w:p w14:paraId="00FBEB11" w14:textId="3FDDF585" w:rsidR="00A24A73" w:rsidRPr="00A24A73" w:rsidRDefault="00A24A73" w:rsidP="00A24A73"/>
    <w:p w14:paraId="733063D6" w14:textId="33CA4143" w:rsidR="00A84363" w:rsidRDefault="003D2EC8" w:rsidP="003D2EC8">
      <w:pPr>
        <w:pStyle w:val="Subtitle"/>
      </w:pPr>
      <w:r>
        <w:t>S</w:t>
      </w:r>
      <w:r w:rsidR="005E1493">
        <w:t xml:space="preserve">uicide </w:t>
      </w:r>
      <w:r w:rsidR="004F1433">
        <w:t>d</w:t>
      </w:r>
      <w:r w:rsidR="005E1493">
        <w:t xml:space="preserve">eaths, </w:t>
      </w:r>
      <w:r w:rsidR="004F1433">
        <w:t>a</w:t>
      </w:r>
      <w:r w:rsidR="005E1493">
        <w:t>ttempts</w:t>
      </w:r>
      <w:r w:rsidR="00A84363">
        <w:t>,</w:t>
      </w:r>
      <w:r w:rsidR="005E1493">
        <w:t xml:space="preserve"> and </w:t>
      </w:r>
      <w:r w:rsidR="004F1433">
        <w:t>i</w:t>
      </w:r>
      <w:r w:rsidR="005E1493">
        <w:t xml:space="preserve">deation in </w:t>
      </w:r>
      <w:r w:rsidR="00A84363">
        <w:t xml:space="preserve">Massachusetts </w:t>
      </w:r>
    </w:p>
    <w:p w14:paraId="2C6E7BFA" w14:textId="77777777" w:rsidR="00A84363" w:rsidRDefault="00A84363" w:rsidP="00A84363"/>
    <w:p w14:paraId="439EB1FC" w14:textId="27AAEE8B" w:rsidR="00C024B5" w:rsidRPr="00A84363" w:rsidRDefault="00A84363" w:rsidP="00A84363">
      <w:pPr>
        <w:pStyle w:val="Subtitle"/>
        <w:rPr>
          <w:sz w:val="24"/>
          <w:szCs w:val="24"/>
        </w:rPr>
      </w:pPr>
      <w:r w:rsidRPr="00A84363">
        <w:rPr>
          <w:sz w:val="24"/>
          <w:szCs w:val="24"/>
        </w:rPr>
        <w:t>Injury Surveillance Program, Massachusetts Department of Public Health</w:t>
      </w:r>
    </w:p>
    <w:p w14:paraId="35376784" w14:textId="41FD9163" w:rsidR="0064481C" w:rsidRPr="00F324CA" w:rsidRDefault="00445914" w:rsidP="0064481C">
      <w:pPr>
        <w:shd w:val="clear" w:color="auto" w:fill="032E53"/>
        <w:spacing w:before="0"/>
        <w:jc w:val="right"/>
        <w:rPr>
          <w:rFonts w:eastAsia="Avenir Next LT Pro" w:cs="Avenir Next LT Pro"/>
          <w:b/>
          <w:bCs/>
          <w:sz w:val="40"/>
          <w:szCs w:val="40"/>
        </w:rPr>
      </w:pPr>
      <w:r w:rsidRPr="00445914">
        <w:rPr>
          <w:rStyle w:val="Emphasis"/>
        </w:rPr>
        <w:t xml:space="preserve">Released: </w:t>
      </w:r>
      <w:r w:rsidR="00C57AC1">
        <w:rPr>
          <w:rStyle w:val="Emphasis"/>
        </w:rPr>
        <w:t>Febr</w:t>
      </w:r>
      <w:r w:rsidR="00D95DB2">
        <w:rPr>
          <w:rStyle w:val="Emphasis"/>
        </w:rPr>
        <w:t>uary</w:t>
      </w:r>
      <w:r w:rsidR="004F57B0">
        <w:rPr>
          <w:rStyle w:val="Emphasis"/>
        </w:rPr>
        <w:t xml:space="preserve"> 2026</w:t>
      </w:r>
    </w:p>
    <w:sdt>
      <w:sdtPr>
        <w:rPr>
          <w:rFonts w:ascii="Avenir Next LT Pro" w:eastAsiaTheme="minorHAnsi" w:hAnsi="Avenir Next LT Pro" w:cs="Arial"/>
          <w:color w:val="002060"/>
          <w:kern w:val="2"/>
          <w:sz w:val="24"/>
          <w:szCs w:val="24"/>
          <w14:ligatures w14:val="standardContextual"/>
        </w:rPr>
        <w:id w:val="2009403023"/>
        <w:docPartObj>
          <w:docPartGallery w:val="Table of Contents"/>
          <w:docPartUnique/>
        </w:docPartObj>
      </w:sdtPr>
      <w:sdtEndPr>
        <w:rPr>
          <w:b/>
          <w:bCs/>
          <w:noProof/>
          <w:color w:val="auto"/>
        </w:rPr>
      </w:sdtEndPr>
      <w:sdtContent>
        <w:p w14:paraId="09AE2AD4" w14:textId="73C27CF0" w:rsidR="0064481C" w:rsidRPr="0064481C" w:rsidRDefault="0064481C">
          <w:pPr>
            <w:pStyle w:val="TOCHeading"/>
            <w:rPr>
              <w:b/>
              <w:bCs/>
              <w:color w:val="002060"/>
            </w:rPr>
          </w:pPr>
          <w:r w:rsidRPr="0064481C">
            <w:rPr>
              <w:b/>
              <w:bCs/>
              <w:color w:val="002060"/>
            </w:rPr>
            <w:t>Contents</w:t>
          </w:r>
        </w:p>
        <w:p w14:paraId="497F1257" w14:textId="13BFB5DD" w:rsidR="00F16BC1" w:rsidRDefault="0064481C">
          <w:pPr>
            <w:pStyle w:val="TOC1"/>
            <w:tabs>
              <w:tab w:val="right" w:leader="dot" w:pos="9350"/>
            </w:tabs>
            <w:rPr>
              <w:rFonts w:asciiTheme="minorHAnsi" w:eastAsiaTheme="minorEastAsia" w:hAnsiTheme="minorHAnsi" w:cstheme="minorBidi"/>
              <w:noProof/>
            </w:rPr>
          </w:pPr>
          <w:r>
            <w:fldChar w:fldCharType="begin"/>
          </w:r>
          <w:r>
            <w:instrText xml:space="preserve"> TOC \o "1-1" \h \z \u </w:instrText>
          </w:r>
          <w:r>
            <w:fldChar w:fldCharType="separate"/>
          </w:r>
          <w:hyperlink w:anchor="_Toc220311104" w:history="1">
            <w:r w:rsidR="00F16BC1" w:rsidRPr="003845BA">
              <w:rPr>
                <w:rStyle w:val="Hyperlink"/>
                <w:noProof/>
              </w:rPr>
              <w:t>Introduction</w:t>
            </w:r>
            <w:r w:rsidR="00F16BC1">
              <w:rPr>
                <w:noProof/>
                <w:webHidden/>
              </w:rPr>
              <w:tab/>
            </w:r>
            <w:r w:rsidR="00F16BC1">
              <w:rPr>
                <w:noProof/>
                <w:webHidden/>
              </w:rPr>
              <w:fldChar w:fldCharType="begin"/>
            </w:r>
            <w:r w:rsidR="00F16BC1">
              <w:rPr>
                <w:noProof/>
                <w:webHidden/>
              </w:rPr>
              <w:instrText xml:space="preserve"> PAGEREF _Toc220311104 \h </w:instrText>
            </w:r>
            <w:r w:rsidR="00F16BC1">
              <w:rPr>
                <w:noProof/>
                <w:webHidden/>
              </w:rPr>
            </w:r>
            <w:r w:rsidR="00F16BC1">
              <w:rPr>
                <w:noProof/>
                <w:webHidden/>
              </w:rPr>
              <w:fldChar w:fldCharType="separate"/>
            </w:r>
            <w:r w:rsidR="00C57AC1">
              <w:rPr>
                <w:noProof/>
                <w:webHidden/>
              </w:rPr>
              <w:t>3</w:t>
            </w:r>
            <w:r w:rsidR="00F16BC1">
              <w:rPr>
                <w:noProof/>
                <w:webHidden/>
              </w:rPr>
              <w:fldChar w:fldCharType="end"/>
            </w:r>
          </w:hyperlink>
        </w:p>
        <w:p w14:paraId="2AEF601C" w14:textId="584405AA" w:rsidR="00F16BC1" w:rsidRDefault="00F16BC1">
          <w:pPr>
            <w:pStyle w:val="TOC1"/>
            <w:tabs>
              <w:tab w:val="right" w:leader="dot" w:pos="9350"/>
            </w:tabs>
            <w:rPr>
              <w:rFonts w:asciiTheme="minorHAnsi" w:eastAsiaTheme="minorEastAsia" w:hAnsiTheme="minorHAnsi" w:cstheme="minorBidi"/>
              <w:noProof/>
            </w:rPr>
          </w:pPr>
          <w:hyperlink w:anchor="_Toc220311105" w:history="1">
            <w:r w:rsidRPr="003845BA">
              <w:rPr>
                <w:rStyle w:val="Hyperlink"/>
                <w:noProof/>
              </w:rPr>
              <w:t>Overall suicide counts and rates</w:t>
            </w:r>
            <w:r>
              <w:rPr>
                <w:noProof/>
                <w:webHidden/>
              </w:rPr>
              <w:tab/>
            </w:r>
            <w:r>
              <w:rPr>
                <w:noProof/>
                <w:webHidden/>
              </w:rPr>
              <w:fldChar w:fldCharType="begin"/>
            </w:r>
            <w:r>
              <w:rPr>
                <w:noProof/>
                <w:webHidden/>
              </w:rPr>
              <w:instrText xml:space="preserve"> PAGEREF _Toc220311105 \h </w:instrText>
            </w:r>
            <w:r>
              <w:rPr>
                <w:noProof/>
                <w:webHidden/>
              </w:rPr>
            </w:r>
            <w:r>
              <w:rPr>
                <w:noProof/>
                <w:webHidden/>
              </w:rPr>
              <w:fldChar w:fldCharType="separate"/>
            </w:r>
            <w:r w:rsidR="00C57AC1">
              <w:rPr>
                <w:noProof/>
                <w:webHidden/>
              </w:rPr>
              <w:t>3</w:t>
            </w:r>
            <w:r>
              <w:rPr>
                <w:noProof/>
                <w:webHidden/>
              </w:rPr>
              <w:fldChar w:fldCharType="end"/>
            </w:r>
          </w:hyperlink>
        </w:p>
        <w:p w14:paraId="3C46D71B" w14:textId="167F93F1" w:rsidR="00F16BC1" w:rsidRDefault="00F16BC1">
          <w:pPr>
            <w:pStyle w:val="TOC1"/>
            <w:tabs>
              <w:tab w:val="right" w:leader="dot" w:pos="9350"/>
            </w:tabs>
            <w:rPr>
              <w:rFonts w:asciiTheme="minorHAnsi" w:eastAsiaTheme="minorEastAsia" w:hAnsiTheme="minorHAnsi" w:cstheme="minorBidi"/>
              <w:noProof/>
            </w:rPr>
          </w:pPr>
          <w:hyperlink w:anchor="_Toc220311106" w:history="1">
            <w:r w:rsidRPr="003845BA">
              <w:rPr>
                <w:rStyle w:val="Hyperlink"/>
                <w:noProof/>
              </w:rPr>
              <w:t>Suicides by sex, age group, and race and ethnicity</w:t>
            </w:r>
            <w:r>
              <w:rPr>
                <w:noProof/>
                <w:webHidden/>
              </w:rPr>
              <w:tab/>
            </w:r>
            <w:r>
              <w:rPr>
                <w:noProof/>
                <w:webHidden/>
              </w:rPr>
              <w:fldChar w:fldCharType="begin"/>
            </w:r>
            <w:r>
              <w:rPr>
                <w:noProof/>
                <w:webHidden/>
              </w:rPr>
              <w:instrText xml:space="preserve"> PAGEREF _Toc220311106 \h </w:instrText>
            </w:r>
            <w:r>
              <w:rPr>
                <w:noProof/>
                <w:webHidden/>
              </w:rPr>
            </w:r>
            <w:r>
              <w:rPr>
                <w:noProof/>
                <w:webHidden/>
              </w:rPr>
              <w:fldChar w:fldCharType="separate"/>
            </w:r>
            <w:r w:rsidR="00C57AC1">
              <w:rPr>
                <w:noProof/>
                <w:webHidden/>
              </w:rPr>
              <w:t>4</w:t>
            </w:r>
            <w:r>
              <w:rPr>
                <w:noProof/>
                <w:webHidden/>
              </w:rPr>
              <w:fldChar w:fldCharType="end"/>
            </w:r>
          </w:hyperlink>
        </w:p>
        <w:p w14:paraId="04B704D9" w14:textId="3FBCECEF" w:rsidR="00F16BC1" w:rsidRDefault="00F16BC1">
          <w:pPr>
            <w:pStyle w:val="TOC1"/>
            <w:tabs>
              <w:tab w:val="right" w:leader="dot" w:pos="9350"/>
            </w:tabs>
            <w:rPr>
              <w:rFonts w:asciiTheme="minorHAnsi" w:eastAsiaTheme="minorEastAsia" w:hAnsiTheme="minorHAnsi" w:cstheme="minorBidi"/>
              <w:noProof/>
            </w:rPr>
          </w:pPr>
          <w:hyperlink w:anchor="_Toc220311107" w:history="1">
            <w:r w:rsidRPr="003845BA">
              <w:rPr>
                <w:rStyle w:val="Hyperlink"/>
                <w:noProof/>
              </w:rPr>
              <w:t>Suicides by method</w:t>
            </w:r>
            <w:r>
              <w:rPr>
                <w:noProof/>
                <w:webHidden/>
              </w:rPr>
              <w:tab/>
            </w:r>
            <w:r>
              <w:rPr>
                <w:noProof/>
                <w:webHidden/>
              </w:rPr>
              <w:fldChar w:fldCharType="begin"/>
            </w:r>
            <w:r>
              <w:rPr>
                <w:noProof/>
                <w:webHidden/>
              </w:rPr>
              <w:instrText xml:space="preserve"> PAGEREF _Toc220311107 \h </w:instrText>
            </w:r>
            <w:r>
              <w:rPr>
                <w:noProof/>
                <w:webHidden/>
              </w:rPr>
            </w:r>
            <w:r>
              <w:rPr>
                <w:noProof/>
                <w:webHidden/>
              </w:rPr>
              <w:fldChar w:fldCharType="separate"/>
            </w:r>
            <w:r w:rsidR="00C57AC1">
              <w:rPr>
                <w:noProof/>
                <w:webHidden/>
              </w:rPr>
              <w:t>6</w:t>
            </w:r>
            <w:r>
              <w:rPr>
                <w:noProof/>
                <w:webHidden/>
              </w:rPr>
              <w:fldChar w:fldCharType="end"/>
            </w:r>
          </w:hyperlink>
        </w:p>
        <w:p w14:paraId="7C41AABB" w14:textId="45BD9F98" w:rsidR="00F16BC1" w:rsidRDefault="00F16BC1">
          <w:pPr>
            <w:pStyle w:val="TOC1"/>
            <w:tabs>
              <w:tab w:val="right" w:leader="dot" w:pos="9350"/>
            </w:tabs>
            <w:rPr>
              <w:rFonts w:asciiTheme="minorHAnsi" w:eastAsiaTheme="minorEastAsia" w:hAnsiTheme="minorHAnsi" w:cstheme="minorBidi"/>
              <w:noProof/>
            </w:rPr>
          </w:pPr>
          <w:hyperlink w:anchor="_Toc220311108" w:history="1">
            <w:r w:rsidRPr="003845BA">
              <w:rPr>
                <w:rStyle w:val="Hyperlink"/>
                <w:noProof/>
              </w:rPr>
              <w:t>Circumstances associated with suicide</w:t>
            </w:r>
            <w:r>
              <w:rPr>
                <w:noProof/>
                <w:webHidden/>
              </w:rPr>
              <w:tab/>
            </w:r>
            <w:r>
              <w:rPr>
                <w:noProof/>
                <w:webHidden/>
              </w:rPr>
              <w:fldChar w:fldCharType="begin"/>
            </w:r>
            <w:r>
              <w:rPr>
                <w:noProof/>
                <w:webHidden/>
              </w:rPr>
              <w:instrText xml:space="preserve"> PAGEREF _Toc220311108 \h </w:instrText>
            </w:r>
            <w:r>
              <w:rPr>
                <w:noProof/>
                <w:webHidden/>
              </w:rPr>
            </w:r>
            <w:r>
              <w:rPr>
                <w:noProof/>
                <w:webHidden/>
              </w:rPr>
              <w:fldChar w:fldCharType="separate"/>
            </w:r>
            <w:r w:rsidR="00C57AC1">
              <w:rPr>
                <w:noProof/>
                <w:webHidden/>
              </w:rPr>
              <w:t>7</w:t>
            </w:r>
            <w:r>
              <w:rPr>
                <w:noProof/>
                <w:webHidden/>
              </w:rPr>
              <w:fldChar w:fldCharType="end"/>
            </w:r>
          </w:hyperlink>
        </w:p>
        <w:p w14:paraId="7E3FC715" w14:textId="55019133" w:rsidR="00F16BC1" w:rsidRDefault="00F16BC1">
          <w:pPr>
            <w:pStyle w:val="TOC1"/>
            <w:tabs>
              <w:tab w:val="right" w:leader="dot" w:pos="9350"/>
            </w:tabs>
            <w:rPr>
              <w:rFonts w:asciiTheme="minorHAnsi" w:eastAsiaTheme="minorEastAsia" w:hAnsiTheme="minorHAnsi" w:cstheme="minorBidi"/>
              <w:noProof/>
            </w:rPr>
          </w:pPr>
          <w:hyperlink w:anchor="_Toc220311109" w:history="1">
            <w:r w:rsidRPr="003845BA">
              <w:rPr>
                <w:rStyle w:val="Hyperlink"/>
                <w:noProof/>
              </w:rPr>
              <w:t>Geography of suicide deaths</w:t>
            </w:r>
            <w:r>
              <w:rPr>
                <w:noProof/>
                <w:webHidden/>
              </w:rPr>
              <w:tab/>
            </w:r>
            <w:r>
              <w:rPr>
                <w:noProof/>
                <w:webHidden/>
              </w:rPr>
              <w:fldChar w:fldCharType="begin"/>
            </w:r>
            <w:r>
              <w:rPr>
                <w:noProof/>
                <w:webHidden/>
              </w:rPr>
              <w:instrText xml:space="preserve"> PAGEREF _Toc220311109 \h </w:instrText>
            </w:r>
            <w:r>
              <w:rPr>
                <w:noProof/>
                <w:webHidden/>
              </w:rPr>
            </w:r>
            <w:r>
              <w:rPr>
                <w:noProof/>
                <w:webHidden/>
              </w:rPr>
              <w:fldChar w:fldCharType="separate"/>
            </w:r>
            <w:r w:rsidR="00C57AC1">
              <w:rPr>
                <w:noProof/>
                <w:webHidden/>
              </w:rPr>
              <w:t>10</w:t>
            </w:r>
            <w:r>
              <w:rPr>
                <w:noProof/>
                <w:webHidden/>
              </w:rPr>
              <w:fldChar w:fldCharType="end"/>
            </w:r>
          </w:hyperlink>
        </w:p>
        <w:p w14:paraId="6FC57A45" w14:textId="7573B92C" w:rsidR="00F16BC1" w:rsidRDefault="00F16BC1">
          <w:pPr>
            <w:pStyle w:val="TOC1"/>
            <w:tabs>
              <w:tab w:val="right" w:leader="dot" w:pos="9350"/>
            </w:tabs>
            <w:rPr>
              <w:rFonts w:asciiTheme="minorHAnsi" w:eastAsiaTheme="minorEastAsia" w:hAnsiTheme="minorHAnsi" w:cstheme="minorBidi"/>
              <w:noProof/>
            </w:rPr>
          </w:pPr>
          <w:hyperlink w:anchor="_Toc220311110" w:history="1">
            <w:r w:rsidRPr="003845BA">
              <w:rPr>
                <w:rStyle w:val="Hyperlink"/>
                <w:noProof/>
              </w:rPr>
              <w:t>Hospital visits for self-inflicted injuries</w:t>
            </w:r>
            <w:r>
              <w:rPr>
                <w:noProof/>
                <w:webHidden/>
              </w:rPr>
              <w:tab/>
            </w:r>
            <w:r>
              <w:rPr>
                <w:noProof/>
                <w:webHidden/>
              </w:rPr>
              <w:fldChar w:fldCharType="begin"/>
            </w:r>
            <w:r>
              <w:rPr>
                <w:noProof/>
                <w:webHidden/>
              </w:rPr>
              <w:instrText xml:space="preserve"> PAGEREF _Toc220311110 \h </w:instrText>
            </w:r>
            <w:r>
              <w:rPr>
                <w:noProof/>
                <w:webHidden/>
              </w:rPr>
            </w:r>
            <w:r>
              <w:rPr>
                <w:noProof/>
                <w:webHidden/>
              </w:rPr>
              <w:fldChar w:fldCharType="separate"/>
            </w:r>
            <w:r w:rsidR="00C57AC1">
              <w:rPr>
                <w:noProof/>
                <w:webHidden/>
              </w:rPr>
              <w:t>11</w:t>
            </w:r>
            <w:r>
              <w:rPr>
                <w:noProof/>
                <w:webHidden/>
              </w:rPr>
              <w:fldChar w:fldCharType="end"/>
            </w:r>
          </w:hyperlink>
        </w:p>
        <w:p w14:paraId="05F09CD6" w14:textId="16436EB4" w:rsidR="00F16BC1" w:rsidRDefault="00F16BC1">
          <w:pPr>
            <w:pStyle w:val="TOC1"/>
            <w:tabs>
              <w:tab w:val="right" w:leader="dot" w:pos="9350"/>
            </w:tabs>
            <w:rPr>
              <w:rFonts w:asciiTheme="minorHAnsi" w:eastAsiaTheme="minorEastAsia" w:hAnsiTheme="minorHAnsi" w:cstheme="minorBidi"/>
              <w:noProof/>
            </w:rPr>
          </w:pPr>
          <w:hyperlink w:anchor="_Toc220311111" w:history="1">
            <w:r w:rsidRPr="003845BA">
              <w:rPr>
                <w:rStyle w:val="Hyperlink"/>
                <w:noProof/>
              </w:rPr>
              <w:t>Suicidal thoughts in youth and young adults</w:t>
            </w:r>
            <w:r>
              <w:rPr>
                <w:noProof/>
                <w:webHidden/>
              </w:rPr>
              <w:tab/>
            </w:r>
            <w:r>
              <w:rPr>
                <w:noProof/>
                <w:webHidden/>
              </w:rPr>
              <w:fldChar w:fldCharType="begin"/>
            </w:r>
            <w:r>
              <w:rPr>
                <w:noProof/>
                <w:webHidden/>
              </w:rPr>
              <w:instrText xml:space="preserve"> PAGEREF _Toc220311111 \h </w:instrText>
            </w:r>
            <w:r>
              <w:rPr>
                <w:noProof/>
                <w:webHidden/>
              </w:rPr>
            </w:r>
            <w:r>
              <w:rPr>
                <w:noProof/>
                <w:webHidden/>
              </w:rPr>
              <w:fldChar w:fldCharType="separate"/>
            </w:r>
            <w:r w:rsidR="00C57AC1">
              <w:rPr>
                <w:noProof/>
                <w:webHidden/>
              </w:rPr>
              <w:t>12</w:t>
            </w:r>
            <w:r>
              <w:rPr>
                <w:noProof/>
                <w:webHidden/>
              </w:rPr>
              <w:fldChar w:fldCharType="end"/>
            </w:r>
          </w:hyperlink>
        </w:p>
        <w:p w14:paraId="7ABD6347" w14:textId="7C4B041C" w:rsidR="00F16BC1" w:rsidRDefault="00F16BC1">
          <w:pPr>
            <w:pStyle w:val="TOC1"/>
            <w:tabs>
              <w:tab w:val="right" w:leader="dot" w:pos="9350"/>
            </w:tabs>
            <w:rPr>
              <w:rFonts w:asciiTheme="minorHAnsi" w:eastAsiaTheme="minorEastAsia" w:hAnsiTheme="minorHAnsi" w:cstheme="minorBidi"/>
              <w:noProof/>
            </w:rPr>
          </w:pPr>
          <w:hyperlink w:anchor="_Toc220311112" w:history="1">
            <w:r w:rsidRPr="003845BA">
              <w:rPr>
                <w:rStyle w:val="Hyperlink"/>
                <w:noProof/>
              </w:rPr>
              <w:t>Resources</w:t>
            </w:r>
            <w:r>
              <w:rPr>
                <w:noProof/>
                <w:webHidden/>
              </w:rPr>
              <w:tab/>
            </w:r>
            <w:r>
              <w:rPr>
                <w:noProof/>
                <w:webHidden/>
              </w:rPr>
              <w:fldChar w:fldCharType="begin"/>
            </w:r>
            <w:r>
              <w:rPr>
                <w:noProof/>
                <w:webHidden/>
              </w:rPr>
              <w:instrText xml:space="preserve"> PAGEREF _Toc220311112 \h </w:instrText>
            </w:r>
            <w:r>
              <w:rPr>
                <w:noProof/>
                <w:webHidden/>
              </w:rPr>
            </w:r>
            <w:r>
              <w:rPr>
                <w:noProof/>
                <w:webHidden/>
              </w:rPr>
              <w:fldChar w:fldCharType="separate"/>
            </w:r>
            <w:r w:rsidR="00C57AC1">
              <w:rPr>
                <w:noProof/>
                <w:webHidden/>
              </w:rPr>
              <w:t>14</w:t>
            </w:r>
            <w:r>
              <w:rPr>
                <w:noProof/>
                <w:webHidden/>
              </w:rPr>
              <w:fldChar w:fldCharType="end"/>
            </w:r>
          </w:hyperlink>
        </w:p>
        <w:p w14:paraId="4E969B12" w14:textId="5DC4F5A9" w:rsidR="00F16BC1" w:rsidRDefault="00F16BC1">
          <w:pPr>
            <w:pStyle w:val="TOC1"/>
            <w:tabs>
              <w:tab w:val="right" w:leader="dot" w:pos="9350"/>
            </w:tabs>
            <w:rPr>
              <w:rFonts w:asciiTheme="minorHAnsi" w:eastAsiaTheme="minorEastAsia" w:hAnsiTheme="minorHAnsi" w:cstheme="minorBidi"/>
              <w:noProof/>
            </w:rPr>
          </w:pPr>
          <w:hyperlink w:anchor="_Toc220311113" w:history="1">
            <w:r w:rsidRPr="003845BA">
              <w:rPr>
                <w:rStyle w:val="Hyperlink"/>
                <w:noProof/>
              </w:rPr>
              <w:t>Population-specific suicide prevention resources</w:t>
            </w:r>
            <w:r>
              <w:rPr>
                <w:noProof/>
                <w:webHidden/>
              </w:rPr>
              <w:tab/>
            </w:r>
            <w:r>
              <w:rPr>
                <w:noProof/>
                <w:webHidden/>
              </w:rPr>
              <w:fldChar w:fldCharType="begin"/>
            </w:r>
            <w:r>
              <w:rPr>
                <w:noProof/>
                <w:webHidden/>
              </w:rPr>
              <w:instrText xml:space="preserve"> PAGEREF _Toc220311113 \h </w:instrText>
            </w:r>
            <w:r>
              <w:rPr>
                <w:noProof/>
                <w:webHidden/>
              </w:rPr>
            </w:r>
            <w:r>
              <w:rPr>
                <w:noProof/>
                <w:webHidden/>
              </w:rPr>
              <w:fldChar w:fldCharType="separate"/>
            </w:r>
            <w:r w:rsidR="00C57AC1">
              <w:rPr>
                <w:noProof/>
                <w:webHidden/>
              </w:rPr>
              <w:t>15</w:t>
            </w:r>
            <w:r>
              <w:rPr>
                <w:noProof/>
                <w:webHidden/>
              </w:rPr>
              <w:fldChar w:fldCharType="end"/>
            </w:r>
          </w:hyperlink>
        </w:p>
        <w:p w14:paraId="02C7DA2F" w14:textId="21557853" w:rsidR="00F16BC1" w:rsidRDefault="00F16BC1">
          <w:pPr>
            <w:pStyle w:val="TOC1"/>
            <w:tabs>
              <w:tab w:val="right" w:leader="dot" w:pos="9350"/>
            </w:tabs>
            <w:rPr>
              <w:rFonts w:asciiTheme="minorHAnsi" w:eastAsiaTheme="minorEastAsia" w:hAnsiTheme="minorHAnsi" w:cstheme="minorBidi"/>
              <w:noProof/>
            </w:rPr>
          </w:pPr>
          <w:hyperlink w:anchor="_Toc220311114" w:history="1">
            <w:r w:rsidRPr="003845BA">
              <w:rPr>
                <w:rStyle w:val="Hyperlink"/>
                <w:noProof/>
              </w:rPr>
              <w:t>Methods</w:t>
            </w:r>
            <w:r>
              <w:rPr>
                <w:noProof/>
                <w:webHidden/>
              </w:rPr>
              <w:tab/>
            </w:r>
            <w:r>
              <w:rPr>
                <w:noProof/>
                <w:webHidden/>
              </w:rPr>
              <w:fldChar w:fldCharType="begin"/>
            </w:r>
            <w:r>
              <w:rPr>
                <w:noProof/>
                <w:webHidden/>
              </w:rPr>
              <w:instrText xml:space="preserve"> PAGEREF _Toc220311114 \h </w:instrText>
            </w:r>
            <w:r>
              <w:rPr>
                <w:noProof/>
                <w:webHidden/>
              </w:rPr>
            </w:r>
            <w:r>
              <w:rPr>
                <w:noProof/>
                <w:webHidden/>
              </w:rPr>
              <w:fldChar w:fldCharType="separate"/>
            </w:r>
            <w:r w:rsidR="00C57AC1">
              <w:rPr>
                <w:noProof/>
                <w:webHidden/>
              </w:rPr>
              <w:t>16</w:t>
            </w:r>
            <w:r>
              <w:rPr>
                <w:noProof/>
                <w:webHidden/>
              </w:rPr>
              <w:fldChar w:fldCharType="end"/>
            </w:r>
          </w:hyperlink>
        </w:p>
        <w:p w14:paraId="4809EBFB" w14:textId="7C9E2CF3" w:rsidR="00F16BC1" w:rsidRDefault="00F16BC1">
          <w:pPr>
            <w:pStyle w:val="TOC1"/>
            <w:tabs>
              <w:tab w:val="right" w:leader="dot" w:pos="9350"/>
            </w:tabs>
            <w:rPr>
              <w:rFonts w:asciiTheme="minorHAnsi" w:eastAsiaTheme="minorEastAsia" w:hAnsiTheme="minorHAnsi" w:cstheme="minorBidi"/>
              <w:noProof/>
            </w:rPr>
          </w:pPr>
          <w:hyperlink w:anchor="_Toc220311115" w:history="1">
            <w:r w:rsidRPr="003845BA">
              <w:rPr>
                <w:rStyle w:val="Hyperlink"/>
                <w:noProof/>
              </w:rPr>
              <w:t>Footnotes</w:t>
            </w:r>
            <w:r>
              <w:rPr>
                <w:noProof/>
                <w:webHidden/>
              </w:rPr>
              <w:tab/>
            </w:r>
            <w:r>
              <w:rPr>
                <w:noProof/>
                <w:webHidden/>
              </w:rPr>
              <w:fldChar w:fldCharType="begin"/>
            </w:r>
            <w:r>
              <w:rPr>
                <w:noProof/>
                <w:webHidden/>
              </w:rPr>
              <w:instrText xml:space="preserve"> PAGEREF _Toc220311115 \h </w:instrText>
            </w:r>
            <w:r>
              <w:rPr>
                <w:noProof/>
                <w:webHidden/>
              </w:rPr>
            </w:r>
            <w:r>
              <w:rPr>
                <w:noProof/>
                <w:webHidden/>
              </w:rPr>
              <w:fldChar w:fldCharType="separate"/>
            </w:r>
            <w:r w:rsidR="00C57AC1">
              <w:rPr>
                <w:noProof/>
                <w:webHidden/>
              </w:rPr>
              <w:t>18</w:t>
            </w:r>
            <w:r>
              <w:rPr>
                <w:noProof/>
                <w:webHidden/>
              </w:rPr>
              <w:fldChar w:fldCharType="end"/>
            </w:r>
          </w:hyperlink>
        </w:p>
        <w:p w14:paraId="79ADCDF8" w14:textId="3FAECAC9" w:rsidR="0064481C" w:rsidRDefault="0064481C">
          <w:r>
            <w:fldChar w:fldCharType="end"/>
          </w:r>
        </w:p>
      </w:sdtContent>
    </w:sdt>
    <w:p w14:paraId="61E1EA76" w14:textId="77777777" w:rsidR="0064481C" w:rsidRDefault="0064481C" w:rsidP="0064481C">
      <w:pPr>
        <w:pStyle w:val="Heading1"/>
      </w:pPr>
    </w:p>
    <w:p w14:paraId="54C0179E" w14:textId="77777777" w:rsidR="0064481C" w:rsidRDefault="0064481C" w:rsidP="0064481C"/>
    <w:p w14:paraId="6B9EC863" w14:textId="77777777" w:rsidR="0064481C" w:rsidRDefault="0064481C" w:rsidP="0064481C"/>
    <w:p w14:paraId="55CA5005" w14:textId="77777777" w:rsidR="0064481C" w:rsidRDefault="0064481C" w:rsidP="0064481C"/>
    <w:p w14:paraId="6EBCBA08" w14:textId="77777777" w:rsidR="0064481C" w:rsidRDefault="0064481C" w:rsidP="0064481C"/>
    <w:p w14:paraId="31771F48" w14:textId="77777777" w:rsidR="00254741" w:rsidRDefault="00254741" w:rsidP="0064481C"/>
    <w:p w14:paraId="246230B5" w14:textId="77777777" w:rsidR="00254741" w:rsidRPr="0064481C" w:rsidRDefault="00254741" w:rsidP="0064481C"/>
    <w:bookmarkStart w:id="0" w:name="_Toc220311104"/>
    <w:p w14:paraId="7ED13EB7" w14:textId="5656FAD7" w:rsidR="006B2A06" w:rsidRPr="00A07DEB" w:rsidRDefault="00B34A01" w:rsidP="00445914">
      <w:pPr>
        <w:pStyle w:val="Heading1"/>
      </w:pPr>
      <w:r w:rsidRPr="00A07DEB">
        <w:lastRenderedPageBreak/>
        <mc:AlternateContent>
          <mc:Choice Requires="wps">
            <w:drawing>
              <wp:anchor distT="0" distB="0" distL="0" distR="0" simplePos="0" relativeHeight="251664384" behindDoc="1" locked="0" layoutInCell="1" allowOverlap="1" wp14:anchorId="6E1D8715" wp14:editId="493D0087">
                <wp:simplePos x="0" y="0"/>
                <wp:positionH relativeFrom="margin">
                  <wp:posOffset>0</wp:posOffset>
                </wp:positionH>
                <wp:positionV relativeFrom="paragraph">
                  <wp:posOffset>310515</wp:posOffset>
                </wp:positionV>
                <wp:extent cx="5937250" cy="45085"/>
                <wp:effectExtent l="0" t="0" r="0" b="0"/>
                <wp:wrapTopAndBottom/>
                <wp:docPr id="32"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95D9B" id="Freeform 272" o:spid="_x0000_s1026" alt="&quot;&quot;" style="position:absolute;margin-left:0;margin-top:24.45pt;width:467.5pt;height:3.55pt;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rsidR="005E4C62">
        <w:t>Introduction</w:t>
      </w:r>
      <w:bookmarkEnd w:id="0"/>
    </w:p>
    <w:p w14:paraId="1FA921FE" w14:textId="014ADF13" w:rsidR="00375056" w:rsidRPr="00445914" w:rsidRDefault="0011369A" w:rsidP="00D3583A">
      <w:pPr>
        <w:spacing w:line="240" w:lineRule="auto"/>
      </w:pPr>
      <w:r w:rsidRPr="0011369A">
        <w:t xml:space="preserve">Suicide and self-inflicted injuries are a significant yet largely preventable public health problem. The purpose of this bulletin is to provide information for practitioners and prevention specialists on the magnitudes, trends, and risk factors of suicides, suicide attempts, and suicidal ideation in Massachusetts. While suicide refers to those who die by suicide, </w:t>
      </w:r>
      <w:r w:rsidR="005E4207" w:rsidRPr="005E4207">
        <w:t>suicidal attempts refer to injuries that were self-inflicted with the intent of dying by suicide</w:t>
      </w:r>
      <w:r w:rsidR="00673178">
        <w:t xml:space="preserve"> and s</w:t>
      </w:r>
      <w:r w:rsidRPr="0011369A">
        <w:t>uicidal ideation refers to those who have thoughts of suicide and may be at higher risk of dying by suicide. The Massachusetts Department of Public Health Suicide Prevention Program works in collaboration with multiple state, national, and local partners to reduce these deaths and injuries.</w:t>
      </w:r>
    </w:p>
    <w:bookmarkStart w:id="1" w:name="_Toc220311105"/>
    <w:p w14:paraId="02200E5A" w14:textId="50E0FAC2" w:rsidR="000F0BEB" w:rsidRDefault="000F0BEB" w:rsidP="00445914">
      <w:pPr>
        <w:pStyle w:val="Heading1"/>
      </w:pPr>
      <w:r w:rsidRPr="00D071C6">
        <mc:AlternateContent>
          <mc:Choice Requires="wps">
            <w:drawing>
              <wp:anchor distT="0" distB="0" distL="0" distR="0" simplePos="0" relativeHeight="251666432" behindDoc="1" locked="0" layoutInCell="1" allowOverlap="1" wp14:anchorId="3A46A095" wp14:editId="444A06B8">
                <wp:simplePos x="0" y="0"/>
                <wp:positionH relativeFrom="margin">
                  <wp:posOffset>0</wp:posOffset>
                </wp:positionH>
                <wp:positionV relativeFrom="paragraph">
                  <wp:posOffset>304800</wp:posOffset>
                </wp:positionV>
                <wp:extent cx="5937250" cy="45085"/>
                <wp:effectExtent l="0" t="0" r="0" b="0"/>
                <wp:wrapTopAndBottom/>
                <wp:docPr id="1"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24051" id="Freeform 272" o:spid="_x0000_s1026" alt="&quot;&quot;" style="position:absolute;margin-left:0;margin-top:24pt;width:467.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MaPwnfbAAAABgEAAA8AAABkcnMvZG93bnJldi54bWxMj0FPwzAM&#10;he9I/IfIk7ixdGNFa2k6FSRuILQN7l6TtdUap2q8rfx7zAlOftaz3vtcbCbfq4sbYxfIwGKegHJU&#10;B9tRY+Bz/3q/BhUZyWIfyBn4dhE25e1NgbkNV9q6y44bJSEUczTQMg+51rFuncc4D4Mj8Y5h9Miy&#10;jo22I14l3Pd6mSSP2mNH0tDi4F5aV592Z2/Ad7g8cTWMMUtXX88fbxlX+3dj7mZT9QSK3cR/x/CL&#10;L+hQCtMhnMlG1RuQR9jAai1T3OwhFXEwkKYL0GWh/+OXPwAAAP//AwBQSwECLQAUAAYACAAAACEA&#10;toM4kv4AAADhAQAAEwAAAAAAAAAAAAAAAAAAAAAAW0NvbnRlbnRfVHlwZXNdLnhtbFBLAQItABQA&#10;BgAIAAAAIQA4/SH/1gAAAJQBAAALAAAAAAAAAAAAAAAAAC8BAABfcmVscy8ucmVsc1BLAQItABQA&#10;BgAIAAAAIQA/egJSkQIAAIIFAAAOAAAAAAAAAAAAAAAAAC4CAABkcnMvZTJvRG9jLnhtbFBLAQIt&#10;ABQABgAIAAAAIQDGj8J3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rsidR="0011369A">
        <w:t xml:space="preserve">Overall </w:t>
      </w:r>
      <w:r w:rsidR="006F2DF7">
        <w:t>s</w:t>
      </w:r>
      <w:r w:rsidR="0011369A">
        <w:t xml:space="preserve">uicide </w:t>
      </w:r>
      <w:r w:rsidR="006F2DF7">
        <w:t>c</w:t>
      </w:r>
      <w:r w:rsidR="0011369A">
        <w:t xml:space="preserve">ounts and </w:t>
      </w:r>
      <w:r w:rsidR="006F2DF7">
        <w:t>r</w:t>
      </w:r>
      <w:r w:rsidR="0011369A">
        <w:t>ates</w:t>
      </w:r>
      <w:bookmarkEnd w:id="1"/>
    </w:p>
    <w:p w14:paraId="6529FE9A" w14:textId="1DC65D56" w:rsidR="00457745" w:rsidRDefault="00457745" w:rsidP="00D3583A">
      <w:pPr>
        <w:pStyle w:val="Heading2"/>
        <w:spacing w:after="0"/>
      </w:pPr>
      <w:r>
        <w:t>Number and trends of suicide deaths in MA</w:t>
      </w:r>
    </w:p>
    <w:p w14:paraId="36E69C58" w14:textId="705E1A75" w:rsidR="00205363" w:rsidRDefault="005941B9" w:rsidP="00210AEA">
      <w:pPr>
        <w:keepNext/>
        <w:spacing w:after="0"/>
      </w:pPr>
      <w:r>
        <w:rPr>
          <w:rFonts w:ascii="Arial" w:hAnsi="Arial"/>
          <w:noProof/>
          <w:sz w:val="20"/>
          <w:szCs w:val="20"/>
        </w:rPr>
        <w:drawing>
          <wp:inline distT="0" distB="0" distL="0" distR="0" wp14:anchorId="12C8209B" wp14:editId="31C515CF">
            <wp:extent cx="5943600" cy="2724150"/>
            <wp:effectExtent l="0" t="0" r="0" b="0"/>
            <wp:docPr id="1384649654" name="Chart 13846496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BC22D9" w14:textId="7B57BF98" w:rsidR="00375056" w:rsidRPr="002C3FF2" w:rsidRDefault="00205363" w:rsidP="008C2B53">
      <w:pPr>
        <w:pStyle w:val="Caption"/>
        <w:rPr>
          <w:rFonts w:eastAsia="Avenir Next LT Pro" w:cs="Avenir Next LT Pro"/>
          <w:b/>
          <w:bCs/>
          <w:color w:val="005994"/>
          <w:sz w:val="40"/>
          <w:szCs w:val="40"/>
        </w:rPr>
      </w:pPr>
      <w:r w:rsidRPr="002C3FF2">
        <w:rPr>
          <w:sz w:val="24"/>
          <w:szCs w:val="24"/>
        </w:rPr>
        <w:t>Source: MA Violent Death Reporting System, MA Department of Public Health</w:t>
      </w:r>
      <w:r w:rsidR="00457745">
        <w:rPr>
          <w:sz w:val="24"/>
          <w:szCs w:val="24"/>
        </w:rPr>
        <w:t>; Fatality Analysis and Reporting System (FARS), National Highway Traffic Safety Administration</w:t>
      </w:r>
    </w:p>
    <w:p w14:paraId="03C4D57D" w14:textId="77777777" w:rsidR="00D624C0" w:rsidRPr="00254741" w:rsidRDefault="008C2B53" w:rsidP="00D624C0">
      <w:pPr>
        <w:spacing w:before="0" w:after="0" w:line="240" w:lineRule="auto"/>
        <w:rPr>
          <w:vertAlign w:val="superscript"/>
        </w:rPr>
      </w:pPr>
      <w:r w:rsidRPr="00D8227D">
        <w:t xml:space="preserve">In </w:t>
      </w:r>
      <w:r w:rsidRPr="00254741">
        <w:t>2023, 647 suicides occurred in Massachusetts.</w:t>
      </w:r>
      <w:r w:rsidR="00D624C0" w:rsidRPr="00254741">
        <w:t xml:space="preserve"> </w:t>
      </w:r>
      <w:r w:rsidRPr="00254741">
        <w:t>The number of suicides was nearly two times higher than the number of motor vehicle-related deaths (n=343) and nearly four times higher than homicides (n=173).</w:t>
      </w:r>
      <w:r w:rsidR="00D624C0" w:rsidRPr="00254741">
        <w:t xml:space="preserve"> </w:t>
      </w:r>
      <w:r w:rsidRPr="00254741">
        <w:t>Massachusetts has a lower rate of suicides compared to the rest of the U.S. In 2023, the age-adjusted rate for the U.S. was 14.1/100,000 persons compared to 8.6/100,000 persons for MA.</w:t>
      </w:r>
      <w:r w:rsidRPr="00254741">
        <w:rPr>
          <w:vertAlign w:val="superscript"/>
        </w:rPr>
        <w:t>1</w:t>
      </w:r>
      <w:r w:rsidR="00D624C0" w:rsidRPr="00254741">
        <w:rPr>
          <w:vertAlign w:val="superscript"/>
        </w:rPr>
        <w:t xml:space="preserve"> </w:t>
      </w:r>
    </w:p>
    <w:p w14:paraId="4FBD4007" w14:textId="77777777" w:rsidR="00D624C0" w:rsidRDefault="00D624C0" w:rsidP="00D624C0">
      <w:pPr>
        <w:spacing w:before="0" w:after="0" w:line="240" w:lineRule="auto"/>
        <w:rPr>
          <w:vertAlign w:val="superscript"/>
        </w:rPr>
      </w:pPr>
    </w:p>
    <w:p w14:paraId="5656ED7C" w14:textId="313EC2A0" w:rsidR="008C2B53" w:rsidRPr="00D8227D" w:rsidRDefault="008C2B53" w:rsidP="00D624C0">
      <w:pPr>
        <w:spacing w:before="0" w:after="0" w:line="240" w:lineRule="auto"/>
      </w:pPr>
      <w:r w:rsidRPr="00D8227D">
        <w:t xml:space="preserve">While MA has seen a recent downward trend in suicide rates over the past 7 years (-1.9% annual percent change from 2017 to 2023), the suicide rate is 5.7% higher in </w:t>
      </w:r>
      <w:r w:rsidRPr="00D8227D">
        <w:lastRenderedPageBreak/>
        <w:t>2023 than it was in 2013. This increase was slower than the U.S. suicide rates, which increased 13.1% between 2013 and 2023.</w:t>
      </w:r>
      <w:r w:rsidRPr="00D624C0">
        <w:rPr>
          <w:vertAlign w:val="superscript"/>
        </w:rPr>
        <w:t>1</w:t>
      </w:r>
    </w:p>
    <w:p w14:paraId="4B5AA4C3" w14:textId="3504515D" w:rsidR="008A63A3" w:rsidRDefault="008A63A3" w:rsidP="00F4288A">
      <w:pPr>
        <w:pStyle w:val="Heading2"/>
        <w:spacing w:after="0"/>
      </w:pPr>
      <w:r>
        <w:t>Suicide trends by sex in MA</w:t>
      </w:r>
      <w:r w:rsidRPr="0F3A6C1F">
        <w:t xml:space="preserve"> </w:t>
      </w:r>
    </w:p>
    <w:p w14:paraId="2F8D71F0" w14:textId="77777777" w:rsidR="007450AA" w:rsidRDefault="008E7FA3" w:rsidP="007450AA">
      <w:pPr>
        <w:keepNext/>
        <w:spacing w:after="0"/>
      </w:pPr>
      <w:r>
        <w:rPr>
          <w:rFonts w:ascii="Arial" w:hAnsi="Arial"/>
          <w:noProof/>
          <w:sz w:val="20"/>
          <w:szCs w:val="20"/>
        </w:rPr>
        <w:drawing>
          <wp:inline distT="0" distB="0" distL="0" distR="0" wp14:anchorId="26BB5826" wp14:editId="7F52DB61">
            <wp:extent cx="5975350" cy="2276475"/>
            <wp:effectExtent l="0" t="0" r="6350" b="9525"/>
            <wp:docPr id="1545664678" name="Chart 15456646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4AE8CD" w14:textId="784C5876" w:rsidR="00B4181E" w:rsidRPr="00B4181E" w:rsidRDefault="007450AA" w:rsidP="00B4181E">
      <w:pPr>
        <w:pStyle w:val="Caption"/>
        <w:rPr>
          <w:sz w:val="24"/>
          <w:szCs w:val="24"/>
        </w:rPr>
      </w:pPr>
      <w:r w:rsidRPr="007450AA">
        <w:rPr>
          <w:sz w:val="24"/>
          <w:szCs w:val="24"/>
        </w:rPr>
        <w:t>Source: MA Violent Death Reporting System, MA Department of Public Health</w:t>
      </w:r>
    </w:p>
    <w:p w14:paraId="5FAD0FE1" w14:textId="32A40ACB" w:rsidR="00E371C0" w:rsidRDefault="00B4181E" w:rsidP="00112F4A">
      <w:pPr>
        <w:spacing w:before="0" w:after="0" w:line="240" w:lineRule="auto"/>
      </w:pPr>
      <w:r w:rsidRPr="00D8227D">
        <w:t xml:space="preserve">There were </w:t>
      </w:r>
      <w:r w:rsidRPr="00254741">
        <w:t xml:space="preserve">3.1 times more male suicides than female suicides </w:t>
      </w:r>
      <w:r w:rsidRPr="00D8227D">
        <w:t>in 2023: 488 male deaths (14.3/100,000 persons) compared to 159 female deaths (4.4/100,000 persons).</w:t>
      </w:r>
      <w:r w:rsidR="00D624C0">
        <w:t xml:space="preserve"> </w:t>
      </w:r>
      <w:r w:rsidRPr="00D8227D">
        <w:t>Males made up the majority (75.4%) of suicides in MA in 2023. From 2013 to 2023, the suicide rate increased 9.9% for males and decreased 2.2% for females.</w:t>
      </w:r>
    </w:p>
    <w:p w14:paraId="0292E5D1" w14:textId="4F3801BB" w:rsidR="00EC0E1D" w:rsidRPr="00EC0E1D" w:rsidRDefault="0072383F" w:rsidP="00EC0E1D">
      <w:pPr>
        <w:pStyle w:val="Heading1"/>
      </w:pPr>
      <w:bookmarkStart w:id="2" w:name="_Toc220311106"/>
      <w:r>
        <w:t xml:space="preserve">Suicides by </w:t>
      </w:r>
      <w:r w:rsidR="00B75EEA">
        <w:t>s</w:t>
      </w:r>
      <w:r>
        <w:t xml:space="preserve">ex, </w:t>
      </w:r>
      <w:r w:rsidR="00B75EEA">
        <w:t>a</w:t>
      </w:r>
      <w:r>
        <w:t xml:space="preserve">ge </w:t>
      </w:r>
      <w:r w:rsidR="00B75EEA">
        <w:t>g</w:t>
      </w:r>
      <w:r>
        <w:t>roup</w:t>
      </w:r>
      <w:r w:rsidR="002E3B42">
        <w:t>,</w:t>
      </w:r>
      <w:r>
        <w:t xml:space="preserve"> and </w:t>
      </w:r>
      <w:r w:rsidR="00B75EEA">
        <w:t>r</w:t>
      </w:r>
      <w:r>
        <w:t>ace</w:t>
      </w:r>
      <w:r w:rsidR="00B75EEA">
        <w:t xml:space="preserve"> and e</w:t>
      </w:r>
      <w:r w:rsidR="002D07E2">
        <w:t>thnicity</w:t>
      </w:r>
      <w:bookmarkEnd w:id="2"/>
      <w:r w:rsidR="00EC0E1D" w:rsidRPr="00D071C6">
        <mc:AlternateContent>
          <mc:Choice Requires="wps">
            <w:drawing>
              <wp:anchor distT="0" distB="0" distL="0" distR="0" simplePos="0" relativeHeight="251716608" behindDoc="1" locked="0" layoutInCell="1" allowOverlap="1" wp14:anchorId="561C60A5" wp14:editId="19B46F10">
                <wp:simplePos x="0" y="0"/>
                <wp:positionH relativeFrom="margin">
                  <wp:posOffset>0</wp:posOffset>
                </wp:positionH>
                <wp:positionV relativeFrom="paragraph">
                  <wp:posOffset>532765</wp:posOffset>
                </wp:positionV>
                <wp:extent cx="5937250" cy="45085"/>
                <wp:effectExtent l="0" t="0" r="0" b="0"/>
                <wp:wrapTopAndBottom/>
                <wp:docPr id="2"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F473D" id="Freeform 272" o:spid="_x0000_s1026" alt="&quot;&quot;" style="position:absolute;margin-left:0;margin-top:41.95pt;width:467.5pt;height:3.55pt;z-index:-2515998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HIZAFbaAAAABgEAAA8AAABkcnMvZG93bnJldi54bWxMj0FPwzAM&#10;he9I/IfISNxYuo2htTSdChI3ENoGd68xbbXGqZJsK/8ec4Kbn5/13udyM7lBnSnE3rOB+SwDRdx4&#10;23Nr4GP/crcGFROyxcEzGfimCJvq+qrEwvoLb+m8S62SEI4FGuhSGgutY9ORwzjzI7F4Xz44TCJD&#10;q23Ai4S7QS+y7EE77FkaOhzpuaPmuDs5A67HxTHVY4j56v7z6f01T/X+zZjbm6l+BJVoSn/H8Isv&#10;6FAJ08Gf2EY1GJBHkoH1Mgclbr5cyeIgwzwDXZX6P371AwAA//8DAFBLAQItABQABgAIAAAAIQC2&#10;gziS/gAAAOEBAAATAAAAAAAAAAAAAAAAAAAAAABbQ29udGVudF9UeXBlc10ueG1sUEsBAi0AFAAG&#10;AAgAAAAhADj9If/WAAAAlAEAAAsAAAAAAAAAAAAAAAAALwEAAF9yZWxzLy5yZWxzUEsBAi0AFAAG&#10;AAgAAAAhAD96AlKRAgAAggUAAA4AAAAAAAAAAAAAAAAALgIAAGRycy9lMm9Eb2MueG1sUEsBAi0A&#10;FAAGAAgAAAAhAHIZAFbaAAAABgEAAA8AAAAAAAAAAAAAAAAA6wQAAGRycy9kb3ducmV2LnhtbFBL&#10;BQYAAAAABAAEAPMAAADyBQAAAAA=&#10;" path="m,l10800,e" filled="f" strokecolor="#005994" strokeweight="2pt">
                <v:path arrowok="t" o:connecttype="custom" o:connectlocs="0,0;5937250,0" o:connectangles="0,0"/>
                <w10:wrap type="topAndBottom" anchorx="margin"/>
              </v:shape>
            </w:pict>
          </mc:Fallback>
        </mc:AlternateContent>
      </w:r>
    </w:p>
    <w:p w14:paraId="179DC4D9" w14:textId="5A5A3F94" w:rsidR="009B0771" w:rsidRDefault="00A062FC" w:rsidP="00B70D62">
      <w:pPr>
        <w:pStyle w:val="Heading2"/>
        <w:spacing w:after="0"/>
      </w:pPr>
      <w:r>
        <w:rPr>
          <w:rFonts w:ascii="Arial" w:hAnsi="Arial"/>
          <w:noProof/>
          <w:sz w:val="20"/>
          <w:szCs w:val="20"/>
        </w:rPr>
        <w:drawing>
          <wp:anchor distT="0" distB="0" distL="114300" distR="114300" simplePos="0" relativeHeight="251669504" behindDoc="1" locked="0" layoutInCell="1" allowOverlap="1" wp14:anchorId="58F26664" wp14:editId="07BC8F63">
            <wp:simplePos x="0" y="0"/>
            <wp:positionH relativeFrom="column">
              <wp:posOffset>0</wp:posOffset>
            </wp:positionH>
            <wp:positionV relativeFrom="paragraph">
              <wp:posOffset>200025</wp:posOffset>
            </wp:positionV>
            <wp:extent cx="3457575" cy="2333625"/>
            <wp:effectExtent l="0" t="0" r="9525" b="9525"/>
            <wp:wrapSquare wrapText="bothSides"/>
            <wp:docPr id="24" name="Chart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9B0771">
        <w:t>Suicide</w:t>
      </w:r>
      <w:r w:rsidR="00EB031B">
        <w:t xml:space="preserve">s by </w:t>
      </w:r>
      <w:r w:rsidR="00B75EEA">
        <w:t>a</w:t>
      </w:r>
      <w:r w:rsidR="00EB031B">
        <w:t xml:space="preserve">ge </w:t>
      </w:r>
      <w:r w:rsidR="00B75EEA">
        <w:t>g</w:t>
      </w:r>
      <w:r w:rsidR="00EB031B">
        <w:t>roup</w:t>
      </w:r>
    </w:p>
    <w:p w14:paraId="0DCC79E3" w14:textId="77777777" w:rsidR="00C17F76" w:rsidRDefault="00C17F76" w:rsidP="00C17F76">
      <w:pPr>
        <w:pStyle w:val="ListParagraph"/>
        <w:spacing w:before="0" w:after="0" w:line="240" w:lineRule="auto"/>
        <w:ind w:left="360"/>
        <w:contextualSpacing w:val="0"/>
      </w:pPr>
    </w:p>
    <w:p w14:paraId="7CA07ED6" w14:textId="69AC3079" w:rsidR="0081609A" w:rsidRPr="006C063C" w:rsidRDefault="0081609A" w:rsidP="00C17F76">
      <w:pPr>
        <w:pStyle w:val="ListParagraph"/>
        <w:spacing w:before="0" w:after="0" w:line="240" w:lineRule="auto"/>
        <w:ind w:left="360"/>
        <w:contextualSpacing w:val="0"/>
      </w:pPr>
      <w:r w:rsidRPr="006C063C">
        <w:t>Most suicides that occurred in 2023 were among individuals aged 45-64 years (n=243, 38.8%). Between 2013 and 2020, the rate of suicides in this age group increased by 1%. However, from 2021 to 2023, the rate of suicides for this age group increased by 34%.</w:t>
      </w:r>
    </w:p>
    <w:p w14:paraId="60863DB1" w14:textId="51C48A12" w:rsidR="0022033C" w:rsidRDefault="0022033C" w:rsidP="0022033C">
      <w:pPr>
        <w:pStyle w:val="ListParagraph"/>
        <w:spacing w:before="0" w:after="0" w:line="240" w:lineRule="auto"/>
      </w:pPr>
    </w:p>
    <w:p w14:paraId="308CCBA1" w14:textId="77777777" w:rsidR="001978BE" w:rsidRPr="00B70D62" w:rsidRDefault="001978BE" w:rsidP="0022033C">
      <w:pPr>
        <w:pStyle w:val="ListParagraph"/>
        <w:spacing w:before="0" w:after="0" w:line="240" w:lineRule="auto"/>
        <w:rPr>
          <w:sz w:val="16"/>
          <w:szCs w:val="16"/>
        </w:rPr>
      </w:pPr>
    </w:p>
    <w:p w14:paraId="713DA24D" w14:textId="77777777" w:rsidR="00D028CB" w:rsidRDefault="00D028CB" w:rsidP="008A63A3">
      <w:pPr>
        <w:spacing w:before="0" w:after="0" w:line="240" w:lineRule="auto"/>
      </w:pPr>
    </w:p>
    <w:p w14:paraId="3599BC4B" w14:textId="77777777" w:rsidR="00466B81" w:rsidRDefault="00466B81" w:rsidP="008A63A3">
      <w:pPr>
        <w:spacing w:before="0" w:after="0" w:line="240" w:lineRule="auto"/>
      </w:pPr>
    </w:p>
    <w:p w14:paraId="5C4B7C3D" w14:textId="611F5957" w:rsidR="00466B81" w:rsidRDefault="00466B81" w:rsidP="008A63A3">
      <w:pPr>
        <w:spacing w:before="0" w:after="0" w:line="240" w:lineRule="auto"/>
      </w:pPr>
      <w:r>
        <w:rPr>
          <w:noProof/>
        </w:rPr>
        <w:lastRenderedPageBreak/>
        <w:drawing>
          <wp:anchor distT="0" distB="0" distL="114300" distR="114300" simplePos="0" relativeHeight="251670528" behindDoc="1" locked="0" layoutInCell="1" allowOverlap="1" wp14:anchorId="56C3976C" wp14:editId="4395DF9C">
            <wp:simplePos x="0" y="0"/>
            <wp:positionH relativeFrom="column">
              <wp:posOffset>2533650</wp:posOffset>
            </wp:positionH>
            <wp:positionV relativeFrom="paragraph">
              <wp:posOffset>60960</wp:posOffset>
            </wp:positionV>
            <wp:extent cx="3648075" cy="2305050"/>
            <wp:effectExtent l="0" t="0" r="9525" b="0"/>
            <wp:wrapSquare wrapText="bothSides"/>
            <wp:docPr id="26" name="Chart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282AB835" w14:textId="539047CD" w:rsidR="00B40EB8" w:rsidRDefault="00B51921" w:rsidP="008A63A3">
      <w:pPr>
        <w:spacing w:before="0" w:after="0" w:line="240" w:lineRule="auto"/>
      </w:pPr>
      <w:r w:rsidRPr="006C063C">
        <w:t>The highest male suicide rate was among individuals aged 85 years or older (28.6/100,000 persons, n=1</w:t>
      </w:r>
      <w:r w:rsidR="00B04B19">
        <w:t>4</w:t>
      </w:r>
      <w:r w:rsidRPr="006C063C">
        <w:t>) and those aged 55-64 (23.7/100,000 persons, n=109).</w:t>
      </w:r>
      <w:r w:rsidRPr="00C17F76">
        <w:rPr>
          <w:vertAlign w:val="superscript"/>
        </w:rPr>
        <w:t>2</w:t>
      </w:r>
      <w:r w:rsidR="00C17F76">
        <w:t xml:space="preserve"> </w:t>
      </w:r>
      <w:r w:rsidRPr="006C063C">
        <w:t>The highest female suicide rate was among individuals aged 55-64 years (7.4/100,000 persons, n=36) and those aged 45-54 (6.0/100,000 persons, n=26).</w:t>
      </w:r>
    </w:p>
    <w:p w14:paraId="0BCFBC3F" w14:textId="77777777" w:rsidR="00D028CB" w:rsidRDefault="00D028CB" w:rsidP="008A63A3">
      <w:pPr>
        <w:spacing w:before="0" w:after="0" w:line="240" w:lineRule="auto"/>
      </w:pPr>
    </w:p>
    <w:p w14:paraId="2347B2C1" w14:textId="2FCD7A76" w:rsidR="00D028CB" w:rsidRDefault="00D028CB" w:rsidP="008A63A3">
      <w:pPr>
        <w:spacing w:before="0" w:after="0" w:line="240" w:lineRule="auto"/>
      </w:pPr>
    </w:p>
    <w:p w14:paraId="16ECF364" w14:textId="78DFD276" w:rsidR="00D028CB" w:rsidRDefault="00466B81" w:rsidP="008A63A3">
      <w:pPr>
        <w:spacing w:before="0" w:after="0" w:line="240" w:lineRule="auto"/>
      </w:pPr>
      <w:r>
        <w:rPr>
          <w:noProof/>
        </w:rPr>
        <mc:AlternateContent>
          <mc:Choice Requires="wps">
            <w:drawing>
              <wp:anchor distT="0" distB="0" distL="114300" distR="114300" simplePos="0" relativeHeight="251699200" behindDoc="0" locked="0" layoutInCell="1" allowOverlap="1" wp14:anchorId="10924314" wp14:editId="294B9ADD">
                <wp:simplePos x="0" y="0"/>
                <wp:positionH relativeFrom="column">
                  <wp:posOffset>3848100</wp:posOffset>
                </wp:positionH>
                <wp:positionV relativeFrom="paragraph">
                  <wp:posOffset>10795</wp:posOffset>
                </wp:positionV>
                <wp:extent cx="2286000" cy="381000"/>
                <wp:effectExtent l="0" t="0" r="0" b="0"/>
                <wp:wrapSquare wrapText="bothSides"/>
                <wp:docPr id="1790027583" name="Text Box 1"/>
                <wp:cNvGraphicFramePr/>
                <a:graphic xmlns:a="http://schemas.openxmlformats.org/drawingml/2006/main">
                  <a:graphicData uri="http://schemas.microsoft.com/office/word/2010/wordprocessingShape">
                    <wps:wsp>
                      <wps:cNvSpPr txBox="1"/>
                      <wps:spPr>
                        <a:xfrm>
                          <a:off x="0" y="0"/>
                          <a:ext cx="2286000" cy="381000"/>
                        </a:xfrm>
                        <a:prstGeom prst="rect">
                          <a:avLst/>
                        </a:prstGeom>
                        <a:solidFill>
                          <a:prstClr val="white"/>
                        </a:solidFill>
                        <a:ln>
                          <a:noFill/>
                        </a:ln>
                      </wps:spPr>
                      <wps:txbx>
                        <w:txbxContent>
                          <w:p w14:paraId="39A772E3" w14:textId="68CF0D5C" w:rsidR="00B808CC" w:rsidRPr="003A32D9" w:rsidRDefault="00B808CC" w:rsidP="00D028CB">
                            <w:pPr>
                              <w:pStyle w:val="Caption"/>
                              <w:spacing w:after="0"/>
                              <w:jc w:val="right"/>
                              <w:rPr>
                                <w:sz w:val="24"/>
                                <w:szCs w:val="24"/>
                              </w:rPr>
                            </w:pPr>
                            <w:r w:rsidRPr="003A32D9">
                              <w:rPr>
                                <w:sz w:val="24"/>
                                <w:szCs w:val="24"/>
                              </w:rPr>
                              <w:t xml:space="preserve">*Rates are not calculated on counts less than </w:t>
                            </w:r>
                            <w:r w:rsidR="003A32D9" w:rsidRPr="003A32D9">
                              <w:rPr>
                                <w:sz w:val="24"/>
                                <w:szCs w:val="24"/>
                              </w:rPr>
                              <w:t>six.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24314" id="_x0000_t202" coordsize="21600,21600" o:spt="202" path="m,l,21600r21600,l21600,xe">
                <v:stroke joinstyle="miter"/>
                <v:path gradientshapeok="t" o:connecttype="rect"/>
              </v:shapetype>
              <v:shape id="Text Box 1" o:spid="_x0000_s1026" type="#_x0000_t202" style="position:absolute;margin-left:303pt;margin-top:.85pt;width:18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WTFQIAADsEAAAOAAAAZHJzL2Uyb0RvYy54bWysU01v2zAMvQ/YfxB0X+xkQBEEcYosRYYB&#10;QVsgLXpWZCkWIIsapcTOfv0ofyRbt9Owi0yTFKn3Hrm8b2vLzgqDAVfw6STnTDkJpXHHgr++bD/N&#10;OQtRuFJYcKrgFxX4/erjh2XjF2oGFdhSIaMiLiwaX/AqRr/IsiArVYswAa8cBTVgLSL94jErUTRU&#10;vbbZLM/vsgaw9AhShUDehz7IV119rZWMT1oHFZktOL0tdid25yGd2WopFkcUvjJyeIb4h1fUwjhq&#10;ei31IKJgJzR/lKqNRAig40RCnYHWRqoOA6GZ5u/Q7CvhVYeFyAn+SlP4f2Xl43nvn5HF9gu0JGAi&#10;pPFhEciZ8LQa6/SllzKKE4WXK22qjUySczab3+U5hSTFPs+nyaYy2e22xxC/KqhZMgqOJEvHljjv&#10;QuxTx5TULIA15dZYm35SYGORnQVJ2FQmqqH4b1nWpVwH6VZfMHmyG5RkxfbQDvgOUF4INkI/EcHL&#10;raFGOxHis0AaAYJDYx2f6NAWmoLDYHFWAf74mz/lkzIU5ayhkSp4+H4SqDiz3xxpluZvNHA0DqPh&#10;TvUGCOKUFsbLzqQLGO1oaoT6jaZ9nbpQSDhJvQoeR3MT+8GmbZFqve6SaMq8iDu39zKVHgl9ad8E&#10;+kGOSEI+wjhsYvFOlT63p3d9iqBNJ1kitGdx4JkmtBN92Ka0Ar/+d1m3nV/9BAAA//8DAFBLAwQU&#10;AAYACAAAACEAsmTFsNoAAAAIAQAADwAAAGRycy9kb3ducmV2LnhtbEyPsU7DQBBEeyT+4bRINIic&#10;SWHA8TmCBDooEqLUG9/GtvDtWb5z7Pw9m4qUs280O5MvJ9eqE/Wh8WzgaZaAIi69bbgysPv5fHwB&#10;FSKyxdYzGThTgGVxe5NjZv3IGzptY6UkhEOGBuoYu0zrUNbkMMx8Ryzs6HuHUWRfadvjKOGu1fMk&#10;SbXDhuVDjR2taip/t4MzkK77Ydzw6mG9+/jC766a79/Pe2Pu76a3BahIU/w3w6W+VIdCOh38wDao&#10;VjKSVLZEAc+ghL+mF30QIAdd5Pp6QPEHAAD//wMAUEsBAi0AFAAGAAgAAAAhALaDOJL+AAAA4QEA&#10;ABMAAAAAAAAAAAAAAAAAAAAAAFtDb250ZW50X1R5cGVzXS54bWxQSwECLQAUAAYACAAAACEAOP0h&#10;/9YAAACUAQAACwAAAAAAAAAAAAAAAAAvAQAAX3JlbHMvLnJlbHNQSwECLQAUAAYACAAAACEA81yF&#10;kxUCAAA7BAAADgAAAAAAAAAAAAAAAAAuAgAAZHJzL2Uyb0RvYy54bWxQSwECLQAUAAYACAAAACEA&#10;smTFsNoAAAAIAQAADwAAAAAAAAAAAAAAAABvBAAAZHJzL2Rvd25yZXYueG1sUEsFBgAAAAAEAAQA&#10;8wAAAHYFAAAAAA==&#10;" stroked="f">
                <v:textbox inset="0,0,0,0">
                  <w:txbxContent>
                    <w:p w14:paraId="39A772E3" w14:textId="68CF0D5C" w:rsidR="00B808CC" w:rsidRPr="003A32D9" w:rsidRDefault="00B808CC" w:rsidP="00D028CB">
                      <w:pPr>
                        <w:pStyle w:val="Caption"/>
                        <w:spacing w:after="0"/>
                        <w:jc w:val="right"/>
                        <w:rPr>
                          <w:sz w:val="24"/>
                          <w:szCs w:val="24"/>
                        </w:rPr>
                      </w:pPr>
                      <w:r w:rsidRPr="003A32D9">
                        <w:rPr>
                          <w:sz w:val="24"/>
                          <w:szCs w:val="24"/>
                        </w:rPr>
                        <w:t xml:space="preserve">*Rates are not calculated on counts less than </w:t>
                      </w:r>
                      <w:r w:rsidR="003A32D9" w:rsidRPr="003A32D9">
                        <w:rPr>
                          <w:sz w:val="24"/>
                          <w:szCs w:val="24"/>
                        </w:rPr>
                        <w:t>six.</w:t>
                      </w:r>
                    </w:p>
                  </w:txbxContent>
                </v:textbox>
                <w10:wrap type="square"/>
              </v:shape>
            </w:pict>
          </mc:Fallback>
        </mc:AlternateContent>
      </w:r>
    </w:p>
    <w:p w14:paraId="53564D5B" w14:textId="7C50685B" w:rsidR="008A63A3" w:rsidRPr="00ED1A5B" w:rsidRDefault="008A63A3" w:rsidP="000A6551">
      <w:pPr>
        <w:pStyle w:val="Heading2"/>
        <w:spacing w:after="0"/>
      </w:pPr>
      <w:r>
        <w:t>Suicides by sex and race/ethnicity</w:t>
      </w:r>
    </w:p>
    <w:p w14:paraId="38567878" w14:textId="77777777" w:rsidR="00E51ACD" w:rsidRDefault="006E456C" w:rsidP="000A6551">
      <w:pPr>
        <w:keepNext/>
        <w:spacing w:before="0" w:after="0"/>
      </w:pPr>
      <w:r>
        <w:rPr>
          <w:rFonts w:ascii="Arial" w:hAnsi="Arial"/>
          <w:noProof/>
          <w:sz w:val="20"/>
          <w:szCs w:val="20"/>
        </w:rPr>
        <w:drawing>
          <wp:inline distT="0" distB="0" distL="0" distR="0" wp14:anchorId="5B94EBF1" wp14:editId="7BDE9C69">
            <wp:extent cx="6181725" cy="2209800"/>
            <wp:effectExtent l="0" t="0" r="9525" b="0"/>
            <wp:docPr id="22" name="Chart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BE1CCB" w14:textId="20B36CE4" w:rsidR="00E74955" w:rsidRPr="002E3B42" w:rsidRDefault="00E51ACD" w:rsidP="002E3B42">
      <w:pPr>
        <w:pStyle w:val="Caption"/>
        <w:spacing w:after="0"/>
        <w:rPr>
          <w:sz w:val="24"/>
          <w:szCs w:val="24"/>
        </w:rPr>
      </w:pPr>
      <w:r w:rsidRPr="002E3B42">
        <w:rPr>
          <w:sz w:val="24"/>
          <w:szCs w:val="24"/>
        </w:rPr>
        <w:t>Source: MA Violent Death Reporting System, MA Department of Public Health</w:t>
      </w:r>
      <w:r w:rsidR="00E74955" w:rsidRPr="002E3B42">
        <w:rPr>
          <w:sz w:val="24"/>
          <w:szCs w:val="24"/>
        </w:rPr>
        <w:t xml:space="preserve"> </w:t>
      </w:r>
    </w:p>
    <w:p w14:paraId="0D700791" w14:textId="73FC4B74" w:rsidR="005B510C" w:rsidRPr="002E3B42" w:rsidRDefault="00E74955" w:rsidP="002E3B42">
      <w:pPr>
        <w:pStyle w:val="Caption"/>
        <w:spacing w:after="0"/>
        <w:rPr>
          <w:sz w:val="24"/>
          <w:szCs w:val="24"/>
        </w:rPr>
      </w:pPr>
      <w:r w:rsidRPr="002E3B42">
        <w:rPr>
          <w:sz w:val="24"/>
          <w:szCs w:val="24"/>
        </w:rPr>
        <w:t>*NH=non-Hispanic; **NHPI=Native Hawaiian, Pacific Islander</w:t>
      </w:r>
    </w:p>
    <w:p w14:paraId="432D300C" w14:textId="77777777" w:rsidR="008A63A3" w:rsidRPr="00B70D62" w:rsidRDefault="008A63A3" w:rsidP="008A63A3">
      <w:pPr>
        <w:pStyle w:val="ListParagraph"/>
        <w:spacing w:before="0" w:after="0" w:line="240" w:lineRule="auto"/>
        <w:rPr>
          <w:sz w:val="16"/>
          <w:szCs w:val="16"/>
        </w:rPr>
      </w:pPr>
    </w:p>
    <w:p w14:paraId="48CDB903" w14:textId="5006791F" w:rsidR="004575B0" w:rsidRPr="00450228" w:rsidRDefault="004575B0" w:rsidP="00450228">
      <w:pPr>
        <w:pStyle w:val="ListParagraph"/>
        <w:numPr>
          <w:ilvl w:val="0"/>
          <w:numId w:val="28"/>
        </w:numPr>
        <w:spacing w:before="0" w:after="0" w:line="240" w:lineRule="auto"/>
        <w:ind w:left="360"/>
        <w:contextualSpacing w:val="0"/>
      </w:pPr>
      <w:r>
        <w:t>For 2019-2023, the average annual crude suicide rate was highest among White, non-Hispanic (NH) males (16.8/100,000 persons, n=</w:t>
      </w:r>
      <w:r w:rsidRPr="00B44DAC">
        <w:t>1,997</w:t>
      </w:r>
      <w:r>
        <w:t xml:space="preserve">), </w:t>
      </w:r>
      <w:r w:rsidRPr="0019336E">
        <w:t xml:space="preserve">followed by Black, </w:t>
      </w:r>
      <w:r>
        <w:t xml:space="preserve">NH </w:t>
      </w:r>
      <w:r w:rsidRPr="0019336E">
        <w:t>males (</w:t>
      </w:r>
      <w:r>
        <w:t>9.8</w:t>
      </w:r>
      <w:r w:rsidRPr="0019336E">
        <w:t>/100,000 persons, n=12</w:t>
      </w:r>
      <w:r>
        <w:t>5</w:t>
      </w:r>
      <w:r w:rsidRPr="0019336E">
        <w:t>)</w:t>
      </w:r>
      <w:r>
        <w:t>.</w:t>
      </w:r>
    </w:p>
    <w:p w14:paraId="7B42CF4D" w14:textId="43D0F944" w:rsidR="004575B0" w:rsidRPr="00450228" w:rsidRDefault="004575B0" w:rsidP="00450228">
      <w:pPr>
        <w:pStyle w:val="ListParagraph"/>
        <w:numPr>
          <w:ilvl w:val="0"/>
          <w:numId w:val="28"/>
        </w:numPr>
        <w:spacing w:before="0" w:after="0" w:line="240" w:lineRule="auto"/>
        <w:ind w:left="360"/>
        <w:contextualSpacing w:val="0"/>
      </w:pPr>
      <w:r>
        <w:t>Similarly, White, NH females had a higher average annual crude suicide rate (</w:t>
      </w:r>
      <w:r w:rsidRPr="00A34CCE">
        <w:t>4.9</w:t>
      </w:r>
      <w:r>
        <w:t xml:space="preserve">/100,000 persons, n=611) </w:t>
      </w:r>
      <w:r w:rsidRPr="0019336E">
        <w:t>compared to females of other race/ethnicity groups. Asian</w:t>
      </w:r>
      <w:r>
        <w:t>/NH/PI</w:t>
      </w:r>
      <w:r w:rsidRPr="0019336E">
        <w:t xml:space="preserve">, </w:t>
      </w:r>
      <w:r>
        <w:t xml:space="preserve">NH </w:t>
      </w:r>
      <w:r w:rsidRPr="0019336E">
        <w:t>females had the second highest rate of suicides among females (</w:t>
      </w:r>
      <w:r>
        <w:t>3.7</w:t>
      </w:r>
      <w:r w:rsidRPr="0019336E">
        <w:t xml:space="preserve"> per 100,000 persons, n=</w:t>
      </w:r>
      <w:r>
        <w:t>51</w:t>
      </w:r>
      <w:r w:rsidRPr="0019336E">
        <w:t>).</w:t>
      </w:r>
    </w:p>
    <w:p w14:paraId="6B73444D" w14:textId="0F9C5FAD" w:rsidR="004625D3" w:rsidRPr="0088432E" w:rsidRDefault="004575B0" w:rsidP="004625D3">
      <w:pPr>
        <w:pStyle w:val="ListParagraph"/>
        <w:numPr>
          <w:ilvl w:val="0"/>
          <w:numId w:val="28"/>
        </w:numPr>
        <w:spacing w:before="0" w:after="0" w:line="240" w:lineRule="auto"/>
        <w:ind w:left="360"/>
        <w:contextualSpacing w:val="0"/>
      </w:pPr>
      <w:r w:rsidRPr="0088432E">
        <w:t xml:space="preserve">Since </w:t>
      </w:r>
      <w:r>
        <w:t>2019</w:t>
      </w:r>
      <w:r w:rsidRPr="0088432E">
        <w:t xml:space="preserve">, the </w:t>
      </w:r>
      <w:r>
        <w:t>crude</w:t>
      </w:r>
      <w:r w:rsidRPr="0088432E">
        <w:t xml:space="preserve"> suicide rate among</w:t>
      </w:r>
      <w:r>
        <w:t xml:space="preserve"> Black, NH males had the largest decrease of 19% from 11.3/100,000 persons to 9.1/100,000 persons. This was followed by Hispanic/Latino males who had a decrease of 3% from 6.8/100,000 persons to 6.6/100,000 persons. White, NH females had the greatest increase in suicide rates of 8% from 5.0/100,000 persons to 5.4/100,000 persons</w:t>
      </w:r>
      <w:r w:rsidRPr="0088432E">
        <w:t>.</w:t>
      </w:r>
      <w:r>
        <w:rPr>
          <w:vertAlign w:val="superscript"/>
        </w:rPr>
        <w:t>3</w:t>
      </w:r>
    </w:p>
    <w:bookmarkStart w:id="3" w:name="_Toc220311107"/>
    <w:p w14:paraId="7670FF49" w14:textId="28023045" w:rsidR="004625D3" w:rsidRDefault="004625D3" w:rsidP="004625D3">
      <w:pPr>
        <w:pStyle w:val="Heading1"/>
      </w:pPr>
      <w:r w:rsidRPr="00D071C6">
        <w:lastRenderedPageBreak/>
        <mc:AlternateContent>
          <mc:Choice Requires="wps">
            <w:drawing>
              <wp:anchor distT="0" distB="0" distL="0" distR="0" simplePos="0" relativeHeight="251674624" behindDoc="1" locked="0" layoutInCell="1" allowOverlap="1" wp14:anchorId="67FE7B25" wp14:editId="28C71C60">
                <wp:simplePos x="0" y="0"/>
                <wp:positionH relativeFrom="margin">
                  <wp:posOffset>0</wp:posOffset>
                </wp:positionH>
                <wp:positionV relativeFrom="paragraph">
                  <wp:posOffset>310515</wp:posOffset>
                </wp:positionV>
                <wp:extent cx="5937250" cy="45085"/>
                <wp:effectExtent l="0" t="0" r="0" b="0"/>
                <wp:wrapTopAndBottom/>
                <wp:docPr id="171811294"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2E530" id="Freeform 272" o:spid="_x0000_s1026" alt="&quot;&quot;" style="position:absolute;margin-left:0;margin-top:24.45pt;width:467.5pt;height:3.55pt;z-index:-2516418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 xml:space="preserve">Suicides by </w:t>
      </w:r>
      <w:r w:rsidR="007E4FBE">
        <w:t>m</w:t>
      </w:r>
      <w:r>
        <w:t>ethod</w:t>
      </w:r>
      <w:bookmarkEnd w:id="3"/>
    </w:p>
    <w:p w14:paraId="4E107B4D" w14:textId="3DF23004" w:rsidR="008A63A3" w:rsidRDefault="007C752C" w:rsidP="00B70D62">
      <w:pPr>
        <w:pStyle w:val="Heading2"/>
        <w:spacing w:after="0"/>
      </w:pPr>
      <w:r>
        <w:t>Method</w:t>
      </w:r>
      <w:r w:rsidR="005B2490">
        <w:t>s</w:t>
      </w:r>
      <w:r>
        <w:t xml:space="preserve"> of </w:t>
      </w:r>
      <w:r w:rsidR="005B2490">
        <w:t>suicide overall, by sex, and by race/ethnicity</w:t>
      </w:r>
    </w:p>
    <w:p w14:paraId="11889C49" w14:textId="686D8EE9" w:rsidR="00C00BE7" w:rsidRDefault="00946BAF" w:rsidP="00537F8E">
      <w:pPr>
        <w:keepNext/>
        <w:spacing w:before="0" w:after="0"/>
        <w:jc w:val="center"/>
      </w:pPr>
      <w:r>
        <w:rPr>
          <w:rFonts w:ascii="Arial" w:hAnsi="Arial"/>
          <w:noProof/>
          <w:sz w:val="20"/>
          <w:szCs w:val="20"/>
        </w:rPr>
        <w:drawing>
          <wp:inline distT="0" distB="0" distL="0" distR="0" wp14:anchorId="587DBCAC" wp14:editId="65FE2285">
            <wp:extent cx="6238875" cy="3238500"/>
            <wp:effectExtent l="0" t="0" r="9525" b="0"/>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FCAF59" w14:textId="77777777" w:rsidR="00DD4B74" w:rsidRPr="002E3B42" w:rsidRDefault="00C00BE7" w:rsidP="00DD4B74">
      <w:pPr>
        <w:pStyle w:val="Caption"/>
        <w:spacing w:after="0"/>
        <w:rPr>
          <w:sz w:val="24"/>
          <w:szCs w:val="24"/>
        </w:rPr>
      </w:pPr>
      <w:r w:rsidRPr="002E3B42">
        <w:rPr>
          <w:sz w:val="24"/>
          <w:szCs w:val="24"/>
        </w:rPr>
        <w:t xml:space="preserve">Source: MA Violent Death Reporting System, MA Department of Public Health </w:t>
      </w:r>
    </w:p>
    <w:p w14:paraId="39FB13B5" w14:textId="220ABBE4" w:rsidR="005B510C" w:rsidRPr="002E3B42" w:rsidRDefault="00C00BE7" w:rsidP="00DD4B74">
      <w:pPr>
        <w:pStyle w:val="Caption"/>
        <w:spacing w:after="0"/>
        <w:rPr>
          <w:sz w:val="24"/>
          <w:szCs w:val="24"/>
        </w:rPr>
      </w:pPr>
      <w:r w:rsidRPr="002E3B42">
        <w:rPr>
          <w:sz w:val="24"/>
          <w:szCs w:val="24"/>
        </w:rPr>
        <w:t xml:space="preserve">*NH=non-Hispanic; **NHPI=Native Hawaiian, Pacific Islander; ***Other methods </w:t>
      </w:r>
      <w:r w:rsidR="002D4E3F">
        <w:rPr>
          <w:sz w:val="24"/>
          <w:szCs w:val="24"/>
        </w:rPr>
        <w:t>include</w:t>
      </w:r>
      <w:r w:rsidRPr="002E3B42">
        <w:rPr>
          <w:sz w:val="24"/>
          <w:szCs w:val="24"/>
        </w:rPr>
        <w:t xml:space="preserve"> falls, sharps, burns, drowning, motor vehicle, other transportation (i.e. trains)</w:t>
      </w:r>
    </w:p>
    <w:p w14:paraId="274DA2DC" w14:textId="77777777" w:rsidR="008A63A3" w:rsidRPr="00B70D62" w:rsidRDefault="008A63A3" w:rsidP="008A63A3">
      <w:pPr>
        <w:pStyle w:val="ListParagraph"/>
        <w:spacing w:before="0" w:after="0" w:line="240" w:lineRule="auto"/>
        <w:contextualSpacing w:val="0"/>
        <w:rPr>
          <w:sz w:val="16"/>
          <w:szCs w:val="16"/>
        </w:rPr>
      </w:pPr>
    </w:p>
    <w:p w14:paraId="7CCC8E3F" w14:textId="14367F64" w:rsidR="00662E20" w:rsidRDefault="004D11A6" w:rsidP="00386DBF">
      <w:pPr>
        <w:spacing w:before="0" w:after="0" w:line="240" w:lineRule="auto"/>
        <w:rPr>
          <w:vertAlign w:val="superscript"/>
        </w:rPr>
      </w:pPr>
      <w:r>
        <w:t>Overall, the most common suicide methods in Massachusetts were</w:t>
      </w:r>
      <w:r w:rsidR="00386DBF">
        <w:t xml:space="preserve"> </w:t>
      </w:r>
      <w:r>
        <w:t>hanging/</w:t>
      </w:r>
      <w:r w:rsidR="00386DBF">
        <w:t xml:space="preserve"> </w:t>
      </w:r>
      <w:r>
        <w:t>suffocation (n=288, 44.5%) and firearm (n=147, 22.7%).</w:t>
      </w:r>
      <w:r w:rsidR="00386DBF">
        <w:rPr>
          <w:vertAlign w:val="superscript"/>
        </w:rPr>
        <w:t xml:space="preserve"> </w:t>
      </w:r>
      <w:r w:rsidRPr="00622D32">
        <w:t xml:space="preserve">The most common suicide methods in Massachusetts are reversed when compared nationally, with the most common suicide methods in the </w:t>
      </w:r>
      <w:r w:rsidRPr="00B653F2">
        <w:t>U.S. being firearm (n=27,300, 55.4%) and hanging/suffocation (n=12,023, 24.4%).</w:t>
      </w:r>
      <w:r w:rsidRPr="00386DBF">
        <w:rPr>
          <w:vertAlign w:val="superscript"/>
        </w:rPr>
        <w:t>1</w:t>
      </w:r>
    </w:p>
    <w:p w14:paraId="6F6170BC" w14:textId="77777777" w:rsidR="00537F8E" w:rsidRPr="00823946" w:rsidRDefault="00537F8E" w:rsidP="00386DBF">
      <w:pPr>
        <w:spacing w:before="0" w:after="0" w:line="240" w:lineRule="auto"/>
        <w:rPr>
          <w:sz w:val="10"/>
          <w:szCs w:val="10"/>
          <w:vertAlign w:val="superscript"/>
        </w:rPr>
      </w:pPr>
    </w:p>
    <w:p w14:paraId="547FCA14" w14:textId="6438864D" w:rsidR="006A06AC" w:rsidRDefault="006A2096" w:rsidP="00386DBF">
      <w:pPr>
        <w:spacing w:before="0" w:after="0" w:line="240" w:lineRule="auto"/>
      </w:pPr>
      <w:r>
        <w:rPr>
          <w:b/>
          <w:bCs/>
          <w:color w:val="032E53" w:themeColor="accent5"/>
        </w:rPr>
        <w:t>S</w:t>
      </w:r>
      <w:r w:rsidRPr="006A2096">
        <w:rPr>
          <w:b/>
          <w:bCs/>
          <w:color w:val="032E53" w:themeColor="accent5"/>
        </w:rPr>
        <w:t>ex:</w:t>
      </w:r>
      <w:r w:rsidRPr="006A2096">
        <w:rPr>
          <w:color w:val="032E53" w:themeColor="accent5"/>
        </w:rPr>
        <w:t xml:space="preserve"> </w:t>
      </w:r>
      <w:r w:rsidR="004D11A6">
        <w:t>The most common suicide methods for men in Massachusetts were hanging/</w:t>
      </w:r>
      <w:r w:rsidR="00386DBF">
        <w:t xml:space="preserve"> </w:t>
      </w:r>
      <w:r w:rsidR="004D11A6">
        <w:t>suffocation (n=218, 44.7%) and firearm (n=137, 28.1%).</w:t>
      </w:r>
      <w:r w:rsidR="00386DBF">
        <w:rPr>
          <w:vertAlign w:val="superscript"/>
        </w:rPr>
        <w:t xml:space="preserve"> </w:t>
      </w:r>
      <w:r w:rsidR="004D11A6">
        <w:t>The most common suicide methods for women in Massachusetts were hanging/suffocation (n=70, 44.0%) and poisoning (n=56, 35.2%).</w:t>
      </w:r>
    </w:p>
    <w:p w14:paraId="3846E7EF" w14:textId="77777777" w:rsidR="00662E20" w:rsidRPr="00823946" w:rsidRDefault="00662E20" w:rsidP="00386DBF">
      <w:pPr>
        <w:spacing w:before="0" w:after="0" w:line="240" w:lineRule="auto"/>
        <w:rPr>
          <w:sz w:val="10"/>
          <w:szCs w:val="10"/>
        </w:rPr>
      </w:pPr>
    </w:p>
    <w:p w14:paraId="321B59FD" w14:textId="3F097066" w:rsidR="006A06AC" w:rsidRDefault="006A2096" w:rsidP="00386DBF">
      <w:pPr>
        <w:spacing w:before="0" w:after="0" w:line="240" w:lineRule="auto"/>
      </w:pPr>
      <w:r w:rsidRPr="006A2096">
        <w:rPr>
          <w:b/>
          <w:bCs/>
          <w:color w:val="032E53" w:themeColor="accent5"/>
        </w:rPr>
        <w:t>Race &amp; Ethnicity:</w:t>
      </w:r>
      <w:r w:rsidRPr="006A2096">
        <w:rPr>
          <w:color w:val="032E53" w:themeColor="accent5"/>
        </w:rPr>
        <w:t xml:space="preserve"> </w:t>
      </w:r>
      <w:r w:rsidR="004D11A6" w:rsidRPr="005406EA">
        <w:t>The most common suicide methods in Massachusetts differ</w:t>
      </w:r>
      <w:r w:rsidR="004D11A6">
        <w:t>ed</w:t>
      </w:r>
      <w:r w:rsidR="004D11A6" w:rsidRPr="005406EA">
        <w:t xml:space="preserve"> by race/ethnicity</w:t>
      </w:r>
      <w:r w:rsidR="004D11A6">
        <w:t>. H</w:t>
      </w:r>
      <w:r w:rsidR="004D11A6" w:rsidRPr="005406EA">
        <w:t xml:space="preserve">anging/suffocation was a more common suicide method for </w:t>
      </w:r>
      <w:r w:rsidR="004D11A6">
        <w:t>Asian NHPI, NH individuals</w:t>
      </w:r>
      <w:r w:rsidR="004D11A6" w:rsidRPr="005406EA">
        <w:t>.</w:t>
      </w:r>
      <w:r w:rsidR="004D11A6">
        <w:t xml:space="preserve"> Suicide by firearm was more common among Black, non-Hispanic individuals than other races and ethnicities.</w:t>
      </w:r>
    </w:p>
    <w:p w14:paraId="15189A03" w14:textId="77777777" w:rsidR="00662E20" w:rsidRPr="00823946" w:rsidRDefault="00662E20" w:rsidP="00386DBF">
      <w:pPr>
        <w:spacing w:before="0" w:after="0" w:line="240" w:lineRule="auto"/>
        <w:rPr>
          <w:sz w:val="10"/>
          <w:szCs w:val="10"/>
        </w:rPr>
      </w:pPr>
    </w:p>
    <w:p w14:paraId="2D247CB7" w14:textId="2F4CD646" w:rsidR="008A63A3" w:rsidRPr="00DE6A84" w:rsidRDefault="006A2096" w:rsidP="00386DBF">
      <w:pPr>
        <w:spacing w:before="0" w:after="0" w:line="240" w:lineRule="auto"/>
      </w:pPr>
      <w:r w:rsidRPr="006A2096">
        <w:rPr>
          <w:b/>
          <w:bCs/>
          <w:color w:val="032E53" w:themeColor="accent5"/>
        </w:rPr>
        <w:t>Trends:</w:t>
      </w:r>
      <w:r>
        <w:t xml:space="preserve"> </w:t>
      </w:r>
      <w:r w:rsidR="004D11A6" w:rsidRPr="00F05642">
        <w:t>For suicides by poisoning/overdose in Massachusetts, opiates and antidepressants were the most common classes of substances used.</w:t>
      </w:r>
      <w:r w:rsidR="00386DBF">
        <w:t xml:space="preserve"> </w:t>
      </w:r>
      <w:r w:rsidR="004D11A6">
        <w:t>From 2014 to 2023</w:t>
      </w:r>
      <w:r w:rsidR="004D11A6" w:rsidRPr="0021385B">
        <w:t xml:space="preserve">, </w:t>
      </w:r>
      <w:r w:rsidR="004D11A6">
        <w:t xml:space="preserve">the proportion of </w:t>
      </w:r>
      <w:r w:rsidR="004D11A6" w:rsidRPr="0021385B">
        <w:t xml:space="preserve">suicide deaths by hanging/suffocation </w:t>
      </w:r>
      <w:r w:rsidR="004D11A6">
        <w:t xml:space="preserve">has significantly </w:t>
      </w:r>
      <w:r w:rsidR="004D11A6" w:rsidRPr="0021385B">
        <w:t>decreased</w:t>
      </w:r>
      <w:r w:rsidR="004D11A6">
        <w:t xml:space="preserve"> </w:t>
      </w:r>
      <w:r w:rsidR="004D11A6" w:rsidRPr="0021385B">
        <w:t xml:space="preserve">by </w:t>
      </w:r>
      <w:r w:rsidR="004D11A6">
        <w:t>1.9% annually (p&lt;0.05).</w:t>
      </w:r>
      <w:r w:rsidR="004D11A6" w:rsidRPr="00386DBF">
        <w:rPr>
          <w:vertAlign w:val="superscript"/>
        </w:rPr>
        <w:t>7</w:t>
      </w:r>
      <w:r w:rsidR="004D11A6">
        <w:t xml:space="preserve"> From 2014 to 2021, the proportion of suicide </w:t>
      </w:r>
      <w:r w:rsidR="004D11A6">
        <w:lastRenderedPageBreak/>
        <w:t>deaths by falls significantly increased by 8.6% annually (p&lt;0.05). From 2021 to 2023 the proportion of suicide deaths by falls had decreased by 19.4% annually, although these changes were not statistically significant at the 0.05 level.</w:t>
      </w:r>
      <w:r w:rsidR="004D11A6" w:rsidRPr="00386DBF">
        <w:rPr>
          <w:vertAlign w:val="superscript"/>
        </w:rPr>
        <w:t>7</w:t>
      </w:r>
      <w:r w:rsidR="00386DBF">
        <w:t xml:space="preserve"> </w:t>
      </w:r>
      <w:r w:rsidR="004D11A6">
        <w:t>The proportion of suicide deaths by firearm increased 1.5% annually since 2014, although these changes were not statistically significant at the 0.05 level.</w:t>
      </w:r>
      <w:r w:rsidR="004D11A6" w:rsidRPr="00386DBF">
        <w:rPr>
          <w:vertAlign w:val="superscript"/>
        </w:rPr>
        <w:t>7</w:t>
      </w:r>
      <w:r w:rsidR="004D11A6">
        <w:t xml:space="preserve"> From 2014 to 2023 the proportion of suicide deaths by poisoning increased by 1.6% annually, although not statistically significant at the 0.05 level.</w:t>
      </w:r>
      <w:r w:rsidR="004D11A6" w:rsidRPr="00386DBF">
        <w:rPr>
          <w:vertAlign w:val="superscript"/>
        </w:rPr>
        <w:t>7</w:t>
      </w:r>
    </w:p>
    <w:p w14:paraId="16C98DE3" w14:textId="4EAA3309" w:rsidR="00004CDB" w:rsidRDefault="00004CDB" w:rsidP="00004CDB">
      <w:pPr>
        <w:pStyle w:val="Heading1"/>
      </w:pPr>
      <w:bookmarkStart w:id="4" w:name="_Toc220311108"/>
      <w:r>
        <w:t xml:space="preserve">Circumstances </w:t>
      </w:r>
      <w:r w:rsidR="007E4FBE">
        <w:t>a</w:t>
      </w:r>
      <w:r>
        <w:t xml:space="preserve">ssociated with </w:t>
      </w:r>
      <w:r w:rsidR="007E4FBE">
        <w:t>s</w:t>
      </w:r>
      <w:r>
        <w:t>uicide</w:t>
      </w:r>
      <w:bookmarkEnd w:id="4"/>
    </w:p>
    <w:p w14:paraId="0B85CF66" w14:textId="4B4ADFFE" w:rsidR="008A63A3" w:rsidRPr="00EC0E1D" w:rsidRDefault="00EC0E1D" w:rsidP="00EC0E1D">
      <w:pPr>
        <w:pStyle w:val="Heading2"/>
        <w:spacing w:before="0" w:after="0"/>
      </w:pPr>
      <w:r w:rsidRPr="00EC0E1D">
        <w:rPr>
          <w:noProof/>
        </w:rPr>
        <mc:AlternateContent>
          <mc:Choice Requires="wps">
            <w:drawing>
              <wp:anchor distT="0" distB="0" distL="0" distR="0" simplePos="0" relativeHeight="251718656" behindDoc="1" locked="0" layoutInCell="1" allowOverlap="1" wp14:anchorId="5D9A072C" wp14:editId="674B9FEA">
                <wp:simplePos x="0" y="0"/>
                <wp:positionH relativeFrom="margin">
                  <wp:posOffset>0</wp:posOffset>
                </wp:positionH>
                <wp:positionV relativeFrom="paragraph">
                  <wp:posOffset>18415</wp:posOffset>
                </wp:positionV>
                <wp:extent cx="5937250" cy="45085"/>
                <wp:effectExtent l="0" t="0" r="0" b="0"/>
                <wp:wrapTopAndBottom/>
                <wp:docPr id="788318525"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3B99C" id="Freeform 272" o:spid="_x0000_s1026" alt="&quot;&quot;" style="position:absolute;margin-left:0;margin-top:1.45pt;width:467.5pt;height:3.55pt;z-index:-251597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FRPhMfYAAAABQEAAA8AAABkcnMvZG93bnJldi54bWxMj8FOwzAQ&#10;RO9I/IO1SNyoTaCIpHGqgMQNhGjp3Y2XJGq8juJtG/6e5QTH0Yxm3pTrOQzqhFPqI1m4XRhQSE30&#10;PbUWPrcvN4+gEjvyboiEFr4xwbq6vChd4eOZPvC04VZJCaXCWeiYx0Lr1HQYXFrEEUm8rzgFxyKn&#10;VvvJnaU8DDoz5kEH15MsdG7E5w6bw+YYLITeZQeuxynly/vd0/trzvX2zdrrq7legWKc+S8Mv/iC&#10;DpUw7eORfFKDBTnCFrIclJj53VL0XlLGgK5K/Z+++gEAAP//AwBQSwECLQAUAAYACAAAACEAtoM4&#10;kv4AAADhAQAAEwAAAAAAAAAAAAAAAAAAAAAAW0NvbnRlbnRfVHlwZXNdLnhtbFBLAQItABQABgAI&#10;AAAAIQA4/SH/1gAAAJQBAAALAAAAAAAAAAAAAAAAAC8BAABfcmVscy8ucmVsc1BLAQItABQABgAI&#10;AAAAIQA/egJSkQIAAIIFAAAOAAAAAAAAAAAAAAAAAC4CAABkcnMvZTJvRG9jLnhtbFBLAQItABQA&#10;BgAIAAAAIQBUT4TH2AAAAAUBAAAPAAAAAAAAAAAAAAAAAOsEAABkcnMvZG93bnJldi54bWxQSwUG&#10;AAAAAAQABADzAAAA8AUAAAAA&#10;" path="m,l10800,e" filled="f" strokecolor="#005994" strokeweight="2pt">
                <v:path arrowok="t" o:connecttype="custom" o:connectlocs="0,0;5937250,0" o:connectangles="0,0"/>
                <w10:wrap type="topAndBottom" anchorx="margin"/>
              </v:shape>
            </w:pict>
          </mc:Fallback>
        </mc:AlternateContent>
      </w:r>
      <w:r w:rsidR="008A63A3" w:rsidRPr="00EC0E1D">
        <w:t>Suicide circumstances</w:t>
      </w:r>
      <w:r w:rsidR="003C1A00" w:rsidRPr="00EC0E1D">
        <w:t xml:space="preserve"> overall and by sex</w:t>
      </w:r>
    </w:p>
    <w:p w14:paraId="233BE2F5" w14:textId="3A5FE29F" w:rsidR="00651A89" w:rsidRDefault="000E2EDA" w:rsidP="00466B81">
      <w:pPr>
        <w:keepNext/>
        <w:spacing w:before="0" w:after="0"/>
        <w:jc w:val="center"/>
      </w:pPr>
      <w:r>
        <w:rPr>
          <w:rFonts w:ascii="Arial" w:hAnsi="Arial"/>
          <w:noProof/>
          <w:sz w:val="20"/>
          <w:szCs w:val="20"/>
        </w:rPr>
        <w:drawing>
          <wp:inline distT="0" distB="0" distL="0" distR="0" wp14:anchorId="62D9CB2D" wp14:editId="4016C604">
            <wp:extent cx="5937250" cy="3790950"/>
            <wp:effectExtent l="0" t="0" r="6350" b="0"/>
            <wp:docPr id="29" name="Char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6404D9" w14:textId="384CC148" w:rsidR="00F5764E" w:rsidRPr="00F5764E" w:rsidRDefault="00651A89" w:rsidP="00F30587">
      <w:pPr>
        <w:pStyle w:val="Caption"/>
        <w:spacing w:after="120"/>
        <w:rPr>
          <w:sz w:val="24"/>
          <w:szCs w:val="24"/>
        </w:rPr>
      </w:pPr>
      <w:r w:rsidRPr="002E3B42">
        <w:rPr>
          <w:sz w:val="24"/>
          <w:szCs w:val="24"/>
        </w:rPr>
        <w:t>Source: MA Violent Death Reporting System, MA Department of Public Health</w:t>
      </w:r>
      <w:r w:rsidR="00537F8E">
        <w:rPr>
          <w:sz w:val="24"/>
          <w:szCs w:val="24"/>
        </w:rPr>
        <w:t>; Tx=treatment</w:t>
      </w:r>
    </w:p>
    <w:p w14:paraId="1B129395" w14:textId="1C4EAE06" w:rsidR="00C44C32" w:rsidRDefault="00C0183A" w:rsidP="00F5764E">
      <w:pPr>
        <w:spacing w:before="0" w:after="0" w:line="240" w:lineRule="auto"/>
      </w:pPr>
      <w:r w:rsidRPr="006C063C">
        <w:t>Certain circumstances are more likely to be known/reported on than others. Among suicides in 2023:</w:t>
      </w:r>
    </w:p>
    <w:p w14:paraId="16F4E71A" w14:textId="6448A843" w:rsidR="00C44C32" w:rsidRDefault="00C44C32" w:rsidP="00F5764E">
      <w:pPr>
        <w:pStyle w:val="ListParagraph"/>
        <w:numPr>
          <w:ilvl w:val="0"/>
          <w:numId w:val="29"/>
        </w:numPr>
        <w:spacing w:before="0" w:after="0" w:line="240" w:lineRule="auto"/>
      </w:pPr>
      <w:r>
        <w:t>Female</w:t>
      </w:r>
      <w:r w:rsidR="00A446AC">
        <w:t xml:space="preserve"> decedents </w:t>
      </w:r>
      <w:r w:rsidR="00A54B95">
        <w:t xml:space="preserve">were more likely to have </w:t>
      </w:r>
      <w:r w:rsidR="00007C82">
        <w:t>reports of most circumstances associated with their suicide death compared to males</w:t>
      </w:r>
      <w:r w:rsidR="006D28ED">
        <w:t xml:space="preserve">. </w:t>
      </w:r>
      <w:r w:rsidR="00A63D8F">
        <w:t>These included</w:t>
      </w:r>
      <w:r w:rsidR="00AA6F65">
        <w:t xml:space="preserve"> having a </w:t>
      </w:r>
      <w:r w:rsidR="002C7726">
        <w:t>current mental health diagnosis</w:t>
      </w:r>
      <w:r w:rsidR="00AA6F65">
        <w:t xml:space="preserve"> (80.5% vs. 63.1%, respectively)</w:t>
      </w:r>
      <w:r w:rsidR="002C7726">
        <w:t xml:space="preserve">, </w:t>
      </w:r>
      <w:r w:rsidR="00AA6F65">
        <w:t xml:space="preserve">a </w:t>
      </w:r>
      <w:r w:rsidR="002C7726">
        <w:t xml:space="preserve">history </w:t>
      </w:r>
      <w:r w:rsidR="00386D58">
        <w:t>o</w:t>
      </w:r>
      <w:r w:rsidR="00AA6F65">
        <w:t xml:space="preserve">f </w:t>
      </w:r>
      <w:r w:rsidR="002C7726">
        <w:t>treatment for a mental health diagnosis</w:t>
      </w:r>
      <w:r w:rsidR="001B6329">
        <w:t xml:space="preserve"> (72.3% </w:t>
      </w:r>
      <w:r w:rsidR="00741E89">
        <w:t>vs.</w:t>
      </w:r>
      <w:r w:rsidR="001B6329">
        <w:t xml:space="preserve"> 66.7%, respectively)</w:t>
      </w:r>
      <w:r w:rsidR="002C7726">
        <w:t xml:space="preserve">, </w:t>
      </w:r>
      <w:r w:rsidR="001B6329">
        <w:t xml:space="preserve">current treatment for a mental health diagnosis or alcohol/substance misuse </w:t>
      </w:r>
      <w:r w:rsidR="00741E89">
        <w:t>(</w:t>
      </w:r>
      <w:r w:rsidR="001B6329">
        <w:t xml:space="preserve">51.4% </w:t>
      </w:r>
      <w:r w:rsidR="00741E89">
        <w:t>vs.</w:t>
      </w:r>
      <w:r w:rsidR="001B6329">
        <w:t xml:space="preserve"> 49.2%), </w:t>
      </w:r>
      <w:r w:rsidR="00A155E7">
        <w:t xml:space="preserve">a history of suicide attempts </w:t>
      </w:r>
      <w:r w:rsidR="00AE17D7">
        <w:t>(35.2% vs. 17.2%, respectively),</w:t>
      </w:r>
      <w:r w:rsidR="001B7501">
        <w:t xml:space="preserve"> having a physical health problem (17.6% vs. 15.4%, respectively),</w:t>
      </w:r>
      <w:r w:rsidR="00AE17D7">
        <w:t xml:space="preserve"> </w:t>
      </w:r>
      <w:r w:rsidR="00A155E7">
        <w:t>and disclosing suicide intent prior to death</w:t>
      </w:r>
      <w:r w:rsidR="00AE17D7">
        <w:t xml:space="preserve"> (20.1% vs. </w:t>
      </w:r>
      <w:r w:rsidR="001B7501">
        <w:t>14.1%, respectively)</w:t>
      </w:r>
      <w:r w:rsidR="006D28ED">
        <w:t xml:space="preserve">. </w:t>
      </w:r>
    </w:p>
    <w:p w14:paraId="5E7442BE" w14:textId="012E5BE1" w:rsidR="00C0183A" w:rsidRPr="0037688F" w:rsidRDefault="001B7501" w:rsidP="00F5764E">
      <w:pPr>
        <w:pStyle w:val="ListParagraph"/>
        <w:numPr>
          <w:ilvl w:val="0"/>
          <w:numId w:val="29"/>
        </w:numPr>
        <w:spacing w:before="0" w:after="0" w:line="240" w:lineRule="auto"/>
      </w:pPr>
      <w:r>
        <w:lastRenderedPageBreak/>
        <w:t xml:space="preserve">Males who died by suicide were more likely </w:t>
      </w:r>
      <w:r w:rsidR="00AA78E7">
        <w:t xml:space="preserve">than females </w:t>
      </w:r>
      <w:r>
        <w:t xml:space="preserve">to </w:t>
      </w:r>
      <w:r w:rsidR="00AA78E7">
        <w:t xml:space="preserve">have </w:t>
      </w:r>
      <w:r>
        <w:t>report</w:t>
      </w:r>
      <w:r w:rsidR="00AA78E7">
        <w:t>s of</w:t>
      </w:r>
      <w:r w:rsidR="00C22FD1">
        <w:t xml:space="preserve"> alcohol and/or </w:t>
      </w:r>
      <w:r w:rsidR="006F1E6D">
        <w:t>substance misuse prior to death (</w:t>
      </w:r>
      <w:r w:rsidR="008E133F">
        <w:t>33.4</w:t>
      </w:r>
      <w:r w:rsidR="006F1E6D">
        <w:t xml:space="preserve">% vs. </w:t>
      </w:r>
      <w:r w:rsidR="008E133F">
        <w:t>28.3</w:t>
      </w:r>
      <w:r w:rsidR="006F1E6D">
        <w:t xml:space="preserve">%), </w:t>
      </w:r>
      <w:r w:rsidR="00AA78E7">
        <w:t>intimate partner problems</w:t>
      </w:r>
      <w:r w:rsidR="00B14D51">
        <w:t xml:space="preserve"> such as a divorce, break-up, or conflict with an </w:t>
      </w:r>
      <w:r w:rsidR="00EA4EB1">
        <w:t>intimate partner</w:t>
      </w:r>
      <w:r w:rsidR="00445AEF">
        <w:t xml:space="preserve"> (23.6% vs. 11.3%, respectively), </w:t>
      </w:r>
      <w:r w:rsidR="00B14D51">
        <w:t>a</w:t>
      </w:r>
      <w:r w:rsidR="008E133F">
        <w:t>nd a job and/or financial problems (</w:t>
      </w:r>
      <w:r w:rsidR="00E223F9">
        <w:t xml:space="preserve">14.1% vs. 4.4%, </w:t>
      </w:r>
      <w:r w:rsidR="00EA4EB1">
        <w:t>respectively</w:t>
      </w:r>
      <w:r w:rsidR="00E223F9">
        <w:t xml:space="preserve">). </w:t>
      </w:r>
      <w:r w:rsidR="00B14D51">
        <w:t xml:space="preserve"> </w:t>
      </w:r>
      <w:r w:rsidR="00AA78E7">
        <w:t xml:space="preserve"> </w:t>
      </w:r>
    </w:p>
    <w:p w14:paraId="5B30EEAA" w14:textId="77777777" w:rsidR="00EA4EB1" w:rsidRPr="00D369A5" w:rsidRDefault="00EA4EB1" w:rsidP="00EA4EB1">
      <w:pPr>
        <w:spacing w:before="0" w:after="0" w:line="240" w:lineRule="auto"/>
        <w:rPr>
          <w:sz w:val="8"/>
          <w:szCs w:val="8"/>
        </w:rPr>
      </w:pPr>
    </w:p>
    <w:p w14:paraId="7656DB44" w14:textId="57D840B0" w:rsidR="00EA4EB1" w:rsidRDefault="00EA4EB1" w:rsidP="00EA4EB1">
      <w:pPr>
        <w:pStyle w:val="Heading2"/>
        <w:spacing w:before="0" w:after="0"/>
      </w:pPr>
      <w:r>
        <w:t>Suicide circumstances by age group</w:t>
      </w:r>
    </w:p>
    <w:p w14:paraId="2B178CBD" w14:textId="71DC18B1" w:rsidR="00DD1233" w:rsidRDefault="00DD6C4D" w:rsidP="008679C9">
      <w:pPr>
        <w:keepNext/>
        <w:spacing w:before="0" w:after="0"/>
        <w:jc w:val="center"/>
      </w:pPr>
      <w:r>
        <w:rPr>
          <w:rFonts w:ascii="Arial" w:hAnsi="Arial"/>
          <w:noProof/>
          <w:sz w:val="20"/>
          <w:szCs w:val="20"/>
        </w:rPr>
        <w:drawing>
          <wp:inline distT="0" distB="0" distL="0" distR="0" wp14:anchorId="1E2B625F" wp14:editId="39F06ED7">
            <wp:extent cx="6010275" cy="3819525"/>
            <wp:effectExtent l="0" t="0" r="9525" b="9525"/>
            <wp:docPr id="299" name="Chart 2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B2934B" w14:textId="7A5DEEC8" w:rsidR="00E63F49" w:rsidRPr="002E3B42" w:rsidRDefault="00DD1233" w:rsidP="00DD1233">
      <w:pPr>
        <w:pStyle w:val="Caption"/>
        <w:rPr>
          <w:sz w:val="24"/>
          <w:szCs w:val="24"/>
        </w:rPr>
      </w:pPr>
      <w:r w:rsidRPr="002E3B42">
        <w:rPr>
          <w:sz w:val="24"/>
          <w:szCs w:val="24"/>
        </w:rPr>
        <w:t>Source: MA Violent Death Reporting System, MA Department of Public Health</w:t>
      </w:r>
      <w:r w:rsidR="00A702FA" w:rsidRPr="002E3B42">
        <w:rPr>
          <w:sz w:val="24"/>
          <w:szCs w:val="24"/>
        </w:rPr>
        <w:t xml:space="preserve"> *Circumstances under 6 are not displayed for confidentiality purposes</w:t>
      </w:r>
      <w:r w:rsidR="008679C9">
        <w:rPr>
          <w:sz w:val="24"/>
          <w:szCs w:val="24"/>
        </w:rPr>
        <w:t>; Tx = treatment</w:t>
      </w:r>
    </w:p>
    <w:p w14:paraId="15B49C21" w14:textId="2FF36F38" w:rsidR="004866CA" w:rsidRPr="00E548DF" w:rsidRDefault="007C1A6C" w:rsidP="00D369A5">
      <w:pPr>
        <w:spacing w:before="0" w:after="0" w:line="240" w:lineRule="auto"/>
      </w:pPr>
      <w:r w:rsidRPr="00E548DF">
        <w:t>C</w:t>
      </w:r>
      <w:r>
        <w:t xml:space="preserve">ircumstances for suicides varied by age group in </w:t>
      </w:r>
      <w:r w:rsidRPr="00E548DF">
        <w:t>202</w:t>
      </w:r>
      <w:r w:rsidR="00FA6AFA">
        <w:t>3</w:t>
      </w:r>
      <w:r w:rsidRPr="00E548DF">
        <w:t>:</w:t>
      </w:r>
    </w:p>
    <w:p w14:paraId="31249AE1" w14:textId="09AB18FE" w:rsidR="00FA6AFA" w:rsidRPr="00FA6AFA" w:rsidRDefault="00FA6AFA" w:rsidP="00F5764E">
      <w:pPr>
        <w:pStyle w:val="ListParagraph"/>
        <w:numPr>
          <w:ilvl w:val="0"/>
          <w:numId w:val="28"/>
        </w:numPr>
        <w:spacing w:before="0" w:after="0" w:line="240" w:lineRule="auto"/>
        <w:ind w:left="360"/>
        <w:contextualSpacing w:val="0"/>
      </w:pPr>
      <w:r>
        <w:t>15-24 year olds had the highest percentage of a history of suicide attempts (27.6%) and the largest gap between a history of treatment and current treatment for a mental health diagnosis or alcohol/substance misuse (58.6% vs. 41.4%, respectively).</w:t>
      </w:r>
    </w:p>
    <w:p w14:paraId="66C04DE6" w14:textId="37C3ADE0" w:rsidR="00FA6AFA" w:rsidRPr="00FA6AFA" w:rsidRDefault="00FA6AFA" w:rsidP="00FA6AFA">
      <w:pPr>
        <w:pStyle w:val="ListParagraph"/>
        <w:numPr>
          <w:ilvl w:val="0"/>
          <w:numId w:val="28"/>
        </w:numPr>
        <w:spacing w:before="0" w:after="0" w:line="240" w:lineRule="auto"/>
        <w:ind w:left="360"/>
        <w:contextualSpacing w:val="0"/>
      </w:pPr>
      <w:r>
        <w:t>25-44 year olds had the highest percentage of alcohol and/or substance misuse (44.3%) and disclosing suicide intent (16.7%).</w:t>
      </w:r>
    </w:p>
    <w:p w14:paraId="4555AD92" w14:textId="77777777" w:rsidR="00F71DB5" w:rsidRDefault="00FA6AFA" w:rsidP="003A765D">
      <w:pPr>
        <w:pStyle w:val="ListParagraph"/>
        <w:numPr>
          <w:ilvl w:val="0"/>
          <w:numId w:val="28"/>
        </w:numPr>
        <w:spacing w:before="0" w:after="0" w:line="240" w:lineRule="auto"/>
        <w:ind w:left="360"/>
        <w:contextualSpacing w:val="0"/>
      </w:pPr>
      <w:r>
        <w:t>45-64 year olds had the highest percentage with a current mental health diagnosis (72.8%), history of treatment (60.6%), current treatment (53.9%), and job/financial problems (16.9%).</w:t>
      </w:r>
      <w:r w:rsidR="00F71DB5">
        <w:t xml:space="preserve"> </w:t>
      </w:r>
    </w:p>
    <w:p w14:paraId="3C416EF9" w14:textId="7B09E2FB" w:rsidR="003A765D" w:rsidRPr="00F901CE" w:rsidRDefault="00FA6AFA" w:rsidP="003A765D">
      <w:pPr>
        <w:pStyle w:val="ListParagraph"/>
        <w:numPr>
          <w:ilvl w:val="0"/>
          <w:numId w:val="28"/>
        </w:numPr>
        <w:spacing w:before="0" w:after="0" w:line="240" w:lineRule="auto"/>
        <w:ind w:left="360"/>
        <w:contextualSpacing w:val="0"/>
      </w:pPr>
      <w:r>
        <w:t>Individuals 65 or older had the highest percentage with physical health problems (39.0%).</w:t>
      </w:r>
    </w:p>
    <w:p w14:paraId="18C6BE2E" w14:textId="4E851373" w:rsidR="007C1A6C" w:rsidRDefault="004C5E0E" w:rsidP="006133E5">
      <w:pPr>
        <w:pStyle w:val="Heading2"/>
        <w:spacing w:after="0"/>
      </w:pPr>
      <w:r>
        <w:lastRenderedPageBreak/>
        <w:t>Suicide circumstances by race and ethnicity</w:t>
      </w:r>
    </w:p>
    <w:p w14:paraId="6A29DE7B" w14:textId="77777777" w:rsidR="008D551E" w:rsidRDefault="00800FC0" w:rsidP="006133E5">
      <w:pPr>
        <w:keepNext/>
        <w:spacing w:before="0" w:after="0"/>
        <w:jc w:val="center"/>
      </w:pPr>
      <w:r>
        <w:rPr>
          <w:rFonts w:ascii="Arial" w:hAnsi="Arial"/>
          <w:noProof/>
          <w:sz w:val="20"/>
          <w:szCs w:val="20"/>
        </w:rPr>
        <w:drawing>
          <wp:inline distT="0" distB="0" distL="0" distR="0" wp14:anchorId="79C35BB8" wp14:editId="312A78D3">
            <wp:extent cx="5734050" cy="3438525"/>
            <wp:effectExtent l="0" t="0" r="0" b="9525"/>
            <wp:docPr id="829990867" name="Chart 8299908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C6A5CF" w14:textId="77777777" w:rsidR="00A702FA" w:rsidRPr="002E3B42" w:rsidRDefault="008D551E" w:rsidP="008D551E">
      <w:pPr>
        <w:pStyle w:val="Caption"/>
        <w:spacing w:after="0"/>
        <w:rPr>
          <w:sz w:val="24"/>
          <w:szCs w:val="24"/>
        </w:rPr>
      </w:pPr>
      <w:r w:rsidRPr="002E3B42">
        <w:rPr>
          <w:sz w:val="24"/>
          <w:szCs w:val="24"/>
        </w:rPr>
        <w:t xml:space="preserve">Source: MA Violent Death Reporting System, MA Department of Public Health </w:t>
      </w:r>
    </w:p>
    <w:p w14:paraId="1F1E1D9F" w14:textId="6C558988" w:rsidR="0055441F" w:rsidRPr="002E3B42" w:rsidRDefault="008D551E" w:rsidP="008D551E">
      <w:pPr>
        <w:pStyle w:val="Caption"/>
        <w:spacing w:after="0"/>
        <w:rPr>
          <w:sz w:val="24"/>
          <w:szCs w:val="24"/>
        </w:rPr>
      </w:pPr>
      <w:r w:rsidRPr="002E3B42">
        <w:rPr>
          <w:sz w:val="24"/>
          <w:szCs w:val="24"/>
        </w:rPr>
        <w:t>*Circumstances under 6 not displayed for confidentiality purposes</w:t>
      </w:r>
      <w:r w:rsidR="00A852C7">
        <w:rPr>
          <w:sz w:val="24"/>
          <w:szCs w:val="24"/>
        </w:rPr>
        <w:t>; Tx=treatment</w:t>
      </w:r>
    </w:p>
    <w:p w14:paraId="1BCC52C4" w14:textId="4173C340" w:rsidR="00505BF9" w:rsidRPr="00E548DF" w:rsidRDefault="0055441F" w:rsidP="0055441F">
      <w:pPr>
        <w:spacing w:after="0"/>
      </w:pPr>
      <w:r w:rsidRPr="00E548DF">
        <w:t>C</w:t>
      </w:r>
      <w:r>
        <w:t xml:space="preserve">ircumstances for suicides varied by </w:t>
      </w:r>
      <w:r w:rsidR="007467A5">
        <w:t>race and ethnicity</w:t>
      </w:r>
      <w:r>
        <w:t xml:space="preserve"> in </w:t>
      </w:r>
      <w:r w:rsidRPr="00E548DF">
        <w:t>202</w:t>
      </w:r>
      <w:r w:rsidR="0071293F">
        <w:t>3</w:t>
      </w:r>
      <w:r w:rsidRPr="00E548DF">
        <w:t>:</w:t>
      </w:r>
    </w:p>
    <w:p w14:paraId="6719D025" w14:textId="5ED4CD15" w:rsidR="001647F3" w:rsidRPr="001647F3" w:rsidRDefault="001647F3" w:rsidP="00F5764E">
      <w:pPr>
        <w:pStyle w:val="ListParagraph"/>
        <w:numPr>
          <w:ilvl w:val="0"/>
          <w:numId w:val="28"/>
        </w:numPr>
        <w:spacing w:before="0" w:after="0" w:line="240" w:lineRule="auto"/>
        <w:ind w:left="360"/>
        <w:contextualSpacing w:val="0"/>
      </w:pPr>
      <w:r>
        <w:t>White, NH individuals had the highest percentage of alcohol or substance misuse (34.2%), followed by Black, NH individuals (32.4%).</w:t>
      </w:r>
    </w:p>
    <w:p w14:paraId="264AA80C" w14:textId="5BD8AF12" w:rsidR="001647F3" w:rsidRPr="0099341C" w:rsidRDefault="001647F3" w:rsidP="001647F3">
      <w:pPr>
        <w:pStyle w:val="ListParagraph"/>
        <w:numPr>
          <w:ilvl w:val="0"/>
          <w:numId w:val="28"/>
        </w:numPr>
        <w:spacing w:before="0" w:after="0" w:line="240" w:lineRule="auto"/>
        <w:ind w:left="360"/>
        <w:contextualSpacing w:val="0"/>
      </w:pPr>
      <w:r>
        <w:t xml:space="preserve">Hispanic/Latino/a/e individuals had the lowest reportable percentage of a history of suicide attempts (15.8%). </w:t>
      </w:r>
    </w:p>
    <w:p w14:paraId="0408611D" w14:textId="11A7EF68" w:rsidR="001647F3" w:rsidRDefault="001647F3" w:rsidP="001647F3">
      <w:pPr>
        <w:pStyle w:val="ListParagraph"/>
        <w:numPr>
          <w:ilvl w:val="0"/>
          <w:numId w:val="28"/>
        </w:numPr>
        <w:spacing w:before="0" w:after="0" w:line="240" w:lineRule="auto"/>
        <w:ind w:left="360"/>
        <w:contextualSpacing w:val="0"/>
      </w:pPr>
      <w:r>
        <w:t xml:space="preserve">Black, NH individuals had the lowest percentage of current mental health diagnoses, current treatment and a history of treatment for a mental health diagnosis or alcohol/substance misuse (58.8%, 38.2%, and 47.1%, respectively). They also had the largest gap between having a history of treatment and current treatment (47.1% vs. 38.2%, respectively). </w:t>
      </w:r>
    </w:p>
    <w:p w14:paraId="660B90AC" w14:textId="3E880DCF" w:rsidR="003A765D" w:rsidRDefault="001647F3" w:rsidP="003A765D">
      <w:pPr>
        <w:pStyle w:val="ListParagraph"/>
        <w:numPr>
          <w:ilvl w:val="0"/>
          <w:numId w:val="28"/>
        </w:numPr>
        <w:spacing w:before="0" w:after="0" w:line="240" w:lineRule="auto"/>
        <w:ind w:left="360"/>
        <w:contextualSpacing w:val="0"/>
      </w:pPr>
      <w:r>
        <w:t>Asian NHPI, NH individuals had the highest percentage of history of suicide attempts (38.5%), which was almost 2 times higher than all other reportable race and ethnicity groups.</w:t>
      </w:r>
    </w:p>
    <w:p w14:paraId="02EBE091" w14:textId="77777777" w:rsidR="00C2169A" w:rsidRDefault="00C2169A" w:rsidP="00C2169A">
      <w:pPr>
        <w:pStyle w:val="ListParagraph"/>
        <w:spacing w:before="0" w:after="0" w:line="240" w:lineRule="auto"/>
        <w:ind w:left="360"/>
        <w:contextualSpacing w:val="0"/>
      </w:pPr>
    </w:p>
    <w:p w14:paraId="23365770" w14:textId="77777777" w:rsidR="00C2169A" w:rsidRDefault="00C2169A" w:rsidP="00C2169A">
      <w:pPr>
        <w:pStyle w:val="ListParagraph"/>
        <w:spacing w:before="0" w:after="0" w:line="240" w:lineRule="auto"/>
        <w:ind w:left="360"/>
        <w:contextualSpacing w:val="0"/>
      </w:pPr>
    </w:p>
    <w:p w14:paraId="25D01DD2" w14:textId="77777777" w:rsidR="00F30587" w:rsidRDefault="00F30587" w:rsidP="00C2169A">
      <w:pPr>
        <w:pStyle w:val="ListParagraph"/>
        <w:spacing w:before="0" w:after="0" w:line="240" w:lineRule="auto"/>
        <w:ind w:left="360"/>
        <w:contextualSpacing w:val="0"/>
      </w:pPr>
    </w:p>
    <w:p w14:paraId="0680A5AB" w14:textId="77777777" w:rsidR="00F30587" w:rsidRDefault="00F30587" w:rsidP="00C2169A">
      <w:pPr>
        <w:pStyle w:val="ListParagraph"/>
        <w:spacing w:before="0" w:after="0" w:line="240" w:lineRule="auto"/>
        <w:ind w:left="360"/>
        <w:contextualSpacing w:val="0"/>
      </w:pPr>
    </w:p>
    <w:bookmarkStart w:id="5" w:name="_Toc220311109"/>
    <w:p w14:paraId="030FC0AF" w14:textId="1C526D36" w:rsidR="00704FD8" w:rsidRDefault="007D37C6" w:rsidP="00704FD8">
      <w:pPr>
        <w:pStyle w:val="Heading1"/>
      </w:pPr>
      <w:r w:rsidRPr="00D071C6">
        <w:lastRenderedPageBreak/>
        <mc:AlternateContent>
          <mc:Choice Requires="wps">
            <w:drawing>
              <wp:anchor distT="0" distB="0" distL="0" distR="0" simplePos="0" relativeHeight="251678720" behindDoc="1" locked="0" layoutInCell="1" allowOverlap="1" wp14:anchorId="7B81DC87" wp14:editId="3FF61DE1">
                <wp:simplePos x="0" y="0"/>
                <wp:positionH relativeFrom="margin">
                  <wp:posOffset>0</wp:posOffset>
                </wp:positionH>
                <wp:positionV relativeFrom="paragraph">
                  <wp:posOffset>310515</wp:posOffset>
                </wp:positionV>
                <wp:extent cx="5937250" cy="45085"/>
                <wp:effectExtent l="0" t="0" r="0" b="0"/>
                <wp:wrapTopAndBottom/>
                <wp:docPr id="70737856"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8F977" id="Freeform 272" o:spid="_x0000_s1026" alt="&quot;&quot;" style="position:absolute;margin-left:0;margin-top:24.45pt;width:467.5pt;height:3.55pt;z-index:-2516377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 xml:space="preserve">Geography of </w:t>
      </w:r>
      <w:r w:rsidR="00891807">
        <w:t>s</w:t>
      </w:r>
      <w:r>
        <w:t xml:space="preserve">uicide </w:t>
      </w:r>
      <w:r w:rsidR="00891807">
        <w:t>d</w:t>
      </w:r>
      <w:r>
        <w:t>eaths</w:t>
      </w:r>
      <w:bookmarkEnd w:id="5"/>
    </w:p>
    <w:p w14:paraId="701BD351" w14:textId="77460772" w:rsidR="00A8048D" w:rsidRPr="004C5E0E" w:rsidRDefault="004C5E0E" w:rsidP="00E371C0">
      <w:pPr>
        <w:pStyle w:val="Heading2"/>
        <w:spacing w:before="0" w:after="0"/>
      </w:pPr>
      <w:r>
        <w:t>Suicide</w:t>
      </w:r>
      <w:r w:rsidR="003C1A00">
        <w:t>s by county and city/town</w:t>
      </w:r>
    </w:p>
    <w:p w14:paraId="1DDECE2F" w14:textId="4DBA29D5" w:rsidR="00CC122E" w:rsidRPr="00DE5122" w:rsidRDefault="00CC122E" w:rsidP="00CB5C3B">
      <w:pPr>
        <w:pStyle w:val="Caption"/>
        <w:keepNext/>
        <w:spacing w:after="0"/>
        <w:rPr>
          <w:b/>
          <w:bCs/>
          <w:i w:val="0"/>
          <w:iCs w:val="0"/>
          <w:color w:val="auto"/>
          <w:sz w:val="24"/>
          <w:szCs w:val="24"/>
        </w:rPr>
      </w:pPr>
      <w:r w:rsidRPr="00DE5122">
        <w:rPr>
          <w:b/>
          <w:bCs/>
          <w:i w:val="0"/>
          <w:iCs w:val="0"/>
          <w:color w:val="auto"/>
          <w:sz w:val="24"/>
          <w:szCs w:val="24"/>
        </w:rPr>
        <w:t xml:space="preserve">Figure 7. Rates and </w:t>
      </w:r>
      <w:r w:rsidR="00891807" w:rsidRPr="00DE5122">
        <w:rPr>
          <w:b/>
          <w:bCs/>
          <w:i w:val="0"/>
          <w:iCs w:val="0"/>
          <w:color w:val="auto"/>
          <w:sz w:val="24"/>
          <w:szCs w:val="24"/>
        </w:rPr>
        <w:t>c</w:t>
      </w:r>
      <w:r w:rsidRPr="00DE5122">
        <w:rPr>
          <w:b/>
          <w:bCs/>
          <w:i w:val="0"/>
          <w:iCs w:val="0"/>
          <w:color w:val="auto"/>
          <w:sz w:val="24"/>
          <w:szCs w:val="24"/>
        </w:rPr>
        <w:t xml:space="preserve">ounts of </w:t>
      </w:r>
      <w:r w:rsidR="00891807" w:rsidRPr="00DE5122">
        <w:rPr>
          <w:b/>
          <w:bCs/>
          <w:i w:val="0"/>
          <w:iCs w:val="0"/>
          <w:color w:val="auto"/>
          <w:sz w:val="24"/>
          <w:szCs w:val="24"/>
        </w:rPr>
        <w:t>s</w:t>
      </w:r>
      <w:r w:rsidRPr="00DE5122">
        <w:rPr>
          <w:b/>
          <w:bCs/>
          <w:i w:val="0"/>
          <w:iCs w:val="0"/>
          <w:color w:val="auto"/>
          <w:sz w:val="24"/>
          <w:szCs w:val="24"/>
        </w:rPr>
        <w:t xml:space="preserve">uicides by </w:t>
      </w:r>
      <w:r w:rsidR="00891807" w:rsidRPr="00DE5122">
        <w:rPr>
          <w:b/>
          <w:bCs/>
          <w:i w:val="0"/>
          <w:iCs w:val="0"/>
          <w:color w:val="auto"/>
          <w:sz w:val="24"/>
          <w:szCs w:val="24"/>
        </w:rPr>
        <w:t>c</w:t>
      </w:r>
      <w:r w:rsidRPr="00DE5122">
        <w:rPr>
          <w:b/>
          <w:bCs/>
          <w:i w:val="0"/>
          <w:iCs w:val="0"/>
          <w:color w:val="auto"/>
          <w:sz w:val="24"/>
          <w:szCs w:val="24"/>
        </w:rPr>
        <w:t>ounty in M</w:t>
      </w:r>
      <w:r w:rsidR="00855237" w:rsidRPr="00DE5122">
        <w:rPr>
          <w:b/>
          <w:bCs/>
          <w:i w:val="0"/>
          <w:iCs w:val="0"/>
          <w:color w:val="auto"/>
          <w:sz w:val="24"/>
          <w:szCs w:val="24"/>
        </w:rPr>
        <w:t xml:space="preserve">A, </w:t>
      </w:r>
      <w:r w:rsidRPr="00DE5122">
        <w:rPr>
          <w:b/>
          <w:bCs/>
          <w:i w:val="0"/>
          <w:iCs w:val="0"/>
          <w:color w:val="auto"/>
          <w:sz w:val="24"/>
          <w:szCs w:val="24"/>
        </w:rPr>
        <w:t>202</w:t>
      </w:r>
      <w:r w:rsidR="00024352">
        <w:rPr>
          <w:b/>
          <w:bCs/>
          <w:i w:val="0"/>
          <w:iCs w:val="0"/>
          <w:color w:val="auto"/>
          <w:sz w:val="24"/>
          <w:szCs w:val="24"/>
        </w:rPr>
        <w:t>3</w:t>
      </w:r>
    </w:p>
    <w:p w14:paraId="637BDED4" w14:textId="1A63A850" w:rsidR="00A97BF7" w:rsidRPr="00A97BF7" w:rsidRDefault="00A21C9C" w:rsidP="00072627">
      <w:pPr>
        <w:pStyle w:val="Heading2"/>
        <w:spacing w:before="0" w:after="0"/>
        <w:jc w:val="center"/>
      </w:pPr>
      <w:r w:rsidRPr="00A21C9C">
        <w:rPr>
          <w:noProof/>
        </w:rPr>
        <w:drawing>
          <wp:inline distT="0" distB="0" distL="0" distR="0" wp14:anchorId="7C3CBC22" wp14:editId="3A2B6B69">
            <wp:extent cx="5695950" cy="3956129"/>
            <wp:effectExtent l="19050" t="19050" r="19050" b="25400"/>
            <wp:docPr id="8929932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93271" name="Picture 1">
                      <a:extLst>
                        <a:ext uri="{C183D7F6-B498-43B3-948B-1728B52AA6E4}">
                          <adec:decorative xmlns:adec="http://schemas.microsoft.com/office/drawing/2017/decorative" val="1"/>
                        </a:ext>
                      </a:extLst>
                    </pic:cNvPr>
                    <pic:cNvPicPr/>
                  </pic:nvPicPr>
                  <pic:blipFill>
                    <a:blip r:embed="rId21"/>
                    <a:stretch>
                      <a:fillRect/>
                    </a:stretch>
                  </pic:blipFill>
                  <pic:spPr>
                    <a:xfrm>
                      <a:off x="0" y="0"/>
                      <a:ext cx="5699917" cy="3958884"/>
                    </a:xfrm>
                    <a:prstGeom prst="rect">
                      <a:avLst/>
                    </a:prstGeom>
                    <a:ln>
                      <a:solidFill>
                        <a:schemeClr val="tx1"/>
                      </a:solidFill>
                    </a:ln>
                  </pic:spPr>
                </pic:pic>
              </a:graphicData>
            </a:graphic>
          </wp:inline>
        </w:drawing>
      </w:r>
    </w:p>
    <w:p w14:paraId="3469DB73" w14:textId="77777777" w:rsidR="00F5764E" w:rsidRDefault="00DB7D9F" w:rsidP="00072627">
      <w:pPr>
        <w:spacing w:before="0" w:after="0" w:line="240" w:lineRule="auto"/>
      </w:pPr>
      <w:r>
        <w:t>Suicide rates in Massachusetts varied by county in 202</w:t>
      </w:r>
      <w:r w:rsidR="00A0453B">
        <w:t>3</w:t>
      </w:r>
      <w:r>
        <w:t>:</w:t>
      </w:r>
    </w:p>
    <w:p w14:paraId="39649F2A" w14:textId="4C3F5342" w:rsidR="007D29B5" w:rsidRPr="00F5764E" w:rsidRDefault="007D29B5" w:rsidP="00072627">
      <w:pPr>
        <w:pStyle w:val="ListParagraph"/>
        <w:numPr>
          <w:ilvl w:val="0"/>
          <w:numId w:val="34"/>
        </w:numPr>
        <w:spacing w:before="0" w:after="0" w:line="240" w:lineRule="auto"/>
      </w:pPr>
      <w:r w:rsidRPr="00A03188">
        <w:t>In 20</w:t>
      </w:r>
      <w:r>
        <w:t>23</w:t>
      </w:r>
      <w:r w:rsidRPr="00A03188">
        <w:t xml:space="preserve">, </w:t>
      </w:r>
      <w:r>
        <w:t>Franklin</w:t>
      </w:r>
      <w:r w:rsidRPr="00A03188">
        <w:t xml:space="preserve"> </w:t>
      </w:r>
      <w:r>
        <w:t>(24.0/100,000 persons, n =17)</w:t>
      </w:r>
      <w:r w:rsidRPr="00A03188">
        <w:t xml:space="preserve">, </w:t>
      </w:r>
      <w:r>
        <w:t>Dukes</w:t>
      </w:r>
      <w:r w:rsidRPr="00A03188">
        <w:t xml:space="preserve"> </w:t>
      </w:r>
      <w:r>
        <w:t>(24.0/100,000 persons, n = 5)</w:t>
      </w:r>
      <w:r w:rsidRPr="00A03188">
        <w:t xml:space="preserve">, and </w:t>
      </w:r>
      <w:r>
        <w:t>Barnstable</w:t>
      </w:r>
      <w:r w:rsidRPr="00A03188">
        <w:t xml:space="preserve"> </w:t>
      </w:r>
      <w:r>
        <w:t>(11.7/100,000 persons, n = 27)</w:t>
      </w:r>
      <w:r w:rsidRPr="00A03188">
        <w:t xml:space="preserve"> counties had the highest rates of suicide</w:t>
      </w:r>
      <w:r>
        <w:t>.</w:t>
      </w:r>
      <w:r w:rsidRPr="00F5764E">
        <w:rPr>
          <w:vertAlign w:val="superscript"/>
        </w:rPr>
        <w:t>2</w:t>
      </w:r>
    </w:p>
    <w:p w14:paraId="32383889" w14:textId="7D8CA6E5" w:rsidR="007D29B5" w:rsidRPr="00A03188" w:rsidRDefault="007D29B5" w:rsidP="007D29B5">
      <w:pPr>
        <w:pStyle w:val="ListParagraph"/>
        <w:numPr>
          <w:ilvl w:val="0"/>
          <w:numId w:val="30"/>
        </w:numPr>
        <w:spacing w:before="0" w:after="0" w:line="240" w:lineRule="auto"/>
        <w:contextualSpacing w:val="0"/>
      </w:pPr>
      <w:r>
        <w:t>Suffolk</w:t>
      </w:r>
      <w:r w:rsidRPr="00A03188">
        <w:t xml:space="preserve"> County had the lowest measurable rate of suicide in 20</w:t>
      </w:r>
      <w:r>
        <w:t>23</w:t>
      </w:r>
      <w:r w:rsidRPr="00A03188">
        <w:t xml:space="preserve"> </w:t>
      </w:r>
      <w:r>
        <w:t>(6.6/100,000 persons, n = 51)</w:t>
      </w:r>
      <w:r w:rsidRPr="00A03188">
        <w:t>.</w:t>
      </w:r>
      <w:r>
        <w:t xml:space="preserve"> </w:t>
      </w:r>
    </w:p>
    <w:p w14:paraId="62DE915D" w14:textId="77777777" w:rsidR="007D29B5" w:rsidRDefault="007D29B5" w:rsidP="007D29B5">
      <w:pPr>
        <w:pStyle w:val="ListParagraph"/>
        <w:numPr>
          <w:ilvl w:val="0"/>
          <w:numId w:val="30"/>
        </w:numPr>
        <w:spacing w:before="0" w:after="0" w:line="240" w:lineRule="auto"/>
        <w:contextualSpacing w:val="0"/>
      </w:pPr>
      <w:r w:rsidRPr="00A03188">
        <w:t>Middlesex County had the highest number of suicides in 20</w:t>
      </w:r>
      <w:r>
        <w:t>23</w:t>
      </w:r>
      <w:r w:rsidRPr="00A03188">
        <w:t xml:space="preserve"> (</w:t>
      </w:r>
      <w:r>
        <w:t>n = 138, 8.5/100,000 persons)</w:t>
      </w:r>
      <w:r w:rsidRPr="00A03188">
        <w:t>.</w:t>
      </w:r>
    </w:p>
    <w:p w14:paraId="1903FA58" w14:textId="77777777" w:rsidR="00002631" w:rsidRPr="00002631" w:rsidRDefault="00002631" w:rsidP="00002631">
      <w:pPr>
        <w:spacing w:before="0" w:after="0" w:line="240" w:lineRule="auto"/>
        <w:ind w:left="360"/>
        <w:rPr>
          <w:sz w:val="6"/>
          <w:szCs w:val="6"/>
        </w:rPr>
      </w:pPr>
    </w:p>
    <w:p w14:paraId="69D49746" w14:textId="240CF97F" w:rsidR="000B3FE5" w:rsidRDefault="000B3FE5" w:rsidP="00002631">
      <w:pPr>
        <w:spacing w:before="0" w:after="0"/>
      </w:pPr>
      <w:r>
        <w:t>Suicide rates in Massachusetts also varied by city/town:</w:t>
      </w:r>
    </w:p>
    <w:p w14:paraId="1216D59E" w14:textId="728D8142" w:rsidR="00A0453B" w:rsidRPr="004106AB" w:rsidRDefault="00A0453B" w:rsidP="00F5764E">
      <w:pPr>
        <w:pStyle w:val="ListParagraph"/>
        <w:numPr>
          <w:ilvl w:val="0"/>
          <w:numId w:val="30"/>
        </w:numPr>
        <w:spacing w:before="0" w:after="0" w:line="240" w:lineRule="auto"/>
        <w:contextualSpacing w:val="0"/>
      </w:pPr>
      <w:r>
        <w:t xml:space="preserve">273 </w:t>
      </w:r>
      <w:r w:rsidRPr="004106AB">
        <w:t xml:space="preserve">cities/towns reported at least one suicide </w:t>
      </w:r>
      <w:r>
        <w:t>between 2022 and 2023</w:t>
      </w:r>
      <w:r w:rsidRPr="004106AB">
        <w:t>.</w:t>
      </w:r>
    </w:p>
    <w:p w14:paraId="214F4883" w14:textId="77777777" w:rsidR="00A0453B" w:rsidRPr="0090699D" w:rsidRDefault="00A0453B" w:rsidP="00A0453B">
      <w:pPr>
        <w:pStyle w:val="ListParagraph"/>
        <w:numPr>
          <w:ilvl w:val="0"/>
          <w:numId w:val="30"/>
        </w:numPr>
        <w:spacing w:before="0" w:after="0" w:line="240" w:lineRule="auto"/>
        <w:contextualSpacing w:val="0"/>
      </w:pPr>
      <w:r>
        <w:t>6</w:t>
      </w:r>
      <w:r w:rsidRPr="004106AB">
        <w:t xml:space="preserve"> cities/towns reported at least 20 suicides between 202</w:t>
      </w:r>
      <w:r>
        <w:t>2</w:t>
      </w:r>
      <w:r w:rsidRPr="004106AB">
        <w:t xml:space="preserve"> and 202</w:t>
      </w:r>
      <w:r>
        <w:t>3:</w:t>
      </w:r>
    </w:p>
    <w:p w14:paraId="799D90B2" w14:textId="77777777" w:rsidR="00A0453B" w:rsidRPr="0090699D" w:rsidRDefault="00A0453B" w:rsidP="00A0453B">
      <w:pPr>
        <w:pStyle w:val="ListParagraph"/>
        <w:numPr>
          <w:ilvl w:val="1"/>
          <w:numId w:val="30"/>
        </w:numPr>
        <w:spacing w:before="0" w:after="0" w:line="240" w:lineRule="auto"/>
        <w:contextualSpacing w:val="0"/>
      </w:pPr>
      <w:r w:rsidRPr="004106AB">
        <w:t>New Bedford (1</w:t>
      </w:r>
      <w:r>
        <w:t>4.3</w:t>
      </w:r>
      <w:r w:rsidRPr="004106AB">
        <w:t>/100,000 persons, n</w:t>
      </w:r>
      <w:r>
        <w:t xml:space="preserve">=29) </w:t>
      </w:r>
    </w:p>
    <w:p w14:paraId="2CC4FBF8" w14:textId="77777777" w:rsidR="00A0453B" w:rsidRDefault="00A0453B" w:rsidP="00A0453B">
      <w:pPr>
        <w:pStyle w:val="ListParagraph"/>
        <w:numPr>
          <w:ilvl w:val="1"/>
          <w:numId w:val="30"/>
        </w:numPr>
        <w:spacing w:before="0" w:after="0" w:line="240" w:lineRule="auto"/>
        <w:contextualSpacing w:val="0"/>
      </w:pPr>
      <w:r>
        <w:t>F</w:t>
      </w:r>
      <w:r w:rsidRPr="004106AB">
        <w:t>all River (12.</w:t>
      </w:r>
      <w:r>
        <w:t>7</w:t>
      </w:r>
      <w:r w:rsidRPr="004106AB">
        <w:t>/100,000 persons, n = 2</w:t>
      </w:r>
      <w:r>
        <w:t>4</w:t>
      </w:r>
      <w:r w:rsidRPr="004106AB">
        <w:t>)</w:t>
      </w:r>
    </w:p>
    <w:p w14:paraId="1C0323F3" w14:textId="77777777" w:rsidR="00A0453B" w:rsidRDefault="00A0453B" w:rsidP="00A0453B">
      <w:pPr>
        <w:pStyle w:val="ListParagraph"/>
        <w:numPr>
          <w:ilvl w:val="1"/>
          <w:numId w:val="30"/>
        </w:numPr>
        <w:spacing w:before="0" w:after="0" w:line="240" w:lineRule="auto"/>
        <w:contextualSpacing w:val="0"/>
      </w:pPr>
      <w:r>
        <w:t>Brockton</w:t>
      </w:r>
      <w:r w:rsidRPr="004106AB">
        <w:t xml:space="preserve"> (</w:t>
      </w:r>
      <w:r>
        <w:t>9.3</w:t>
      </w:r>
      <w:r w:rsidRPr="004106AB">
        <w:t>/100,000 persons, n = 2</w:t>
      </w:r>
      <w:r>
        <w:t>0</w:t>
      </w:r>
      <w:r w:rsidRPr="004106AB">
        <w:t xml:space="preserve">) </w:t>
      </w:r>
    </w:p>
    <w:p w14:paraId="3F86E65D" w14:textId="77777777" w:rsidR="00A0453B" w:rsidRDefault="00A0453B" w:rsidP="00A0453B">
      <w:pPr>
        <w:pStyle w:val="ListParagraph"/>
        <w:numPr>
          <w:ilvl w:val="1"/>
          <w:numId w:val="30"/>
        </w:numPr>
        <w:spacing w:before="0" w:after="0" w:line="240" w:lineRule="auto"/>
        <w:contextualSpacing w:val="0"/>
      </w:pPr>
      <w:r>
        <w:t>Springfield (8.4/100,000 persons, n=26)</w:t>
      </w:r>
    </w:p>
    <w:p w14:paraId="35404365" w14:textId="77777777" w:rsidR="00A0453B" w:rsidRPr="007D17CF" w:rsidRDefault="00A0453B" w:rsidP="00A0453B">
      <w:pPr>
        <w:pStyle w:val="ListParagraph"/>
        <w:numPr>
          <w:ilvl w:val="1"/>
          <w:numId w:val="30"/>
        </w:numPr>
        <w:spacing w:before="0" w:after="0" w:line="240" w:lineRule="auto"/>
        <w:contextualSpacing w:val="0"/>
      </w:pPr>
      <w:r>
        <w:t>Worcester (7.9/100,000 persons, n=33)</w:t>
      </w:r>
    </w:p>
    <w:p w14:paraId="37547A6F" w14:textId="32D4B09B" w:rsidR="00A0453B" w:rsidRPr="004106AB" w:rsidRDefault="00A0453B" w:rsidP="00F5764E">
      <w:pPr>
        <w:pStyle w:val="ListParagraph"/>
        <w:numPr>
          <w:ilvl w:val="1"/>
          <w:numId w:val="30"/>
        </w:numPr>
        <w:spacing w:before="0" w:after="0" w:line="240" w:lineRule="auto"/>
        <w:contextualSpacing w:val="0"/>
      </w:pPr>
      <w:r>
        <w:t>Boston (7.4/100,000 persons, n=96)</w:t>
      </w:r>
    </w:p>
    <w:bookmarkStart w:id="6" w:name="_Toc220311110"/>
    <w:p w14:paraId="68F017AA" w14:textId="48B3181C" w:rsidR="007C1923" w:rsidRDefault="007C1923" w:rsidP="007C1923">
      <w:pPr>
        <w:pStyle w:val="Heading1"/>
      </w:pPr>
      <w:r w:rsidRPr="00D071C6">
        <w:lastRenderedPageBreak/>
        <mc:AlternateContent>
          <mc:Choice Requires="wps">
            <w:drawing>
              <wp:anchor distT="0" distB="0" distL="0" distR="0" simplePos="0" relativeHeight="251680768" behindDoc="1" locked="0" layoutInCell="1" allowOverlap="1" wp14:anchorId="5DC8D57C" wp14:editId="7CB2D221">
                <wp:simplePos x="0" y="0"/>
                <wp:positionH relativeFrom="margin">
                  <wp:posOffset>0</wp:posOffset>
                </wp:positionH>
                <wp:positionV relativeFrom="paragraph">
                  <wp:posOffset>310515</wp:posOffset>
                </wp:positionV>
                <wp:extent cx="5937250" cy="45085"/>
                <wp:effectExtent l="0" t="0" r="0" b="0"/>
                <wp:wrapTopAndBottom/>
                <wp:docPr id="1781665552"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CE861" id="Freeform 272" o:spid="_x0000_s1026" alt="&quot;&quot;" style="position:absolute;margin-left:0;margin-top:24.45pt;width:467.5pt;height:3.55pt;z-index:-2516357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 xml:space="preserve">Hospital </w:t>
      </w:r>
      <w:r w:rsidR="00891807">
        <w:t>v</w:t>
      </w:r>
      <w:r>
        <w:t xml:space="preserve">isits for </w:t>
      </w:r>
      <w:r w:rsidR="00891807">
        <w:t>s</w:t>
      </w:r>
      <w:r>
        <w:t>elf-</w:t>
      </w:r>
      <w:r w:rsidR="00891807">
        <w:t>i</w:t>
      </w:r>
      <w:r>
        <w:t xml:space="preserve">nflicted </w:t>
      </w:r>
      <w:r w:rsidR="00891807">
        <w:t>i</w:t>
      </w:r>
      <w:r>
        <w:t>njuries</w:t>
      </w:r>
      <w:bookmarkEnd w:id="6"/>
    </w:p>
    <w:p w14:paraId="5CF77C0C" w14:textId="4F397D3B" w:rsidR="00F50C46" w:rsidRDefault="00E3364F" w:rsidP="007766D1">
      <w:pPr>
        <w:spacing w:before="0" w:after="0" w:line="240" w:lineRule="auto"/>
      </w:pPr>
      <w:r w:rsidRPr="00E3364F">
        <w:t>The Center for Health Information and Analysis collects information on Massachusetts outpatient emergency department discharges, inpatient hospital discharges and outpatient observation stays. The analysis below uses information on self-inflicted injuries from these datasets. Self-inflicted injuries do not equate to suicide attempts and can include injuries that were inflicted to harm oneself without the intent of ending one’s life.</w:t>
      </w:r>
    </w:p>
    <w:p w14:paraId="57B5BFDE" w14:textId="35C14D18" w:rsidR="00F50C46" w:rsidRPr="00F50C46" w:rsidRDefault="009C23BE" w:rsidP="00F50C46">
      <w:pPr>
        <w:pStyle w:val="Heading2"/>
        <w:spacing w:after="0"/>
      </w:pPr>
      <w:r>
        <w:rPr>
          <w:rFonts w:ascii="Arial" w:hAnsi="Arial"/>
          <w:noProof/>
          <w:sz w:val="20"/>
          <w:szCs w:val="20"/>
        </w:rPr>
        <w:drawing>
          <wp:anchor distT="0" distB="0" distL="114300" distR="114300" simplePos="0" relativeHeight="251702272" behindDoc="0" locked="0" layoutInCell="1" allowOverlap="1" wp14:anchorId="7D9007F1" wp14:editId="76038E7A">
            <wp:simplePos x="0" y="0"/>
            <wp:positionH relativeFrom="column">
              <wp:posOffset>-57150</wp:posOffset>
            </wp:positionH>
            <wp:positionV relativeFrom="paragraph">
              <wp:posOffset>125095</wp:posOffset>
            </wp:positionV>
            <wp:extent cx="3324225" cy="2581275"/>
            <wp:effectExtent l="0" t="0" r="9525" b="9525"/>
            <wp:wrapSquare wrapText="bothSides"/>
            <wp:docPr id="640076579" name="Chart 6400765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096796">
        <w:t>Self-inflicted injuries by sex</w:t>
      </w:r>
    </w:p>
    <w:p w14:paraId="4E5DB617" w14:textId="3D57DF28" w:rsidR="00547218" w:rsidRPr="00E65845" w:rsidRDefault="006133E5" w:rsidP="00F5764E">
      <w:pPr>
        <w:spacing w:before="0" w:after="0" w:line="240" w:lineRule="auto"/>
      </w:pPr>
      <w:r>
        <w:rPr>
          <w:noProof/>
        </w:rPr>
        <mc:AlternateContent>
          <mc:Choice Requires="wps">
            <w:drawing>
              <wp:anchor distT="0" distB="0" distL="114300" distR="114300" simplePos="0" relativeHeight="251714560" behindDoc="0" locked="0" layoutInCell="1" allowOverlap="1" wp14:anchorId="6077CEF7" wp14:editId="09F3E48B">
                <wp:simplePos x="0" y="0"/>
                <wp:positionH relativeFrom="column">
                  <wp:posOffset>-57150</wp:posOffset>
                </wp:positionH>
                <wp:positionV relativeFrom="paragraph">
                  <wp:posOffset>2371725</wp:posOffset>
                </wp:positionV>
                <wp:extent cx="3324225" cy="400050"/>
                <wp:effectExtent l="0" t="0" r="9525" b="0"/>
                <wp:wrapSquare wrapText="bothSides"/>
                <wp:docPr id="584339978" name="Text Box 1"/>
                <wp:cNvGraphicFramePr/>
                <a:graphic xmlns:a="http://schemas.openxmlformats.org/drawingml/2006/main">
                  <a:graphicData uri="http://schemas.microsoft.com/office/word/2010/wordprocessingShape">
                    <wps:wsp>
                      <wps:cNvSpPr txBox="1"/>
                      <wps:spPr>
                        <a:xfrm>
                          <a:off x="0" y="0"/>
                          <a:ext cx="3324225" cy="400050"/>
                        </a:xfrm>
                        <a:prstGeom prst="rect">
                          <a:avLst/>
                        </a:prstGeom>
                        <a:solidFill>
                          <a:prstClr val="white"/>
                        </a:solidFill>
                        <a:ln>
                          <a:noFill/>
                        </a:ln>
                      </wps:spPr>
                      <wps:txbx>
                        <w:txbxContent>
                          <w:p w14:paraId="6D166A21" w14:textId="239FD66E" w:rsidR="00FD34FC" w:rsidRPr="00FD34FC" w:rsidRDefault="00FD34FC" w:rsidP="007766D1">
                            <w:pPr>
                              <w:pStyle w:val="Caption"/>
                              <w:spacing w:after="0"/>
                              <w:rPr>
                                <w:rFonts w:ascii="Arial" w:hAnsi="Arial"/>
                                <w:b/>
                                <w:bCs/>
                                <w:noProof/>
                                <w:color w:val="005994"/>
                                <w:sz w:val="24"/>
                                <w:szCs w:val="24"/>
                              </w:rPr>
                            </w:pPr>
                            <w:r w:rsidRPr="00FD34FC">
                              <w:rPr>
                                <w:sz w:val="24"/>
                                <w:szCs w:val="24"/>
                              </w:rPr>
                              <w:t>Source: Center for Health Information and Analysis (CHIA), 2023-2024 FY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7CEF7" id="_x0000_s1027" type="#_x0000_t202" style="position:absolute;margin-left:-4.5pt;margin-top:186.75pt;width:261.75pt;height:3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j2HQIAAEIEAAAOAAAAZHJzL2Uyb0RvYy54bWysU8Fu2zAMvQ/YPwi6L3bSdhiMOEWWIsOA&#10;oC2QFj0rshQLkEWNUmJ3Xz/KjpOu22nYRaZFiuR7fJzfdo1lR4XBgCv5dJJzppyEyrh9yZ+f1p++&#10;cBaicJWw4FTJX1Xgt4uPH+atL9QMarCVQkZJXChaX/I6Rl9kWZC1akSYgFeOnBqwEZF+cZ9VKFrK&#10;3thsluefsxaw8ghShUC3d4OTL/r8WisZH7QOKjJbcuot9if25y6d2WIuij0KXxt5akP8QxeNMI6K&#10;nlPdiSjYAc0fqRojEQLoOJHQZKC1karHQGim+Ts021p41WMhcoI/0xT+X1p5f9z6R2Sx+wodDTAR&#10;0vpQBLpMeDqNTfpSp4z8ROHrmTbVRSbp8upqdj2b3XAmyXed5/lNz2t2ee0xxG8KGpaMkiONpWdL&#10;HDchUkUKHUNSsQDWVGtjbfpJjpVFdhQ0wrY2UaUe6cVvUdalWAfp1eBON9kFSrJit+uYqd7A3EH1&#10;SugRBmEEL9eG6m1EiI8CSQkEmNQdH+jQFtqSw8nirAb8+bf7FE8DIi9nLSmr5OHHQaDizH53NLok&#10;w9HA0diNhjs0KyCkU9obL3uTHmC0o6kRmhcS/TJVIZdwkmqVPI7mKg76pqWRarnsg0hsXsSN23qZ&#10;Uo+8PnUvAv1pKpHmeQ+j5kTxbjhD7MDy8hBBm35yideBxRPdJNR+PKelSpvw9r+Puqz+4hcAAAD/&#10;/wMAUEsDBBQABgAIAAAAIQC376/X4QAAAAoBAAAPAAAAZHJzL2Rvd25yZXYueG1sTI/BTsMwEETv&#10;SPyDtUhcUOu0aQKEbCpo4QaHlqrnbWySiHgdxU6T/j3mBLdZzWj2Tb6eTCvOuneNZYTFPAKhubSq&#10;4Qrh8Pk2ewDhPLGi1rJGuGgH6+L6KqdM2ZF3+rz3lQgl7DJCqL3vMildWWtDbm47zcH7sr0hH86+&#10;kqqnMZSbVi6jKJWGGg4faur0ptbl934wCOm2H8Ydb+62h9d3+uiq5fHlckS8vZmen0B4Pfm/MPzi&#10;B3QoAtPJDqycaBFmj2GKR4jv4wRECCSLVRAnhFWcJiCLXP6fUPwAAAD//wMAUEsBAi0AFAAGAAgA&#10;AAAhALaDOJL+AAAA4QEAABMAAAAAAAAAAAAAAAAAAAAAAFtDb250ZW50X1R5cGVzXS54bWxQSwEC&#10;LQAUAAYACAAAACEAOP0h/9YAAACUAQAACwAAAAAAAAAAAAAAAAAvAQAAX3JlbHMvLnJlbHNQSwEC&#10;LQAUAAYACAAAACEASD2Y9h0CAABCBAAADgAAAAAAAAAAAAAAAAAuAgAAZHJzL2Uyb0RvYy54bWxQ&#10;SwECLQAUAAYACAAAACEAt++v1+EAAAAKAQAADwAAAAAAAAAAAAAAAAB3BAAAZHJzL2Rvd25yZXYu&#10;eG1sUEsFBgAAAAAEAAQA8wAAAIUFAAAAAA==&#10;" stroked="f">
                <v:textbox inset="0,0,0,0">
                  <w:txbxContent>
                    <w:p w14:paraId="6D166A21" w14:textId="239FD66E" w:rsidR="00FD34FC" w:rsidRPr="00FD34FC" w:rsidRDefault="00FD34FC" w:rsidP="007766D1">
                      <w:pPr>
                        <w:pStyle w:val="Caption"/>
                        <w:spacing w:after="0"/>
                        <w:rPr>
                          <w:rFonts w:ascii="Arial" w:hAnsi="Arial"/>
                          <w:b/>
                          <w:bCs/>
                          <w:noProof/>
                          <w:color w:val="005994"/>
                          <w:sz w:val="24"/>
                          <w:szCs w:val="24"/>
                        </w:rPr>
                      </w:pPr>
                      <w:r w:rsidRPr="00FD34FC">
                        <w:rPr>
                          <w:sz w:val="24"/>
                          <w:szCs w:val="24"/>
                        </w:rPr>
                        <w:t>Source: Center for Health Information and Analysis (CHIA), 2023-2024 FY</w:t>
                      </w:r>
                    </w:p>
                  </w:txbxContent>
                </v:textbox>
                <w10:wrap type="square"/>
              </v:shape>
            </w:pict>
          </mc:Fallback>
        </mc:AlternateContent>
      </w:r>
      <w:r w:rsidR="00BB40A3">
        <w:t xml:space="preserve">In 2023, females had the highest rate of self-inflicted injuries resulting in ED visits </w:t>
      </w:r>
      <w:r w:rsidR="00BB40A3" w:rsidRPr="00E65845">
        <w:t>(64.5/100,000 persons) and inpatient stays (43.</w:t>
      </w:r>
      <w:r w:rsidR="00BB40A3">
        <w:t>5</w:t>
      </w:r>
      <w:r w:rsidR="00BB40A3" w:rsidRPr="00E65845">
        <w:t>/100,000 persons). The most common mechanisms of injury among females and males in the ED were cuts/piercings (females=45%; males=36%) and</w:t>
      </w:r>
      <w:r w:rsidR="00BB40A3">
        <w:t xml:space="preserve"> drug poisoning (females=34%; males=30</w:t>
      </w:r>
      <w:r w:rsidR="00BB40A3" w:rsidRPr="00E65845">
        <w:t>%). The most common mechanism among females and males who were admitted to inpatient care was drug poisoning (females=78%; males=69%).</w:t>
      </w:r>
    </w:p>
    <w:p w14:paraId="222D87C1" w14:textId="72A41960" w:rsidR="00096796" w:rsidRDefault="00A37558" w:rsidP="00F50C46">
      <w:pPr>
        <w:pStyle w:val="Heading2"/>
        <w:spacing w:after="0"/>
      </w:pPr>
      <w:r w:rsidRPr="00513C02">
        <w:rPr>
          <w:rFonts w:ascii="Avenir Next LT Pro Demi" w:hAnsi="Avenir Next LT Pro Demi"/>
          <w:noProof/>
          <w:sz w:val="20"/>
          <w:szCs w:val="20"/>
        </w:rPr>
        <w:drawing>
          <wp:anchor distT="0" distB="0" distL="114300" distR="114300" simplePos="0" relativeHeight="251705344" behindDoc="1" locked="0" layoutInCell="1" allowOverlap="1" wp14:anchorId="536AC7EC" wp14:editId="223581DA">
            <wp:simplePos x="0" y="0"/>
            <wp:positionH relativeFrom="column">
              <wp:posOffset>0</wp:posOffset>
            </wp:positionH>
            <wp:positionV relativeFrom="paragraph">
              <wp:posOffset>417830</wp:posOffset>
            </wp:positionV>
            <wp:extent cx="4210050" cy="2133600"/>
            <wp:effectExtent l="0" t="0" r="0" b="0"/>
            <wp:wrapSquare wrapText="bothSides"/>
            <wp:docPr id="530816599" name="Chart 5308165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r w:rsidR="00096796">
        <w:t>Self-inflicted injuries by age group</w:t>
      </w:r>
    </w:p>
    <w:p w14:paraId="5F46817C" w14:textId="26D10E32" w:rsidR="003405B7" w:rsidRDefault="00C621AB" w:rsidP="003405B7">
      <w:pPr>
        <w:keepNext/>
        <w:spacing w:before="0" w:after="0" w:line="240" w:lineRule="auto"/>
      </w:pPr>
      <w:r>
        <w:t>In 2023, 15-24 year olds had the highest rate of self-inflicted injuries resulting in ED visits (144.1/100,000 persons) and inpatient stays (</w:t>
      </w:r>
      <w:r w:rsidRPr="00B11D5E">
        <w:t>76.</w:t>
      </w:r>
      <w:r>
        <w:t>3</w:t>
      </w:r>
      <w:r w:rsidRPr="00B11D5E">
        <w:t>/100,000 persons</w:t>
      </w:r>
      <w:r>
        <w:t>). The most common mechanisms of injury among 15-24 year olds in the ED were cuts/piercings</w:t>
      </w:r>
      <w:r w:rsidR="001F61DE">
        <w:t xml:space="preserve"> </w:t>
      </w:r>
      <w:r>
        <w:t>(47%) and drug</w:t>
      </w:r>
      <w:r w:rsidR="0009239A">
        <w:t xml:space="preserve"> </w:t>
      </w:r>
      <w:r>
        <w:t xml:space="preserve">poisoning (31%) </w:t>
      </w:r>
      <w:r w:rsidRPr="00B11D5E">
        <w:t>The most common mechanism among this age group who were admitted to inpatient care was drug poisoning (72%).</w:t>
      </w:r>
    </w:p>
    <w:p w14:paraId="577EDB7C" w14:textId="77777777" w:rsidR="00A37558" w:rsidRDefault="00A37558" w:rsidP="003405B7">
      <w:pPr>
        <w:keepNext/>
        <w:spacing w:before="0" w:after="0" w:line="240" w:lineRule="auto"/>
      </w:pPr>
    </w:p>
    <w:p w14:paraId="1598DE2E" w14:textId="77777777" w:rsidR="00CD65E7" w:rsidRDefault="00CD65E7" w:rsidP="003405B7">
      <w:pPr>
        <w:pStyle w:val="Heading2"/>
        <w:spacing w:before="0" w:after="0"/>
      </w:pPr>
    </w:p>
    <w:p w14:paraId="0AF926E5" w14:textId="7C20E908" w:rsidR="003405B7" w:rsidRDefault="003405B7" w:rsidP="003405B7">
      <w:pPr>
        <w:pStyle w:val="Heading2"/>
        <w:spacing w:before="0" w:after="0"/>
      </w:pPr>
      <w:r>
        <w:lastRenderedPageBreak/>
        <w:t>Self-inflicted injuries by race and ethnicity</w:t>
      </w:r>
    </w:p>
    <w:p w14:paraId="12406C02" w14:textId="4F5C9C85" w:rsidR="007D4A91" w:rsidRDefault="00A852C7" w:rsidP="00F423A1">
      <w:pPr>
        <w:keepNext/>
        <w:spacing w:after="0" w:line="240" w:lineRule="auto"/>
      </w:pPr>
      <w:r>
        <w:rPr>
          <w:noProof/>
        </w:rPr>
        <mc:AlternateContent>
          <mc:Choice Requires="wps">
            <w:drawing>
              <wp:anchor distT="0" distB="0" distL="114300" distR="114300" simplePos="0" relativeHeight="251710464" behindDoc="0" locked="0" layoutInCell="1" allowOverlap="1" wp14:anchorId="1E9F6A9A" wp14:editId="68FD3197">
                <wp:simplePos x="0" y="0"/>
                <wp:positionH relativeFrom="column">
                  <wp:posOffset>2238375</wp:posOffset>
                </wp:positionH>
                <wp:positionV relativeFrom="paragraph">
                  <wp:posOffset>2517775</wp:posOffset>
                </wp:positionV>
                <wp:extent cx="3733800" cy="635"/>
                <wp:effectExtent l="0" t="0" r="0" b="0"/>
                <wp:wrapSquare wrapText="bothSides"/>
                <wp:docPr id="1687290861" name="Text Box 1"/>
                <wp:cNvGraphicFramePr/>
                <a:graphic xmlns:a="http://schemas.openxmlformats.org/drawingml/2006/main">
                  <a:graphicData uri="http://schemas.microsoft.com/office/word/2010/wordprocessingShape">
                    <wps:wsp>
                      <wps:cNvSpPr txBox="1"/>
                      <wps:spPr>
                        <a:xfrm>
                          <a:off x="0" y="0"/>
                          <a:ext cx="3733800" cy="635"/>
                        </a:xfrm>
                        <a:prstGeom prst="rect">
                          <a:avLst/>
                        </a:prstGeom>
                        <a:solidFill>
                          <a:prstClr val="white"/>
                        </a:solidFill>
                        <a:ln>
                          <a:noFill/>
                        </a:ln>
                      </wps:spPr>
                      <wps:txbx>
                        <w:txbxContent>
                          <w:p w14:paraId="2846F0D3" w14:textId="7266DC3C" w:rsidR="009F6E60" w:rsidRPr="009F6E60" w:rsidRDefault="009F6E60" w:rsidP="00A852C7">
                            <w:pPr>
                              <w:pStyle w:val="Caption"/>
                              <w:spacing w:after="0"/>
                              <w:jc w:val="right"/>
                              <w:rPr>
                                <w:rFonts w:ascii="Arial" w:hAnsi="Arial"/>
                                <w:noProof/>
                                <w:sz w:val="24"/>
                                <w:szCs w:val="24"/>
                              </w:rPr>
                            </w:pPr>
                            <w:r w:rsidRPr="009F6E60">
                              <w:rPr>
                                <w:sz w:val="24"/>
                                <w:szCs w:val="24"/>
                              </w:rPr>
                              <w:t>Source: Center for Health Information and Analysis (CHIA), 2023-2024 FY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E9F6A9A" id="_x0000_s1028" type="#_x0000_t202" style="position:absolute;margin-left:176.25pt;margin-top:198.25pt;width:294pt;height:.0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x+GgIAAD8EAAAOAAAAZHJzL2Uyb0RvYy54bWysU01v2zAMvQ/YfxB0X5wPrCuMOEWWIsOA&#10;oC2QDj0rshwLkEWNUmJ3v36UbCdbt9Owi0yTFCm+97i86xrDzgq9Blvw2WTKmbISSm2PBf/2vP1w&#10;y5kPwpbCgFUFf1We363ev1u2LldzqMGUChkVsT5vXcHrEFyeZV7WqhF+Ak5ZClaAjQj0i8esRNFS&#10;9cZk8+n0JmsBS4cglffkve+DfJXqV5WS4bGqvArMFJzeFtKJ6TzEM1stRX5E4Woth2eIf3hFI7Sl&#10;ppdS9yIIdkL9R6lGSwQPVZhIaDKoKi1VmoGmmU3fTLOvhVNpFgLHuwtM/v+VlQ/nvXtCFrrP0BGB&#10;EZDW+dyTM87TVdjEL72UUZwgfL3AprrAJDkXnxaL2ymFJMVuFh9jjex61aEPXxQ0LBoFR+IkQSXO&#10;Ox/61DEldvJgdLnVxsSfGNgYZGdB/LW1Dmoo/luWsTHXQrzVF4ye7DpHtEJ36JguCz4fZzxA+Uqj&#10;I/Sq8E5uNfXbCR+eBJIMaCSSdnikozLQFhwGi7Ma8Mff/DGf2KEoZy3JquD++0mg4sx8tcRb1OBo&#10;4GgcRsOemg3QpDNaGieTSRcwmNGsEJoXUvw6dqGQsJJ6FTyM5ib04qaNkWq9TkmkNCfCzu6djKVH&#10;XJ+7F4FuYCUQmQ8wCk7kb8jpcxM9bn0KhHRiLuLaozjATSpN3A8bFdfg1/+Udd371U8AAAD//wMA&#10;UEsDBBQABgAIAAAAIQDyISek4AAAAAsBAAAPAAAAZHJzL2Rvd25yZXYueG1sTI8xT8MwEIV3JP6D&#10;dUgsiDq0aURDnKqqYIClInRhc+NrEojPke204d9zsMD27t7Tu++K9WR7cUIfOkcK7mYJCKTamY4a&#10;Bfu3p9t7ECFqMrp3hAq+MMC6vLwodG7cmV7xVMVGcAmFXCtoYxxyKUPdotVh5gYk9o7OWx159I00&#10;Xp+53PZyniSZtLojvtDqAbct1p/VaBXs0vddezMeH1826cI/78dt9tFUSl1fTZsHEBGn+BeGH3xG&#10;h5KZDm4kE0SvYLGcLznKYpWx4MQqTVgcfjcZyLKQ/38ovwEAAP//AwBQSwECLQAUAAYACAAAACEA&#10;toM4kv4AAADhAQAAEwAAAAAAAAAAAAAAAAAAAAAAW0NvbnRlbnRfVHlwZXNdLnhtbFBLAQItABQA&#10;BgAIAAAAIQA4/SH/1gAAAJQBAAALAAAAAAAAAAAAAAAAAC8BAABfcmVscy8ucmVsc1BLAQItABQA&#10;BgAIAAAAIQBifex+GgIAAD8EAAAOAAAAAAAAAAAAAAAAAC4CAABkcnMvZTJvRG9jLnhtbFBLAQIt&#10;ABQABgAIAAAAIQDyISek4AAAAAsBAAAPAAAAAAAAAAAAAAAAAHQEAABkcnMvZG93bnJldi54bWxQ&#10;SwUGAAAAAAQABADzAAAAgQUAAAAA&#10;" stroked="f">
                <v:textbox style="mso-fit-shape-to-text:t" inset="0,0,0,0">
                  <w:txbxContent>
                    <w:p w14:paraId="2846F0D3" w14:textId="7266DC3C" w:rsidR="009F6E60" w:rsidRPr="009F6E60" w:rsidRDefault="009F6E60" w:rsidP="00A852C7">
                      <w:pPr>
                        <w:pStyle w:val="Caption"/>
                        <w:spacing w:after="0"/>
                        <w:jc w:val="right"/>
                        <w:rPr>
                          <w:rFonts w:ascii="Arial" w:hAnsi="Arial"/>
                          <w:noProof/>
                          <w:sz w:val="24"/>
                          <w:szCs w:val="24"/>
                        </w:rPr>
                      </w:pPr>
                      <w:r w:rsidRPr="009F6E60">
                        <w:rPr>
                          <w:sz w:val="24"/>
                          <w:szCs w:val="24"/>
                        </w:rPr>
                        <w:t>Source: Center for Health Information and Analysis (CHIA), 2023-2024 FY</w:t>
                      </w:r>
                    </w:p>
                  </w:txbxContent>
                </v:textbox>
                <w10:wrap type="square"/>
              </v:shape>
            </w:pict>
          </mc:Fallback>
        </mc:AlternateContent>
      </w:r>
      <w:r>
        <w:rPr>
          <w:rFonts w:ascii="Arial" w:hAnsi="Arial"/>
          <w:noProof/>
          <w:sz w:val="20"/>
          <w:szCs w:val="20"/>
        </w:rPr>
        <w:drawing>
          <wp:anchor distT="0" distB="0" distL="114300" distR="114300" simplePos="0" relativeHeight="251708416" behindDoc="0" locked="0" layoutInCell="1" allowOverlap="1" wp14:anchorId="01233E69" wp14:editId="6CBF17E0">
            <wp:simplePos x="0" y="0"/>
            <wp:positionH relativeFrom="column">
              <wp:posOffset>2286000</wp:posOffset>
            </wp:positionH>
            <wp:positionV relativeFrom="paragraph">
              <wp:posOffset>62865</wp:posOffset>
            </wp:positionV>
            <wp:extent cx="3733800" cy="2381250"/>
            <wp:effectExtent l="0" t="0" r="0" b="0"/>
            <wp:wrapSquare wrapText="bothSides"/>
            <wp:docPr id="1633682839" name="Chart 16336828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D45ABB">
        <w:t>In 2023, Black, NH</w:t>
      </w:r>
      <w:r w:rsidR="00BC7D63">
        <w:t xml:space="preserve"> individuals</w:t>
      </w:r>
      <w:r w:rsidR="00D45ABB">
        <w:t xml:space="preserve"> had the highest rate of self-inflicted injuries resulting in ED visits (68.0/100,000 persons) and inpatient stays (</w:t>
      </w:r>
      <w:r w:rsidR="00D45ABB" w:rsidRPr="004225FA">
        <w:t>45.7/100,000</w:t>
      </w:r>
      <w:r w:rsidR="00D45ABB">
        <w:t xml:space="preserve"> persons). This was followed by Hispanic/Latino-a-e individuals with an ED visit rate of 65.8/100,000 persons and an inpatient rate of </w:t>
      </w:r>
      <w:r w:rsidR="00D45ABB" w:rsidRPr="004225FA">
        <w:t>41.</w:t>
      </w:r>
      <w:r w:rsidR="00D45ABB">
        <w:t>6</w:t>
      </w:r>
      <w:r w:rsidR="00D45ABB" w:rsidRPr="004225FA">
        <w:t>/100,000</w:t>
      </w:r>
      <w:r w:rsidR="00D45ABB">
        <w:t xml:space="preserve"> persons.</w:t>
      </w:r>
      <w:r w:rsidR="00F5764E">
        <w:t xml:space="preserve"> </w:t>
      </w:r>
      <w:r w:rsidR="00D45ABB">
        <w:t>The most common mechanisms of self-inflicted injury among Black, NH in the ED were drug poisonings (37%) followed by cuts/piercings (32%). This differed from all other races and ethnicities, who had cuts/piercings as the most common mechanism of self-inflicted injury in the ED, followed by drug poisonings. The most common mechanism of self-inflicted injury among all races and ethnicities who were admitted to inpatient care was drug poisoning (at least 62% of individuals in each race/ethnicity group).</w:t>
      </w:r>
    </w:p>
    <w:bookmarkStart w:id="7" w:name="_Toc220311111"/>
    <w:p w14:paraId="44160D87" w14:textId="5B777E98" w:rsidR="00BC24CF" w:rsidRDefault="00BC24CF" w:rsidP="00BC24CF">
      <w:pPr>
        <w:pStyle w:val="Heading1"/>
      </w:pPr>
      <w:r w:rsidRPr="00D071C6">
        <mc:AlternateContent>
          <mc:Choice Requires="wps">
            <w:drawing>
              <wp:anchor distT="0" distB="0" distL="0" distR="0" simplePos="0" relativeHeight="251682816" behindDoc="1" locked="0" layoutInCell="1" allowOverlap="1" wp14:anchorId="1D11D441" wp14:editId="50087DC8">
                <wp:simplePos x="0" y="0"/>
                <wp:positionH relativeFrom="margin">
                  <wp:posOffset>0</wp:posOffset>
                </wp:positionH>
                <wp:positionV relativeFrom="paragraph">
                  <wp:posOffset>310515</wp:posOffset>
                </wp:positionV>
                <wp:extent cx="5937250" cy="45085"/>
                <wp:effectExtent l="0" t="0" r="0" b="0"/>
                <wp:wrapTopAndBottom/>
                <wp:docPr id="1752843106"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935FD" id="Freeform 272" o:spid="_x0000_s1026" alt="&quot;&quot;" style="position:absolute;margin-left:0;margin-top:24.45pt;width:467.5pt;height:3.55pt;z-index:-2516336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 xml:space="preserve">Suicidal </w:t>
      </w:r>
      <w:r w:rsidR="00891807">
        <w:t>t</w:t>
      </w:r>
      <w:r>
        <w:t xml:space="preserve">houghts </w:t>
      </w:r>
      <w:r w:rsidR="00D45ABB">
        <w:t xml:space="preserve">in </w:t>
      </w:r>
      <w:r w:rsidR="008616EB">
        <w:t>y</w:t>
      </w:r>
      <w:r w:rsidR="00D45ABB">
        <w:t xml:space="preserve">outh and </w:t>
      </w:r>
      <w:r w:rsidR="008616EB">
        <w:t>y</w:t>
      </w:r>
      <w:r w:rsidR="00D45ABB">
        <w:t xml:space="preserve">oung </w:t>
      </w:r>
      <w:r w:rsidR="008616EB">
        <w:t>a</w:t>
      </w:r>
      <w:r w:rsidR="00D45ABB">
        <w:t>dults</w:t>
      </w:r>
      <w:bookmarkEnd w:id="7"/>
    </w:p>
    <w:p w14:paraId="2B259408" w14:textId="440DBF35" w:rsidR="00353A5D" w:rsidRDefault="0070590F" w:rsidP="00A737AD">
      <w:pPr>
        <w:pStyle w:val="Heading2"/>
        <w:spacing w:after="0"/>
      </w:pPr>
      <w:r>
        <w:t xml:space="preserve">Findings from the </w:t>
      </w:r>
      <w:r w:rsidR="00D45ABB">
        <w:t>Community Health Equity</w:t>
      </w:r>
      <w:r w:rsidR="008616EB">
        <w:t xml:space="preserve"> Survey (CHES)</w:t>
      </w:r>
    </w:p>
    <w:p w14:paraId="658C5EA7" w14:textId="1BB0A35A" w:rsidR="002C4E26" w:rsidRDefault="005A6774" w:rsidP="002F1691">
      <w:pPr>
        <w:spacing w:before="0" w:line="240" w:lineRule="auto"/>
      </w:pPr>
      <w:r w:rsidRPr="005A6774">
        <w:t>The 2023 Community Health Equity Survey was administered to residents aged 14 and older. Data collection was open from July 31 through October 31, 2023. A youth survey was administered to residents aged 14-17 and an adult survey was</w:t>
      </w:r>
      <w:r w:rsidR="002F1691">
        <w:t xml:space="preserve"> </w:t>
      </w:r>
      <w:r w:rsidRPr="005A6774">
        <w:t xml:space="preserve">administered to residents aged 18 and older. Figure 11 displays the combined results from the proportions among each group that responded yes. </w:t>
      </w:r>
    </w:p>
    <w:p w14:paraId="475E7DD2" w14:textId="242C42D2" w:rsidR="00DE5551" w:rsidRPr="00FD34FC" w:rsidRDefault="00DE5551" w:rsidP="002C4E26">
      <w:pPr>
        <w:pStyle w:val="Caption"/>
        <w:keepNext/>
        <w:spacing w:after="0"/>
        <w:jc w:val="center"/>
        <w:rPr>
          <w:b/>
          <w:bCs/>
          <w:i w:val="0"/>
          <w:iCs w:val="0"/>
          <w:color w:val="auto"/>
          <w:sz w:val="24"/>
          <w:szCs w:val="24"/>
        </w:rPr>
      </w:pPr>
      <w:r w:rsidRPr="00FD34FC">
        <w:rPr>
          <w:b/>
          <w:bCs/>
          <w:i w:val="0"/>
          <w:iCs w:val="0"/>
          <w:color w:val="auto"/>
          <w:sz w:val="24"/>
          <w:szCs w:val="24"/>
        </w:rPr>
        <w:lastRenderedPageBreak/>
        <w:t>Figure 11. Suicidal Ideation Among Youth and Young Adults (14-24), MA 2023</w:t>
      </w:r>
    </w:p>
    <w:p w14:paraId="6D56381C" w14:textId="7712D60C" w:rsidR="00F71999" w:rsidRDefault="004D3E79" w:rsidP="00DE5551">
      <w:pPr>
        <w:keepNext/>
        <w:spacing w:before="0" w:after="0"/>
      </w:pPr>
      <w:r>
        <w:rPr>
          <w:rFonts w:ascii="Arial" w:hAnsi="Arial"/>
          <w:noProof/>
          <w:sz w:val="20"/>
          <w:szCs w:val="20"/>
        </w:rPr>
        <w:drawing>
          <wp:inline distT="0" distB="0" distL="0" distR="0" wp14:anchorId="28AA7A74" wp14:editId="35BCBB50">
            <wp:extent cx="6127750" cy="4581525"/>
            <wp:effectExtent l="0" t="0" r="6350" b="9525"/>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B80D007" w14:textId="77777777" w:rsidR="000F4148" w:rsidRDefault="00F71999" w:rsidP="000F4148">
      <w:pPr>
        <w:pStyle w:val="Caption"/>
        <w:spacing w:after="0"/>
        <w:rPr>
          <w:sz w:val="24"/>
          <w:szCs w:val="24"/>
        </w:rPr>
      </w:pPr>
      <w:r w:rsidRPr="006150E5">
        <w:rPr>
          <w:sz w:val="24"/>
          <w:szCs w:val="24"/>
        </w:rPr>
        <w:t xml:space="preserve">Source: </w:t>
      </w:r>
      <w:r w:rsidR="00E731EA">
        <w:rPr>
          <w:sz w:val="24"/>
          <w:szCs w:val="24"/>
        </w:rPr>
        <w:t xml:space="preserve">Community Health Equity Survey, 2023, weighted data </w:t>
      </w:r>
    </w:p>
    <w:p w14:paraId="00CFD7D2" w14:textId="1D201D20" w:rsidR="006E5109" w:rsidRPr="00FD34FC" w:rsidRDefault="00E731EA" w:rsidP="007D4A91">
      <w:pPr>
        <w:pStyle w:val="Caption"/>
        <w:rPr>
          <w:sz w:val="24"/>
          <w:szCs w:val="24"/>
        </w:rPr>
      </w:pPr>
      <w:r>
        <w:rPr>
          <w:sz w:val="24"/>
          <w:szCs w:val="24"/>
        </w:rPr>
        <w:t>*</w:t>
      </w:r>
      <w:r w:rsidR="00A737AD">
        <w:rPr>
          <w:sz w:val="24"/>
          <w:szCs w:val="24"/>
        </w:rPr>
        <w:t>N</w:t>
      </w:r>
      <w:r>
        <w:rPr>
          <w:sz w:val="24"/>
          <w:szCs w:val="24"/>
        </w:rPr>
        <w:t>H= Non-Hispanic; **NHPI</w:t>
      </w:r>
      <w:r w:rsidR="000F4148">
        <w:rPr>
          <w:sz w:val="24"/>
          <w:szCs w:val="24"/>
        </w:rPr>
        <w:t>=Pacific Islander, Native Hawaiian</w:t>
      </w:r>
    </w:p>
    <w:p w14:paraId="47D057EA" w14:textId="3EDEB4EE" w:rsidR="00C44C6A" w:rsidRDefault="00CA201A" w:rsidP="00C44C6A">
      <w:pPr>
        <w:spacing w:before="0" w:after="0" w:line="240" w:lineRule="auto"/>
      </w:pPr>
      <w:r>
        <w:t xml:space="preserve">Overall, </w:t>
      </w:r>
      <w:r w:rsidRPr="005345FA">
        <w:t>14.0% of youth and young adults reported experiencing suicidal ideation in the past year.</w:t>
      </w:r>
    </w:p>
    <w:p w14:paraId="39A2CF2D" w14:textId="77777777" w:rsidR="006E5109" w:rsidRPr="00443352" w:rsidRDefault="006E5109" w:rsidP="00C44C6A">
      <w:pPr>
        <w:spacing w:before="0" w:after="0" w:line="240" w:lineRule="auto"/>
        <w:rPr>
          <w:b/>
          <w:bCs/>
          <w:color w:val="032E53" w:themeColor="accent5"/>
          <w:sz w:val="6"/>
          <w:szCs w:val="6"/>
        </w:rPr>
      </w:pPr>
    </w:p>
    <w:p w14:paraId="7AAE759D" w14:textId="6C422FF7" w:rsidR="00C44C6A" w:rsidRDefault="00C44C6A" w:rsidP="00C44C6A">
      <w:pPr>
        <w:spacing w:before="0" w:after="0" w:line="240" w:lineRule="auto"/>
      </w:pPr>
      <w:r w:rsidRPr="00C44C6A">
        <w:rPr>
          <w:b/>
          <w:bCs/>
          <w:color w:val="032E53" w:themeColor="accent5"/>
        </w:rPr>
        <w:t xml:space="preserve">Gender </w:t>
      </w:r>
      <w:r>
        <w:rPr>
          <w:b/>
          <w:bCs/>
          <w:color w:val="032E53" w:themeColor="accent5"/>
        </w:rPr>
        <w:t>i</w:t>
      </w:r>
      <w:r w:rsidRPr="00C44C6A">
        <w:rPr>
          <w:b/>
          <w:bCs/>
          <w:color w:val="032E53" w:themeColor="accent5"/>
        </w:rPr>
        <w:t>dentity:</w:t>
      </w:r>
      <w:r w:rsidRPr="00C44C6A">
        <w:rPr>
          <w:color w:val="032E53" w:themeColor="accent5"/>
        </w:rPr>
        <w:t xml:space="preserve"> </w:t>
      </w:r>
      <w:r w:rsidR="00CA201A">
        <w:t xml:space="preserve">Among different gender identities, those who identified as </w:t>
      </w:r>
      <w:r w:rsidR="00CA201A" w:rsidRPr="00C44C6A">
        <w:t>nonbinary were four times</w:t>
      </w:r>
      <w:r w:rsidR="00CA201A" w:rsidRPr="00C44C6A">
        <w:rPr>
          <w:b/>
          <w:bCs/>
        </w:rPr>
        <w:t xml:space="preserve"> </w:t>
      </w:r>
      <w:r w:rsidR="00CA201A">
        <w:t>more likely to report suicidal ideation in the past year compared to their male and female peers (nonbinary = 43.4%, female=11.7%, male=10.1%)</w:t>
      </w:r>
    </w:p>
    <w:p w14:paraId="25AEA7CD" w14:textId="77777777" w:rsidR="006A06AC" w:rsidRPr="00537F8E" w:rsidRDefault="006A06AC" w:rsidP="00C44C6A">
      <w:pPr>
        <w:spacing w:before="0" w:after="0" w:line="240" w:lineRule="auto"/>
        <w:rPr>
          <w:sz w:val="16"/>
          <w:szCs w:val="16"/>
        </w:rPr>
      </w:pPr>
    </w:p>
    <w:p w14:paraId="47DD8BA3" w14:textId="4150DEFB" w:rsidR="00CA201A" w:rsidRDefault="00C44C6A" w:rsidP="00C44C6A">
      <w:pPr>
        <w:spacing w:before="0" w:after="0" w:line="240" w:lineRule="auto"/>
      </w:pPr>
      <w:r w:rsidRPr="00C44C6A">
        <w:rPr>
          <w:b/>
          <w:bCs/>
          <w:color w:val="032E53" w:themeColor="accent5"/>
        </w:rPr>
        <w:t>Race &amp; ethnicity</w:t>
      </w:r>
      <w:r>
        <w:t xml:space="preserve">: </w:t>
      </w:r>
      <w:r w:rsidR="00CA201A" w:rsidRPr="00C44C6A">
        <w:t xml:space="preserve">Among different race and ethnicities, youth and young adults who identified as American Indian/Alaskan Native, non-Hispanic (25.9%) and Multiracial (21.4%) had the highest proportion of respondents who experienced suicidal ideation in the past year. </w:t>
      </w:r>
    </w:p>
    <w:p w14:paraId="0F3C17CF" w14:textId="77777777" w:rsidR="006A06AC" w:rsidRPr="00537F8E" w:rsidRDefault="006A06AC" w:rsidP="00C44C6A">
      <w:pPr>
        <w:spacing w:before="0" w:after="0" w:line="240" w:lineRule="auto"/>
        <w:rPr>
          <w:sz w:val="16"/>
          <w:szCs w:val="16"/>
        </w:rPr>
      </w:pPr>
    </w:p>
    <w:p w14:paraId="1942BEDD" w14:textId="2484DCA2" w:rsidR="00CA201A" w:rsidRDefault="00C44C6A" w:rsidP="00C44C6A">
      <w:pPr>
        <w:spacing w:before="0" w:after="0" w:line="240" w:lineRule="auto"/>
        <w:rPr>
          <w:color w:val="000000" w:themeColor="text1"/>
        </w:rPr>
      </w:pPr>
      <w:r w:rsidRPr="00C44C6A">
        <w:rPr>
          <w:b/>
          <w:bCs/>
          <w:color w:val="032E53" w:themeColor="accent5"/>
        </w:rPr>
        <w:t>Sexual Orientation:</w:t>
      </w:r>
      <w:r w:rsidRPr="00C44C6A">
        <w:rPr>
          <w:color w:val="032E53" w:themeColor="accent5"/>
        </w:rPr>
        <w:t xml:space="preserve"> </w:t>
      </w:r>
      <w:r w:rsidR="00CA201A">
        <w:t xml:space="preserve">Among different sexual orientations, those who identified as </w:t>
      </w:r>
      <w:r w:rsidR="00CA201A" w:rsidRPr="00C44C6A">
        <w:rPr>
          <w:color w:val="000000" w:themeColor="text1"/>
        </w:rPr>
        <w:t xml:space="preserve">Lesbian or Gay (22.9%), Bisexual/Pansexual (26.6%), Asexual (25.2%), Queer (48.2%) or Questioning (24.1%) had 2.5 to 6 times the proportion of respondents who </w:t>
      </w:r>
      <w:r w:rsidR="00CA201A" w:rsidRPr="00C44C6A">
        <w:rPr>
          <w:color w:val="000000" w:themeColor="text1"/>
        </w:rPr>
        <w:lastRenderedPageBreak/>
        <w:t xml:space="preserve">experienced suicidal ideation compared to youth and young adults who identified as Straight or Heterosexual (8.5%). </w:t>
      </w:r>
    </w:p>
    <w:p w14:paraId="771F3BE0" w14:textId="77777777" w:rsidR="006A06AC" w:rsidRPr="00537F8E" w:rsidRDefault="006A06AC" w:rsidP="00C44C6A">
      <w:pPr>
        <w:spacing w:before="0" w:after="0" w:line="240" w:lineRule="auto"/>
        <w:rPr>
          <w:sz w:val="16"/>
          <w:szCs w:val="16"/>
        </w:rPr>
      </w:pPr>
    </w:p>
    <w:p w14:paraId="0FB7A985" w14:textId="7FB31B88" w:rsidR="00F5764E" w:rsidRDefault="005345FA" w:rsidP="002F1691">
      <w:pPr>
        <w:spacing w:before="0" w:after="0" w:line="240" w:lineRule="auto"/>
        <w:rPr>
          <w:color w:val="000000" w:themeColor="text1"/>
        </w:rPr>
      </w:pPr>
      <w:r w:rsidRPr="005345FA">
        <w:rPr>
          <w:b/>
          <w:bCs/>
          <w:color w:val="032E53" w:themeColor="accent5"/>
        </w:rPr>
        <w:t>Transgender status:</w:t>
      </w:r>
      <w:r w:rsidRPr="005345FA">
        <w:rPr>
          <w:color w:val="032E53" w:themeColor="accent5"/>
        </w:rPr>
        <w:t xml:space="preserve"> </w:t>
      </w:r>
      <w:r w:rsidR="00CA201A">
        <w:t xml:space="preserve">Youth </w:t>
      </w:r>
      <w:r w:rsidR="00CA201A" w:rsidRPr="005345FA">
        <w:rPr>
          <w:color w:val="000000" w:themeColor="text1"/>
        </w:rPr>
        <w:t xml:space="preserve">and young adults who identified as Transgender (46.5%) had 4.5 times the proportion of respondents who experienced suicidal ideation compared to those who did not identify as Transgender (10.5%). Those who identified as ‘not sure’ about their transgender status (30.6%) had 3 times the proportion of respondents who experienced suicidal ideation compared to those who did not identify as Transgender. </w:t>
      </w:r>
    </w:p>
    <w:p w14:paraId="7C32A757" w14:textId="77777777" w:rsidR="006A06AC" w:rsidRPr="00537F8E" w:rsidRDefault="006A06AC" w:rsidP="00C44C6A">
      <w:pPr>
        <w:spacing w:before="0" w:after="0" w:line="240" w:lineRule="auto"/>
        <w:rPr>
          <w:color w:val="000000" w:themeColor="text1"/>
          <w:sz w:val="16"/>
          <w:szCs w:val="16"/>
        </w:rPr>
      </w:pPr>
    </w:p>
    <w:p w14:paraId="4438AFA9" w14:textId="6648AFC0" w:rsidR="007D4A91" w:rsidRPr="005345FA" w:rsidRDefault="005345FA" w:rsidP="005345FA">
      <w:pPr>
        <w:spacing w:before="0" w:after="0" w:line="240" w:lineRule="auto"/>
        <w:rPr>
          <w:color w:val="000000" w:themeColor="text1"/>
        </w:rPr>
      </w:pPr>
      <w:r w:rsidRPr="005345FA">
        <w:rPr>
          <w:b/>
          <w:bCs/>
          <w:color w:val="032E53" w:themeColor="accent5"/>
        </w:rPr>
        <w:t>Disability status:</w:t>
      </w:r>
      <w:r w:rsidRPr="005345FA">
        <w:rPr>
          <w:color w:val="032E53" w:themeColor="accent5"/>
        </w:rPr>
        <w:t xml:space="preserve"> </w:t>
      </w:r>
      <w:r w:rsidR="00CA201A" w:rsidRPr="005345FA">
        <w:rPr>
          <w:color w:val="000000" w:themeColor="text1"/>
        </w:rPr>
        <w:t>Youth and young adults who reported having at least one disability (29.4%) had 3 times the proportion of respondents who experienced suicidal ideation compared to those who did not have a disability (7.9%).</w:t>
      </w:r>
    </w:p>
    <w:p w14:paraId="4D180A5A" w14:textId="344630A1" w:rsidR="001900D1" w:rsidRDefault="001900D1" w:rsidP="00537F8E">
      <w:pPr>
        <w:pStyle w:val="Heading2"/>
        <w:spacing w:after="0"/>
      </w:pPr>
      <w:r>
        <w:t xml:space="preserve">Helpline </w:t>
      </w:r>
      <w:r w:rsidR="007E055C">
        <w:t>c</w:t>
      </w:r>
      <w:r>
        <w:t>onnections</w:t>
      </w:r>
      <w:r w:rsidR="00F63C05">
        <w:t xml:space="preserve"> among all ages</w:t>
      </w:r>
    </w:p>
    <w:p w14:paraId="6D377C67" w14:textId="18DCD369" w:rsidR="006B7ABB" w:rsidRDefault="001D41E6" w:rsidP="00F16BC1">
      <w:pPr>
        <w:spacing w:before="0" w:line="240" w:lineRule="auto"/>
        <w:rPr>
          <w:vertAlign w:val="superscript"/>
        </w:rPr>
      </w:pPr>
      <w:r w:rsidRPr="001D41E6">
        <w:t>In fiscal year 2024, the MA 988 Lifeline Network responded to 373,368 phone contacts from individuals seeking connection, emotional support, and resources for their own or others’ experiences with suicidality.</w:t>
      </w:r>
      <w:r w:rsidRPr="001D41E6">
        <w:rPr>
          <w:vertAlign w:val="superscript"/>
        </w:rPr>
        <w:t>9</w:t>
      </w:r>
    </w:p>
    <w:bookmarkStart w:id="8" w:name="_Toc220311112"/>
    <w:p w14:paraId="25E721DF" w14:textId="757AFAB6" w:rsidR="00122366" w:rsidRDefault="00122366" w:rsidP="00122366">
      <w:pPr>
        <w:pStyle w:val="Heading1"/>
      </w:pPr>
      <w:r w:rsidRPr="00D071C6">
        <mc:AlternateContent>
          <mc:Choice Requires="wps">
            <w:drawing>
              <wp:anchor distT="0" distB="0" distL="0" distR="0" simplePos="0" relativeHeight="251693056" behindDoc="1" locked="0" layoutInCell="1" allowOverlap="1" wp14:anchorId="2F0B2DEC" wp14:editId="5AED7C44">
                <wp:simplePos x="0" y="0"/>
                <wp:positionH relativeFrom="margin">
                  <wp:posOffset>0</wp:posOffset>
                </wp:positionH>
                <wp:positionV relativeFrom="paragraph">
                  <wp:posOffset>310515</wp:posOffset>
                </wp:positionV>
                <wp:extent cx="5937250" cy="45085"/>
                <wp:effectExtent l="0" t="0" r="0" b="0"/>
                <wp:wrapTopAndBottom/>
                <wp:docPr id="1402005523"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223CB" id="Freeform 272" o:spid="_x0000_s1026" alt="&quot;&quot;" style="position:absolute;margin-left:0;margin-top:24.45pt;width:467.5pt;height:3.55pt;z-index:-2516234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rsidR="00D448F7">
        <w:t>Resources</w:t>
      </w:r>
      <w:bookmarkEnd w:id="8"/>
    </w:p>
    <w:p w14:paraId="1F0E0935" w14:textId="387A721A" w:rsidR="004953EF" w:rsidRDefault="004953EF" w:rsidP="00D232B2">
      <w:pPr>
        <w:pStyle w:val="Heading2"/>
        <w:spacing w:after="0"/>
      </w:pPr>
      <w:bookmarkStart w:id="9" w:name="_Hlk219186715"/>
      <w:r>
        <w:t xml:space="preserve">For more </w:t>
      </w:r>
      <w:bookmarkEnd w:id="9"/>
      <w:r>
        <w:t xml:space="preserve">information, contact these programs at </w:t>
      </w:r>
      <w:r w:rsidR="00AD2B86">
        <w:t xml:space="preserve">the </w:t>
      </w:r>
      <w:r>
        <w:t>Massachusetts Department of Public Health</w:t>
      </w:r>
    </w:p>
    <w:p w14:paraId="10D3437E" w14:textId="3F63A3D6" w:rsidR="00A947B3" w:rsidRPr="00A947B3" w:rsidRDefault="00D651E4" w:rsidP="00D232B2">
      <w:pPr>
        <w:spacing w:before="0" w:after="0" w:line="240" w:lineRule="auto"/>
        <w:rPr>
          <w:b/>
        </w:rPr>
      </w:pPr>
      <w:r>
        <w:rPr>
          <w:b/>
        </w:rPr>
        <w:t xml:space="preserve">Injury Surveillance Program (ISP) </w:t>
      </w:r>
    </w:p>
    <w:p w14:paraId="13D0EC41" w14:textId="77777777" w:rsidR="00A947B3" w:rsidRPr="00A947B3" w:rsidRDefault="00A947B3" w:rsidP="00D232B2">
      <w:pPr>
        <w:spacing w:before="0" w:after="0" w:line="240" w:lineRule="auto"/>
      </w:pPr>
      <w:r w:rsidRPr="00A947B3">
        <w:t>Bureau of Community Health and Prevention (BCHAP)</w:t>
      </w:r>
    </w:p>
    <w:p w14:paraId="510424EC" w14:textId="670C0657" w:rsidR="00A947B3" w:rsidRPr="00A947B3" w:rsidRDefault="00AD2B86" w:rsidP="00D232B2">
      <w:pPr>
        <w:spacing w:before="0" w:after="0" w:line="240" w:lineRule="auto"/>
      </w:pPr>
      <w:hyperlink r:id="rId26" w:history="1">
        <w:r w:rsidRPr="00A947B3">
          <w:rPr>
            <w:rStyle w:val="Hyperlink"/>
          </w:rPr>
          <w:t>DPH-NVDRS@mass.gov</w:t>
        </w:r>
      </w:hyperlink>
      <w:r>
        <w:t xml:space="preserve"> </w:t>
      </w:r>
      <w:r w:rsidR="00A947B3" w:rsidRPr="00A947B3">
        <w:t>(MAVDRS)</w:t>
      </w:r>
    </w:p>
    <w:p w14:paraId="53EC7BD8" w14:textId="68783223" w:rsidR="00A947B3" w:rsidRPr="00A947B3" w:rsidRDefault="00AD2B86" w:rsidP="00D232B2">
      <w:pPr>
        <w:spacing w:before="0" w:after="0" w:line="240" w:lineRule="auto"/>
        <w:rPr>
          <w:rStyle w:val="Hyperlink"/>
        </w:rPr>
      </w:pPr>
      <w:hyperlink r:id="rId27" w:history="1">
        <w:r w:rsidRPr="00A947B3">
          <w:rPr>
            <w:rStyle w:val="Hyperlink"/>
          </w:rPr>
          <w:t>mdph-isp@mass.gov</w:t>
        </w:r>
      </w:hyperlink>
      <w:r>
        <w:t xml:space="preserve"> </w:t>
      </w:r>
      <w:r w:rsidR="00A947B3" w:rsidRPr="00A947B3">
        <w:t>(General injury information)</w:t>
      </w:r>
      <w:r w:rsidR="007358D7">
        <w:t xml:space="preserve"> | </w:t>
      </w:r>
      <w:r>
        <w:fldChar w:fldCharType="begin"/>
      </w:r>
      <w:r>
        <w:instrText>HYPERLINK "http://mass.gov/injury-surveillance-program"</w:instrText>
      </w:r>
      <w:r>
        <w:fldChar w:fldCharType="separate"/>
      </w:r>
      <w:r w:rsidRPr="00AD2B86">
        <w:rPr>
          <w:rStyle w:val="Hyperlink"/>
        </w:rPr>
        <w:t xml:space="preserve">ISP </w:t>
      </w:r>
      <w:r w:rsidR="00A947B3" w:rsidRPr="00AD2B86">
        <w:rPr>
          <w:rStyle w:val="Hyperlink"/>
        </w:rPr>
        <w:t>website</w:t>
      </w:r>
    </w:p>
    <w:p w14:paraId="04F2EEF4" w14:textId="07ECF45F" w:rsidR="00A947B3" w:rsidRPr="00A947B3" w:rsidRDefault="00AD2B86" w:rsidP="00D232B2">
      <w:pPr>
        <w:spacing w:before="0" w:after="0" w:line="240" w:lineRule="auto"/>
      </w:pPr>
      <w:r>
        <w:fldChar w:fldCharType="end"/>
      </w:r>
    </w:p>
    <w:p w14:paraId="76C5AC40" w14:textId="3B7212B4" w:rsidR="00A947B3" w:rsidRPr="00A947B3" w:rsidRDefault="00D651E4" w:rsidP="00D232B2">
      <w:pPr>
        <w:spacing w:before="0" w:after="0" w:line="240" w:lineRule="auto"/>
        <w:rPr>
          <w:b/>
        </w:rPr>
      </w:pPr>
      <w:r>
        <w:rPr>
          <w:b/>
        </w:rPr>
        <w:t xml:space="preserve">Suicide Prevention Program (SPP) </w:t>
      </w:r>
    </w:p>
    <w:p w14:paraId="186E1A80" w14:textId="77777777" w:rsidR="00A947B3" w:rsidRPr="00A947B3" w:rsidRDefault="00A947B3" w:rsidP="00D232B2">
      <w:pPr>
        <w:spacing w:before="0" w:after="0" w:line="240" w:lineRule="auto"/>
      </w:pPr>
      <w:r w:rsidRPr="00A947B3">
        <w:t>Bureau of Community Health and Prevention (BCHAP)</w:t>
      </w:r>
    </w:p>
    <w:p w14:paraId="76BA3647" w14:textId="32AF4C43" w:rsidR="00A947B3" w:rsidRPr="00A947B3" w:rsidRDefault="00A947B3" w:rsidP="00D232B2">
      <w:pPr>
        <w:spacing w:before="0" w:after="0" w:line="240" w:lineRule="auto"/>
      </w:pPr>
      <w:hyperlink r:id="rId28" w:history="1">
        <w:r w:rsidRPr="00A947B3">
          <w:rPr>
            <w:rStyle w:val="Hyperlink"/>
          </w:rPr>
          <w:t>DPH-MA-SuicidePrevention@mass.gov</w:t>
        </w:r>
      </w:hyperlink>
      <w:r w:rsidR="00E35378">
        <w:t xml:space="preserve"> | </w:t>
      </w:r>
      <w:hyperlink r:id="rId29" w:history="1">
        <w:r w:rsidR="00AD2B86" w:rsidRPr="00AD2B86">
          <w:rPr>
            <w:rStyle w:val="Hyperlink"/>
          </w:rPr>
          <w:t xml:space="preserve">SPP </w:t>
        </w:r>
        <w:r w:rsidRPr="00AD2B86">
          <w:rPr>
            <w:rStyle w:val="Hyperlink"/>
          </w:rPr>
          <w:t>website</w:t>
        </w:r>
      </w:hyperlink>
    </w:p>
    <w:p w14:paraId="6C6E19D0" w14:textId="77777777" w:rsidR="00A947B3" w:rsidRPr="00A947B3" w:rsidRDefault="00A947B3" w:rsidP="00D232B2">
      <w:pPr>
        <w:spacing w:before="0" w:after="0" w:line="240" w:lineRule="auto"/>
      </w:pPr>
    </w:p>
    <w:p w14:paraId="56E1414A" w14:textId="7203C39C" w:rsidR="00A947B3" w:rsidRPr="00A947B3" w:rsidRDefault="00D651E4" w:rsidP="00D232B2">
      <w:pPr>
        <w:spacing w:before="0" w:after="0" w:line="240" w:lineRule="auto"/>
        <w:rPr>
          <w:b/>
        </w:rPr>
      </w:pPr>
      <w:r>
        <w:rPr>
          <w:b/>
        </w:rPr>
        <w:t>Bureau of Substance Addiction Services (BSAS)</w:t>
      </w:r>
    </w:p>
    <w:p w14:paraId="213187CB" w14:textId="2CC19FF6" w:rsidR="00AD2B86" w:rsidRPr="00A947B3" w:rsidRDefault="00A947B3" w:rsidP="00D232B2">
      <w:pPr>
        <w:spacing w:before="0" w:after="0" w:line="240" w:lineRule="auto"/>
      </w:pPr>
      <w:r w:rsidRPr="00A947B3">
        <w:t>(617) 624-5111</w:t>
      </w:r>
      <w:r w:rsidR="00162A1A">
        <w:t xml:space="preserve"> | </w:t>
      </w:r>
      <w:r w:rsidR="00443352">
        <w:t xml:space="preserve"> </w:t>
      </w:r>
      <w:hyperlink r:id="rId30" w:history="1">
        <w:r w:rsidR="00AD2B86" w:rsidRPr="00AD2B86">
          <w:rPr>
            <w:rStyle w:val="Hyperlink"/>
          </w:rPr>
          <w:t>BSAS website</w:t>
        </w:r>
      </w:hyperlink>
    </w:p>
    <w:p w14:paraId="43ACD2CD" w14:textId="17483C8F" w:rsidR="00466F3F" w:rsidRDefault="00466F3F" w:rsidP="00D232B2">
      <w:pPr>
        <w:pStyle w:val="Heading2"/>
        <w:spacing w:after="0"/>
      </w:pPr>
      <w:r>
        <w:t>Where to go for help</w:t>
      </w:r>
    </w:p>
    <w:p w14:paraId="757DACF4" w14:textId="0790A8AB" w:rsidR="000A299E" w:rsidRPr="000A299E" w:rsidRDefault="000A299E" w:rsidP="00D232B2">
      <w:pPr>
        <w:spacing w:before="0" w:after="0"/>
        <w:rPr>
          <w:b/>
          <w:bCs/>
        </w:rPr>
      </w:pPr>
      <w:r w:rsidRPr="000A299E">
        <w:rPr>
          <w:b/>
          <w:bCs/>
        </w:rPr>
        <w:t>MA Coalition for Suicide Prevention</w:t>
      </w:r>
      <w:r w:rsidR="00BD2FD0">
        <w:rPr>
          <w:b/>
          <w:bCs/>
        </w:rPr>
        <w:t xml:space="preserve"> (MCSP)</w:t>
      </w:r>
    </w:p>
    <w:p w14:paraId="20A3CD06" w14:textId="351BA971" w:rsidR="00BD2FD0" w:rsidRDefault="000A299E" w:rsidP="00BD2FD0">
      <w:pPr>
        <w:spacing w:before="0" w:after="0"/>
      </w:pPr>
      <w:r w:rsidRPr="000A299E">
        <w:rPr>
          <w:bCs/>
        </w:rPr>
        <w:t>(617) 297-8774</w:t>
      </w:r>
      <w:r w:rsidR="00162A1A">
        <w:rPr>
          <w:bCs/>
        </w:rPr>
        <w:t xml:space="preserve"> | </w:t>
      </w:r>
      <w:hyperlink r:id="rId31" w:history="1">
        <w:r w:rsidR="00162A1A" w:rsidRPr="00A17B1B">
          <w:rPr>
            <w:rStyle w:val="Hyperlink"/>
            <w:bCs/>
          </w:rPr>
          <w:t>info@masspreventssuicide.org</w:t>
        </w:r>
      </w:hyperlink>
      <w:r w:rsidR="00162A1A">
        <w:rPr>
          <w:bCs/>
        </w:rPr>
        <w:t xml:space="preserve"> | </w:t>
      </w:r>
      <w:hyperlink r:id="rId32" w:history="1">
        <w:r w:rsidR="00BD2FD0" w:rsidRPr="00BD2FD0">
          <w:rPr>
            <w:rStyle w:val="Hyperlink"/>
          </w:rPr>
          <w:t>MCSP website</w:t>
        </w:r>
      </w:hyperlink>
    </w:p>
    <w:p w14:paraId="16587390" w14:textId="77777777" w:rsidR="00162A1A" w:rsidRDefault="00162A1A" w:rsidP="00BD2FD0">
      <w:pPr>
        <w:spacing w:before="0" w:after="0"/>
      </w:pPr>
    </w:p>
    <w:p w14:paraId="111A40F5" w14:textId="77777777" w:rsidR="00800759" w:rsidRDefault="00800759" w:rsidP="00BD2FD0">
      <w:pPr>
        <w:spacing w:before="0" w:after="0"/>
      </w:pPr>
    </w:p>
    <w:p w14:paraId="34ACFF99" w14:textId="77777777" w:rsidR="00162A1A" w:rsidRPr="00162A1A" w:rsidRDefault="00162A1A" w:rsidP="00BD2FD0">
      <w:pPr>
        <w:spacing w:before="0" w:after="0"/>
        <w:rPr>
          <w:bCs/>
        </w:rPr>
      </w:pPr>
    </w:p>
    <w:p w14:paraId="447CD027" w14:textId="75966AA4" w:rsidR="000A299E" w:rsidRPr="000A299E" w:rsidRDefault="00BD2FD0" w:rsidP="00F30587">
      <w:pPr>
        <w:pBdr>
          <w:top w:val="single" w:sz="8" w:space="1" w:color="auto"/>
          <w:left w:val="single" w:sz="8" w:space="4" w:color="auto"/>
          <w:bottom w:val="single" w:sz="8" w:space="1" w:color="auto"/>
          <w:right w:val="single" w:sz="8" w:space="4" w:color="auto"/>
        </w:pBdr>
        <w:spacing w:before="0" w:after="0" w:line="240" w:lineRule="auto"/>
        <w:jc w:val="center"/>
        <w:rPr>
          <w:b/>
          <w:i/>
          <w:sz w:val="28"/>
          <w:szCs w:val="28"/>
        </w:rPr>
      </w:pPr>
      <w:r w:rsidRPr="00D448F7">
        <w:rPr>
          <w:b/>
          <w:i/>
          <w:sz w:val="28"/>
          <w:szCs w:val="28"/>
        </w:rPr>
        <w:lastRenderedPageBreak/>
        <w:t>24-hour</w:t>
      </w:r>
      <w:r w:rsidR="000A299E" w:rsidRPr="000A299E">
        <w:rPr>
          <w:b/>
          <w:i/>
          <w:sz w:val="28"/>
          <w:szCs w:val="28"/>
        </w:rPr>
        <w:t xml:space="preserve"> help lines</w:t>
      </w:r>
    </w:p>
    <w:p w14:paraId="034A460F" w14:textId="77777777" w:rsidR="000A299E" w:rsidRPr="000A299E" w:rsidRDefault="000A299E" w:rsidP="00F30587">
      <w:pPr>
        <w:pBdr>
          <w:top w:val="single" w:sz="8" w:space="1" w:color="auto"/>
          <w:left w:val="single" w:sz="8" w:space="4" w:color="auto"/>
          <w:bottom w:val="single" w:sz="8" w:space="1" w:color="auto"/>
          <w:right w:val="single" w:sz="8" w:space="4" w:color="auto"/>
        </w:pBdr>
        <w:spacing w:before="0" w:after="0" w:line="240" w:lineRule="auto"/>
        <w:jc w:val="center"/>
        <w:rPr>
          <w:b/>
          <w:i/>
          <w:color w:val="055994" w:themeColor="accent6"/>
          <w:sz w:val="32"/>
          <w:szCs w:val="32"/>
        </w:rPr>
      </w:pPr>
      <w:r w:rsidRPr="000A299E">
        <w:rPr>
          <w:b/>
          <w:i/>
          <w:color w:val="055994" w:themeColor="accent6"/>
          <w:sz w:val="32"/>
          <w:szCs w:val="32"/>
        </w:rPr>
        <w:t>988</w:t>
      </w:r>
    </w:p>
    <w:p w14:paraId="536E516A" w14:textId="77777777" w:rsidR="000A299E" w:rsidRPr="000A299E" w:rsidRDefault="000A299E" w:rsidP="00F30587">
      <w:pPr>
        <w:pBdr>
          <w:top w:val="single" w:sz="8" w:space="1" w:color="auto"/>
          <w:left w:val="single" w:sz="8" w:space="4" w:color="auto"/>
          <w:bottom w:val="single" w:sz="8" w:space="1" w:color="auto"/>
          <w:right w:val="single" w:sz="8" w:space="4" w:color="auto"/>
        </w:pBdr>
        <w:spacing w:before="0" w:after="0" w:line="240" w:lineRule="auto"/>
        <w:jc w:val="center"/>
      </w:pPr>
      <w:r w:rsidRPr="000A299E">
        <w:t>Call or Text</w:t>
      </w:r>
    </w:p>
    <w:p w14:paraId="4A36308B" w14:textId="77777777" w:rsidR="000A299E" w:rsidRPr="000A299E" w:rsidRDefault="000A299E" w:rsidP="00F30587">
      <w:pPr>
        <w:pBdr>
          <w:top w:val="single" w:sz="8" w:space="1" w:color="auto"/>
          <w:left w:val="single" w:sz="8" w:space="4" w:color="auto"/>
          <w:bottom w:val="single" w:sz="8" w:space="1" w:color="auto"/>
          <w:right w:val="single" w:sz="8" w:space="4" w:color="auto"/>
        </w:pBdr>
        <w:spacing w:before="0" w:after="0" w:line="240" w:lineRule="auto"/>
        <w:jc w:val="center"/>
      </w:pPr>
      <w:r w:rsidRPr="000A299E">
        <w:t>Press 1 for Veterans | Press 2 for Spanish</w:t>
      </w:r>
    </w:p>
    <w:p w14:paraId="1BF11798" w14:textId="77777777" w:rsidR="000A299E" w:rsidRPr="000A299E" w:rsidRDefault="000A299E" w:rsidP="00F30587">
      <w:pPr>
        <w:pBdr>
          <w:top w:val="single" w:sz="8" w:space="1" w:color="auto"/>
          <w:left w:val="single" w:sz="8" w:space="4" w:color="auto"/>
          <w:bottom w:val="single" w:sz="8" w:space="1" w:color="auto"/>
          <w:right w:val="single" w:sz="8" w:space="4" w:color="auto"/>
        </w:pBdr>
        <w:spacing w:before="0" w:after="0" w:line="240" w:lineRule="auto"/>
        <w:jc w:val="center"/>
      </w:pPr>
      <w:r w:rsidRPr="000A299E">
        <w:t>ASL dial 988 via videophone</w:t>
      </w:r>
    </w:p>
    <w:p w14:paraId="0B22E68F" w14:textId="57FB27D0" w:rsidR="000A299E" w:rsidRPr="000A299E" w:rsidRDefault="00D448F7" w:rsidP="00F30587">
      <w:pPr>
        <w:pBdr>
          <w:top w:val="single" w:sz="8" w:space="1" w:color="auto"/>
          <w:left w:val="single" w:sz="8" w:space="4" w:color="auto"/>
          <w:bottom w:val="single" w:sz="8" w:space="1" w:color="auto"/>
          <w:right w:val="single" w:sz="8" w:space="4" w:color="auto"/>
        </w:pBdr>
        <w:spacing w:before="0" w:after="0" w:line="240" w:lineRule="auto"/>
        <w:jc w:val="center"/>
      </w:pPr>
      <w:hyperlink r:id="rId33" w:history="1">
        <w:r w:rsidRPr="00D448F7">
          <w:rPr>
            <w:rStyle w:val="Hyperlink"/>
          </w:rPr>
          <w:t>Link t</w:t>
        </w:r>
        <w:r w:rsidR="000A299E" w:rsidRPr="000A299E">
          <w:rPr>
            <w:rStyle w:val="Hyperlink"/>
          </w:rPr>
          <w:t>o chat</w:t>
        </w:r>
      </w:hyperlink>
    </w:p>
    <w:p w14:paraId="54F3A23D" w14:textId="77777777" w:rsidR="000A299E" w:rsidRPr="000A299E" w:rsidRDefault="000A299E" w:rsidP="00F30587">
      <w:pPr>
        <w:pBdr>
          <w:top w:val="single" w:sz="8" w:space="1" w:color="auto"/>
          <w:left w:val="single" w:sz="8" w:space="4" w:color="auto"/>
          <w:bottom w:val="single" w:sz="8" w:space="1" w:color="auto"/>
          <w:right w:val="single" w:sz="8" w:space="4" w:color="auto"/>
        </w:pBdr>
        <w:spacing w:before="0" w:after="0" w:line="240" w:lineRule="auto"/>
        <w:jc w:val="center"/>
        <w:rPr>
          <w:b/>
          <w:bCs/>
          <w:color w:val="055994" w:themeColor="accent6"/>
          <w:sz w:val="28"/>
          <w:szCs w:val="28"/>
        </w:rPr>
      </w:pPr>
      <w:r w:rsidRPr="000A299E">
        <w:rPr>
          <w:b/>
          <w:bCs/>
          <w:color w:val="055994" w:themeColor="accent6"/>
          <w:sz w:val="28"/>
          <w:szCs w:val="28"/>
        </w:rPr>
        <w:t>LGBTQIA+ help line</w:t>
      </w:r>
    </w:p>
    <w:p w14:paraId="21A3D108" w14:textId="77777777" w:rsidR="000A299E" w:rsidRPr="000A299E" w:rsidRDefault="000A299E" w:rsidP="00F30587">
      <w:pPr>
        <w:pBdr>
          <w:top w:val="single" w:sz="8" w:space="1" w:color="auto"/>
          <w:left w:val="single" w:sz="8" w:space="4" w:color="auto"/>
          <w:bottom w:val="single" w:sz="8" w:space="1" w:color="auto"/>
          <w:right w:val="single" w:sz="8" w:space="4" w:color="auto"/>
        </w:pBdr>
        <w:spacing w:before="0" w:after="0" w:line="240" w:lineRule="auto"/>
        <w:jc w:val="center"/>
      </w:pPr>
      <w:r w:rsidRPr="000A299E">
        <w:t>Call/Text/Chat the Trevor Project</w:t>
      </w:r>
    </w:p>
    <w:p w14:paraId="2496F5B3" w14:textId="77777777" w:rsidR="000A299E" w:rsidRDefault="000A299E" w:rsidP="00F30587">
      <w:pPr>
        <w:pBdr>
          <w:top w:val="single" w:sz="8" w:space="1" w:color="auto"/>
          <w:left w:val="single" w:sz="8" w:space="4" w:color="auto"/>
          <w:bottom w:val="single" w:sz="8" w:space="1" w:color="auto"/>
          <w:right w:val="single" w:sz="8" w:space="4" w:color="auto"/>
        </w:pBdr>
        <w:spacing w:before="0" w:after="0" w:line="240" w:lineRule="auto"/>
        <w:jc w:val="center"/>
      </w:pPr>
      <w:r w:rsidRPr="000A299E">
        <w:t>Call 1-866-488-7386 | Text ‘START’ to 678-678</w:t>
      </w:r>
    </w:p>
    <w:p w14:paraId="521E3FD1" w14:textId="3E6400E1" w:rsidR="00073AD4" w:rsidRPr="000A299E" w:rsidRDefault="00F5266D" w:rsidP="00F30587">
      <w:pPr>
        <w:pBdr>
          <w:top w:val="single" w:sz="8" w:space="1" w:color="auto"/>
          <w:left w:val="single" w:sz="8" w:space="4" w:color="auto"/>
          <w:bottom w:val="single" w:sz="8" w:space="1" w:color="auto"/>
          <w:right w:val="single" w:sz="8" w:space="4" w:color="auto"/>
        </w:pBdr>
        <w:spacing w:before="0" w:after="0" w:line="240" w:lineRule="auto"/>
        <w:jc w:val="center"/>
      </w:pPr>
      <w:hyperlink r:id="rId34" w:history="1">
        <w:r w:rsidRPr="00F5266D">
          <w:rPr>
            <w:rStyle w:val="Hyperlink"/>
          </w:rPr>
          <w:t>The Trevor Project website</w:t>
        </w:r>
      </w:hyperlink>
    </w:p>
    <w:bookmarkStart w:id="10" w:name="_Toc220311113"/>
    <w:p w14:paraId="6D830E76" w14:textId="5148E832" w:rsidR="00073AD4" w:rsidRDefault="00073AD4" w:rsidP="00073AD4">
      <w:pPr>
        <w:pStyle w:val="Heading1"/>
      </w:pPr>
      <w:r w:rsidRPr="00D071C6">
        <mc:AlternateContent>
          <mc:Choice Requires="wps">
            <w:drawing>
              <wp:anchor distT="0" distB="0" distL="0" distR="0" simplePos="0" relativeHeight="251701248" behindDoc="1" locked="0" layoutInCell="1" allowOverlap="1" wp14:anchorId="57CEC764" wp14:editId="32C4315A">
                <wp:simplePos x="0" y="0"/>
                <wp:positionH relativeFrom="margin">
                  <wp:posOffset>0</wp:posOffset>
                </wp:positionH>
                <wp:positionV relativeFrom="paragraph">
                  <wp:posOffset>310515</wp:posOffset>
                </wp:positionV>
                <wp:extent cx="5937250" cy="45085"/>
                <wp:effectExtent l="0" t="0" r="0" b="0"/>
                <wp:wrapTopAndBottom/>
                <wp:docPr id="1875412264"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D7429" id="Freeform 272" o:spid="_x0000_s1026" alt="&quot;&quot;" style="position:absolute;margin-left:0;margin-top:24.45pt;width:467.5pt;height:3.55pt;z-index:-2516152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 xml:space="preserve">Population-specific suicide </w:t>
      </w:r>
      <w:r w:rsidR="00921E77">
        <w:t>prevention resources</w:t>
      </w:r>
      <w:bookmarkEnd w:id="10"/>
    </w:p>
    <w:tbl>
      <w:tblPr>
        <w:tblStyle w:val="PlainTable2"/>
        <w:tblW w:w="9326" w:type="dxa"/>
        <w:tblLayout w:type="fixed"/>
        <w:tblLook w:val="04A0" w:firstRow="1" w:lastRow="0" w:firstColumn="1" w:lastColumn="0" w:noHBand="0" w:noVBand="1"/>
      </w:tblPr>
      <w:tblGrid>
        <w:gridCol w:w="4500"/>
        <w:gridCol w:w="4826"/>
      </w:tblGrid>
      <w:tr w:rsidR="004616E5" w:rsidRPr="000F4DB8" w14:paraId="0BDE07A3" w14:textId="77777777" w:rsidTr="004616E5">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7F5EA00E" w14:textId="77777777" w:rsidR="004616E5" w:rsidRPr="000F4DB8" w:rsidRDefault="004616E5" w:rsidP="000250F7">
            <w:pPr>
              <w:spacing w:before="0" w:after="0"/>
              <w:rPr>
                <w:b w:val="0"/>
                <w:bCs w:val="0"/>
              </w:rPr>
            </w:pPr>
            <w:r w:rsidRPr="000F4DB8">
              <w:rPr>
                <w:b w:val="0"/>
                <w:bCs w:val="0"/>
              </w:rPr>
              <w:t>American Indians</w:t>
            </w:r>
          </w:p>
        </w:tc>
        <w:tc>
          <w:tcPr>
            <w:tcW w:w="4826" w:type="dxa"/>
            <w:vAlign w:val="center"/>
          </w:tcPr>
          <w:p w14:paraId="6C2F2D26" w14:textId="015EDA2A" w:rsidR="004616E5" w:rsidRPr="000F4DB8" w:rsidRDefault="004616E5" w:rsidP="000250F7">
            <w:pPr>
              <w:spacing w:before="0" w:after="0"/>
              <w:cnfStyle w:val="100000000000" w:firstRow="1" w:lastRow="0" w:firstColumn="0" w:lastColumn="0" w:oddVBand="0" w:evenVBand="0" w:oddHBand="0" w:evenHBand="0" w:firstRowFirstColumn="0" w:firstRowLastColumn="0" w:lastRowFirstColumn="0" w:lastRowLastColumn="0"/>
              <w:rPr>
                <w:b w:val="0"/>
                <w:bCs w:val="0"/>
              </w:rPr>
            </w:pPr>
            <w:hyperlink r:id="rId35" w:history="1">
              <w:r w:rsidRPr="0047300E">
                <w:rPr>
                  <w:rStyle w:val="Hyperlink"/>
                  <w:b w:val="0"/>
                  <w:bCs w:val="0"/>
                </w:rPr>
                <w:t>Indian Health Service Suicide Prevention</w:t>
              </w:r>
            </w:hyperlink>
          </w:p>
        </w:tc>
      </w:tr>
      <w:tr w:rsidR="004616E5" w:rsidRPr="000F4DB8" w14:paraId="425341E0" w14:textId="77777777" w:rsidTr="004616E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5FD7B2F5" w14:textId="77777777" w:rsidR="004616E5" w:rsidRPr="000F4DB8" w:rsidRDefault="004616E5" w:rsidP="000250F7">
            <w:pPr>
              <w:spacing w:before="0" w:after="0"/>
              <w:rPr>
                <w:b w:val="0"/>
                <w:bCs w:val="0"/>
              </w:rPr>
            </w:pPr>
            <w:r w:rsidRPr="000F4DB8">
              <w:rPr>
                <w:b w:val="0"/>
                <w:bCs w:val="0"/>
              </w:rPr>
              <w:t>American Indians</w:t>
            </w:r>
          </w:p>
        </w:tc>
        <w:tc>
          <w:tcPr>
            <w:tcW w:w="4826" w:type="dxa"/>
            <w:shd w:val="clear" w:color="auto" w:fill="E7E6E6" w:themeFill="background2"/>
            <w:vAlign w:val="center"/>
          </w:tcPr>
          <w:p w14:paraId="70F94A6D" w14:textId="1DFD65E7" w:rsidR="004616E5" w:rsidRPr="000F4DB8" w:rsidRDefault="004616E5" w:rsidP="000250F7">
            <w:pPr>
              <w:spacing w:before="0" w:after="0"/>
              <w:cnfStyle w:val="000000100000" w:firstRow="0" w:lastRow="0" w:firstColumn="0" w:lastColumn="0" w:oddVBand="0" w:evenVBand="0" w:oddHBand="1" w:evenHBand="0" w:firstRowFirstColumn="0" w:firstRowLastColumn="0" w:lastRowFirstColumn="0" w:lastRowLastColumn="0"/>
              <w:rPr>
                <w:b/>
                <w:bCs/>
              </w:rPr>
            </w:pPr>
            <w:hyperlink r:id="rId36" w:history="1">
              <w:r w:rsidRPr="0047300E">
                <w:rPr>
                  <w:rStyle w:val="Hyperlink"/>
                </w:rPr>
                <w:t>Suicide Prevention Resource Center</w:t>
              </w:r>
            </w:hyperlink>
          </w:p>
        </w:tc>
      </w:tr>
      <w:tr w:rsidR="004616E5" w:rsidRPr="000F4DB8" w14:paraId="744F1634" w14:textId="77777777" w:rsidTr="0020436B">
        <w:trPr>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E7E6E6" w:themeFill="background2"/>
            <w:vAlign w:val="center"/>
          </w:tcPr>
          <w:p w14:paraId="0F130BBD" w14:textId="77777777" w:rsidR="004616E5" w:rsidRPr="000F4DB8" w:rsidRDefault="004616E5" w:rsidP="000250F7">
            <w:pPr>
              <w:spacing w:before="0" w:after="0"/>
              <w:rPr>
                <w:b w:val="0"/>
                <w:bCs w:val="0"/>
              </w:rPr>
            </w:pPr>
            <w:r w:rsidRPr="000F4DB8">
              <w:rPr>
                <w:b w:val="0"/>
                <w:bCs w:val="0"/>
              </w:rPr>
              <w:t>Asian Americans</w:t>
            </w:r>
          </w:p>
        </w:tc>
        <w:tc>
          <w:tcPr>
            <w:tcW w:w="4826" w:type="dxa"/>
            <w:shd w:val="clear" w:color="auto" w:fill="FFFFFF" w:themeFill="background1"/>
            <w:vAlign w:val="center"/>
          </w:tcPr>
          <w:p w14:paraId="68B61192" w14:textId="3E05255F" w:rsidR="004616E5" w:rsidRPr="000F4DB8" w:rsidRDefault="004616E5" w:rsidP="000250F7">
            <w:pPr>
              <w:spacing w:before="0" w:after="0"/>
              <w:cnfStyle w:val="000000000000" w:firstRow="0" w:lastRow="0" w:firstColumn="0" w:lastColumn="0" w:oddVBand="0" w:evenVBand="0" w:oddHBand="0" w:evenHBand="0" w:firstRowFirstColumn="0" w:firstRowLastColumn="0" w:lastRowFirstColumn="0" w:lastRowLastColumn="0"/>
              <w:rPr>
                <w:b/>
                <w:bCs/>
              </w:rPr>
            </w:pPr>
            <w:hyperlink r:id="rId37" w:history="1">
              <w:r w:rsidRPr="004616E5">
                <w:rPr>
                  <w:rStyle w:val="Hyperlink"/>
                </w:rPr>
                <w:t>Asian American Suicide Prevention and Education</w:t>
              </w:r>
            </w:hyperlink>
          </w:p>
        </w:tc>
      </w:tr>
      <w:tr w:rsidR="004616E5" w:rsidRPr="000F4DB8" w14:paraId="096BB665" w14:textId="77777777" w:rsidTr="006D730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FFFFFF" w:themeFill="background1"/>
            <w:vAlign w:val="center"/>
          </w:tcPr>
          <w:p w14:paraId="7BB727EA" w14:textId="77777777" w:rsidR="004616E5" w:rsidRPr="000F4DB8" w:rsidRDefault="004616E5" w:rsidP="000250F7">
            <w:pPr>
              <w:spacing w:before="0" w:after="0"/>
              <w:rPr>
                <w:b w:val="0"/>
                <w:bCs w:val="0"/>
              </w:rPr>
            </w:pPr>
            <w:r w:rsidRPr="000F4DB8">
              <w:rPr>
                <w:b w:val="0"/>
                <w:bCs w:val="0"/>
              </w:rPr>
              <w:t>College Students</w:t>
            </w:r>
          </w:p>
        </w:tc>
        <w:tc>
          <w:tcPr>
            <w:tcW w:w="4826" w:type="dxa"/>
            <w:shd w:val="clear" w:color="auto" w:fill="E7E6E6" w:themeFill="background2"/>
            <w:vAlign w:val="center"/>
          </w:tcPr>
          <w:p w14:paraId="3C83389D" w14:textId="27505F56" w:rsidR="004616E5" w:rsidRPr="000F4DB8" w:rsidRDefault="004616E5" w:rsidP="000250F7">
            <w:pPr>
              <w:spacing w:before="0" w:after="0"/>
              <w:cnfStyle w:val="000000100000" w:firstRow="0" w:lastRow="0" w:firstColumn="0" w:lastColumn="0" w:oddVBand="0" w:evenVBand="0" w:oddHBand="1" w:evenHBand="0" w:firstRowFirstColumn="0" w:firstRowLastColumn="0" w:lastRowFirstColumn="0" w:lastRowLastColumn="0"/>
            </w:pPr>
            <w:hyperlink r:id="rId38" w:history="1">
              <w:r w:rsidRPr="004616E5">
                <w:rPr>
                  <w:rStyle w:val="Hyperlink"/>
                </w:rPr>
                <w:t>The Jed Foundation</w:t>
              </w:r>
            </w:hyperlink>
          </w:p>
        </w:tc>
      </w:tr>
      <w:tr w:rsidR="004616E5" w:rsidRPr="000F4DB8" w14:paraId="3A200503" w14:textId="77777777" w:rsidTr="006D7300">
        <w:trPr>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E7E6E6" w:themeFill="background2"/>
            <w:vAlign w:val="center"/>
          </w:tcPr>
          <w:p w14:paraId="0440F8D1" w14:textId="77777777" w:rsidR="004616E5" w:rsidRPr="000F4DB8" w:rsidRDefault="004616E5" w:rsidP="000250F7">
            <w:pPr>
              <w:spacing w:before="0" w:after="0"/>
              <w:rPr>
                <w:b w:val="0"/>
                <w:bCs w:val="0"/>
              </w:rPr>
            </w:pPr>
            <w:r w:rsidRPr="000F4DB8">
              <w:rPr>
                <w:b w:val="0"/>
                <w:bCs w:val="0"/>
              </w:rPr>
              <w:t>Disabilities</w:t>
            </w:r>
          </w:p>
        </w:tc>
        <w:tc>
          <w:tcPr>
            <w:tcW w:w="4826" w:type="dxa"/>
            <w:shd w:val="clear" w:color="auto" w:fill="FFFFFF" w:themeFill="background1"/>
            <w:vAlign w:val="center"/>
          </w:tcPr>
          <w:p w14:paraId="4B961F46" w14:textId="3284F687" w:rsidR="004616E5" w:rsidRPr="000F4DB8" w:rsidRDefault="004616E5" w:rsidP="000250F7">
            <w:pPr>
              <w:spacing w:before="0" w:after="0"/>
              <w:cnfStyle w:val="000000000000" w:firstRow="0" w:lastRow="0" w:firstColumn="0" w:lastColumn="0" w:oddVBand="0" w:evenVBand="0" w:oddHBand="0" w:evenHBand="0" w:firstRowFirstColumn="0" w:firstRowLastColumn="0" w:lastRowFirstColumn="0" w:lastRowLastColumn="0"/>
            </w:pPr>
            <w:hyperlink r:id="rId39" w:history="1">
              <w:r w:rsidRPr="004616E5">
                <w:rPr>
                  <w:rStyle w:val="Hyperlink"/>
                </w:rPr>
                <w:t>CDC – Disability and Health</w:t>
              </w:r>
            </w:hyperlink>
          </w:p>
        </w:tc>
      </w:tr>
      <w:tr w:rsidR="004616E5" w:rsidRPr="000F4DB8" w14:paraId="64E95B2A" w14:textId="77777777" w:rsidTr="006D730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FFFFFF" w:themeFill="background1"/>
            <w:vAlign w:val="center"/>
          </w:tcPr>
          <w:p w14:paraId="796D1BAE" w14:textId="77777777" w:rsidR="004616E5" w:rsidRPr="000F4DB8" w:rsidRDefault="004616E5" w:rsidP="000250F7">
            <w:pPr>
              <w:spacing w:before="0" w:after="0"/>
            </w:pPr>
            <w:r w:rsidRPr="000F4DB8">
              <w:rPr>
                <w:b w:val="0"/>
                <w:bCs w:val="0"/>
              </w:rPr>
              <w:t>LGBTQ+</w:t>
            </w:r>
          </w:p>
        </w:tc>
        <w:tc>
          <w:tcPr>
            <w:tcW w:w="4826" w:type="dxa"/>
            <w:shd w:val="clear" w:color="auto" w:fill="E7E6E6" w:themeFill="background2"/>
            <w:vAlign w:val="center"/>
          </w:tcPr>
          <w:p w14:paraId="69CBC903" w14:textId="303A1AA0" w:rsidR="004616E5" w:rsidRPr="000F4DB8" w:rsidRDefault="004616E5" w:rsidP="000250F7">
            <w:pPr>
              <w:spacing w:before="0" w:after="0"/>
              <w:cnfStyle w:val="000000100000" w:firstRow="0" w:lastRow="0" w:firstColumn="0" w:lastColumn="0" w:oddVBand="0" w:evenVBand="0" w:oddHBand="1" w:evenHBand="0" w:firstRowFirstColumn="0" w:firstRowLastColumn="0" w:lastRowFirstColumn="0" w:lastRowLastColumn="0"/>
            </w:pPr>
            <w:hyperlink r:id="rId40" w:history="1">
              <w:r w:rsidRPr="004616E5">
                <w:rPr>
                  <w:rStyle w:val="Hyperlink"/>
                </w:rPr>
                <w:t>Massachusetts Commission on LGBTQ+ Youth</w:t>
              </w:r>
            </w:hyperlink>
          </w:p>
        </w:tc>
      </w:tr>
      <w:tr w:rsidR="004616E5" w:rsidRPr="000F4DB8" w14:paraId="4549D03C" w14:textId="77777777" w:rsidTr="006D7300">
        <w:trPr>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FFFFFF" w:themeFill="background1"/>
            <w:vAlign w:val="center"/>
          </w:tcPr>
          <w:p w14:paraId="675B42EE" w14:textId="77777777" w:rsidR="004616E5" w:rsidRPr="000F4DB8" w:rsidRDefault="004616E5" w:rsidP="000250F7">
            <w:pPr>
              <w:spacing w:before="0" w:after="0"/>
              <w:rPr>
                <w:b w:val="0"/>
                <w:bCs w:val="0"/>
              </w:rPr>
            </w:pPr>
            <w:r w:rsidRPr="000F4DB8">
              <w:rPr>
                <w:b w:val="0"/>
                <w:bCs w:val="0"/>
              </w:rPr>
              <w:t>LGBTQ+</w:t>
            </w:r>
          </w:p>
        </w:tc>
        <w:tc>
          <w:tcPr>
            <w:tcW w:w="4826" w:type="dxa"/>
            <w:shd w:val="clear" w:color="auto" w:fill="FFFFFF" w:themeFill="background1"/>
            <w:vAlign w:val="center"/>
          </w:tcPr>
          <w:p w14:paraId="33239B26" w14:textId="1965BF93" w:rsidR="004616E5" w:rsidRPr="000F4DB8" w:rsidRDefault="004616E5" w:rsidP="000250F7">
            <w:pPr>
              <w:spacing w:before="0" w:after="0"/>
              <w:cnfStyle w:val="000000000000" w:firstRow="0" w:lastRow="0" w:firstColumn="0" w:lastColumn="0" w:oddVBand="0" w:evenVBand="0" w:oddHBand="0" w:evenHBand="0" w:firstRowFirstColumn="0" w:firstRowLastColumn="0" w:lastRowFirstColumn="0" w:lastRowLastColumn="0"/>
            </w:pPr>
            <w:hyperlink r:id="rId41" w:history="1">
              <w:r w:rsidRPr="004616E5">
                <w:rPr>
                  <w:rStyle w:val="Hyperlink"/>
                </w:rPr>
                <w:t>Massachusetts Transgender Political Coalition</w:t>
              </w:r>
            </w:hyperlink>
          </w:p>
        </w:tc>
      </w:tr>
      <w:tr w:rsidR="004616E5" w:rsidRPr="000F4DB8" w14:paraId="1BB789A4" w14:textId="77777777" w:rsidTr="006D730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FFFFFF" w:themeFill="background1"/>
            <w:vAlign w:val="center"/>
          </w:tcPr>
          <w:p w14:paraId="3BC67952" w14:textId="77777777" w:rsidR="004616E5" w:rsidRPr="000F4DB8" w:rsidRDefault="004616E5" w:rsidP="000250F7">
            <w:pPr>
              <w:spacing w:before="0" w:after="0"/>
              <w:rPr>
                <w:b w:val="0"/>
                <w:bCs w:val="0"/>
              </w:rPr>
            </w:pPr>
            <w:r w:rsidRPr="000F4DB8">
              <w:rPr>
                <w:b w:val="0"/>
                <w:bCs w:val="0"/>
              </w:rPr>
              <w:t>LGBTQ+</w:t>
            </w:r>
          </w:p>
        </w:tc>
        <w:tc>
          <w:tcPr>
            <w:tcW w:w="4826" w:type="dxa"/>
            <w:shd w:val="clear" w:color="auto" w:fill="E7E6E6" w:themeFill="background2"/>
            <w:vAlign w:val="center"/>
          </w:tcPr>
          <w:p w14:paraId="48290B5E" w14:textId="767B4B81" w:rsidR="004616E5" w:rsidRPr="000F4DB8" w:rsidRDefault="004616E5" w:rsidP="000250F7">
            <w:pPr>
              <w:spacing w:before="0" w:after="0"/>
              <w:cnfStyle w:val="000000100000" w:firstRow="0" w:lastRow="0" w:firstColumn="0" w:lastColumn="0" w:oddVBand="0" w:evenVBand="0" w:oddHBand="1" w:evenHBand="0" w:firstRowFirstColumn="0" w:firstRowLastColumn="0" w:lastRowFirstColumn="0" w:lastRowLastColumn="0"/>
            </w:pPr>
            <w:hyperlink r:id="rId42" w:history="1">
              <w:r w:rsidRPr="004616E5">
                <w:rPr>
                  <w:rStyle w:val="Hyperlink"/>
                </w:rPr>
                <w:t>Trans Lifeline</w:t>
              </w:r>
            </w:hyperlink>
          </w:p>
        </w:tc>
      </w:tr>
      <w:tr w:rsidR="004616E5" w:rsidRPr="000F4DB8" w14:paraId="1A2B2473" w14:textId="77777777" w:rsidTr="006D7300">
        <w:trPr>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FFFFFF" w:themeFill="background1"/>
            <w:vAlign w:val="center"/>
          </w:tcPr>
          <w:p w14:paraId="6B280ADA" w14:textId="77777777" w:rsidR="004616E5" w:rsidRPr="000F4DB8" w:rsidRDefault="004616E5" w:rsidP="000250F7">
            <w:pPr>
              <w:spacing w:before="0" w:after="0"/>
              <w:rPr>
                <w:b w:val="0"/>
                <w:bCs w:val="0"/>
              </w:rPr>
            </w:pPr>
            <w:r w:rsidRPr="000F4DB8">
              <w:rPr>
                <w:b w:val="0"/>
                <w:bCs w:val="0"/>
              </w:rPr>
              <w:t>LGBTQ+</w:t>
            </w:r>
          </w:p>
        </w:tc>
        <w:tc>
          <w:tcPr>
            <w:tcW w:w="4826" w:type="dxa"/>
            <w:shd w:val="clear" w:color="auto" w:fill="FFFFFF" w:themeFill="background1"/>
            <w:vAlign w:val="center"/>
          </w:tcPr>
          <w:p w14:paraId="7A3548D3" w14:textId="2922F271" w:rsidR="004616E5" w:rsidRPr="000F4DB8" w:rsidRDefault="004616E5" w:rsidP="000250F7">
            <w:pPr>
              <w:spacing w:before="0" w:after="0"/>
              <w:cnfStyle w:val="000000000000" w:firstRow="0" w:lastRow="0" w:firstColumn="0" w:lastColumn="0" w:oddVBand="0" w:evenVBand="0" w:oddHBand="0" w:evenHBand="0" w:firstRowFirstColumn="0" w:firstRowLastColumn="0" w:lastRowFirstColumn="0" w:lastRowLastColumn="0"/>
            </w:pPr>
            <w:hyperlink r:id="rId43" w:history="1">
              <w:r w:rsidRPr="004616E5">
                <w:rPr>
                  <w:rStyle w:val="Hyperlink"/>
                </w:rPr>
                <w:t>The Trevor Project</w:t>
              </w:r>
            </w:hyperlink>
          </w:p>
        </w:tc>
      </w:tr>
      <w:tr w:rsidR="0020436B" w:rsidRPr="000F4DB8" w14:paraId="50D0976A" w14:textId="77777777" w:rsidTr="006D730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E7E6E6" w:themeFill="background2"/>
            <w:vAlign w:val="center"/>
          </w:tcPr>
          <w:p w14:paraId="43DAF870" w14:textId="690D2E46" w:rsidR="0020436B" w:rsidRPr="000F4DB8" w:rsidRDefault="0020436B" w:rsidP="0020436B">
            <w:pPr>
              <w:spacing w:before="0" w:after="0"/>
            </w:pPr>
            <w:r w:rsidRPr="000F4DB8">
              <w:rPr>
                <w:b w:val="0"/>
                <w:bCs w:val="0"/>
              </w:rPr>
              <w:t>Persons living with suicidal thoughts and suicide attempts</w:t>
            </w:r>
          </w:p>
        </w:tc>
        <w:tc>
          <w:tcPr>
            <w:tcW w:w="4826" w:type="dxa"/>
            <w:shd w:val="clear" w:color="auto" w:fill="E7E6E6" w:themeFill="background2"/>
            <w:vAlign w:val="center"/>
          </w:tcPr>
          <w:p w14:paraId="4279AC37" w14:textId="39B52C5D" w:rsidR="0020436B" w:rsidRDefault="0020436B" w:rsidP="0020436B">
            <w:pPr>
              <w:spacing w:before="0" w:after="0"/>
              <w:cnfStyle w:val="000000100000" w:firstRow="0" w:lastRow="0" w:firstColumn="0" w:lastColumn="0" w:oddVBand="0" w:evenVBand="0" w:oddHBand="1" w:evenHBand="0" w:firstRowFirstColumn="0" w:firstRowLastColumn="0" w:lastRowFirstColumn="0" w:lastRowLastColumn="0"/>
            </w:pPr>
            <w:hyperlink r:id="rId44" w:history="1">
              <w:r w:rsidRPr="004616E5">
                <w:rPr>
                  <w:rStyle w:val="Hyperlink"/>
                </w:rPr>
                <w:t>Lifeline for Attempt Survivors</w:t>
              </w:r>
            </w:hyperlink>
          </w:p>
        </w:tc>
      </w:tr>
      <w:tr w:rsidR="0020436B" w:rsidRPr="000F4DB8" w14:paraId="2B640AF8" w14:textId="77777777" w:rsidTr="0020436B">
        <w:trPr>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FFFFFF" w:themeFill="background1"/>
            <w:vAlign w:val="center"/>
          </w:tcPr>
          <w:p w14:paraId="042205E1" w14:textId="77777777" w:rsidR="0020436B" w:rsidRPr="000F4DB8" w:rsidRDefault="0020436B" w:rsidP="0020436B">
            <w:pPr>
              <w:spacing w:before="0" w:after="0"/>
              <w:rPr>
                <w:b w:val="0"/>
                <w:bCs w:val="0"/>
              </w:rPr>
            </w:pPr>
            <w:r w:rsidRPr="000F4DB8">
              <w:rPr>
                <w:b w:val="0"/>
                <w:bCs w:val="0"/>
              </w:rPr>
              <w:t>Persons who have lost someone to suicide</w:t>
            </w:r>
          </w:p>
        </w:tc>
        <w:tc>
          <w:tcPr>
            <w:tcW w:w="4826" w:type="dxa"/>
            <w:shd w:val="clear" w:color="auto" w:fill="FFFFFF" w:themeFill="background1"/>
            <w:vAlign w:val="center"/>
          </w:tcPr>
          <w:p w14:paraId="284841C3" w14:textId="466E249E" w:rsidR="0020436B" w:rsidRPr="000F4DB8" w:rsidRDefault="0020436B" w:rsidP="0020436B">
            <w:pPr>
              <w:spacing w:before="0" w:after="0"/>
              <w:cnfStyle w:val="000000000000" w:firstRow="0" w:lastRow="0" w:firstColumn="0" w:lastColumn="0" w:oddVBand="0" w:evenVBand="0" w:oddHBand="0" w:evenHBand="0" w:firstRowFirstColumn="0" w:firstRowLastColumn="0" w:lastRowFirstColumn="0" w:lastRowLastColumn="0"/>
            </w:pPr>
            <w:hyperlink r:id="rId45" w:history="1">
              <w:r w:rsidRPr="004616E5">
                <w:rPr>
                  <w:rStyle w:val="Hyperlink"/>
                </w:rPr>
                <w:t>988 Lifeline for Loss Survivors</w:t>
              </w:r>
            </w:hyperlink>
          </w:p>
        </w:tc>
      </w:tr>
      <w:tr w:rsidR="0020436B" w:rsidRPr="000F4DB8" w14:paraId="7FAC753F" w14:textId="77777777" w:rsidTr="0020436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E7E6E6" w:themeFill="background2"/>
            <w:vAlign w:val="center"/>
          </w:tcPr>
          <w:p w14:paraId="38058FC1" w14:textId="77777777" w:rsidR="0020436B" w:rsidRPr="000F4DB8" w:rsidRDefault="0020436B" w:rsidP="0020436B">
            <w:pPr>
              <w:spacing w:before="0" w:after="0"/>
              <w:rPr>
                <w:b w:val="0"/>
                <w:bCs w:val="0"/>
              </w:rPr>
            </w:pPr>
            <w:r w:rsidRPr="000F4DB8">
              <w:rPr>
                <w:b w:val="0"/>
                <w:bCs w:val="0"/>
              </w:rPr>
              <w:t>Men of Working Age</w:t>
            </w:r>
          </w:p>
        </w:tc>
        <w:tc>
          <w:tcPr>
            <w:tcW w:w="4826" w:type="dxa"/>
            <w:shd w:val="clear" w:color="auto" w:fill="E7E6E6" w:themeFill="background2"/>
            <w:vAlign w:val="center"/>
          </w:tcPr>
          <w:p w14:paraId="4868B9C7" w14:textId="185B5D0C" w:rsidR="0020436B" w:rsidRPr="000F4DB8" w:rsidRDefault="0020436B" w:rsidP="0020436B">
            <w:pPr>
              <w:spacing w:before="0" w:after="0"/>
              <w:cnfStyle w:val="000000100000" w:firstRow="0" w:lastRow="0" w:firstColumn="0" w:lastColumn="0" w:oddVBand="0" w:evenVBand="0" w:oddHBand="1" w:evenHBand="0" w:firstRowFirstColumn="0" w:firstRowLastColumn="0" w:lastRowFirstColumn="0" w:lastRowLastColumn="0"/>
            </w:pPr>
            <w:hyperlink r:id="rId46" w:history="1">
              <w:r w:rsidRPr="004616E5">
                <w:rPr>
                  <w:rStyle w:val="Hyperlink"/>
                </w:rPr>
                <w:t>MassMen</w:t>
              </w:r>
            </w:hyperlink>
          </w:p>
        </w:tc>
      </w:tr>
      <w:tr w:rsidR="0020436B" w:rsidRPr="000F4DB8" w14:paraId="134203AB" w14:textId="77777777" w:rsidTr="0020436B">
        <w:trPr>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FFFFFF" w:themeFill="background1"/>
            <w:vAlign w:val="center"/>
          </w:tcPr>
          <w:p w14:paraId="161AEA99" w14:textId="77777777" w:rsidR="0020436B" w:rsidRPr="000F4DB8" w:rsidRDefault="0020436B" w:rsidP="0020436B">
            <w:pPr>
              <w:spacing w:before="0" w:after="0"/>
              <w:rPr>
                <w:b w:val="0"/>
                <w:bCs w:val="0"/>
              </w:rPr>
            </w:pPr>
            <w:r w:rsidRPr="000F4DB8">
              <w:rPr>
                <w:b w:val="0"/>
                <w:bCs w:val="0"/>
              </w:rPr>
              <w:t>Military Service Members/Veterans</w:t>
            </w:r>
          </w:p>
        </w:tc>
        <w:tc>
          <w:tcPr>
            <w:tcW w:w="4826" w:type="dxa"/>
            <w:shd w:val="clear" w:color="auto" w:fill="FFFFFF" w:themeFill="background1"/>
            <w:vAlign w:val="center"/>
          </w:tcPr>
          <w:p w14:paraId="21A6BB09" w14:textId="4982094F" w:rsidR="0020436B" w:rsidRPr="000F4DB8" w:rsidRDefault="0020436B" w:rsidP="0020436B">
            <w:pPr>
              <w:spacing w:before="0" w:after="0"/>
              <w:cnfStyle w:val="000000000000" w:firstRow="0" w:lastRow="0" w:firstColumn="0" w:lastColumn="0" w:oddVBand="0" w:evenVBand="0" w:oddHBand="0" w:evenHBand="0" w:firstRowFirstColumn="0" w:firstRowLastColumn="0" w:lastRowFirstColumn="0" w:lastRowLastColumn="0"/>
            </w:pPr>
            <w:hyperlink r:id="rId47" w:history="1">
              <w:r w:rsidRPr="004616E5">
                <w:rPr>
                  <w:rStyle w:val="Hyperlink"/>
                </w:rPr>
                <w:t>Defense Suicide Prevention Office</w:t>
              </w:r>
            </w:hyperlink>
          </w:p>
        </w:tc>
      </w:tr>
      <w:tr w:rsidR="0020436B" w:rsidRPr="000F4DB8" w14:paraId="5E505623" w14:textId="77777777" w:rsidTr="0020436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FFFFFF" w:themeFill="background1"/>
            <w:vAlign w:val="center"/>
          </w:tcPr>
          <w:p w14:paraId="669363C7" w14:textId="77777777" w:rsidR="0020436B" w:rsidRPr="000F4DB8" w:rsidRDefault="0020436B" w:rsidP="0020436B">
            <w:pPr>
              <w:spacing w:before="0" w:after="0"/>
              <w:rPr>
                <w:b w:val="0"/>
                <w:bCs w:val="0"/>
              </w:rPr>
            </w:pPr>
            <w:r w:rsidRPr="000F4DB8">
              <w:rPr>
                <w:b w:val="0"/>
                <w:bCs w:val="0"/>
              </w:rPr>
              <w:t>Military Service Members/Veterans</w:t>
            </w:r>
          </w:p>
        </w:tc>
        <w:tc>
          <w:tcPr>
            <w:tcW w:w="4826" w:type="dxa"/>
            <w:shd w:val="clear" w:color="auto" w:fill="E7E6E6" w:themeFill="background2"/>
            <w:vAlign w:val="center"/>
          </w:tcPr>
          <w:p w14:paraId="3F67AD06" w14:textId="6D613C86" w:rsidR="0020436B" w:rsidRPr="000F4DB8" w:rsidRDefault="0020436B" w:rsidP="0020436B">
            <w:pPr>
              <w:spacing w:before="0" w:after="0"/>
              <w:cnfStyle w:val="000000100000" w:firstRow="0" w:lastRow="0" w:firstColumn="0" w:lastColumn="0" w:oddVBand="0" w:evenVBand="0" w:oddHBand="1" w:evenHBand="0" w:firstRowFirstColumn="0" w:firstRowLastColumn="0" w:lastRowFirstColumn="0" w:lastRowLastColumn="0"/>
            </w:pPr>
            <w:hyperlink r:id="rId48" w:history="1">
              <w:r w:rsidRPr="004616E5">
                <w:rPr>
                  <w:rStyle w:val="Hyperlink"/>
                </w:rPr>
                <w:t>Department of Veterans Affairs Suicide Prevention</w:t>
              </w:r>
            </w:hyperlink>
          </w:p>
        </w:tc>
      </w:tr>
      <w:tr w:rsidR="0020436B" w:rsidRPr="000F4DB8" w14:paraId="60DAAAF4" w14:textId="77777777" w:rsidTr="0020436B">
        <w:trPr>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FFFFFF" w:themeFill="background1"/>
            <w:vAlign w:val="center"/>
          </w:tcPr>
          <w:p w14:paraId="4B055607" w14:textId="77777777" w:rsidR="0020436B" w:rsidRPr="000F4DB8" w:rsidRDefault="0020436B" w:rsidP="0020436B">
            <w:pPr>
              <w:spacing w:before="0" w:after="0"/>
              <w:rPr>
                <w:b w:val="0"/>
                <w:bCs w:val="0"/>
              </w:rPr>
            </w:pPr>
            <w:r w:rsidRPr="000F4DB8">
              <w:rPr>
                <w:b w:val="0"/>
                <w:bCs w:val="0"/>
              </w:rPr>
              <w:t>Military Service Members/Veterans</w:t>
            </w:r>
          </w:p>
        </w:tc>
        <w:tc>
          <w:tcPr>
            <w:tcW w:w="4826" w:type="dxa"/>
            <w:vAlign w:val="center"/>
          </w:tcPr>
          <w:p w14:paraId="26C2382A" w14:textId="76B425BB" w:rsidR="0020436B" w:rsidRPr="000F4DB8" w:rsidRDefault="0020436B" w:rsidP="0020436B">
            <w:pPr>
              <w:spacing w:before="0" w:after="0"/>
              <w:cnfStyle w:val="000000000000" w:firstRow="0" w:lastRow="0" w:firstColumn="0" w:lastColumn="0" w:oddVBand="0" w:evenVBand="0" w:oddHBand="0" w:evenHBand="0" w:firstRowFirstColumn="0" w:firstRowLastColumn="0" w:lastRowFirstColumn="0" w:lastRowLastColumn="0"/>
            </w:pPr>
            <w:hyperlink r:id="rId49" w:history="1">
              <w:r w:rsidRPr="004616E5">
                <w:rPr>
                  <w:rStyle w:val="Hyperlink"/>
                </w:rPr>
                <w:t>Statewide Advocacy for Veterans’ Empowerment</w:t>
              </w:r>
            </w:hyperlink>
          </w:p>
        </w:tc>
      </w:tr>
      <w:tr w:rsidR="0020436B" w:rsidRPr="000F4DB8" w14:paraId="1EA85E98" w14:textId="77777777" w:rsidTr="0020436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FFFFFF" w:themeFill="background1"/>
            <w:vAlign w:val="center"/>
          </w:tcPr>
          <w:p w14:paraId="3FDD370B" w14:textId="77777777" w:rsidR="0020436B" w:rsidRPr="000F4DB8" w:rsidRDefault="0020436B" w:rsidP="0020436B">
            <w:pPr>
              <w:spacing w:before="0" w:after="0"/>
              <w:rPr>
                <w:b w:val="0"/>
                <w:bCs w:val="0"/>
              </w:rPr>
            </w:pPr>
            <w:r w:rsidRPr="000F4DB8">
              <w:rPr>
                <w:b w:val="0"/>
                <w:bCs w:val="0"/>
              </w:rPr>
              <w:lastRenderedPageBreak/>
              <w:t>Military Service Members/Veterans</w:t>
            </w:r>
          </w:p>
        </w:tc>
        <w:tc>
          <w:tcPr>
            <w:tcW w:w="4826" w:type="dxa"/>
            <w:shd w:val="clear" w:color="auto" w:fill="E7E6E6" w:themeFill="background2"/>
            <w:vAlign w:val="center"/>
          </w:tcPr>
          <w:p w14:paraId="24958A1F" w14:textId="532501B7" w:rsidR="0020436B" w:rsidRPr="000F4DB8" w:rsidRDefault="0020436B" w:rsidP="0020436B">
            <w:pPr>
              <w:spacing w:before="0" w:after="0"/>
              <w:cnfStyle w:val="000000100000" w:firstRow="0" w:lastRow="0" w:firstColumn="0" w:lastColumn="0" w:oddVBand="0" w:evenVBand="0" w:oddHBand="1" w:evenHBand="0" w:firstRowFirstColumn="0" w:firstRowLastColumn="0" w:lastRowFirstColumn="0" w:lastRowLastColumn="0"/>
            </w:pPr>
            <w:hyperlink r:id="rId50" w:history="1">
              <w:r w:rsidRPr="004616E5">
                <w:rPr>
                  <w:rStyle w:val="Hyperlink"/>
                </w:rPr>
                <w:t>Veterans Crisis Line</w:t>
              </w:r>
            </w:hyperlink>
          </w:p>
        </w:tc>
      </w:tr>
      <w:tr w:rsidR="0020436B" w:rsidRPr="000F4DB8" w14:paraId="1FF106A8" w14:textId="77777777" w:rsidTr="0020436B">
        <w:trPr>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E7E6E6" w:themeFill="background2"/>
            <w:vAlign w:val="center"/>
          </w:tcPr>
          <w:p w14:paraId="3C41BB25" w14:textId="77777777" w:rsidR="0020436B" w:rsidRPr="000F4DB8" w:rsidRDefault="0020436B" w:rsidP="0020436B">
            <w:pPr>
              <w:spacing w:before="0" w:after="0"/>
              <w:rPr>
                <w:b w:val="0"/>
                <w:bCs w:val="0"/>
              </w:rPr>
            </w:pPr>
            <w:r w:rsidRPr="000F4DB8">
              <w:rPr>
                <w:b w:val="0"/>
                <w:bCs w:val="0"/>
              </w:rPr>
              <w:t>Older Adults</w:t>
            </w:r>
          </w:p>
        </w:tc>
        <w:tc>
          <w:tcPr>
            <w:tcW w:w="4826" w:type="dxa"/>
            <w:shd w:val="clear" w:color="auto" w:fill="FFFFFF" w:themeFill="background1"/>
            <w:vAlign w:val="center"/>
          </w:tcPr>
          <w:p w14:paraId="40B550AF" w14:textId="696DA8CF" w:rsidR="0020436B" w:rsidRPr="000F4DB8" w:rsidRDefault="0020436B" w:rsidP="0020436B">
            <w:pPr>
              <w:spacing w:before="0" w:after="0"/>
              <w:cnfStyle w:val="000000000000" w:firstRow="0" w:lastRow="0" w:firstColumn="0" w:lastColumn="0" w:oddVBand="0" w:evenVBand="0" w:oddHBand="0" w:evenHBand="0" w:firstRowFirstColumn="0" w:firstRowLastColumn="0" w:lastRowFirstColumn="0" w:lastRowLastColumn="0"/>
            </w:pPr>
            <w:hyperlink r:id="rId51" w:history="1">
              <w:r w:rsidRPr="004616E5">
                <w:rPr>
                  <w:rStyle w:val="Hyperlink"/>
                </w:rPr>
                <w:t>National Council on Aging</w:t>
              </w:r>
            </w:hyperlink>
          </w:p>
        </w:tc>
      </w:tr>
      <w:tr w:rsidR="0020436B" w:rsidRPr="000F4DB8" w14:paraId="67899BBB" w14:textId="77777777" w:rsidTr="0020436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E7E6E6" w:themeFill="background2"/>
            <w:vAlign w:val="center"/>
          </w:tcPr>
          <w:p w14:paraId="7C991745" w14:textId="77777777" w:rsidR="0020436B" w:rsidRPr="000F4DB8" w:rsidRDefault="0020436B" w:rsidP="0020436B">
            <w:pPr>
              <w:spacing w:before="0" w:after="0"/>
              <w:rPr>
                <w:b w:val="0"/>
                <w:bCs w:val="0"/>
              </w:rPr>
            </w:pPr>
            <w:r w:rsidRPr="000F4DB8">
              <w:rPr>
                <w:b w:val="0"/>
                <w:bCs w:val="0"/>
              </w:rPr>
              <w:t>Older Adults</w:t>
            </w:r>
          </w:p>
        </w:tc>
        <w:tc>
          <w:tcPr>
            <w:tcW w:w="4826" w:type="dxa"/>
            <w:shd w:val="clear" w:color="auto" w:fill="E7E6E6" w:themeFill="background2"/>
            <w:vAlign w:val="center"/>
          </w:tcPr>
          <w:p w14:paraId="181EB3C5" w14:textId="1D6BF941" w:rsidR="0020436B" w:rsidRPr="000F4DB8" w:rsidRDefault="0020436B" w:rsidP="0020436B">
            <w:pPr>
              <w:spacing w:before="0" w:after="0"/>
              <w:cnfStyle w:val="000000100000" w:firstRow="0" w:lastRow="0" w:firstColumn="0" w:lastColumn="0" w:oddVBand="0" w:evenVBand="0" w:oddHBand="1" w:evenHBand="0" w:firstRowFirstColumn="0" w:firstRowLastColumn="0" w:lastRowFirstColumn="0" w:lastRowLastColumn="0"/>
            </w:pPr>
            <w:hyperlink r:id="rId52" w:history="1">
              <w:r w:rsidRPr="004616E5">
                <w:rPr>
                  <w:rStyle w:val="Hyperlink"/>
                </w:rPr>
                <w:t>Substance Abuse and Mental Health Services Administration (SAMHSA)</w:t>
              </w:r>
            </w:hyperlink>
          </w:p>
        </w:tc>
      </w:tr>
      <w:tr w:rsidR="0020436B" w:rsidRPr="000F4DB8" w14:paraId="7E216762" w14:textId="77777777" w:rsidTr="0020436B">
        <w:trPr>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FFFFFF" w:themeFill="background1"/>
            <w:vAlign w:val="center"/>
          </w:tcPr>
          <w:p w14:paraId="25284D0C" w14:textId="77777777" w:rsidR="0020436B" w:rsidRPr="000F4DB8" w:rsidRDefault="0020436B" w:rsidP="0020436B">
            <w:pPr>
              <w:spacing w:before="0" w:after="0"/>
              <w:rPr>
                <w:b w:val="0"/>
                <w:bCs w:val="0"/>
              </w:rPr>
            </w:pPr>
            <w:r w:rsidRPr="000F4DB8">
              <w:rPr>
                <w:b w:val="0"/>
                <w:bCs w:val="0"/>
              </w:rPr>
              <w:t>People of Color</w:t>
            </w:r>
          </w:p>
        </w:tc>
        <w:tc>
          <w:tcPr>
            <w:tcW w:w="4826" w:type="dxa"/>
            <w:vAlign w:val="center"/>
          </w:tcPr>
          <w:p w14:paraId="16207F5B" w14:textId="08F1690B" w:rsidR="0020436B" w:rsidRPr="000F4DB8" w:rsidRDefault="0020436B" w:rsidP="0020436B">
            <w:pPr>
              <w:spacing w:before="0" w:after="0"/>
              <w:cnfStyle w:val="000000000000" w:firstRow="0" w:lastRow="0" w:firstColumn="0" w:lastColumn="0" w:oddVBand="0" w:evenVBand="0" w:oddHBand="0" w:evenHBand="0" w:firstRowFirstColumn="0" w:firstRowLastColumn="0" w:lastRowFirstColumn="0" w:lastRowLastColumn="0"/>
            </w:pPr>
            <w:hyperlink r:id="rId53" w:history="1">
              <w:r w:rsidRPr="004616E5">
                <w:rPr>
                  <w:rStyle w:val="Hyperlink"/>
                </w:rPr>
                <w:t>National Organization for People of Color Against Suicide (NOPCAS)</w:t>
              </w:r>
            </w:hyperlink>
          </w:p>
        </w:tc>
      </w:tr>
      <w:tr w:rsidR="0020436B" w:rsidRPr="000F4DB8" w14:paraId="48AE6C79" w14:textId="77777777" w:rsidTr="0020436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E7E6E6" w:themeFill="background2"/>
            <w:vAlign w:val="center"/>
          </w:tcPr>
          <w:p w14:paraId="6288096B" w14:textId="77777777" w:rsidR="0020436B" w:rsidRPr="000F4DB8" w:rsidRDefault="0020436B" w:rsidP="0020436B">
            <w:pPr>
              <w:spacing w:before="0" w:after="0"/>
              <w:rPr>
                <w:b w:val="0"/>
                <w:bCs w:val="0"/>
              </w:rPr>
            </w:pPr>
            <w:r w:rsidRPr="000F4DB8">
              <w:rPr>
                <w:b w:val="0"/>
                <w:bCs w:val="0"/>
              </w:rPr>
              <w:t>Recursos en Español</w:t>
            </w:r>
          </w:p>
        </w:tc>
        <w:tc>
          <w:tcPr>
            <w:tcW w:w="4826" w:type="dxa"/>
            <w:shd w:val="clear" w:color="auto" w:fill="E7E6E6" w:themeFill="background2"/>
            <w:vAlign w:val="center"/>
          </w:tcPr>
          <w:p w14:paraId="17DE4097" w14:textId="51C139D5" w:rsidR="0020436B" w:rsidRPr="000F4DB8" w:rsidRDefault="0020436B" w:rsidP="0020436B">
            <w:pPr>
              <w:spacing w:before="0" w:after="0"/>
              <w:cnfStyle w:val="000000100000" w:firstRow="0" w:lastRow="0" w:firstColumn="0" w:lastColumn="0" w:oddVBand="0" w:evenVBand="0" w:oddHBand="1" w:evenHBand="0" w:firstRowFirstColumn="0" w:firstRowLastColumn="0" w:lastRowFirstColumn="0" w:lastRowLastColumn="0"/>
            </w:pPr>
            <w:hyperlink r:id="rId54" w:history="1">
              <w:r w:rsidRPr="004616E5">
                <w:rPr>
                  <w:rStyle w:val="Hyperlink"/>
                </w:rPr>
                <w:t>Red Nacional de Prevención del Suicidio</w:t>
              </w:r>
            </w:hyperlink>
          </w:p>
        </w:tc>
      </w:tr>
      <w:tr w:rsidR="0020436B" w:rsidRPr="000F4DB8" w14:paraId="493FFC73" w14:textId="77777777" w:rsidTr="0020436B">
        <w:trPr>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FFFFFF" w:themeFill="background1"/>
            <w:vAlign w:val="center"/>
          </w:tcPr>
          <w:p w14:paraId="66843579" w14:textId="77777777" w:rsidR="0020436B" w:rsidRPr="000F4DB8" w:rsidRDefault="0020436B" w:rsidP="0020436B">
            <w:pPr>
              <w:spacing w:before="0" w:after="0"/>
              <w:rPr>
                <w:b w:val="0"/>
                <w:bCs w:val="0"/>
              </w:rPr>
            </w:pPr>
            <w:r w:rsidRPr="000F4DB8">
              <w:rPr>
                <w:b w:val="0"/>
                <w:bCs w:val="0"/>
              </w:rPr>
              <w:t>Safe Messaging</w:t>
            </w:r>
          </w:p>
        </w:tc>
        <w:tc>
          <w:tcPr>
            <w:tcW w:w="4826" w:type="dxa"/>
            <w:shd w:val="clear" w:color="auto" w:fill="FFFFFF" w:themeFill="background1"/>
            <w:vAlign w:val="center"/>
          </w:tcPr>
          <w:p w14:paraId="790442CA" w14:textId="3BAB12CA" w:rsidR="0020436B" w:rsidRPr="000F4DB8" w:rsidRDefault="0020436B" w:rsidP="0020436B">
            <w:pPr>
              <w:spacing w:before="0" w:after="0"/>
              <w:cnfStyle w:val="000000000000" w:firstRow="0" w:lastRow="0" w:firstColumn="0" w:lastColumn="0" w:oddVBand="0" w:evenVBand="0" w:oddHBand="0" w:evenHBand="0" w:firstRowFirstColumn="0" w:firstRowLastColumn="0" w:lastRowFirstColumn="0" w:lastRowLastColumn="0"/>
            </w:pPr>
            <w:hyperlink r:id="rId55" w:history="1">
              <w:r w:rsidRPr="004616E5">
                <w:rPr>
                  <w:rStyle w:val="Hyperlink"/>
                </w:rPr>
                <w:t>Suicide Prevention Resource Center</w:t>
              </w:r>
            </w:hyperlink>
          </w:p>
        </w:tc>
      </w:tr>
      <w:tr w:rsidR="0020436B" w:rsidRPr="000F4DB8" w14:paraId="185C7344" w14:textId="77777777" w:rsidTr="0020436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500" w:type="dxa"/>
            <w:shd w:val="clear" w:color="auto" w:fill="E7E6E6" w:themeFill="background2"/>
            <w:vAlign w:val="center"/>
          </w:tcPr>
          <w:p w14:paraId="36C49B8C" w14:textId="77777777" w:rsidR="0020436B" w:rsidRPr="000F4DB8" w:rsidRDefault="0020436B" w:rsidP="0020436B">
            <w:pPr>
              <w:spacing w:before="0" w:after="0"/>
              <w:rPr>
                <w:b w:val="0"/>
                <w:bCs w:val="0"/>
              </w:rPr>
            </w:pPr>
            <w:r w:rsidRPr="000F4DB8">
              <w:rPr>
                <w:b w:val="0"/>
                <w:bCs w:val="0"/>
              </w:rPr>
              <w:t>Youth</w:t>
            </w:r>
          </w:p>
        </w:tc>
        <w:tc>
          <w:tcPr>
            <w:tcW w:w="4826" w:type="dxa"/>
            <w:shd w:val="clear" w:color="auto" w:fill="E7E6E6" w:themeFill="background2"/>
            <w:vAlign w:val="center"/>
          </w:tcPr>
          <w:p w14:paraId="2F90268C" w14:textId="6DCA65A5" w:rsidR="0020436B" w:rsidRPr="000F4DB8" w:rsidRDefault="0020436B" w:rsidP="0020436B">
            <w:pPr>
              <w:spacing w:before="0" w:after="0"/>
              <w:cnfStyle w:val="000000100000" w:firstRow="0" w:lastRow="0" w:firstColumn="0" w:lastColumn="0" w:oddVBand="0" w:evenVBand="0" w:oddHBand="1" w:evenHBand="0" w:firstRowFirstColumn="0" w:firstRowLastColumn="0" w:lastRowFirstColumn="0" w:lastRowLastColumn="0"/>
            </w:pPr>
            <w:hyperlink r:id="rId56" w:history="1">
              <w:r w:rsidRPr="004616E5">
                <w:rPr>
                  <w:rStyle w:val="Hyperlink"/>
                </w:rPr>
                <w:t>Youth.gov</w:t>
              </w:r>
            </w:hyperlink>
          </w:p>
        </w:tc>
      </w:tr>
    </w:tbl>
    <w:p w14:paraId="612E1190" w14:textId="77777777" w:rsidR="00073AD4" w:rsidRPr="000A299E" w:rsidRDefault="00073AD4" w:rsidP="00BD2FD0">
      <w:pPr>
        <w:spacing w:before="0" w:after="0"/>
      </w:pPr>
    </w:p>
    <w:bookmarkStart w:id="11" w:name="_Toc220311114"/>
    <w:p w14:paraId="54991BED" w14:textId="7C994B63" w:rsidR="00C16550" w:rsidRDefault="00C16550" w:rsidP="00C16550">
      <w:pPr>
        <w:pStyle w:val="Heading1"/>
      </w:pPr>
      <w:r w:rsidRPr="00D071C6">
        <mc:AlternateContent>
          <mc:Choice Requires="wps">
            <w:drawing>
              <wp:anchor distT="0" distB="0" distL="0" distR="0" simplePos="0" relativeHeight="251695104" behindDoc="1" locked="0" layoutInCell="1" allowOverlap="1" wp14:anchorId="10D131BC" wp14:editId="446DBC95">
                <wp:simplePos x="0" y="0"/>
                <wp:positionH relativeFrom="margin">
                  <wp:posOffset>0</wp:posOffset>
                </wp:positionH>
                <wp:positionV relativeFrom="paragraph">
                  <wp:posOffset>310515</wp:posOffset>
                </wp:positionV>
                <wp:extent cx="5937250" cy="45085"/>
                <wp:effectExtent l="0" t="0" r="0" b="0"/>
                <wp:wrapTopAndBottom/>
                <wp:docPr id="1146061580"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3070C" id="Freeform 272" o:spid="_x0000_s1026" alt="&quot;&quot;" style="position:absolute;margin-left:0;margin-top:24.45pt;width:467.5pt;height:3.55pt;z-index:-2516213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Methods</w:t>
      </w:r>
      <w:bookmarkEnd w:id="11"/>
    </w:p>
    <w:p w14:paraId="2A0F2D17" w14:textId="5271C892" w:rsidR="00192672" w:rsidRDefault="00192672" w:rsidP="0088747B">
      <w:pPr>
        <w:pStyle w:val="Heading2"/>
        <w:spacing w:before="0" w:after="0"/>
      </w:pPr>
      <w:r>
        <w:t xml:space="preserve">General </w:t>
      </w:r>
      <w:r w:rsidR="006205FA">
        <w:t>n</w:t>
      </w:r>
      <w:r>
        <w:t>otes</w:t>
      </w:r>
    </w:p>
    <w:p w14:paraId="3C439355" w14:textId="77777777" w:rsidR="00277D36" w:rsidRPr="00277D36" w:rsidRDefault="00277D36" w:rsidP="006D7300">
      <w:pPr>
        <w:tabs>
          <w:tab w:val="left" w:pos="6681"/>
        </w:tabs>
        <w:spacing w:before="0" w:line="240" w:lineRule="auto"/>
        <w:jc w:val="both"/>
      </w:pPr>
      <w:r w:rsidRPr="00277D36">
        <w:t xml:space="preserve">All data were ascertained using guidelines recommended by the Centers for Disease Control and Prevention (CDC) and are based upon the International Classification of Disease codes (ICD-10) for morbidity and mortality. The most recently available year of data for each data source was used for this bulletin. Rates reported in this bulletin are crude rates unless otherwise specified. Suicide death and self-inflicted injury rates were not calculated for those who identified as LGBTQ or those with a disability due to the lack of information on these identities in respective datasets. Rates presented in this bulletin cannot be compared to bulletins published prior to 2008 due to a methodology change. In prior bulletins, individuals less than 10 years old were excluded in both the numerator and denominator due to the rarity of this age group dying by suicide. For consistency with other publications, the analysis was modified to include all ages for both numerator and denominator, this change results in slightly lower rates. Rates are not calculated on counts of less than five, and rates based on counts less than 20 are considered unstable. Prior to data year 2010, death data used in the bulletin was from the Massachusetts Registry of Vital Records and Statistics (MA RVRS) and included Massachusetts residents regardless of where the death occurred. Throughout this bulletin, a bridged-race method was used to provide uniformity and comparability of race for mortality data. Decedents with more than one race have been assigned to the least populous racial group in Massachusetts that they identified with. </w:t>
      </w:r>
    </w:p>
    <w:p w14:paraId="3B60B09B" w14:textId="12ED3D56" w:rsidR="00CC154D" w:rsidRDefault="00CC154D" w:rsidP="00C258B9">
      <w:pPr>
        <w:pStyle w:val="Heading2"/>
        <w:spacing w:after="0"/>
      </w:pPr>
      <w:r>
        <w:t xml:space="preserve">Data </w:t>
      </w:r>
      <w:r w:rsidR="006205FA">
        <w:t>s</w:t>
      </w:r>
      <w:r>
        <w:t>ources</w:t>
      </w:r>
    </w:p>
    <w:p w14:paraId="24C1CCA8" w14:textId="77777777" w:rsidR="00C258B9" w:rsidRPr="00483B77" w:rsidRDefault="00C258B9" w:rsidP="00C258B9">
      <w:pPr>
        <w:pStyle w:val="ListParagraph"/>
        <w:numPr>
          <w:ilvl w:val="0"/>
          <w:numId w:val="26"/>
        </w:numPr>
        <w:spacing w:before="0" w:after="0" w:line="240" w:lineRule="auto"/>
        <w:contextualSpacing w:val="0"/>
      </w:pPr>
      <w:r w:rsidRPr="00483B77">
        <w:rPr>
          <w:i/>
        </w:rPr>
        <w:t>Death Data</w:t>
      </w:r>
      <w:r w:rsidRPr="00483B77">
        <w:t xml:space="preserve">: MA Violent Death Reporting System (MAVDRS), MA Department of Public Health (DPH). The National Violent Death Reporting System (NVDRS) is a CDC-funded system in all 50 states, the District of Columbia, and Puerto Rico that links data from death certificates, medical examiner files, and police reports to </w:t>
      </w:r>
      <w:r w:rsidRPr="00483B77">
        <w:lastRenderedPageBreak/>
        <w:t>provide a more complete picture of the circumstances surrounding violent deaths. MAVDRS operates within the Injury Surveillance Program (ISP) at DPH. MAVDRS captures all violent deaths (homicides, suicides, deaths of undetermined intent, and all firearm deaths) occurring in MA, regardless of residency, and has been collecting data since 2003. Data reported are for calendar year and were analyzed by ICD-10 code.</w:t>
      </w:r>
    </w:p>
    <w:p w14:paraId="39D50101" w14:textId="77777777" w:rsidR="00C258B9" w:rsidRPr="00483B77" w:rsidRDefault="00C258B9" w:rsidP="00C258B9">
      <w:pPr>
        <w:pStyle w:val="ListParagraph"/>
        <w:numPr>
          <w:ilvl w:val="0"/>
          <w:numId w:val="26"/>
        </w:numPr>
        <w:spacing w:before="0" w:after="0" w:line="240" w:lineRule="auto"/>
        <w:contextualSpacing w:val="0"/>
      </w:pPr>
      <w:r w:rsidRPr="00483B77">
        <w:rPr>
          <w:i/>
        </w:rPr>
        <w:t>Suicide Crisis Call Data</w:t>
      </w:r>
      <w:r w:rsidRPr="00483B77">
        <w:t>: 988 Lifeline, MA Department of Public Health</w:t>
      </w:r>
    </w:p>
    <w:p w14:paraId="3B945124" w14:textId="77777777" w:rsidR="00C258B9" w:rsidRPr="00483B77" w:rsidRDefault="00C258B9" w:rsidP="00C258B9">
      <w:pPr>
        <w:pStyle w:val="ListParagraph"/>
        <w:numPr>
          <w:ilvl w:val="0"/>
          <w:numId w:val="26"/>
        </w:numPr>
        <w:spacing w:before="0" w:after="0" w:line="240" w:lineRule="auto"/>
        <w:contextualSpacing w:val="0"/>
      </w:pPr>
      <w:r w:rsidRPr="00483B77">
        <w:rPr>
          <w:i/>
        </w:rPr>
        <w:t>Population Data 2011-2019</w:t>
      </w:r>
      <w:r w:rsidRPr="00483B77">
        <w:t>: Population Estimates 2011-2019, version 2020, Massachusetts Department of Public Health, Bureau of Environmental Health. Version 2020 years 2018-2019 apply updates from U.S. Census Bureau’s County Population by Characteristics, vintage 2020; all previous years apply updates from U.S. Census Bureau’s County Population by Characteristics, vintage 2019 or earlier. These estimates were developed by the University of Massachusetts Donahue Institute (UMDI) in partnership with the Massachusetts Department of Public Health, Bureau of Environmental Health.</w:t>
      </w:r>
    </w:p>
    <w:p w14:paraId="43F99A62" w14:textId="77777777" w:rsidR="00C258B9" w:rsidRPr="00483B77" w:rsidRDefault="00C258B9" w:rsidP="00C258B9">
      <w:pPr>
        <w:pStyle w:val="ListParagraph"/>
        <w:numPr>
          <w:ilvl w:val="0"/>
          <w:numId w:val="26"/>
        </w:numPr>
        <w:spacing w:before="0" w:after="0" w:line="240" w:lineRule="auto"/>
        <w:contextualSpacing w:val="0"/>
      </w:pPr>
      <w:r w:rsidRPr="00483B77">
        <w:rPr>
          <w:i/>
        </w:rPr>
        <w:t>Population Data 2020-2030</w:t>
      </w:r>
      <w:r w:rsidRPr="00483B77">
        <w:t>: Small Area Population estimates 2020-2030, Massachusetts Department of Public Health, Office of Population. Developed by University of Massachusetts Donohue Institute’s Economic &amp; Public Policy Research Group using 2020 census data, including 2020 census counts for age groups and sex and in spring 2025, the modified age race census file for final estimates released August 2025 for use by DPH.</w:t>
      </w:r>
    </w:p>
    <w:p w14:paraId="59A4864E" w14:textId="77777777" w:rsidR="00C258B9" w:rsidRPr="00483B77" w:rsidRDefault="00C258B9" w:rsidP="00C258B9">
      <w:pPr>
        <w:pStyle w:val="ListParagraph"/>
        <w:numPr>
          <w:ilvl w:val="0"/>
          <w:numId w:val="26"/>
        </w:numPr>
        <w:spacing w:before="0" w:after="0" w:line="240" w:lineRule="auto"/>
      </w:pPr>
      <w:r w:rsidRPr="00483B77">
        <w:rPr>
          <w:i/>
        </w:rPr>
        <w:t>Self</w:t>
      </w:r>
      <w:r w:rsidRPr="00483B77">
        <w:rPr>
          <w:i/>
          <w:iCs/>
        </w:rPr>
        <w:t xml:space="preserve">-Inflicted Injuries 2023: </w:t>
      </w:r>
      <w:r w:rsidRPr="00483B77">
        <w:t>Case Mix dataset for fiscal years 2023-2024 from Massachusetts Outpatient Emergency Department Discharge Database, Inpatient Hospital Discharge and Outpatient Observation Stay Databases, Center for Health Information and Analysis (CHIA).</w:t>
      </w:r>
    </w:p>
    <w:p w14:paraId="17C13CF9" w14:textId="77777777" w:rsidR="00C258B9" w:rsidRPr="00483B77" w:rsidRDefault="00C258B9" w:rsidP="00C258B9">
      <w:pPr>
        <w:pStyle w:val="ListParagraph"/>
        <w:numPr>
          <w:ilvl w:val="0"/>
          <w:numId w:val="26"/>
        </w:numPr>
        <w:spacing w:before="0" w:after="0" w:line="240" w:lineRule="auto"/>
        <w:contextualSpacing w:val="0"/>
      </w:pPr>
      <w:r w:rsidRPr="00483B77">
        <w:rPr>
          <w:i/>
        </w:rPr>
        <w:t>U</w:t>
      </w:r>
      <w:r w:rsidRPr="00483B77">
        <w:t>.</w:t>
      </w:r>
      <w:r w:rsidRPr="00483B77">
        <w:rPr>
          <w:i/>
        </w:rPr>
        <w:t>S. injury rates and U.S. population</w:t>
      </w:r>
      <w:r w:rsidRPr="00483B77">
        <w:t xml:space="preserve"> were accessed from CDC, National Center for Injury Prevention and Control (NCIPC), and the Web-based Injury Statistics Query and Reporting System (WISQARS).</w:t>
      </w:r>
    </w:p>
    <w:p w14:paraId="7F305A34" w14:textId="116BD2CF" w:rsidR="00C258B9" w:rsidRPr="00483B77" w:rsidRDefault="00C258B9" w:rsidP="00C258B9">
      <w:pPr>
        <w:pStyle w:val="ListParagraph"/>
        <w:numPr>
          <w:ilvl w:val="0"/>
          <w:numId w:val="26"/>
        </w:numPr>
        <w:spacing w:before="0" w:after="0" w:line="240" w:lineRule="auto"/>
      </w:pPr>
      <w:r w:rsidRPr="00483B77">
        <w:rPr>
          <w:i/>
        </w:rPr>
        <w:t>Statistical Testing for Annual Percent Change</w:t>
      </w:r>
      <w:r w:rsidRPr="00483B77">
        <w:t xml:space="preserve"> Surveillance Research Program, National Cancer Institute (2025). Joinpoint Regression Software, Version 5.4.0 - April 2025. (https://surveillance.cancer.gov/joinpoint)</w:t>
      </w:r>
    </w:p>
    <w:p w14:paraId="6A6BD26F" w14:textId="68797C89" w:rsidR="002E564E" w:rsidRDefault="002E564E" w:rsidP="00C258B9">
      <w:pPr>
        <w:pStyle w:val="Heading2"/>
        <w:spacing w:after="0"/>
      </w:pPr>
      <w:r>
        <w:t xml:space="preserve">Statistical </w:t>
      </w:r>
      <w:r w:rsidR="006205FA">
        <w:t>s</w:t>
      </w:r>
      <w:r>
        <w:t>ignificance</w:t>
      </w:r>
    </w:p>
    <w:p w14:paraId="5614B165" w14:textId="5174E950" w:rsidR="00C258B9" w:rsidRPr="00C258B9" w:rsidRDefault="00C258B9" w:rsidP="006D7300">
      <w:pPr>
        <w:tabs>
          <w:tab w:val="left" w:pos="6681"/>
        </w:tabs>
        <w:spacing w:before="0" w:line="240" w:lineRule="auto"/>
        <w:jc w:val="both"/>
      </w:pPr>
      <w:r w:rsidRPr="00C258B9">
        <w:t>A statistically significant p-value indicates strong evidence against the null hypothesis.  For example, if your null hypothesis is that Group A is equal to Group B and you obtain a small p-value (&lt;0.05), that indicates that Group A likely does not equal Group B.  These tests can tell you if groups differ in an outcome (for example, men versus women dying by suicide) or if a factor is associated with an outcome (for example, are financial circumstances associated with dying by suicide). Statistical significance does not necessarily imply importance and should not be the only consideration when exploring an issue. Because a rate is not “statistically significant” does not mean there is not a real problem that could or should be addressed.</w:t>
      </w:r>
    </w:p>
    <w:p w14:paraId="4169C054" w14:textId="5FBF1786" w:rsidR="00C258B9" w:rsidRPr="00C258B9" w:rsidRDefault="00C258B9" w:rsidP="006D7300">
      <w:pPr>
        <w:tabs>
          <w:tab w:val="left" w:pos="6681"/>
        </w:tabs>
        <w:spacing w:before="0" w:line="240" w:lineRule="auto"/>
        <w:jc w:val="both"/>
      </w:pPr>
      <w:r w:rsidRPr="00C258B9">
        <w:lastRenderedPageBreak/>
        <w:t>This publication was supported by cooperative agreement #U17/CE010121 from the CDC. Its contents are solely the responsibility of the authors and do not represent the official views of the CDC.</w:t>
      </w:r>
    </w:p>
    <w:bookmarkStart w:id="12" w:name="_Toc220311115"/>
    <w:p w14:paraId="1741B7A2" w14:textId="4C0DF86D" w:rsidR="00CB318D" w:rsidRDefault="00CB318D" w:rsidP="00CB318D">
      <w:pPr>
        <w:pStyle w:val="Heading1"/>
      </w:pPr>
      <w:r w:rsidRPr="00D071C6">
        <mc:AlternateContent>
          <mc:Choice Requires="wps">
            <w:drawing>
              <wp:anchor distT="0" distB="0" distL="0" distR="0" simplePos="0" relativeHeight="251697152" behindDoc="1" locked="0" layoutInCell="1" allowOverlap="1" wp14:anchorId="4F2E7600" wp14:editId="4471C806">
                <wp:simplePos x="0" y="0"/>
                <wp:positionH relativeFrom="margin">
                  <wp:posOffset>0</wp:posOffset>
                </wp:positionH>
                <wp:positionV relativeFrom="paragraph">
                  <wp:posOffset>310515</wp:posOffset>
                </wp:positionV>
                <wp:extent cx="5937250" cy="45085"/>
                <wp:effectExtent l="0" t="0" r="0" b="0"/>
                <wp:wrapTopAndBottom/>
                <wp:docPr id="1268025460" name="Freeform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7250" cy="45085"/>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5400">
                          <a:solidFill>
                            <a:srgbClr val="0059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3DF5C" id="Freeform 272" o:spid="_x0000_s1026" alt="&quot;&quot;" style="position:absolute;margin-left:0;margin-top:24.45pt;width:467.5pt;height:3.55pt;z-index:-2516193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SkQIAAIIFAAAOAAAAZHJzL2Uyb0RvYy54bWysVNtu2zAMfR+wfxD0uKHxpfGaGHWKoV2H&#10;Ad0FaPYBiizHxmRRk5Q43dePki/1su1l2IMNSaQODw8pXt+cWkmOwtgGVEGTRUyJUBzKRu0L+nV7&#10;f7GixDqmSiZBiYI+CUtvNi9fXHc6FynUIEthCIIom3e6oLVzOo8iy2vRMrsALRQaKzAtc7g1+6g0&#10;rEP0VkZpHL+JOjClNsCFtXh61xvpJuBXleDuc1VZ4YgsKHJz4W/Cf+f/0eaa5XvDdN3wgQb7BxYt&#10;axQGnaDumGPkYJrfoNqGG7BQuQWHNoKqargIOWA2SXyWzWPNtAi5oDhWTzLZ/wfLPx0f9RfjqVv9&#10;APybRUWiTtt8sviNRR+y6z5CiTVkBwch2VNlWn8T0yCnoOnTpKk4OcLxMFtfXqUZSs/RtsziVeY1&#10;j1g+XuYH694LCEDs+GBdX5ISV0HQkijWYtQtYlStxOq8viAxuUrDNxRwckpGp1cR2cakI0m8iscy&#10;T17p6BWgkiT7M9jl6ObB0jkY8t+PDFk9kuYnNbDGFWH+CcRBKA3WC7RFdqNCiIBOPsO/+GLwc9/+&#10;zhDCYG+fd7WhBLt614uimfPMfAi/JB2+zyCGP2nhKLYQbO6sdhjl2SrV3Ku/P+fV2/GKDxHqOoX1&#10;bGe1VXDfSBmKK5Unk2ZLrIynYEE2pbeGjdnvbqUhR+afbJyt18uhY35xM3BQZUCrBSvfDWvHGtmv&#10;MbpEeUMr++71E8HmOyifsJMN9IMABxcuajA/KOlwCBTUfj8wIyiRHxS+snWyXPqpETbLDHuOEjO3&#10;7OYWpjhCFdRRrL1f3rp+0hy0afY1RkpCugre4guqGt/pgV/PatjgQw86DkPJT5L5Png9j87NTwAA&#10;AP//AwBQSwMEFAAGAAgAAAAhAO8nWerbAAAABgEAAA8AAABkcnMvZG93bnJldi54bWxMj8FOwzAQ&#10;RO9I/IO1SNyo09JUTcimCkjcQIgW7tvETaLG68jetuHvMSd63JnRzNtiM9lBnY0PvWOE+SwBZbh2&#10;Tc8twtfu9WENKghxQ4Njg/BjAmzK25uC8sZd+NOct9KqWMIhJ4ROZMy1DnVnLIWZGw1H7+C8JYmn&#10;b3Xj6RLL7aAXSbLSlnqOCx2N5qUz9XF7sgi2p8VRqtGHLF1+P3+8ZVLt3hHv76bqCZSYSf7D8Icf&#10;0aGMTHt34iaoASE+IgjLdQYqutljGoU9QrpKQJeFvsYvfwEAAP//AwBQSwECLQAUAAYACAAAACEA&#10;toM4kv4AAADhAQAAEwAAAAAAAAAAAAAAAAAAAAAAW0NvbnRlbnRfVHlwZXNdLnhtbFBLAQItABQA&#10;BgAIAAAAIQA4/SH/1gAAAJQBAAALAAAAAAAAAAAAAAAAAC8BAABfcmVscy8ucmVsc1BLAQItABQA&#10;BgAIAAAAIQA/egJSkQIAAIIFAAAOAAAAAAAAAAAAAAAAAC4CAABkcnMvZTJvRG9jLnhtbFBLAQIt&#10;ABQABgAIAAAAIQDvJ1nq2wAAAAYBAAAPAAAAAAAAAAAAAAAAAOsEAABkcnMvZG93bnJldi54bWxQ&#10;SwUGAAAAAAQABADzAAAA8wUAAAAA&#10;" path="m,l10800,e" filled="f" strokecolor="#005994" strokeweight="2pt">
                <v:path arrowok="t" o:connecttype="custom" o:connectlocs="0,0;5937250,0" o:connectangles="0,0"/>
                <w10:wrap type="topAndBottom" anchorx="margin"/>
              </v:shape>
            </w:pict>
          </mc:Fallback>
        </mc:AlternateContent>
      </w:r>
      <w:r>
        <w:t>Footnotes</w:t>
      </w:r>
      <w:bookmarkEnd w:id="12"/>
    </w:p>
    <w:p w14:paraId="553397FA" w14:textId="77777777" w:rsidR="00507F69" w:rsidRPr="00507F69" w:rsidRDefault="00507F69" w:rsidP="006D7300">
      <w:pPr>
        <w:spacing w:before="0" w:after="0" w:line="240" w:lineRule="auto"/>
      </w:pPr>
      <w:r w:rsidRPr="00507F69">
        <w:rPr>
          <w:vertAlign w:val="superscript"/>
        </w:rPr>
        <w:t>1</w:t>
      </w:r>
      <w:r w:rsidRPr="00507F69">
        <w:t xml:space="preserve"> CDC, WISQARS Fatal Injury Reports, National, Regional and State, 1981-2023.</w:t>
      </w:r>
    </w:p>
    <w:p w14:paraId="375A21EB" w14:textId="77777777" w:rsidR="00507F69" w:rsidRPr="00507F69" w:rsidRDefault="00507F69" w:rsidP="006D7300">
      <w:pPr>
        <w:spacing w:before="0" w:after="0" w:line="240" w:lineRule="auto"/>
      </w:pPr>
      <w:r w:rsidRPr="00507F69">
        <w:rPr>
          <w:sz w:val="32"/>
          <w:szCs w:val="32"/>
          <w:vertAlign w:val="superscript"/>
        </w:rPr>
        <w:t>2</w:t>
      </w:r>
      <w:r w:rsidRPr="00507F69">
        <w:t xml:space="preserve"> Rates based on counts less than 20 are considered unstable and should be interpreted with caution.</w:t>
      </w:r>
    </w:p>
    <w:p w14:paraId="17D414E2" w14:textId="77777777" w:rsidR="00507F69" w:rsidRPr="00507F69" w:rsidRDefault="00507F69" w:rsidP="006D7300">
      <w:pPr>
        <w:spacing w:before="0" w:after="0" w:line="240" w:lineRule="auto"/>
      </w:pPr>
      <w:r w:rsidRPr="00507F69">
        <w:rPr>
          <w:sz w:val="32"/>
          <w:szCs w:val="32"/>
          <w:vertAlign w:val="superscript"/>
        </w:rPr>
        <w:t xml:space="preserve">3 </w:t>
      </w:r>
      <w:r w:rsidRPr="00507F69">
        <w:t>Percent changes are only displayed for values based on counts over 20. Calculations based on counts under 20 are considered unstable.</w:t>
      </w:r>
    </w:p>
    <w:p w14:paraId="3E31D3C8" w14:textId="77777777" w:rsidR="00507F69" w:rsidRPr="00507F69" w:rsidRDefault="00507F69" w:rsidP="006D7300">
      <w:pPr>
        <w:spacing w:before="0" w:after="0" w:line="240" w:lineRule="auto"/>
      </w:pPr>
      <w:r w:rsidRPr="00507F69">
        <w:rPr>
          <w:sz w:val="32"/>
          <w:szCs w:val="32"/>
          <w:vertAlign w:val="superscript"/>
        </w:rPr>
        <w:t>4</w:t>
      </w:r>
      <w:r w:rsidRPr="00507F69">
        <w:rPr>
          <w:vertAlign w:val="superscript"/>
        </w:rPr>
        <w:t xml:space="preserve"> </w:t>
      </w:r>
      <w:r w:rsidRPr="00507F69">
        <w:t>Total n includes 25 suicides for whom race/ethnicity was American Indian/Alaska Native, other race, or unknown. Rates were not calculated for these groups due to numbers less than five or a lack of denominator information.</w:t>
      </w:r>
    </w:p>
    <w:p w14:paraId="1896638B" w14:textId="77777777" w:rsidR="00507F69" w:rsidRPr="00507F69" w:rsidRDefault="00507F69" w:rsidP="006D7300">
      <w:pPr>
        <w:spacing w:before="0" w:after="0" w:line="240" w:lineRule="auto"/>
      </w:pPr>
      <w:r w:rsidRPr="00507F69">
        <w:rPr>
          <w:vertAlign w:val="superscript"/>
        </w:rPr>
        <w:t xml:space="preserve">5 </w:t>
      </w:r>
      <w:r w:rsidRPr="00507F69">
        <w:t>A bridged-race method was used to provide uniformity and comparability of race, decedents with more than one race have been assigned to the least populous racial group in Massachusetts.</w:t>
      </w:r>
    </w:p>
    <w:p w14:paraId="5C7594B3" w14:textId="77777777" w:rsidR="00507F69" w:rsidRPr="00507F69" w:rsidRDefault="00507F69" w:rsidP="006D7300">
      <w:pPr>
        <w:spacing w:before="0" w:after="0" w:line="240" w:lineRule="auto"/>
      </w:pPr>
      <w:r w:rsidRPr="00507F69">
        <w:rPr>
          <w:sz w:val="32"/>
          <w:szCs w:val="32"/>
          <w:vertAlign w:val="superscript"/>
        </w:rPr>
        <w:t>6</w:t>
      </w:r>
      <w:r w:rsidRPr="00507F69">
        <w:t xml:space="preserve"> Percentages may not sum to 100% due to rounding.</w:t>
      </w:r>
    </w:p>
    <w:p w14:paraId="25D682A0" w14:textId="77777777" w:rsidR="00507F69" w:rsidRPr="00507F69" w:rsidRDefault="00507F69" w:rsidP="006D7300">
      <w:pPr>
        <w:spacing w:before="0" w:after="0" w:line="240" w:lineRule="auto"/>
      </w:pPr>
      <w:r w:rsidRPr="00507F69">
        <w:rPr>
          <w:sz w:val="32"/>
          <w:szCs w:val="32"/>
          <w:vertAlign w:val="superscript"/>
        </w:rPr>
        <w:t xml:space="preserve">7 </w:t>
      </w:r>
      <w:r w:rsidRPr="00507F69">
        <w:t>Significant at the p&lt;0.05 level, Monte Carlo Permutation. Surveillance Research Program, National Cancer Institute (2025). Joinpoint Regression Software, Version 5.4.0 - April 2025.</w:t>
      </w:r>
    </w:p>
    <w:p w14:paraId="315E07AC" w14:textId="77777777" w:rsidR="00507F69" w:rsidRPr="00507F69" w:rsidRDefault="00507F69" w:rsidP="006D7300">
      <w:pPr>
        <w:spacing w:before="0" w:after="0" w:line="240" w:lineRule="auto"/>
      </w:pPr>
      <w:r w:rsidRPr="00507F69">
        <w:rPr>
          <w:sz w:val="32"/>
          <w:szCs w:val="32"/>
          <w:vertAlign w:val="superscript"/>
        </w:rPr>
        <w:t>8</w:t>
      </w:r>
      <w:r w:rsidRPr="00507F69">
        <w:rPr>
          <w:vertAlign w:val="superscript"/>
        </w:rPr>
        <w:t xml:space="preserve"> </w:t>
      </w:r>
      <w:r w:rsidRPr="00507F69">
        <w:t>Total n includes 339 self-inflicted injuries for whom race/ethnicity was American Indian/Alaska Native, other race, or unknown. Rates were not calculated for these groups due to numbers less than 11 or a lack of denominator information.</w:t>
      </w:r>
    </w:p>
    <w:p w14:paraId="71AAEC90" w14:textId="72B73906" w:rsidR="00F638BA" w:rsidRPr="00F638BA" w:rsidRDefault="00507F69" w:rsidP="00F16BC1">
      <w:pPr>
        <w:spacing w:before="0" w:after="0" w:line="240" w:lineRule="auto"/>
      </w:pPr>
      <w:r w:rsidRPr="00507F69">
        <w:rPr>
          <w:vertAlign w:val="superscript"/>
        </w:rPr>
        <w:t xml:space="preserve">9 </w:t>
      </w:r>
      <w:r w:rsidRPr="00507F69">
        <w:t>This number does not include chat or texts. This number is made up of mostly unique callers but may include a small number of repeat callers. Fiscal year 2024 includes July 1</w:t>
      </w:r>
      <w:r w:rsidRPr="00507F69">
        <w:rPr>
          <w:vertAlign w:val="superscript"/>
        </w:rPr>
        <w:t>st</w:t>
      </w:r>
      <w:r w:rsidRPr="00507F69">
        <w:t>, 2023, to June 30</w:t>
      </w:r>
      <w:r w:rsidRPr="00507F69">
        <w:rPr>
          <w:vertAlign w:val="superscript"/>
        </w:rPr>
        <w:t>th</w:t>
      </w:r>
      <w:r w:rsidRPr="00507F69">
        <w:t>, 2024.</w:t>
      </w:r>
    </w:p>
    <w:sectPr w:rsidR="00F638BA" w:rsidRPr="00F638BA" w:rsidSect="003D2EC8">
      <w:footerReference w:type="default" r:id="rId5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02CC" w14:textId="77777777" w:rsidR="008F5A77" w:rsidRDefault="008F5A77" w:rsidP="003D2EC8">
      <w:pPr>
        <w:spacing w:before="0" w:after="0" w:line="240" w:lineRule="auto"/>
      </w:pPr>
      <w:r>
        <w:separator/>
      </w:r>
    </w:p>
  </w:endnote>
  <w:endnote w:type="continuationSeparator" w:id="0">
    <w:p w14:paraId="3759AFFF" w14:textId="77777777" w:rsidR="008F5A77" w:rsidRDefault="008F5A77" w:rsidP="003D2E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980038"/>
      <w:docPartObj>
        <w:docPartGallery w:val="Page Numbers (Bottom of Page)"/>
        <w:docPartUnique/>
      </w:docPartObj>
    </w:sdtPr>
    <w:sdtEndPr>
      <w:rPr>
        <w:noProof/>
      </w:rPr>
    </w:sdtEndPr>
    <w:sdtContent>
      <w:p w14:paraId="716A34D2" w14:textId="5570B900" w:rsidR="003D2EC8" w:rsidRDefault="003D2E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43F346" w14:textId="77777777" w:rsidR="003D2EC8" w:rsidRDefault="003D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B243" w14:textId="77777777" w:rsidR="008F5A77" w:rsidRDefault="008F5A77" w:rsidP="003D2EC8">
      <w:pPr>
        <w:spacing w:before="0" w:after="0" w:line="240" w:lineRule="auto"/>
      </w:pPr>
      <w:r>
        <w:separator/>
      </w:r>
    </w:p>
  </w:footnote>
  <w:footnote w:type="continuationSeparator" w:id="0">
    <w:p w14:paraId="6F024209" w14:textId="77777777" w:rsidR="008F5A77" w:rsidRDefault="008F5A77" w:rsidP="003D2EC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1C0"/>
    <w:multiLevelType w:val="hybridMultilevel"/>
    <w:tmpl w:val="C90A28E4"/>
    <w:lvl w:ilvl="0" w:tplc="544A160A">
      <w:start w:val="800"/>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34517"/>
    <w:multiLevelType w:val="hybridMultilevel"/>
    <w:tmpl w:val="AF1691CC"/>
    <w:lvl w:ilvl="0" w:tplc="544A160A">
      <w:start w:val="80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E44A6"/>
    <w:multiLevelType w:val="hybridMultilevel"/>
    <w:tmpl w:val="1ECE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3171"/>
    <w:multiLevelType w:val="hybridMultilevel"/>
    <w:tmpl w:val="12D0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17733"/>
    <w:multiLevelType w:val="hybridMultilevel"/>
    <w:tmpl w:val="86969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80411"/>
    <w:multiLevelType w:val="hybridMultilevel"/>
    <w:tmpl w:val="5E229F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00E01"/>
    <w:multiLevelType w:val="hybridMultilevel"/>
    <w:tmpl w:val="C9C8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95E1B"/>
    <w:multiLevelType w:val="hybridMultilevel"/>
    <w:tmpl w:val="FEA6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938C9"/>
    <w:multiLevelType w:val="hybridMultilevel"/>
    <w:tmpl w:val="7DF0066C"/>
    <w:lvl w:ilvl="0" w:tplc="9656D75C">
      <w:numFmt w:val="bullet"/>
      <w:lvlText w:val=""/>
      <w:lvlJc w:val="left"/>
      <w:pPr>
        <w:ind w:left="1440" w:hanging="360"/>
      </w:pPr>
      <w:rPr>
        <w:rFonts w:ascii="Symbol" w:eastAsia="Times New Roman" w:hAnsi="Symbol" w:cs="Times New Roman" w:hint="default"/>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E67E2C"/>
    <w:multiLevelType w:val="hybridMultilevel"/>
    <w:tmpl w:val="815C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009EA"/>
    <w:multiLevelType w:val="hybridMultilevel"/>
    <w:tmpl w:val="1682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22A68"/>
    <w:multiLevelType w:val="hybridMultilevel"/>
    <w:tmpl w:val="8EDC0AD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4C5E4A"/>
    <w:multiLevelType w:val="hybridMultilevel"/>
    <w:tmpl w:val="FB50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D7A18"/>
    <w:multiLevelType w:val="hybridMultilevel"/>
    <w:tmpl w:val="9A38BF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7533B"/>
    <w:multiLevelType w:val="hybridMultilevel"/>
    <w:tmpl w:val="7856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80188"/>
    <w:multiLevelType w:val="hybridMultilevel"/>
    <w:tmpl w:val="2898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179EE"/>
    <w:multiLevelType w:val="hybridMultilevel"/>
    <w:tmpl w:val="EE3C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60CF6"/>
    <w:multiLevelType w:val="hybridMultilevel"/>
    <w:tmpl w:val="BF28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54383"/>
    <w:multiLevelType w:val="hybridMultilevel"/>
    <w:tmpl w:val="8090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47F18"/>
    <w:multiLevelType w:val="hybridMultilevel"/>
    <w:tmpl w:val="FFAC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75301"/>
    <w:multiLevelType w:val="hybridMultilevel"/>
    <w:tmpl w:val="3BDA9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8179B5"/>
    <w:multiLevelType w:val="hybridMultilevel"/>
    <w:tmpl w:val="DE9450D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92D19F5"/>
    <w:multiLevelType w:val="hybridMultilevel"/>
    <w:tmpl w:val="085C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24D77"/>
    <w:multiLevelType w:val="hybridMultilevel"/>
    <w:tmpl w:val="36E4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60865"/>
    <w:multiLevelType w:val="hybridMultilevel"/>
    <w:tmpl w:val="5CCC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5B1BA2"/>
    <w:multiLevelType w:val="hybridMultilevel"/>
    <w:tmpl w:val="BB88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473FD"/>
    <w:multiLevelType w:val="hybridMultilevel"/>
    <w:tmpl w:val="D5C21ED2"/>
    <w:lvl w:ilvl="0" w:tplc="302C7E3A">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01069E"/>
    <w:multiLevelType w:val="hybridMultilevel"/>
    <w:tmpl w:val="2DF2F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64BA4"/>
    <w:multiLevelType w:val="hybridMultilevel"/>
    <w:tmpl w:val="1F7C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0F31D7"/>
    <w:multiLevelType w:val="hybridMultilevel"/>
    <w:tmpl w:val="6E38E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E327AC"/>
    <w:multiLevelType w:val="hybridMultilevel"/>
    <w:tmpl w:val="64E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4F0B92"/>
    <w:multiLevelType w:val="hybridMultilevel"/>
    <w:tmpl w:val="266AF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AB3B26"/>
    <w:multiLevelType w:val="hybridMultilevel"/>
    <w:tmpl w:val="C9D2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555FD"/>
    <w:multiLevelType w:val="hybridMultilevel"/>
    <w:tmpl w:val="4FBC30D0"/>
    <w:lvl w:ilvl="0" w:tplc="544A160A">
      <w:start w:val="80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9623536">
    <w:abstractNumId w:val="16"/>
  </w:num>
  <w:num w:numId="2" w16cid:durableId="1688018098">
    <w:abstractNumId w:val="4"/>
  </w:num>
  <w:num w:numId="3" w16cid:durableId="111945634">
    <w:abstractNumId w:val="9"/>
  </w:num>
  <w:num w:numId="4" w16cid:durableId="1729642271">
    <w:abstractNumId w:val="23"/>
  </w:num>
  <w:num w:numId="5" w16cid:durableId="828716828">
    <w:abstractNumId w:val="31"/>
  </w:num>
  <w:num w:numId="6" w16cid:durableId="1948929437">
    <w:abstractNumId w:val="19"/>
  </w:num>
  <w:num w:numId="7" w16cid:durableId="754591084">
    <w:abstractNumId w:val="25"/>
  </w:num>
  <w:num w:numId="8" w16cid:durableId="1639804454">
    <w:abstractNumId w:val="30"/>
  </w:num>
  <w:num w:numId="9" w16cid:durableId="996152456">
    <w:abstractNumId w:val="27"/>
  </w:num>
  <w:num w:numId="10" w16cid:durableId="696194755">
    <w:abstractNumId w:val="28"/>
  </w:num>
  <w:num w:numId="11" w16cid:durableId="1417049587">
    <w:abstractNumId w:val="13"/>
  </w:num>
  <w:num w:numId="12" w16cid:durableId="1129594061">
    <w:abstractNumId w:val="21"/>
  </w:num>
  <w:num w:numId="13" w16cid:durableId="1441411388">
    <w:abstractNumId w:val="2"/>
  </w:num>
  <w:num w:numId="14" w16cid:durableId="439759852">
    <w:abstractNumId w:val="5"/>
  </w:num>
  <w:num w:numId="15" w16cid:durableId="243297192">
    <w:abstractNumId w:val="11"/>
  </w:num>
  <w:num w:numId="16" w16cid:durableId="1987665226">
    <w:abstractNumId w:val="14"/>
  </w:num>
  <w:num w:numId="17" w16cid:durableId="1579168535">
    <w:abstractNumId w:val="17"/>
  </w:num>
  <w:num w:numId="18" w16cid:durableId="2076855288">
    <w:abstractNumId w:val="12"/>
  </w:num>
  <w:num w:numId="19" w16cid:durableId="1786389989">
    <w:abstractNumId w:val="29"/>
  </w:num>
  <w:num w:numId="20" w16cid:durableId="1192648548">
    <w:abstractNumId w:val="22"/>
  </w:num>
  <w:num w:numId="21" w16cid:durableId="653728517">
    <w:abstractNumId w:val="18"/>
  </w:num>
  <w:num w:numId="22" w16cid:durableId="716274289">
    <w:abstractNumId w:val="10"/>
  </w:num>
  <w:num w:numId="23" w16cid:durableId="1780225051">
    <w:abstractNumId w:val="6"/>
  </w:num>
  <w:num w:numId="24" w16cid:durableId="814416836">
    <w:abstractNumId w:val="7"/>
  </w:num>
  <w:num w:numId="25" w16cid:durableId="1048067482">
    <w:abstractNumId w:val="3"/>
  </w:num>
  <w:num w:numId="26" w16cid:durableId="1916891590">
    <w:abstractNumId w:val="0"/>
  </w:num>
  <w:num w:numId="27" w16cid:durableId="203953701">
    <w:abstractNumId w:val="20"/>
  </w:num>
  <w:num w:numId="28" w16cid:durableId="661927254">
    <w:abstractNumId w:val="8"/>
  </w:num>
  <w:num w:numId="29" w16cid:durableId="770852779">
    <w:abstractNumId w:val="15"/>
  </w:num>
  <w:num w:numId="30" w16cid:durableId="248465065">
    <w:abstractNumId w:val="26"/>
  </w:num>
  <w:num w:numId="31" w16cid:durableId="803692625">
    <w:abstractNumId w:val="24"/>
  </w:num>
  <w:num w:numId="32" w16cid:durableId="683215511">
    <w:abstractNumId w:val="32"/>
  </w:num>
  <w:num w:numId="33" w16cid:durableId="714039965">
    <w:abstractNumId w:val="33"/>
  </w:num>
  <w:num w:numId="34" w16cid:durableId="2113620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22"/>
    <w:rsid w:val="00002631"/>
    <w:rsid w:val="00004CDB"/>
    <w:rsid w:val="00007825"/>
    <w:rsid w:val="00007C82"/>
    <w:rsid w:val="00014872"/>
    <w:rsid w:val="00024352"/>
    <w:rsid w:val="000250F7"/>
    <w:rsid w:val="0003138B"/>
    <w:rsid w:val="00033982"/>
    <w:rsid w:val="00035F98"/>
    <w:rsid w:val="00036BDC"/>
    <w:rsid w:val="00040EA2"/>
    <w:rsid w:val="000413DB"/>
    <w:rsid w:val="0005011C"/>
    <w:rsid w:val="000502FD"/>
    <w:rsid w:val="00061BB4"/>
    <w:rsid w:val="00066D09"/>
    <w:rsid w:val="00072627"/>
    <w:rsid w:val="00073AD4"/>
    <w:rsid w:val="00075987"/>
    <w:rsid w:val="00076C98"/>
    <w:rsid w:val="00087D95"/>
    <w:rsid w:val="00090621"/>
    <w:rsid w:val="0009239A"/>
    <w:rsid w:val="000939A5"/>
    <w:rsid w:val="00094345"/>
    <w:rsid w:val="00096796"/>
    <w:rsid w:val="000A0C44"/>
    <w:rsid w:val="000A299E"/>
    <w:rsid w:val="000A6120"/>
    <w:rsid w:val="000A6551"/>
    <w:rsid w:val="000B3FE5"/>
    <w:rsid w:val="000C572B"/>
    <w:rsid w:val="000E09D4"/>
    <w:rsid w:val="000E2EDA"/>
    <w:rsid w:val="000F0BEB"/>
    <w:rsid w:val="000F4148"/>
    <w:rsid w:val="000F4DB8"/>
    <w:rsid w:val="00112F4A"/>
    <w:rsid w:val="0011369A"/>
    <w:rsid w:val="00114BB3"/>
    <w:rsid w:val="00122366"/>
    <w:rsid w:val="00125002"/>
    <w:rsid w:val="00127FC9"/>
    <w:rsid w:val="0013388A"/>
    <w:rsid w:val="00134CC9"/>
    <w:rsid w:val="0014214C"/>
    <w:rsid w:val="00147EF4"/>
    <w:rsid w:val="00162A1A"/>
    <w:rsid w:val="0016305D"/>
    <w:rsid w:val="001647F3"/>
    <w:rsid w:val="00165A56"/>
    <w:rsid w:val="001900D1"/>
    <w:rsid w:val="00192672"/>
    <w:rsid w:val="00192824"/>
    <w:rsid w:val="001978BE"/>
    <w:rsid w:val="001A3C32"/>
    <w:rsid w:val="001B50EF"/>
    <w:rsid w:val="001B6329"/>
    <w:rsid w:val="001B7501"/>
    <w:rsid w:val="001C0716"/>
    <w:rsid w:val="001D3C64"/>
    <w:rsid w:val="001D41E6"/>
    <w:rsid w:val="001F1421"/>
    <w:rsid w:val="001F61DE"/>
    <w:rsid w:val="00200967"/>
    <w:rsid w:val="0020436B"/>
    <w:rsid w:val="0020491D"/>
    <w:rsid w:val="0020504D"/>
    <w:rsid w:val="00205363"/>
    <w:rsid w:val="00205C7D"/>
    <w:rsid w:val="00205F46"/>
    <w:rsid w:val="00210AEA"/>
    <w:rsid w:val="0022033C"/>
    <w:rsid w:val="00225BD0"/>
    <w:rsid w:val="0023374D"/>
    <w:rsid w:val="00234D3E"/>
    <w:rsid w:val="0023666C"/>
    <w:rsid w:val="002501E4"/>
    <w:rsid w:val="00254741"/>
    <w:rsid w:val="002559FC"/>
    <w:rsid w:val="00256F23"/>
    <w:rsid w:val="0027105D"/>
    <w:rsid w:val="00277D36"/>
    <w:rsid w:val="002A1D6B"/>
    <w:rsid w:val="002C3FF2"/>
    <w:rsid w:val="002C4E26"/>
    <w:rsid w:val="002C7726"/>
    <w:rsid w:val="002D07E2"/>
    <w:rsid w:val="002D296F"/>
    <w:rsid w:val="002D4E3F"/>
    <w:rsid w:val="002E3B42"/>
    <w:rsid w:val="002E564E"/>
    <w:rsid w:val="002E78BB"/>
    <w:rsid w:val="002F1691"/>
    <w:rsid w:val="00317916"/>
    <w:rsid w:val="003205C9"/>
    <w:rsid w:val="00337492"/>
    <w:rsid w:val="003405B7"/>
    <w:rsid w:val="003434AE"/>
    <w:rsid w:val="00353A5D"/>
    <w:rsid w:val="00360C49"/>
    <w:rsid w:val="00364274"/>
    <w:rsid w:val="00370919"/>
    <w:rsid w:val="0037158C"/>
    <w:rsid w:val="00371741"/>
    <w:rsid w:val="00375056"/>
    <w:rsid w:val="0037688F"/>
    <w:rsid w:val="00377A01"/>
    <w:rsid w:val="00386D58"/>
    <w:rsid w:val="00386DBF"/>
    <w:rsid w:val="00390071"/>
    <w:rsid w:val="003912A3"/>
    <w:rsid w:val="00394C0A"/>
    <w:rsid w:val="003A32D9"/>
    <w:rsid w:val="003A3E9A"/>
    <w:rsid w:val="003A44ED"/>
    <w:rsid w:val="003A765D"/>
    <w:rsid w:val="003B1844"/>
    <w:rsid w:val="003B233C"/>
    <w:rsid w:val="003B2AD5"/>
    <w:rsid w:val="003B7DDD"/>
    <w:rsid w:val="003C1A00"/>
    <w:rsid w:val="003C1D33"/>
    <w:rsid w:val="003D2EC8"/>
    <w:rsid w:val="003D66EA"/>
    <w:rsid w:val="003F0EDC"/>
    <w:rsid w:val="003F106F"/>
    <w:rsid w:val="00402245"/>
    <w:rsid w:val="004110C0"/>
    <w:rsid w:val="0042293E"/>
    <w:rsid w:val="0042578C"/>
    <w:rsid w:val="00443352"/>
    <w:rsid w:val="00445914"/>
    <w:rsid w:val="00445AEF"/>
    <w:rsid w:val="00450228"/>
    <w:rsid w:val="004539A5"/>
    <w:rsid w:val="004575B0"/>
    <w:rsid w:val="00457745"/>
    <w:rsid w:val="004616E5"/>
    <w:rsid w:val="0046220B"/>
    <w:rsid w:val="004625D3"/>
    <w:rsid w:val="00466B81"/>
    <w:rsid w:val="00466F3F"/>
    <w:rsid w:val="0047300E"/>
    <w:rsid w:val="004866CA"/>
    <w:rsid w:val="004951F1"/>
    <w:rsid w:val="004953EF"/>
    <w:rsid w:val="004A1E8B"/>
    <w:rsid w:val="004B6C42"/>
    <w:rsid w:val="004C5E0E"/>
    <w:rsid w:val="004C784A"/>
    <w:rsid w:val="004D11A6"/>
    <w:rsid w:val="004D3E79"/>
    <w:rsid w:val="004E0A97"/>
    <w:rsid w:val="004E0BD4"/>
    <w:rsid w:val="004E4158"/>
    <w:rsid w:val="004E455C"/>
    <w:rsid w:val="004E5657"/>
    <w:rsid w:val="004F0136"/>
    <w:rsid w:val="004F1433"/>
    <w:rsid w:val="004F57B0"/>
    <w:rsid w:val="005018CF"/>
    <w:rsid w:val="00505BF9"/>
    <w:rsid w:val="00506CA5"/>
    <w:rsid w:val="00506F0A"/>
    <w:rsid w:val="00507F69"/>
    <w:rsid w:val="00513C02"/>
    <w:rsid w:val="00530B5B"/>
    <w:rsid w:val="005345FA"/>
    <w:rsid w:val="00537F8E"/>
    <w:rsid w:val="00547218"/>
    <w:rsid w:val="00550808"/>
    <w:rsid w:val="00551582"/>
    <w:rsid w:val="0055441F"/>
    <w:rsid w:val="0055753B"/>
    <w:rsid w:val="0056007E"/>
    <w:rsid w:val="00565113"/>
    <w:rsid w:val="00591477"/>
    <w:rsid w:val="00593BF3"/>
    <w:rsid w:val="005941B9"/>
    <w:rsid w:val="005A4DAB"/>
    <w:rsid w:val="005A6774"/>
    <w:rsid w:val="005B0D0F"/>
    <w:rsid w:val="005B2160"/>
    <w:rsid w:val="005B2490"/>
    <w:rsid w:val="005B4F76"/>
    <w:rsid w:val="005B510C"/>
    <w:rsid w:val="005B5F4D"/>
    <w:rsid w:val="005D55D5"/>
    <w:rsid w:val="005E1493"/>
    <w:rsid w:val="005E4207"/>
    <w:rsid w:val="005E4C62"/>
    <w:rsid w:val="006133E5"/>
    <w:rsid w:val="006150E5"/>
    <w:rsid w:val="006205FA"/>
    <w:rsid w:val="0062666F"/>
    <w:rsid w:val="00630D3E"/>
    <w:rsid w:val="00641AAE"/>
    <w:rsid w:val="00643D34"/>
    <w:rsid w:val="0064481C"/>
    <w:rsid w:val="00647E30"/>
    <w:rsid w:val="00650019"/>
    <w:rsid w:val="00651A89"/>
    <w:rsid w:val="0065342F"/>
    <w:rsid w:val="00662E20"/>
    <w:rsid w:val="006647DE"/>
    <w:rsid w:val="00673178"/>
    <w:rsid w:val="006A06AC"/>
    <w:rsid w:val="006A1894"/>
    <w:rsid w:val="006A2096"/>
    <w:rsid w:val="006A6DCB"/>
    <w:rsid w:val="006B2A06"/>
    <w:rsid w:val="006B3B4A"/>
    <w:rsid w:val="006B7ABB"/>
    <w:rsid w:val="006C2CE2"/>
    <w:rsid w:val="006D18CF"/>
    <w:rsid w:val="006D28ED"/>
    <w:rsid w:val="006D6874"/>
    <w:rsid w:val="006D7300"/>
    <w:rsid w:val="006E009F"/>
    <w:rsid w:val="006E10BB"/>
    <w:rsid w:val="006E1AA1"/>
    <w:rsid w:val="006E39C2"/>
    <w:rsid w:val="006E456C"/>
    <w:rsid w:val="006E5109"/>
    <w:rsid w:val="006F1E6D"/>
    <w:rsid w:val="006F2DF7"/>
    <w:rsid w:val="006F4845"/>
    <w:rsid w:val="00704FD8"/>
    <w:rsid w:val="0070590F"/>
    <w:rsid w:val="0071263E"/>
    <w:rsid w:val="0071293F"/>
    <w:rsid w:val="00715A09"/>
    <w:rsid w:val="00720C48"/>
    <w:rsid w:val="00721DB2"/>
    <w:rsid w:val="0072383F"/>
    <w:rsid w:val="007358D7"/>
    <w:rsid w:val="00741E89"/>
    <w:rsid w:val="007450AA"/>
    <w:rsid w:val="007452CE"/>
    <w:rsid w:val="007467A5"/>
    <w:rsid w:val="00753A28"/>
    <w:rsid w:val="0076013E"/>
    <w:rsid w:val="0076142F"/>
    <w:rsid w:val="00774E2C"/>
    <w:rsid w:val="007766D1"/>
    <w:rsid w:val="00791264"/>
    <w:rsid w:val="007A14DE"/>
    <w:rsid w:val="007B25FD"/>
    <w:rsid w:val="007B2900"/>
    <w:rsid w:val="007C1923"/>
    <w:rsid w:val="007C1A6C"/>
    <w:rsid w:val="007C7335"/>
    <w:rsid w:val="007C752C"/>
    <w:rsid w:val="007D29B5"/>
    <w:rsid w:val="007D37C6"/>
    <w:rsid w:val="007D4A91"/>
    <w:rsid w:val="007E055C"/>
    <w:rsid w:val="007E39B2"/>
    <w:rsid w:val="007E4E5C"/>
    <w:rsid w:val="007E4FBE"/>
    <w:rsid w:val="007F2634"/>
    <w:rsid w:val="007F7BC9"/>
    <w:rsid w:val="00800759"/>
    <w:rsid w:val="00800FC0"/>
    <w:rsid w:val="00801F8D"/>
    <w:rsid w:val="008114CF"/>
    <w:rsid w:val="00816072"/>
    <w:rsid w:val="0081609A"/>
    <w:rsid w:val="008162E4"/>
    <w:rsid w:val="00823577"/>
    <w:rsid w:val="00823946"/>
    <w:rsid w:val="00826928"/>
    <w:rsid w:val="008335BB"/>
    <w:rsid w:val="00841945"/>
    <w:rsid w:val="008448B1"/>
    <w:rsid w:val="00846099"/>
    <w:rsid w:val="00851376"/>
    <w:rsid w:val="00854E71"/>
    <w:rsid w:val="00855237"/>
    <w:rsid w:val="008558AB"/>
    <w:rsid w:val="008616EB"/>
    <w:rsid w:val="0086445A"/>
    <w:rsid w:val="008679C9"/>
    <w:rsid w:val="00875FB0"/>
    <w:rsid w:val="0088200A"/>
    <w:rsid w:val="0088588B"/>
    <w:rsid w:val="0088747B"/>
    <w:rsid w:val="00891807"/>
    <w:rsid w:val="008A63A3"/>
    <w:rsid w:val="008A6C78"/>
    <w:rsid w:val="008B57AB"/>
    <w:rsid w:val="008B73FC"/>
    <w:rsid w:val="008C18FB"/>
    <w:rsid w:val="008C2599"/>
    <w:rsid w:val="008C2A95"/>
    <w:rsid w:val="008C2B53"/>
    <w:rsid w:val="008D551E"/>
    <w:rsid w:val="008D7F01"/>
    <w:rsid w:val="008E133F"/>
    <w:rsid w:val="008E7FA3"/>
    <w:rsid w:val="008F0A80"/>
    <w:rsid w:val="008F4D8A"/>
    <w:rsid w:val="008F5A77"/>
    <w:rsid w:val="008F6D47"/>
    <w:rsid w:val="0090623F"/>
    <w:rsid w:val="009140C5"/>
    <w:rsid w:val="009166C9"/>
    <w:rsid w:val="00921E77"/>
    <w:rsid w:val="009277DC"/>
    <w:rsid w:val="009347EB"/>
    <w:rsid w:val="00934FC9"/>
    <w:rsid w:val="009413F2"/>
    <w:rsid w:val="00946BAF"/>
    <w:rsid w:val="009531E4"/>
    <w:rsid w:val="009551E9"/>
    <w:rsid w:val="00974885"/>
    <w:rsid w:val="00986EA1"/>
    <w:rsid w:val="0098753B"/>
    <w:rsid w:val="00992F74"/>
    <w:rsid w:val="009B0771"/>
    <w:rsid w:val="009B5A1B"/>
    <w:rsid w:val="009B70A7"/>
    <w:rsid w:val="009C23BE"/>
    <w:rsid w:val="009D17F5"/>
    <w:rsid w:val="009E2238"/>
    <w:rsid w:val="009E3731"/>
    <w:rsid w:val="009F6E60"/>
    <w:rsid w:val="00A0453B"/>
    <w:rsid w:val="00A062FC"/>
    <w:rsid w:val="00A06D9B"/>
    <w:rsid w:val="00A07DEB"/>
    <w:rsid w:val="00A103E1"/>
    <w:rsid w:val="00A155E7"/>
    <w:rsid w:val="00A209B0"/>
    <w:rsid w:val="00A20D7A"/>
    <w:rsid w:val="00A21C9C"/>
    <w:rsid w:val="00A24A73"/>
    <w:rsid w:val="00A3174E"/>
    <w:rsid w:val="00A33E26"/>
    <w:rsid w:val="00A37558"/>
    <w:rsid w:val="00A446AC"/>
    <w:rsid w:val="00A44E73"/>
    <w:rsid w:val="00A50AD4"/>
    <w:rsid w:val="00A521CE"/>
    <w:rsid w:val="00A54B95"/>
    <w:rsid w:val="00A55B2D"/>
    <w:rsid w:val="00A623EF"/>
    <w:rsid w:val="00A63D8F"/>
    <w:rsid w:val="00A67825"/>
    <w:rsid w:val="00A702FA"/>
    <w:rsid w:val="00A737AD"/>
    <w:rsid w:val="00A8048D"/>
    <w:rsid w:val="00A839C6"/>
    <w:rsid w:val="00A84363"/>
    <w:rsid w:val="00A852C7"/>
    <w:rsid w:val="00A90391"/>
    <w:rsid w:val="00A92A3E"/>
    <w:rsid w:val="00A93C55"/>
    <w:rsid w:val="00A945D6"/>
    <w:rsid w:val="00A947B3"/>
    <w:rsid w:val="00A96496"/>
    <w:rsid w:val="00A97BF7"/>
    <w:rsid w:val="00AA34A6"/>
    <w:rsid w:val="00AA6F65"/>
    <w:rsid w:val="00AA78E7"/>
    <w:rsid w:val="00AB125C"/>
    <w:rsid w:val="00AB7845"/>
    <w:rsid w:val="00AC09A9"/>
    <w:rsid w:val="00AD2B86"/>
    <w:rsid w:val="00AE11D4"/>
    <w:rsid w:val="00AE17D7"/>
    <w:rsid w:val="00AF6877"/>
    <w:rsid w:val="00B03193"/>
    <w:rsid w:val="00B04B19"/>
    <w:rsid w:val="00B14D51"/>
    <w:rsid w:val="00B22662"/>
    <w:rsid w:val="00B34A01"/>
    <w:rsid w:val="00B35015"/>
    <w:rsid w:val="00B40EB8"/>
    <w:rsid w:val="00B4181E"/>
    <w:rsid w:val="00B45BB8"/>
    <w:rsid w:val="00B50571"/>
    <w:rsid w:val="00B51921"/>
    <w:rsid w:val="00B70D62"/>
    <w:rsid w:val="00B7327A"/>
    <w:rsid w:val="00B74FDB"/>
    <w:rsid w:val="00B75EEA"/>
    <w:rsid w:val="00B808CC"/>
    <w:rsid w:val="00B8290E"/>
    <w:rsid w:val="00B9116E"/>
    <w:rsid w:val="00B915CA"/>
    <w:rsid w:val="00BA2986"/>
    <w:rsid w:val="00BB40A3"/>
    <w:rsid w:val="00BB49A8"/>
    <w:rsid w:val="00BC042F"/>
    <w:rsid w:val="00BC24CF"/>
    <w:rsid w:val="00BC47F9"/>
    <w:rsid w:val="00BC7D63"/>
    <w:rsid w:val="00BD2FD0"/>
    <w:rsid w:val="00BD724C"/>
    <w:rsid w:val="00BF7318"/>
    <w:rsid w:val="00C00BE7"/>
    <w:rsid w:val="00C0183A"/>
    <w:rsid w:val="00C024B5"/>
    <w:rsid w:val="00C0631C"/>
    <w:rsid w:val="00C12E55"/>
    <w:rsid w:val="00C16550"/>
    <w:rsid w:val="00C17F76"/>
    <w:rsid w:val="00C21329"/>
    <w:rsid w:val="00C2169A"/>
    <w:rsid w:val="00C22FD1"/>
    <w:rsid w:val="00C258B9"/>
    <w:rsid w:val="00C417D0"/>
    <w:rsid w:val="00C44519"/>
    <w:rsid w:val="00C44C32"/>
    <w:rsid w:val="00C44C6A"/>
    <w:rsid w:val="00C47733"/>
    <w:rsid w:val="00C5731A"/>
    <w:rsid w:val="00C57AC1"/>
    <w:rsid w:val="00C621AB"/>
    <w:rsid w:val="00C62E35"/>
    <w:rsid w:val="00C658B1"/>
    <w:rsid w:val="00C733BA"/>
    <w:rsid w:val="00C81524"/>
    <w:rsid w:val="00CA201A"/>
    <w:rsid w:val="00CB318D"/>
    <w:rsid w:val="00CB5C3B"/>
    <w:rsid w:val="00CC122E"/>
    <w:rsid w:val="00CC154D"/>
    <w:rsid w:val="00CC15A7"/>
    <w:rsid w:val="00CC46BA"/>
    <w:rsid w:val="00CD0E22"/>
    <w:rsid w:val="00CD376F"/>
    <w:rsid w:val="00CD65E7"/>
    <w:rsid w:val="00CE513F"/>
    <w:rsid w:val="00D028CB"/>
    <w:rsid w:val="00D05379"/>
    <w:rsid w:val="00D071C6"/>
    <w:rsid w:val="00D232B2"/>
    <w:rsid w:val="00D3583A"/>
    <w:rsid w:val="00D369A5"/>
    <w:rsid w:val="00D43880"/>
    <w:rsid w:val="00D4475F"/>
    <w:rsid w:val="00D448F7"/>
    <w:rsid w:val="00D45ABB"/>
    <w:rsid w:val="00D548C3"/>
    <w:rsid w:val="00D624C0"/>
    <w:rsid w:val="00D651E4"/>
    <w:rsid w:val="00D67D84"/>
    <w:rsid w:val="00D73797"/>
    <w:rsid w:val="00D73FFF"/>
    <w:rsid w:val="00D755B2"/>
    <w:rsid w:val="00D77483"/>
    <w:rsid w:val="00D82294"/>
    <w:rsid w:val="00D83BEB"/>
    <w:rsid w:val="00D95DB2"/>
    <w:rsid w:val="00D969F3"/>
    <w:rsid w:val="00DA2D5D"/>
    <w:rsid w:val="00DA3160"/>
    <w:rsid w:val="00DA57E5"/>
    <w:rsid w:val="00DB5E50"/>
    <w:rsid w:val="00DB7CA2"/>
    <w:rsid w:val="00DB7D9F"/>
    <w:rsid w:val="00DC498C"/>
    <w:rsid w:val="00DD1233"/>
    <w:rsid w:val="00DD4B74"/>
    <w:rsid w:val="00DD6C4D"/>
    <w:rsid w:val="00DE0428"/>
    <w:rsid w:val="00DE302C"/>
    <w:rsid w:val="00DE5122"/>
    <w:rsid w:val="00DE5551"/>
    <w:rsid w:val="00E04B9D"/>
    <w:rsid w:val="00E04C8B"/>
    <w:rsid w:val="00E06E60"/>
    <w:rsid w:val="00E152A3"/>
    <w:rsid w:val="00E1629C"/>
    <w:rsid w:val="00E223F9"/>
    <w:rsid w:val="00E3364F"/>
    <w:rsid w:val="00E35378"/>
    <w:rsid w:val="00E35433"/>
    <w:rsid w:val="00E371C0"/>
    <w:rsid w:val="00E4731B"/>
    <w:rsid w:val="00E51ACD"/>
    <w:rsid w:val="00E529F2"/>
    <w:rsid w:val="00E548DF"/>
    <w:rsid w:val="00E61522"/>
    <w:rsid w:val="00E63F49"/>
    <w:rsid w:val="00E71A5E"/>
    <w:rsid w:val="00E731EA"/>
    <w:rsid w:val="00E73876"/>
    <w:rsid w:val="00E73CB1"/>
    <w:rsid w:val="00E74955"/>
    <w:rsid w:val="00E912FE"/>
    <w:rsid w:val="00EA1FF1"/>
    <w:rsid w:val="00EA4EB1"/>
    <w:rsid w:val="00EB031B"/>
    <w:rsid w:val="00EB1731"/>
    <w:rsid w:val="00EC0E1D"/>
    <w:rsid w:val="00EC39A6"/>
    <w:rsid w:val="00EC7E28"/>
    <w:rsid w:val="00ED0368"/>
    <w:rsid w:val="00ED38C9"/>
    <w:rsid w:val="00ED5353"/>
    <w:rsid w:val="00ED7340"/>
    <w:rsid w:val="00EE20D0"/>
    <w:rsid w:val="00EE2BD7"/>
    <w:rsid w:val="00EF0512"/>
    <w:rsid w:val="00F15D57"/>
    <w:rsid w:val="00F16BC1"/>
    <w:rsid w:val="00F17170"/>
    <w:rsid w:val="00F30587"/>
    <w:rsid w:val="00F324CA"/>
    <w:rsid w:val="00F35795"/>
    <w:rsid w:val="00F40B55"/>
    <w:rsid w:val="00F423A1"/>
    <w:rsid w:val="00F4288A"/>
    <w:rsid w:val="00F47671"/>
    <w:rsid w:val="00F50C46"/>
    <w:rsid w:val="00F5266D"/>
    <w:rsid w:val="00F5764E"/>
    <w:rsid w:val="00F60A47"/>
    <w:rsid w:val="00F6249E"/>
    <w:rsid w:val="00F638BA"/>
    <w:rsid w:val="00F63C05"/>
    <w:rsid w:val="00F70293"/>
    <w:rsid w:val="00F70C17"/>
    <w:rsid w:val="00F71999"/>
    <w:rsid w:val="00F71B16"/>
    <w:rsid w:val="00F71DB5"/>
    <w:rsid w:val="00F768B8"/>
    <w:rsid w:val="00FA6AFA"/>
    <w:rsid w:val="00FB6E86"/>
    <w:rsid w:val="00FC78A8"/>
    <w:rsid w:val="00FD3312"/>
    <w:rsid w:val="00FD34FC"/>
    <w:rsid w:val="00FF6C4D"/>
    <w:rsid w:val="08776078"/>
    <w:rsid w:val="0F3A6C1F"/>
    <w:rsid w:val="3D81C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C98B4"/>
  <w15:chartTrackingRefBased/>
  <w15:docId w15:val="{3E20D025-B671-4CB3-ACD3-6DEA7509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14"/>
    <w:pPr>
      <w:spacing w:before="240" w:after="240" w:line="300" w:lineRule="auto"/>
    </w:pPr>
    <w:rPr>
      <w:rFonts w:ascii="Avenir Next LT Pro" w:hAnsi="Avenir Next LT Pro" w:cs="Arial"/>
      <w:sz w:val="24"/>
      <w:szCs w:val="24"/>
    </w:rPr>
  </w:style>
  <w:style w:type="paragraph" w:styleId="Heading1">
    <w:name w:val="heading 1"/>
    <w:basedOn w:val="Normal"/>
    <w:next w:val="Normal"/>
    <w:link w:val="Heading1Char"/>
    <w:uiPriority w:val="9"/>
    <w:qFormat/>
    <w:rsid w:val="00A07DEB"/>
    <w:pPr>
      <w:spacing w:after="0"/>
      <w:outlineLvl w:val="0"/>
    </w:pPr>
    <w:rPr>
      <w:b/>
      <w:bCs/>
      <w:noProof/>
      <w:color w:val="032E53"/>
      <w:sz w:val="32"/>
      <w:szCs w:val="32"/>
    </w:rPr>
  </w:style>
  <w:style w:type="paragraph" w:styleId="Heading2">
    <w:name w:val="heading 2"/>
    <w:basedOn w:val="Normal"/>
    <w:next w:val="Normal"/>
    <w:link w:val="Heading2Char"/>
    <w:uiPriority w:val="9"/>
    <w:unhideWhenUsed/>
    <w:qFormat/>
    <w:rsid w:val="004110C0"/>
    <w:pPr>
      <w:outlineLvl w:val="1"/>
    </w:pPr>
    <w:rPr>
      <w:b/>
      <w:bCs/>
      <w:color w:val="005994"/>
      <w:sz w:val="28"/>
      <w:szCs w:val="28"/>
    </w:rPr>
  </w:style>
  <w:style w:type="paragraph" w:styleId="Heading3">
    <w:name w:val="heading 3"/>
    <w:basedOn w:val="Normal"/>
    <w:next w:val="Normal"/>
    <w:link w:val="Heading3Char"/>
    <w:uiPriority w:val="9"/>
    <w:semiHidden/>
    <w:unhideWhenUsed/>
    <w:qFormat/>
    <w:rsid w:val="00066D09"/>
    <w:pPr>
      <w:keepNext/>
      <w:keepLines/>
      <w:spacing w:before="40" w:after="0"/>
      <w:outlineLvl w:val="2"/>
    </w:pPr>
    <w:rPr>
      <w:rFonts w:asciiTheme="majorHAnsi" w:eastAsiaTheme="majorEastAsia" w:hAnsiTheme="majorHAnsi" w:cstheme="majorBidi"/>
      <w:color w:val="317382" w:themeColor="accent1" w:themeShade="7F"/>
    </w:rPr>
  </w:style>
  <w:style w:type="paragraph" w:styleId="Heading4">
    <w:name w:val="heading 4"/>
    <w:basedOn w:val="Normal"/>
    <w:next w:val="Normal"/>
    <w:link w:val="Heading4Char"/>
    <w:uiPriority w:val="9"/>
    <w:semiHidden/>
    <w:unhideWhenUsed/>
    <w:qFormat/>
    <w:rsid w:val="000A299E"/>
    <w:pPr>
      <w:keepNext/>
      <w:keepLines/>
      <w:spacing w:before="40" w:after="0"/>
      <w:outlineLvl w:val="3"/>
    </w:pPr>
    <w:rPr>
      <w:rFonts w:asciiTheme="majorHAnsi" w:eastAsiaTheme="majorEastAsia" w:hAnsiTheme="majorHAnsi" w:cstheme="majorBidi"/>
      <w:i/>
      <w:iCs/>
      <w:color w:val="50AAB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DEB"/>
    <w:rPr>
      <w:rFonts w:ascii="Arial" w:hAnsi="Arial" w:cs="Arial"/>
      <w:b/>
      <w:bCs/>
      <w:noProof/>
      <w:color w:val="032E53"/>
      <w:sz w:val="32"/>
      <w:szCs w:val="32"/>
    </w:rPr>
  </w:style>
  <w:style w:type="paragraph" w:styleId="Title">
    <w:name w:val="Title"/>
    <w:basedOn w:val="Normal"/>
    <w:next w:val="Normal"/>
    <w:link w:val="TitleChar"/>
    <w:uiPriority w:val="10"/>
    <w:qFormat/>
    <w:rsid w:val="00DA57E5"/>
    <w:pPr>
      <w:spacing w:before="0"/>
    </w:pPr>
    <w:rPr>
      <w:b/>
      <w:bCs/>
      <w:color w:val="FFFFFF" w:themeColor="background1"/>
      <w:sz w:val="100"/>
      <w:szCs w:val="100"/>
    </w:rPr>
  </w:style>
  <w:style w:type="character" w:customStyle="1" w:styleId="TitleChar">
    <w:name w:val="Title Char"/>
    <w:basedOn w:val="DefaultParagraphFont"/>
    <w:link w:val="Title"/>
    <w:uiPriority w:val="10"/>
    <w:rsid w:val="00DA57E5"/>
    <w:rPr>
      <w:rFonts w:ascii="Arial" w:hAnsi="Arial" w:cs="Arial"/>
      <w:b/>
      <w:bCs/>
      <w:color w:val="FFFFFF" w:themeColor="background1"/>
      <w:sz w:val="100"/>
      <w:szCs w:val="100"/>
    </w:rPr>
  </w:style>
  <w:style w:type="character" w:styleId="Hyperlink">
    <w:name w:val="Hyperlink"/>
    <w:basedOn w:val="DefaultParagraphFont"/>
    <w:uiPriority w:val="99"/>
    <w:unhideWhenUsed/>
    <w:rsid w:val="0088588B"/>
    <w:rPr>
      <w:color w:val="0563C1" w:themeColor="hyperlink"/>
      <w:u w:val="single"/>
    </w:rPr>
  </w:style>
  <w:style w:type="paragraph" w:styleId="ListParagraph">
    <w:name w:val="List Paragraph"/>
    <w:basedOn w:val="Normal"/>
    <w:uiPriority w:val="34"/>
    <w:qFormat/>
    <w:rsid w:val="00C81524"/>
    <w:pPr>
      <w:ind w:left="720"/>
      <w:contextualSpacing/>
    </w:pPr>
  </w:style>
  <w:style w:type="character" w:styleId="UnresolvedMention">
    <w:name w:val="Unresolved Mention"/>
    <w:basedOn w:val="DefaultParagraphFont"/>
    <w:uiPriority w:val="99"/>
    <w:semiHidden/>
    <w:unhideWhenUsed/>
    <w:rsid w:val="0088588B"/>
    <w:rPr>
      <w:color w:val="605E5C"/>
      <w:shd w:val="clear" w:color="auto" w:fill="E1DFDD"/>
    </w:rPr>
  </w:style>
  <w:style w:type="paragraph" w:styleId="Subtitle">
    <w:name w:val="Subtitle"/>
    <w:basedOn w:val="Normal"/>
    <w:next w:val="Normal"/>
    <w:link w:val="SubtitleChar"/>
    <w:uiPriority w:val="11"/>
    <w:qFormat/>
    <w:rsid w:val="003434AE"/>
    <w:pPr>
      <w:spacing w:before="0"/>
    </w:pPr>
    <w:rPr>
      <w:b/>
      <w:bCs/>
      <w:color w:val="FFFFFF" w:themeColor="background1"/>
      <w:sz w:val="40"/>
      <w:szCs w:val="40"/>
    </w:rPr>
  </w:style>
  <w:style w:type="character" w:customStyle="1" w:styleId="SubtitleChar">
    <w:name w:val="Subtitle Char"/>
    <w:basedOn w:val="DefaultParagraphFont"/>
    <w:link w:val="Subtitle"/>
    <w:uiPriority w:val="11"/>
    <w:rsid w:val="003434AE"/>
    <w:rPr>
      <w:rFonts w:ascii="Calibri" w:hAnsi="Calibri" w:cs="Calibri"/>
      <w:b/>
      <w:bCs/>
      <w:color w:val="FFFFFF" w:themeColor="background1"/>
      <w:sz w:val="40"/>
      <w:szCs w:val="40"/>
    </w:rPr>
  </w:style>
  <w:style w:type="character" w:customStyle="1" w:styleId="Heading2Char">
    <w:name w:val="Heading 2 Char"/>
    <w:basedOn w:val="DefaultParagraphFont"/>
    <w:link w:val="Heading2"/>
    <w:uiPriority w:val="9"/>
    <w:rsid w:val="004110C0"/>
    <w:rPr>
      <w:rFonts w:ascii="Arial" w:hAnsi="Arial" w:cs="Arial"/>
      <w:b/>
      <w:bCs/>
      <w:color w:val="005994"/>
      <w:sz w:val="28"/>
      <w:szCs w:val="28"/>
    </w:rPr>
  </w:style>
  <w:style w:type="paragraph" w:styleId="NoSpacing">
    <w:name w:val="No Spacing"/>
    <w:uiPriority w:val="1"/>
    <w:qFormat/>
    <w:rsid w:val="00445914"/>
    <w:pPr>
      <w:spacing w:after="0" w:line="240" w:lineRule="auto"/>
    </w:pPr>
    <w:rPr>
      <w:rFonts w:ascii="Avenir Next LT Pro" w:hAnsi="Avenir Next LT Pro"/>
      <w:sz w:val="24"/>
      <w:szCs w:val="24"/>
    </w:rPr>
  </w:style>
  <w:style w:type="character" w:styleId="Emphasis">
    <w:name w:val="Emphasis"/>
    <w:uiPriority w:val="20"/>
    <w:qFormat/>
    <w:rsid w:val="00445914"/>
    <w:rPr>
      <w:rFonts w:ascii="Avenir Next LT Pro" w:eastAsia="Avenir Next LT Pro" w:hAnsi="Avenir Next LT Pro" w:cs="Avenir Next LT Pro"/>
      <w:b/>
      <w:bCs/>
      <w:sz w:val="40"/>
      <w:szCs w:val="40"/>
    </w:rPr>
  </w:style>
  <w:style w:type="character" w:styleId="SubtleEmphasis">
    <w:name w:val="Subtle Emphasis"/>
    <w:basedOn w:val="DefaultParagraphFont"/>
    <w:uiPriority w:val="19"/>
    <w:qFormat/>
    <w:rsid w:val="00445914"/>
    <w:rPr>
      <w:i/>
      <w:iCs/>
      <w:color w:val="404040" w:themeColor="text1" w:themeTint="BF"/>
    </w:rPr>
  </w:style>
  <w:style w:type="character" w:styleId="IntenseEmphasis">
    <w:name w:val="Intense Emphasis"/>
    <w:basedOn w:val="DefaultParagraphFont"/>
    <w:uiPriority w:val="21"/>
    <w:qFormat/>
    <w:rsid w:val="00445914"/>
    <w:rPr>
      <w:i/>
      <w:iCs/>
      <w:color w:val="92CAD6" w:themeColor="accent1"/>
    </w:rPr>
  </w:style>
  <w:style w:type="character" w:styleId="SubtleReference">
    <w:name w:val="Subtle Reference"/>
    <w:basedOn w:val="DefaultParagraphFont"/>
    <w:uiPriority w:val="31"/>
    <w:qFormat/>
    <w:rsid w:val="00445914"/>
    <w:rPr>
      <w:smallCaps/>
      <w:color w:val="5A5A5A" w:themeColor="text1" w:themeTint="A5"/>
    </w:rPr>
  </w:style>
  <w:style w:type="character" w:styleId="IntenseReference">
    <w:name w:val="Intense Reference"/>
    <w:basedOn w:val="DefaultParagraphFont"/>
    <w:uiPriority w:val="32"/>
    <w:qFormat/>
    <w:rsid w:val="00445914"/>
    <w:rPr>
      <w:b/>
      <w:bCs/>
      <w:smallCaps/>
      <w:color w:val="92CAD6" w:themeColor="accent1"/>
      <w:spacing w:val="5"/>
    </w:rPr>
  </w:style>
  <w:style w:type="character" w:styleId="BookTitle">
    <w:name w:val="Book Title"/>
    <w:basedOn w:val="DefaultParagraphFont"/>
    <w:uiPriority w:val="33"/>
    <w:qFormat/>
    <w:rsid w:val="00445914"/>
    <w:rPr>
      <w:b/>
      <w:bCs/>
      <w:i/>
      <w:iCs/>
      <w:spacing w:val="5"/>
    </w:rPr>
  </w:style>
  <w:style w:type="paragraph" w:styleId="Header">
    <w:name w:val="header"/>
    <w:basedOn w:val="Normal"/>
    <w:link w:val="HeaderChar"/>
    <w:uiPriority w:val="99"/>
    <w:unhideWhenUsed/>
    <w:rsid w:val="003D2EC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D2EC8"/>
    <w:rPr>
      <w:rFonts w:ascii="Avenir Next LT Pro" w:hAnsi="Avenir Next LT Pro" w:cs="Arial"/>
      <w:sz w:val="24"/>
      <w:szCs w:val="24"/>
    </w:rPr>
  </w:style>
  <w:style w:type="paragraph" w:styleId="Footer">
    <w:name w:val="footer"/>
    <w:basedOn w:val="Normal"/>
    <w:link w:val="FooterChar"/>
    <w:uiPriority w:val="99"/>
    <w:unhideWhenUsed/>
    <w:rsid w:val="003D2EC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D2EC8"/>
    <w:rPr>
      <w:rFonts w:ascii="Avenir Next LT Pro" w:hAnsi="Avenir Next LT Pro" w:cs="Arial"/>
      <w:sz w:val="24"/>
      <w:szCs w:val="24"/>
    </w:rPr>
  </w:style>
  <w:style w:type="paragraph" w:styleId="Caption">
    <w:name w:val="caption"/>
    <w:basedOn w:val="Normal"/>
    <w:next w:val="Normal"/>
    <w:uiPriority w:val="35"/>
    <w:unhideWhenUsed/>
    <w:qFormat/>
    <w:rsid w:val="00205363"/>
    <w:pPr>
      <w:spacing w:before="0" w:after="200"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066D09"/>
    <w:rPr>
      <w:rFonts w:asciiTheme="majorHAnsi" w:eastAsiaTheme="majorEastAsia" w:hAnsiTheme="majorHAnsi" w:cstheme="majorBidi"/>
      <w:color w:val="317382" w:themeColor="accent1" w:themeShade="7F"/>
      <w:sz w:val="24"/>
      <w:szCs w:val="24"/>
    </w:rPr>
  </w:style>
  <w:style w:type="character" w:customStyle="1" w:styleId="Heading4Char">
    <w:name w:val="Heading 4 Char"/>
    <w:basedOn w:val="DefaultParagraphFont"/>
    <w:link w:val="Heading4"/>
    <w:uiPriority w:val="9"/>
    <w:semiHidden/>
    <w:rsid w:val="000A299E"/>
    <w:rPr>
      <w:rFonts w:asciiTheme="majorHAnsi" w:eastAsiaTheme="majorEastAsia" w:hAnsiTheme="majorHAnsi" w:cstheme="majorBidi"/>
      <w:i/>
      <w:iCs/>
      <w:color w:val="50AABD" w:themeColor="accent1" w:themeShade="BF"/>
      <w:sz w:val="24"/>
      <w:szCs w:val="24"/>
    </w:rPr>
  </w:style>
  <w:style w:type="paragraph" w:styleId="TOCHeading">
    <w:name w:val="TOC Heading"/>
    <w:basedOn w:val="Heading1"/>
    <w:next w:val="Normal"/>
    <w:uiPriority w:val="39"/>
    <w:unhideWhenUsed/>
    <w:qFormat/>
    <w:rsid w:val="0064481C"/>
    <w:pPr>
      <w:keepNext/>
      <w:keepLines/>
      <w:spacing w:line="259" w:lineRule="auto"/>
      <w:outlineLvl w:val="9"/>
    </w:pPr>
    <w:rPr>
      <w:rFonts w:asciiTheme="majorHAnsi" w:eastAsiaTheme="majorEastAsia" w:hAnsiTheme="majorHAnsi" w:cstheme="majorBidi"/>
      <w:b w:val="0"/>
      <w:bCs w:val="0"/>
      <w:noProof w:val="0"/>
      <w:color w:val="50AABD" w:themeColor="accent1" w:themeShade="BF"/>
      <w:kern w:val="0"/>
      <w14:ligatures w14:val="none"/>
    </w:rPr>
  </w:style>
  <w:style w:type="paragraph" w:styleId="TOC1">
    <w:name w:val="toc 1"/>
    <w:basedOn w:val="Normal"/>
    <w:next w:val="Normal"/>
    <w:autoRedefine/>
    <w:uiPriority w:val="39"/>
    <w:unhideWhenUsed/>
    <w:rsid w:val="0064481C"/>
    <w:pPr>
      <w:spacing w:after="100"/>
    </w:pPr>
  </w:style>
  <w:style w:type="paragraph" w:styleId="TOC2">
    <w:name w:val="toc 2"/>
    <w:basedOn w:val="Normal"/>
    <w:next w:val="Normal"/>
    <w:autoRedefine/>
    <w:uiPriority w:val="39"/>
    <w:unhideWhenUsed/>
    <w:rsid w:val="0064481C"/>
    <w:pPr>
      <w:spacing w:after="100"/>
      <w:ind w:left="240"/>
    </w:pPr>
  </w:style>
  <w:style w:type="character" w:styleId="CommentReference">
    <w:name w:val="annotation reference"/>
    <w:basedOn w:val="DefaultParagraphFont"/>
    <w:uiPriority w:val="99"/>
    <w:semiHidden/>
    <w:unhideWhenUsed/>
    <w:rsid w:val="00A0453B"/>
    <w:rPr>
      <w:sz w:val="16"/>
      <w:szCs w:val="16"/>
    </w:rPr>
  </w:style>
  <w:style w:type="paragraph" w:styleId="CommentText">
    <w:name w:val="annotation text"/>
    <w:basedOn w:val="Normal"/>
    <w:link w:val="CommentTextChar"/>
    <w:uiPriority w:val="99"/>
    <w:unhideWhenUsed/>
    <w:rsid w:val="00A0453B"/>
    <w:pPr>
      <w:spacing w:before="0"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A0453B"/>
    <w:rPr>
      <w:rFonts w:ascii="Times New Roman" w:eastAsia="Times New Roman" w:hAnsi="Times New Roman" w:cs="Times New Roman"/>
      <w:kern w:val="0"/>
      <w:sz w:val="20"/>
      <w:szCs w:val="20"/>
      <w14:ligatures w14:val="none"/>
    </w:rPr>
  </w:style>
  <w:style w:type="character" w:styleId="Mention">
    <w:name w:val="Mention"/>
    <w:basedOn w:val="DefaultParagraphFont"/>
    <w:uiPriority w:val="99"/>
    <w:unhideWhenUsed/>
    <w:rsid w:val="00A0453B"/>
    <w:rPr>
      <w:color w:val="2B579A"/>
      <w:shd w:val="clear" w:color="auto" w:fill="E1DFDD"/>
    </w:rPr>
  </w:style>
  <w:style w:type="table" w:styleId="PlainTable2">
    <w:name w:val="Plain Table 2"/>
    <w:basedOn w:val="TableNormal"/>
    <w:uiPriority w:val="42"/>
    <w:rsid w:val="000F4DB8"/>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mailto:DPH-NVDRS@mass.gov" TargetMode="External"/><Relationship Id="rId39" Type="http://schemas.openxmlformats.org/officeDocument/2006/relationships/hyperlink" Target="https://www.cdc.gov/disability-and-health/articles-documents/mental-health-of-people-with-disabilities.html" TargetMode="External"/><Relationship Id="rId21" Type="http://schemas.openxmlformats.org/officeDocument/2006/relationships/image" Target="media/image2.png"/><Relationship Id="rId34" Type="http://schemas.openxmlformats.org/officeDocument/2006/relationships/hyperlink" Target="https://www.thetrevorproject.org/get-help/" TargetMode="External"/><Relationship Id="rId42" Type="http://schemas.openxmlformats.org/officeDocument/2006/relationships/hyperlink" Target="https://translifeline.org/" TargetMode="External"/><Relationship Id="rId47" Type="http://schemas.openxmlformats.org/officeDocument/2006/relationships/hyperlink" Target="http://www.dspo.mil/" TargetMode="External"/><Relationship Id="rId50" Type="http://schemas.openxmlformats.org/officeDocument/2006/relationships/hyperlink" Target="http://www.veteranscrisisline.net/" TargetMode="External"/><Relationship Id="rId55" Type="http://schemas.openxmlformats.org/officeDocument/2006/relationships/hyperlink" Target="https://sprc.org/keys-to-success/safe-and-effective-messaging-and-reportin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5.xml"/><Relationship Id="rId29" Type="http://schemas.openxmlformats.org/officeDocument/2006/relationships/hyperlink" Target="http://mass.gov/suicide-prevention-program" TargetMode="External"/><Relationship Id="rId11" Type="http://schemas.openxmlformats.org/officeDocument/2006/relationships/image" Target="media/image1.jpg"/><Relationship Id="rId24" Type="http://schemas.openxmlformats.org/officeDocument/2006/relationships/chart" Target="charts/chart12.xml"/><Relationship Id="rId32" Type="http://schemas.openxmlformats.org/officeDocument/2006/relationships/hyperlink" Target="https://www.mcspnow.com/" TargetMode="External"/><Relationship Id="rId37" Type="http://schemas.openxmlformats.org/officeDocument/2006/relationships/hyperlink" Target="https://aaspe.net/" TargetMode="External"/><Relationship Id="rId40" Type="http://schemas.openxmlformats.org/officeDocument/2006/relationships/hyperlink" Target="https://www.mass.gov/orgs/massachusetts-commission-on-lgbtq-youth" TargetMode="External"/><Relationship Id="rId45" Type="http://schemas.openxmlformats.org/officeDocument/2006/relationships/hyperlink" Target="https://988lifeline.org/help-yourself/loss-survivors/" TargetMode="External"/><Relationship Id="rId53" Type="http://schemas.openxmlformats.org/officeDocument/2006/relationships/hyperlink" Target="https://nopcas.com/"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hyperlink" Target="mailto:mdph-isp@mass.gov" TargetMode="External"/><Relationship Id="rId30" Type="http://schemas.openxmlformats.org/officeDocument/2006/relationships/hyperlink" Target="http://mass.gov/orgs/bureau-of-substance-addiction-services" TargetMode="External"/><Relationship Id="rId35" Type="http://schemas.openxmlformats.org/officeDocument/2006/relationships/hyperlink" Target="http://www.ihs.gov/suicideprevention/" TargetMode="External"/><Relationship Id="rId43" Type="http://schemas.openxmlformats.org/officeDocument/2006/relationships/hyperlink" Target="http://www.thetrevorproject.org/" TargetMode="External"/><Relationship Id="rId48" Type="http://schemas.openxmlformats.org/officeDocument/2006/relationships/hyperlink" Target="http://www.mentalhealth.va.gov/suicide_prevention/" TargetMode="External"/><Relationship Id="rId56" Type="http://schemas.openxmlformats.org/officeDocument/2006/relationships/hyperlink" Target="https://youth.gov/youth-topics/youth-suicide-prevention" TargetMode="External"/><Relationship Id="rId8" Type="http://schemas.openxmlformats.org/officeDocument/2006/relationships/webSettings" Target="webSettings.xml"/><Relationship Id="rId51" Type="http://schemas.openxmlformats.org/officeDocument/2006/relationships/hyperlink" Target="https://www.ncoa.org/article/suicide-and-older-adults-what-you-should-know/" TargetMode="Externa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3.xml"/><Relationship Id="rId33" Type="http://schemas.openxmlformats.org/officeDocument/2006/relationships/hyperlink" Target="https://chat.988lifeline.org/" TargetMode="External"/><Relationship Id="rId38" Type="http://schemas.openxmlformats.org/officeDocument/2006/relationships/hyperlink" Target="http://www.jedfoundation.org/" TargetMode="External"/><Relationship Id="rId46" Type="http://schemas.openxmlformats.org/officeDocument/2006/relationships/hyperlink" Target="http://www.massmen.org/" TargetMode="External"/><Relationship Id="rId59" Type="http://schemas.openxmlformats.org/officeDocument/2006/relationships/theme" Target="theme/theme1.xml"/><Relationship Id="rId20" Type="http://schemas.openxmlformats.org/officeDocument/2006/relationships/chart" Target="charts/chart9.xml"/><Relationship Id="rId41" Type="http://schemas.openxmlformats.org/officeDocument/2006/relationships/hyperlink" Target="http://www.masstpc.org/suicide-prevention/" TargetMode="External"/><Relationship Id="rId54" Type="http://schemas.openxmlformats.org/officeDocument/2006/relationships/hyperlink" Target="https://988lifeline.org/es/inicio/"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hyperlink" Target="mailto:DPH-MA-SuicidePrevention@mass.gov" TargetMode="External"/><Relationship Id="rId36" Type="http://schemas.openxmlformats.org/officeDocument/2006/relationships/hyperlink" Target="https://sprc.org/resources/transforming-tribal-communities-indigenous-perspectives-on-suicide-prevention/" TargetMode="External"/><Relationship Id="rId49" Type="http://schemas.openxmlformats.org/officeDocument/2006/relationships/hyperlink" Target="https://www.mass.gov/service-details/statewide-advocacy-for-veterans-empowerment-save"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mailto:info@masspreventssuicide.org" TargetMode="External"/><Relationship Id="rId44" Type="http://schemas.openxmlformats.org/officeDocument/2006/relationships/hyperlink" Target="https://lifelineforattemptsurvivors.org/" TargetMode="External"/><Relationship Id="rId52" Type="http://schemas.openxmlformats.org/officeDocument/2006/relationships/hyperlink" Target="https://library.samhsa.gov/product/promoting-emotional-health-and-preventing-suicide/sma15-441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ln>
                  <a:noFill/>
                </a:ln>
                <a:solidFill>
                  <a:schemeClr val="tx1"/>
                </a:solidFill>
                <a:latin typeface="Avenir Next LT Pro" panose="020B0504020202020204" pitchFamily="34" charset="0"/>
                <a:ea typeface="+mn-ea"/>
                <a:cs typeface="+mn-cs"/>
              </a:defRPr>
            </a:pPr>
            <a:r>
              <a:rPr lang="en-US" sz="1200"/>
              <a:t>Figure 1. Suicides, homicides, and motor vehicle</a:t>
            </a:r>
            <a:r>
              <a:rPr lang="en-US" sz="1200" baseline="0"/>
              <a:t> d</a:t>
            </a:r>
            <a:r>
              <a:rPr lang="en-US" sz="1200"/>
              <a:t>eaths, </a:t>
            </a:r>
          </a:p>
          <a:p>
            <a:pPr>
              <a:defRPr sz="1400"/>
            </a:pPr>
            <a:r>
              <a:rPr lang="en-US" sz="1200"/>
              <a:t>MA 2013-2023</a:t>
            </a:r>
          </a:p>
        </c:rich>
      </c:tx>
      <c:layout>
        <c:manualLayout>
          <c:xMode val="edge"/>
          <c:yMode val="edge"/>
          <c:x val="0.13907867285820039"/>
          <c:y val="0"/>
        </c:manualLayout>
      </c:layout>
      <c:overlay val="0"/>
      <c:spPr>
        <a:noFill/>
        <a:ln>
          <a:noFill/>
        </a:ln>
        <a:effectLst/>
      </c:spPr>
      <c:txPr>
        <a:bodyPr rot="0" spcFirstLastPara="1" vertOverflow="ellipsis" vert="horz" wrap="square" anchor="ctr" anchorCtr="1"/>
        <a:lstStyle/>
        <a:p>
          <a:pPr>
            <a:defRPr sz="1400" b="1" i="0" u="none" strike="noStrike" kern="1200" baseline="0">
              <a:ln>
                <a:noFill/>
              </a:ln>
              <a:solidFill>
                <a:schemeClr val="tx1"/>
              </a:solidFill>
              <a:latin typeface="Avenir Next LT Pro" panose="020B0504020202020204" pitchFamily="34" charset="0"/>
              <a:ea typeface="+mn-ea"/>
              <a:cs typeface="+mn-cs"/>
            </a:defRPr>
          </a:pPr>
          <a:endParaRPr lang="en-US"/>
        </a:p>
      </c:txPr>
    </c:title>
    <c:autoTitleDeleted val="0"/>
    <c:plotArea>
      <c:layout>
        <c:manualLayout>
          <c:layoutTarget val="inner"/>
          <c:xMode val="edge"/>
          <c:yMode val="edge"/>
          <c:x val="0.11603624066222491"/>
          <c:y val="0.17836939404313593"/>
          <c:w val="0.86045948583350162"/>
          <c:h val="0.51646285518657997"/>
        </c:manualLayout>
      </c:layout>
      <c:lineChart>
        <c:grouping val="standard"/>
        <c:varyColors val="0"/>
        <c:ser>
          <c:idx val="0"/>
          <c:order val="0"/>
          <c:tx>
            <c:strRef>
              <c:f>Sheet1!$B$1</c:f>
              <c:strCache>
                <c:ptCount val="1"/>
                <c:pt idx="0">
                  <c:v>Suicides</c:v>
                </c:pt>
              </c:strCache>
            </c:strRef>
          </c:tx>
          <c:spPr>
            <a:ln w="19050" cap="rnd" cmpd="sng" algn="ctr">
              <a:solidFill>
                <a:srgbClr val="055994"/>
              </a:solidFill>
              <a:prstDash val="solid"/>
              <a:round/>
            </a:ln>
            <a:effectLst/>
          </c:spPr>
          <c:marker>
            <c:symbol val="diamond"/>
            <c:size val="7"/>
            <c:spPr>
              <a:solidFill>
                <a:schemeClr val="accent6"/>
              </a:solidFill>
              <a:ln w="6350" cap="flat" cmpd="sng" algn="ctr">
                <a:solidFill>
                  <a:schemeClr val="accent6"/>
                </a:solidFill>
                <a:prstDash val="solid"/>
                <a:round/>
              </a:ln>
              <a:effectLst/>
            </c:spPr>
          </c:marker>
          <c:dLbls>
            <c:dLbl>
              <c:idx val="13"/>
              <c:layout>
                <c:manualLayout>
                  <c:x val="-3.1643491372089126E-2"/>
                  <c:y val="-4.86092030478190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5F-406A-B227-3063022CB80B}"/>
                </c:ext>
              </c:extLst>
            </c:dLbl>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Sheet1!$B$2:$B$12</c:f>
              <c:numCache>
                <c:formatCode>General</c:formatCode>
                <c:ptCount val="11"/>
                <c:pt idx="0">
                  <c:v>585</c:v>
                </c:pt>
                <c:pt idx="1">
                  <c:v>608</c:v>
                </c:pt>
                <c:pt idx="2">
                  <c:v>631</c:v>
                </c:pt>
                <c:pt idx="3">
                  <c:v>638</c:v>
                </c:pt>
                <c:pt idx="4">
                  <c:v>688</c:v>
                </c:pt>
                <c:pt idx="5">
                  <c:v>725</c:v>
                </c:pt>
                <c:pt idx="6">
                  <c:v>642</c:v>
                </c:pt>
                <c:pt idx="7">
                  <c:v>615</c:v>
                </c:pt>
                <c:pt idx="8">
                  <c:v>596</c:v>
                </c:pt>
                <c:pt idx="9">
                  <c:v>627</c:v>
                </c:pt>
                <c:pt idx="10">
                  <c:v>647</c:v>
                </c:pt>
              </c:numCache>
            </c:numRef>
          </c:val>
          <c:smooth val="0"/>
          <c:extLst>
            <c:ext xmlns:c16="http://schemas.microsoft.com/office/drawing/2014/chart" uri="{C3380CC4-5D6E-409C-BE32-E72D297353CC}">
              <c16:uniqueId val="{00000002-CD5F-406A-B227-3063022CB80B}"/>
            </c:ext>
          </c:extLst>
        </c:ser>
        <c:ser>
          <c:idx val="1"/>
          <c:order val="1"/>
          <c:tx>
            <c:strRef>
              <c:f>Sheet1!$C$1</c:f>
              <c:strCache>
                <c:ptCount val="1"/>
                <c:pt idx="0">
                  <c:v>Motor Vehicle Deaths</c:v>
                </c:pt>
              </c:strCache>
            </c:strRef>
          </c:tx>
          <c:spPr>
            <a:ln w="19050" cap="rnd" cmpd="sng" algn="ctr">
              <a:solidFill>
                <a:schemeClr val="accent2">
                  <a:lumMod val="50000"/>
                </a:schemeClr>
              </a:solidFill>
              <a:prstDash val="solid"/>
              <a:round/>
            </a:ln>
            <a:effectLst/>
          </c:spPr>
          <c:marker>
            <c:symbol val="triangle"/>
            <c:size val="7"/>
            <c:spPr>
              <a:solidFill>
                <a:schemeClr val="accent2">
                  <a:lumMod val="50000"/>
                </a:schemeClr>
              </a:solidFill>
              <a:ln w="6350" cap="flat" cmpd="sng" algn="ctr">
                <a:solidFill>
                  <a:schemeClr val="accent2">
                    <a:lumMod val="50000"/>
                  </a:schemeClr>
                </a:solidFill>
                <a:prstDash val="solid"/>
                <a:round/>
              </a:ln>
              <a:effectLst/>
            </c:spPr>
          </c:marker>
          <c:dLbls>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Sheet1!$C$2:$C$12</c:f>
              <c:numCache>
                <c:formatCode>General</c:formatCode>
                <c:ptCount val="11"/>
                <c:pt idx="0">
                  <c:v>351</c:v>
                </c:pt>
                <c:pt idx="1">
                  <c:v>354</c:v>
                </c:pt>
                <c:pt idx="2">
                  <c:v>344</c:v>
                </c:pt>
                <c:pt idx="3">
                  <c:v>387</c:v>
                </c:pt>
                <c:pt idx="4">
                  <c:v>347</c:v>
                </c:pt>
                <c:pt idx="5">
                  <c:v>355</c:v>
                </c:pt>
                <c:pt idx="6">
                  <c:v>336</c:v>
                </c:pt>
                <c:pt idx="7">
                  <c:v>343</c:v>
                </c:pt>
                <c:pt idx="8">
                  <c:v>413</c:v>
                </c:pt>
                <c:pt idx="9">
                  <c:v>435</c:v>
                </c:pt>
                <c:pt idx="10">
                  <c:v>343</c:v>
                </c:pt>
              </c:numCache>
            </c:numRef>
          </c:val>
          <c:smooth val="0"/>
          <c:extLst>
            <c:ext xmlns:c16="http://schemas.microsoft.com/office/drawing/2014/chart" uri="{C3380CC4-5D6E-409C-BE32-E72D297353CC}">
              <c16:uniqueId val="{00000004-CD5F-406A-B227-3063022CB80B}"/>
            </c:ext>
          </c:extLst>
        </c:ser>
        <c:ser>
          <c:idx val="2"/>
          <c:order val="2"/>
          <c:tx>
            <c:strRef>
              <c:f>Sheet1!$D$1</c:f>
              <c:strCache>
                <c:ptCount val="1"/>
                <c:pt idx="0">
                  <c:v>Homicides</c:v>
                </c:pt>
              </c:strCache>
            </c:strRef>
          </c:tx>
          <c:spPr>
            <a:ln w="19050" cap="rnd" cmpd="sng" algn="ctr">
              <a:solidFill>
                <a:schemeClr val="accent3">
                  <a:lumMod val="50000"/>
                </a:schemeClr>
              </a:solidFill>
              <a:prstDash val="solid"/>
              <a:round/>
            </a:ln>
            <a:effectLst/>
          </c:spPr>
          <c:marker>
            <c:symbol val="square"/>
            <c:size val="6"/>
            <c:spPr>
              <a:solidFill>
                <a:schemeClr val="accent3">
                  <a:lumMod val="50000"/>
                </a:schemeClr>
              </a:solidFill>
              <a:ln w="6350" cap="flat" cmpd="sng" algn="ctr">
                <a:solidFill>
                  <a:schemeClr val="accent3">
                    <a:lumMod val="50000"/>
                  </a:schemeClr>
                </a:solidFill>
                <a:prstDash val="solid"/>
                <a:round/>
              </a:ln>
              <a:effectLst/>
            </c:spPr>
          </c:marker>
          <c:dLbls>
            <c:dLbl>
              <c:idx val="2"/>
              <c:tx>
                <c:rich>
                  <a:bodyPr/>
                  <a:lstStyle/>
                  <a:p>
                    <a:r>
                      <a:rPr lang="en-US"/>
                      <a:t>146</a:t>
                    </a:r>
                  </a:p>
                  <a:p>
                    <a:endParaRPr lang="en-US"/>
                  </a:p>
                </c:rich>
              </c:tx>
              <c:dLblPos val="b"/>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9C3-4022-B597-81E3717BBBD5}"/>
                </c:ext>
              </c:extLst>
            </c:dLbl>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Sheet1!$D$2:$D$12</c:f>
              <c:numCache>
                <c:formatCode>General</c:formatCode>
                <c:ptCount val="11"/>
                <c:pt idx="0">
                  <c:v>148</c:v>
                </c:pt>
                <c:pt idx="1">
                  <c:v>147</c:v>
                </c:pt>
                <c:pt idx="2">
                  <c:v>146</c:v>
                </c:pt>
                <c:pt idx="3">
                  <c:v>144</c:v>
                </c:pt>
                <c:pt idx="4">
                  <c:v>174</c:v>
                </c:pt>
                <c:pt idx="5">
                  <c:v>151</c:v>
                </c:pt>
                <c:pt idx="6">
                  <c:v>150</c:v>
                </c:pt>
                <c:pt idx="7">
                  <c:v>176</c:v>
                </c:pt>
                <c:pt idx="8">
                  <c:v>152</c:v>
                </c:pt>
                <c:pt idx="9">
                  <c:v>162</c:v>
                </c:pt>
                <c:pt idx="10">
                  <c:v>173</c:v>
                </c:pt>
              </c:numCache>
            </c:numRef>
          </c:val>
          <c:smooth val="0"/>
          <c:extLst>
            <c:ext xmlns:c16="http://schemas.microsoft.com/office/drawing/2014/chart" uri="{C3380CC4-5D6E-409C-BE32-E72D297353CC}">
              <c16:uniqueId val="{00000006-CD5F-406A-B227-3063022CB80B}"/>
            </c:ext>
          </c:extLst>
        </c:ser>
        <c:dLbls>
          <c:showLegendKey val="0"/>
          <c:showVal val="0"/>
          <c:showCatName val="0"/>
          <c:showSerName val="0"/>
          <c:showPercent val="0"/>
          <c:showBubbleSize val="0"/>
        </c:dLbls>
        <c:marker val="1"/>
        <c:smooth val="0"/>
        <c:axId val="266822600"/>
        <c:axId val="266825344"/>
      </c:lineChart>
      <c:catAx>
        <c:axId val="266822600"/>
        <c:scaling>
          <c:orientation val="minMax"/>
        </c:scaling>
        <c:delete val="0"/>
        <c:axPos val="b"/>
        <c:title>
          <c:tx>
            <c:rich>
              <a:bodyPr rot="0" spcFirstLastPara="1" vertOverflow="ellipsis" vert="horz" wrap="square" anchor="ctr" anchorCtr="1"/>
              <a:lstStyle/>
              <a:p>
                <a:pPr>
                  <a:defRPr sz="1000" b="1" i="0" u="none" strike="noStrike" kern="1200" baseline="0">
                    <a:ln>
                      <a:noFill/>
                    </a:ln>
                    <a:solidFill>
                      <a:schemeClr val="tx1"/>
                    </a:solidFill>
                    <a:latin typeface="Avenir Next LT Pro" panose="020B0504020202020204" pitchFamily="34" charset="0"/>
                    <a:ea typeface="+mn-ea"/>
                    <a:cs typeface="+mn-cs"/>
                  </a:defRPr>
                </a:pPr>
                <a:r>
                  <a:rPr lang="en-US"/>
                  <a:t>Incident Year</a:t>
                </a:r>
              </a:p>
            </c:rich>
          </c:tx>
          <c:overlay val="0"/>
          <c:spPr>
            <a:noFill/>
            <a:ln>
              <a:noFill/>
            </a:ln>
            <a:effectLst/>
          </c:spPr>
          <c:txPr>
            <a:bodyPr rot="0" spcFirstLastPara="1" vertOverflow="ellipsis" vert="horz" wrap="square" anchor="ctr" anchorCtr="1"/>
            <a:lstStyle/>
            <a:p>
              <a:pPr>
                <a:defRPr sz="1000" b="1" i="0" u="none" strike="noStrike" kern="1200" baseline="0">
                  <a:ln>
                    <a:noFill/>
                  </a:ln>
                  <a:solidFill>
                    <a:schemeClr val="tx1"/>
                  </a:solidFill>
                  <a:latin typeface="Avenir Next LT Pro" panose="020B0504020202020204" pitchFamily="34" charset="0"/>
                  <a:ea typeface="+mn-ea"/>
                  <a:cs typeface="+mn-cs"/>
                </a:defRPr>
              </a:pPr>
              <a:endParaRPr lang="en-US"/>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crossAx val="266825344"/>
        <c:crosses val="autoZero"/>
        <c:auto val="1"/>
        <c:lblAlgn val="ctr"/>
        <c:lblOffset val="100"/>
        <c:noMultiLvlLbl val="0"/>
      </c:catAx>
      <c:valAx>
        <c:axId val="266825344"/>
        <c:scaling>
          <c:orientation val="minMax"/>
        </c:scaling>
        <c:delete val="0"/>
        <c:axPos val="l"/>
        <c:majorGridlines>
          <c:spPr>
            <a:ln w="6350" cap="flat" cmpd="sng" algn="ctr">
              <a:no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Avenir Next LT Pro" panose="020B0504020202020204" pitchFamily="34" charset="0"/>
                    <a:ea typeface="+mn-ea"/>
                    <a:cs typeface="+mn-cs"/>
                  </a:defRPr>
                </a:pPr>
                <a:r>
                  <a:rPr lang="en-US"/>
                  <a:t>Number of Deaths</a:t>
                </a:r>
              </a:p>
            </c:rich>
          </c:tx>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Avenir Next LT Pro" panose="020B0504020202020204" pitchFamily="34" charset="0"/>
                  <a:ea typeface="+mn-ea"/>
                  <a:cs typeface="+mn-cs"/>
                </a:defRPr>
              </a:pPr>
              <a:endParaRPr lang="en-US"/>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crossAx val="266822600"/>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Avenir Next LT Pro" panose="020B0504020202020204" pitchFamily="34" charset="0"/>
              <a:ea typeface="+mn-ea"/>
              <a:cs typeface="+mn-cs"/>
            </a:defRPr>
          </a:pPr>
          <a:endParaRPr lang="en-US"/>
        </a:p>
      </c:txPr>
    </c:legend>
    <c:plotVisOnly val="1"/>
    <c:dispBlanksAs val="gap"/>
    <c:showDLblsOverMax val="0"/>
  </c:chart>
  <c:spPr>
    <a:solidFill>
      <a:schemeClr val="bg1"/>
    </a:solidFill>
    <a:ln w="6350" cap="flat" cmpd="sng" algn="ctr">
      <a:solidFill>
        <a:schemeClr val="tx1"/>
      </a:solidFill>
      <a:prstDash val="solid"/>
      <a:round/>
    </a:ln>
    <a:effectLst/>
  </c:spPr>
  <c:txPr>
    <a:bodyPr/>
    <a:lstStyle/>
    <a:p>
      <a:pPr>
        <a:defRPr>
          <a:ln>
            <a:noFill/>
          </a:ln>
          <a:latin typeface="Avenir Next LT Pro" panose="020B05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pPr>
            <a:r>
              <a:rPr lang="en-US" sz="1200"/>
              <a:t>Figure 8. Hospital visits for self-inflicted injuries by sex, MA 2023 (n=6,309)</a:t>
            </a:r>
          </a:p>
        </c:rich>
      </c:tx>
      <c:layout>
        <c:manualLayout>
          <c:xMode val="edge"/>
          <c:yMode val="edge"/>
          <c:x val="0.20106382978723408"/>
          <c:y val="4.6601934412791842E-3"/>
        </c:manualLayout>
      </c:layout>
      <c:overlay val="1"/>
    </c:title>
    <c:autoTitleDeleted val="0"/>
    <c:plotArea>
      <c:layout>
        <c:manualLayout>
          <c:layoutTarget val="inner"/>
          <c:xMode val="edge"/>
          <c:yMode val="edge"/>
          <c:x val="0.15252590766579707"/>
          <c:y val="9.6149117124331621E-2"/>
          <c:w val="0.81655899515738228"/>
          <c:h val="0.59730897154286511"/>
        </c:manualLayout>
      </c:layout>
      <c:barChart>
        <c:barDir val="col"/>
        <c:grouping val="clustered"/>
        <c:varyColors val="0"/>
        <c:ser>
          <c:idx val="0"/>
          <c:order val="0"/>
          <c:tx>
            <c:strRef>
              <c:f>Sheet1!$B$1</c:f>
              <c:strCache>
                <c:ptCount val="1"/>
                <c:pt idx="0">
                  <c:v>ED Visits</c:v>
                </c:pt>
              </c:strCache>
            </c:strRef>
          </c:tx>
          <c:spPr>
            <a:pattFill prst="pct75">
              <a:fgClr>
                <a:schemeClr val="accent3">
                  <a:lumMod val="50000"/>
                </a:schemeClr>
              </a:fgClr>
              <a:bgClr>
                <a:schemeClr val="bg1"/>
              </a:bgClr>
            </a:pattFill>
            <a:ln w="12700">
              <a:solidFill>
                <a:schemeClr val="tx1"/>
              </a:solidFill>
              <a:prstDash val="solid"/>
            </a:ln>
          </c:spPr>
          <c:invertIfNegative val="0"/>
          <c:cat>
            <c:strRef>
              <c:f>Sheet1!$A$2:$A$3</c:f>
              <c:strCache>
                <c:ptCount val="2"/>
                <c:pt idx="0">
                  <c:v>Male</c:v>
                </c:pt>
                <c:pt idx="1">
                  <c:v>Female</c:v>
                </c:pt>
              </c:strCache>
            </c:strRef>
          </c:cat>
          <c:val>
            <c:numRef>
              <c:f>Sheet1!$B$2:$B$3</c:f>
              <c:numCache>
                <c:formatCode>General</c:formatCode>
                <c:ptCount val="2"/>
                <c:pt idx="0">
                  <c:v>40.4</c:v>
                </c:pt>
                <c:pt idx="1">
                  <c:v>64.5</c:v>
                </c:pt>
              </c:numCache>
            </c:numRef>
          </c:val>
          <c:extLst>
            <c:ext xmlns:c16="http://schemas.microsoft.com/office/drawing/2014/chart" uri="{C3380CC4-5D6E-409C-BE32-E72D297353CC}">
              <c16:uniqueId val="{00000000-8795-4CAB-BE6E-7D050DF93B4C}"/>
            </c:ext>
          </c:extLst>
        </c:ser>
        <c:ser>
          <c:idx val="1"/>
          <c:order val="1"/>
          <c:tx>
            <c:strRef>
              <c:f>Sheet1!$C$1</c:f>
              <c:strCache>
                <c:ptCount val="1"/>
                <c:pt idx="0">
                  <c:v>Inpatient Stays</c:v>
                </c:pt>
              </c:strCache>
            </c:strRef>
          </c:tx>
          <c:spPr>
            <a:solidFill>
              <a:schemeClr val="accent3"/>
            </a:solidFill>
            <a:ln w="12700">
              <a:solidFill>
                <a:schemeClr val="tx1"/>
              </a:solidFill>
              <a:prstDash val="solid"/>
            </a:ln>
          </c:spPr>
          <c:invertIfNegative val="0"/>
          <c:cat>
            <c:strRef>
              <c:f>Sheet1!$A$2:$A$3</c:f>
              <c:strCache>
                <c:ptCount val="2"/>
                <c:pt idx="0">
                  <c:v>Male</c:v>
                </c:pt>
                <c:pt idx="1">
                  <c:v>Female</c:v>
                </c:pt>
              </c:strCache>
            </c:strRef>
          </c:cat>
          <c:val>
            <c:numRef>
              <c:f>Sheet1!$C$2:$C$3</c:f>
              <c:numCache>
                <c:formatCode>General</c:formatCode>
                <c:ptCount val="2"/>
                <c:pt idx="0">
                  <c:v>31</c:v>
                </c:pt>
                <c:pt idx="1">
                  <c:v>43.5</c:v>
                </c:pt>
              </c:numCache>
            </c:numRef>
          </c:val>
          <c:extLst>
            <c:ext xmlns:c16="http://schemas.microsoft.com/office/drawing/2014/chart" uri="{C3380CC4-5D6E-409C-BE32-E72D297353CC}">
              <c16:uniqueId val="{00000001-8795-4CAB-BE6E-7D050DF93B4C}"/>
            </c:ext>
          </c:extLst>
        </c:ser>
        <c:dLbls>
          <c:showLegendKey val="0"/>
          <c:showVal val="0"/>
          <c:showCatName val="0"/>
          <c:showSerName val="0"/>
          <c:showPercent val="0"/>
          <c:showBubbleSize val="0"/>
        </c:dLbls>
        <c:gapWidth val="150"/>
        <c:axId val="266826128"/>
        <c:axId val="266822992"/>
      </c:barChart>
      <c:catAx>
        <c:axId val="266826128"/>
        <c:scaling>
          <c:orientation val="minMax"/>
        </c:scaling>
        <c:delete val="0"/>
        <c:axPos val="b"/>
        <c:numFmt formatCode="General" sourceLinked="1"/>
        <c:majorTickMark val="out"/>
        <c:minorTickMark val="none"/>
        <c:tickLblPos val="nextTo"/>
        <c:txPr>
          <a:bodyPr rot="0" vert="horz"/>
          <a:lstStyle/>
          <a:p>
            <a:pPr>
              <a:defRPr/>
            </a:pPr>
            <a:endParaRPr lang="en-US"/>
          </a:p>
        </c:txPr>
        <c:crossAx val="266822992"/>
        <c:crosses val="autoZero"/>
        <c:auto val="1"/>
        <c:lblAlgn val="ctr"/>
        <c:lblOffset val="25"/>
        <c:noMultiLvlLbl val="0"/>
      </c:catAx>
      <c:valAx>
        <c:axId val="266822992"/>
        <c:scaling>
          <c:orientation val="minMax"/>
          <c:max val="120"/>
          <c:min val="0"/>
        </c:scaling>
        <c:delete val="0"/>
        <c:axPos val="l"/>
        <c:majorGridlines>
          <c:spPr>
            <a:ln>
              <a:noFill/>
            </a:ln>
          </c:spPr>
        </c:majorGridlines>
        <c:title>
          <c:tx>
            <c:rich>
              <a:bodyPr rot="-5400000" vert="horz"/>
              <a:lstStyle/>
              <a:p>
                <a:pPr>
                  <a:defRPr/>
                </a:pPr>
                <a:r>
                  <a:rPr lang="en-US"/>
                  <a:t>Rate Per 100,000</a:t>
                </a:r>
              </a:p>
            </c:rich>
          </c:tx>
          <c:overlay val="0"/>
        </c:title>
        <c:numFmt formatCode="General" sourceLinked="0"/>
        <c:majorTickMark val="out"/>
        <c:minorTickMark val="none"/>
        <c:tickLblPos val="nextTo"/>
        <c:crossAx val="266826128"/>
        <c:crosses val="autoZero"/>
        <c:crossBetween val="between"/>
      </c:valAx>
    </c:plotArea>
    <c:legend>
      <c:legendPos val="b"/>
      <c:layout>
        <c:manualLayout>
          <c:xMode val="edge"/>
          <c:yMode val="edge"/>
          <c:x val="0.3124787972931955"/>
          <c:y val="0.81801745261547087"/>
          <c:w val="0.36004118532802448"/>
          <c:h val="0.16582580313992115"/>
        </c:manualLayout>
      </c:layout>
      <c:overlay val="0"/>
    </c:legend>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100"/>
            </a:pPr>
            <a:r>
              <a:rPr lang="en-US" sz="1100"/>
              <a:t>Figure 9. Hospital visits for self-inflicted injuries</a:t>
            </a:r>
          </a:p>
          <a:p>
            <a:pPr algn="ctr">
              <a:defRPr sz="1100"/>
            </a:pPr>
            <a:r>
              <a:rPr lang="en-US" sz="1100"/>
              <a:t> by age group, MA 2023  (n=6,309)</a:t>
            </a:r>
          </a:p>
        </c:rich>
      </c:tx>
      <c:layout>
        <c:manualLayout>
          <c:xMode val="edge"/>
          <c:yMode val="edge"/>
          <c:x val="0.20106382978723408"/>
          <c:y val="4.6601934412791842E-3"/>
        </c:manualLayout>
      </c:layout>
      <c:overlay val="1"/>
    </c:title>
    <c:autoTitleDeleted val="0"/>
    <c:plotArea>
      <c:layout>
        <c:manualLayout>
          <c:layoutTarget val="inner"/>
          <c:xMode val="edge"/>
          <c:yMode val="edge"/>
          <c:x val="0.15252590766579707"/>
          <c:y val="9.6149117124331621E-2"/>
          <c:w val="0.81655899515738228"/>
          <c:h val="0.59730897154286511"/>
        </c:manualLayout>
      </c:layout>
      <c:barChart>
        <c:barDir val="col"/>
        <c:grouping val="clustered"/>
        <c:varyColors val="0"/>
        <c:ser>
          <c:idx val="0"/>
          <c:order val="0"/>
          <c:tx>
            <c:strRef>
              <c:f>Sheet1!$B$1</c:f>
              <c:strCache>
                <c:ptCount val="1"/>
                <c:pt idx="0">
                  <c:v>ED Visits</c:v>
                </c:pt>
              </c:strCache>
            </c:strRef>
          </c:tx>
          <c:spPr>
            <a:pattFill prst="pct75">
              <a:fgClr>
                <a:schemeClr val="accent3">
                  <a:lumMod val="50000"/>
                </a:schemeClr>
              </a:fgClr>
              <a:bgClr>
                <a:schemeClr val="bg1"/>
              </a:bgClr>
            </a:pattFill>
            <a:ln w="12700">
              <a:solidFill>
                <a:schemeClr val="tx1"/>
              </a:solidFill>
              <a:prstDash val="solid"/>
            </a:ln>
          </c:spPr>
          <c:invertIfNegative val="0"/>
          <c:cat>
            <c:strRef>
              <c:f>Sheet1!$A$2:$A$10</c:f>
              <c:strCache>
                <c:ptCount val="9"/>
                <c:pt idx="0">
                  <c:v>0-14</c:v>
                </c:pt>
                <c:pt idx="1">
                  <c:v>15-24</c:v>
                </c:pt>
                <c:pt idx="2">
                  <c:v>25-34</c:v>
                </c:pt>
                <c:pt idx="3">
                  <c:v>35-44</c:v>
                </c:pt>
                <c:pt idx="4">
                  <c:v>45-54</c:v>
                </c:pt>
                <c:pt idx="5">
                  <c:v>55-64</c:v>
                </c:pt>
                <c:pt idx="6">
                  <c:v>65-74</c:v>
                </c:pt>
                <c:pt idx="7">
                  <c:v>75-84</c:v>
                </c:pt>
                <c:pt idx="8">
                  <c:v>85+</c:v>
                </c:pt>
              </c:strCache>
            </c:strRef>
          </c:cat>
          <c:val>
            <c:numRef>
              <c:f>Sheet1!$B$2:$B$10</c:f>
              <c:numCache>
                <c:formatCode>General</c:formatCode>
                <c:ptCount val="9"/>
                <c:pt idx="0">
                  <c:v>48.2</c:v>
                </c:pt>
                <c:pt idx="1">
                  <c:v>144.1</c:v>
                </c:pt>
                <c:pt idx="2">
                  <c:v>71.5</c:v>
                </c:pt>
                <c:pt idx="3">
                  <c:v>52.8</c:v>
                </c:pt>
                <c:pt idx="4">
                  <c:v>36</c:v>
                </c:pt>
                <c:pt idx="5">
                  <c:v>22.8</c:v>
                </c:pt>
                <c:pt idx="6">
                  <c:v>12.5</c:v>
                </c:pt>
                <c:pt idx="7">
                  <c:v>4.8</c:v>
                </c:pt>
              </c:numCache>
            </c:numRef>
          </c:val>
          <c:extLst>
            <c:ext xmlns:c16="http://schemas.microsoft.com/office/drawing/2014/chart" uri="{C3380CC4-5D6E-409C-BE32-E72D297353CC}">
              <c16:uniqueId val="{00000000-05C5-4950-BEBF-CA3FAF99604C}"/>
            </c:ext>
          </c:extLst>
        </c:ser>
        <c:ser>
          <c:idx val="1"/>
          <c:order val="1"/>
          <c:tx>
            <c:strRef>
              <c:f>Sheet1!$C$1</c:f>
              <c:strCache>
                <c:ptCount val="1"/>
                <c:pt idx="0">
                  <c:v>Inpatient Stays</c:v>
                </c:pt>
              </c:strCache>
            </c:strRef>
          </c:tx>
          <c:spPr>
            <a:solidFill>
              <a:schemeClr val="accent3"/>
            </a:solidFill>
            <a:ln w="12700">
              <a:solidFill>
                <a:schemeClr val="tx1"/>
              </a:solidFill>
              <a:prstDash val="solid"/>
            </a:ln>
          </c:spPr>
          <c:invertIfNegative val="0"/>
          <c:cat>
            <c:strRef>
              <c:f>Sheet1!$A$2:$A$10</c:f>
              <c:strCache>
                <c:ptCount val="9"/>
                <c:pt idx="0">
                  <c:v>0-14</c:v>
                </c:pt>
                <c:pt idx="1">
                  <c:v>15-24</c:v>
                </c:pt>
                <c:pt idx="2">
                  <c:v>25-34</c:v>
                </c:pt>
                <c:pt idx="3">
                  <c:v>35-44</c:v>
                </c:pt>
                <c:pt idx="4">
                  <c:v>45-54</c:v>
                </c:pt>
                <c:pt idx="5">
                  <c:v>55-64</c:v>
                </c:pt>
                <c:pt idx="6">
                  <c:v>65-74</c:v>
                </c:pt>
                <c:pt idx="7">
                  <c:v>75-84</c:v>
                </c:pt>
                <c:pt idx="8">
                  <c:v>85+</c:v>
                </c:pt>
              </c:strCache>
            </c:strRef>
          </c:cat>
          <c:val>
            <c:numRef>
              <c:f>Sheet1!$C$2:$C$10</c:f>
              <c:numCache>
                <c:formatCode>General</c:formatCode>
                <c:ptCount val="9"/>
                <c:pt idx="0">
                  <c:v>14.3</c:v>
                </c:pt>
                <c:pt idx="1">
                  <c:v>76.3</c:v>
                </c:pt>
                <c:pt idx="2">
                  <c:v>46.3</c:v>
                </c:pt>
                <c:pt idx="3">
                  <c:v>45.8</c:v>
                </c:pt>
                <c:pt idx="4">
                  <c:v>39.799999999999997</c:v>
                </c:pt>
                <c:pt idx="5">
                  <c:v>33.700000000000003</c:v>
                </c:pt>
                <c:pt idx="6">
                  <c:v>21</c:v>
                </c:pt>
                <c:pt idx="7">
                  <c:v>13</c:v>
                </c:pt>
                <c:pt idx="8">
                  <c:v>9.1</c:v>
                </c:pt>
              </c:numCache>
            </c:numRef>
          </c:val>
          <c:extLst>
            <c:ext xmlns:c16="http://schemas.microsoft.com/office/drawing/2014/chart" uri="{C3380CC4-5D6E-409C-BE32-E72D297353CC}">
              <c16:uniqueId val="{00000001-05C5-4950-BEBF-CA3FAF99604C}"/>
            </c:ext>
          </c:extLst>
        </c:ser>
        <c:dLbls>
          <c:showLegendKey val="0"/>
          <c:showVal val="0"/>
          <c:showCatName val="0"/>
          <c:showSerName val="0"/>
          <c:showPercent val="0"/>
          <c:showBubbleSize val="0"/>
        </c:dLbls>
        <c:gapWidth val="150"/>
        <c:axId val="266826128"/>
        <c:axId val="266822992"/>
      </c:barChart>
      <c:catAx>
        <c:axId val="266826128"/>
        <c:scaling>
          <c:orientation val="minMax"/>
        </c:scaling>
        <c:delete val="0"/>
        <c:axPos val="b"/>
        <c:numFmt formatCode="General" sourceLinked="1"/>
        <c:majorTickMark val="out"/>
        <c:minorTickMark val="none"/>
        <c:tickLblPos val="nextTo"/>
        <c:txPr>
          <a:bodyPr rot="0" vert="horz"/>
          <a:lstStyle/>
          <a:p>
            <a:pPr>
              <a:defRPr/>
            </a:pPr>
            <a:endParaRPr lang="en-US"/>
          </a:p>
        </c:txPr>
        <c:crossAx val="266822992"/>
        <c:crosses val="autoZero"/>
        <c:auto val="1"/>
        <c:lblAlgn val="ctr"/>
        <c:lblOffset val="25"/>
        <c:noMultiLvlLbl val="0"/>
      </c:catAx>
      <c:valAx>
        <c:axId val="266822992"/>
        <c:scaling>
          <c:orientation val="minMax"/>
          <c:max val="230"/>
          <c:min val="0"/>
        </c:scaling>
        <c:delete val="0"/>
        <c:axPos val="l"/>
        <c:majorGridlines>
          <c:spPr>
            <a:ln>
              <a:noFill/>
            </a:ln>
          </c:spPr>
        </c:majorGridlines>
        <c:title>
          <c:tx>
            <c:rich>
              <a:bodyPr rot="-5400000" vert="horz"/>
              <a:lstStyle/>
              <a:p>
                <a:pPr>
                  <a:defRPr/>
                </a:pPr>
                <a:r>
                  <a:rPr lang="en-US"/>
                  <a:t>Rate Per 100,000</a:t>
                </a:r>
              </a:p>
            </c:rich>
          </c:tx>
          <c:overlay val="0"/>
        </c:title>
        <c:numFmt formatCode="General" sourceLinked="0"/>
        <c:majorTickMark val="out"/>
        <c:minorTickMark val="none"/>
        <c:tickLblPos val="nextTo"/>
        <c:crossAx val="266826128"/>
        <c:crosses val="autoZero"/>
        <c:crossBetween val="between"/>
      </c:valAx>
    </c:plotArea>
    <c:legend>
      <c:legendPos val="b"/>
      <c:layout>
        <c:manualLayout>
          <c:xMode val="edge"/>
          <c:yMode val="edge"/>
          <c:x val="0.30337625350022734"/>
          <c:y val="0.8412908928480366"/>
          <c:w val="0.4273838642510111"/>
          <c:h val="8.6749404585400675E-2"/>
        </c:manualLayout>
      </c:layout>
      <c:overlay val="0"/>
    </c:legend>
    <c:plotVisOnly val="1"/>
    <c:dispBlanksAs val="gap"/>
    <c:showDLblsOverMax val="0"/>
  </c:chart>
  <c:spPr>
    <a:ln>
      <a:solidFill>
        <a:schemeClr val="tx1"/>
      </a:solidFill>
    </a:ln>
  </c:spPr>
  <c:txPr>
    <a:bodyPr/>
    <a:lstStyle/>
    <a:p>
      <a:pPr>
        <a:defRPr sz="1050">
          <a:latin typeface="Avenir Next LT Pro" panose="020B05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pPr>
            <a:r>
              <a:rPr lang="en-US" sz="1200"/>
              <a:t>Figure 10. Hospital visits for self-inflicted injuries by race and ethnicity, MA 2023  (n=6,309)</a:t>
            </a:r>
            <a:r>
              <a:rPr lang="en-US" sz="1200" baseline="30000"/>
              <a:t>8</a:t>
            </a:r>
          </a:p>
        </c:rich>
      </c:tx>
      <c:layout>
        <c:manualLayout>
          <c:xMode val="edge"/>
          <c:yMode val="edge"/>
          <c:x val="0.19085971396432588"/>
          <c:y val="4.6601574803149595E-3"/>
        </c:manualLayout>
      </c:layout>
      <c:overlay val="1"/>
    </c:title>
    <c:autoTitleDeleted val="0"/>
    <c:plotArea>
      <c:layout>
        <c:manualLayout>
          <c:layoutTarget val="inner"/>
          <c:xMode val="edge"/>
          <c:yMode val="edge"/>
          <c:x val="0.15252590766579707"/>
          <c:y val="9.6149117124331621E-2"/>
          <c:w val="0.81655899515738228"/>
          <c:h val="0.59730897154286511"/>
        </c:manualLayout>
      </c:layout>
      <c:barChart>
        <c:barDir val="col"/>
        <c:grouping val="clustered"/>
        <c:varyColors val="0"/>
        <c:ser>
          <c:idx val="0"/>
          <c:order val="0"/>
          <c:tx>
            <c:strRef>
              <c:f>Sheet1!$B$1</c:f>
              <c:strCache>
                <c:ptCount val="1"/>
                <c:pt idx="0">
                  <c:v>ED Visits</c:v>
                </c:pt>
              </c:strCache>
            </c:strRef>
          </c:tx>
          <c:spPr>
            <a:pattFill prst="pct75">
              <a:fgClr>
                <a:schemeClr val="accent3">
                  <a:lumMod val="50000"/>
                </a:schemeClr>
              </a:fgClr>
              <a:bgClr>
                <a:schemeClr val="bg1"/>
              </a:bgClr>
            </a:pattFill>
            <a:ln w="12700">
              <a:solidFill>
                <a:schemeClr val="tx1"/>
              </a:solidFill>
              <a:prstDash val="solid"/>
            </a:ln>
          </c:spPr>
          <c:invertIfNegative val="0"/>
          <c:cat>
            <c:strRef>
              <c:f>Sheet1!$A$2:$A$5</c:f>
              <c:strCache>
                <c:ptCount val="4"/>
                <c:pt idx="0">
                  <c:v>White, NH</c:v>
                </c:pt>
                <c:pt idx="1">
                  <c:v>Black, NH</c:v>
                </c:pt>
                <c:pt idx="2">
                  <c:v>Hispanic or Latino-a-e</c:v>
                </c:pt>
                <c:pt idx="3">
                  <c:v>Asian, NHPI, NH</c:v>
                </c:pt>
              </c:strCache>
            </c:strRef>
          </c:cat>
          <c:val>
            <c:numRef>
              <c:f>Sheet1!$B$2:$B$5</c:f>
              <c:numCache>
                <c:formatCode>General</c:formatCode>
                <c:ptCount val="4"/>
                <c:pt idx="0">
                  <c:v>50.6</c:v>
                </c:pt>
                <c:pt idx="1">
                  <c:v>68</c:v>
                </c:pt>
                <c:pt idx="2">
                  <c:v>65.8</c:v>
                </c:pt>
                <c:pt idx="3">
                  <c:v>17.100000000000001</c:v>
                </c:pt>
              </c:numCache>
            </c:numRef>
          </c:val>
          <c:extLst>
            <c:ext xmlns:c16="http://schemas.microsoft.com/office/drawing/2014/chart" uri="{C3380CC4-5D6E-409C-BE32-E72D297353CC}">
              <c16:uniqueId val="{00000000-506F-48CE-A111-F01942BC062A}"/>
            </c:ext>
          </c:extLst>
        </c:ser>
        <c:ser>
          <c:idx val="1"/>
          <c:order val="1"/>
          <c:tx>
            <c:strRef>
              <c:f>Sheet1!$C$1</c:f>
              <c:strCache>
                <c:ptCount val="1"/>
                <c:pt idx="0">
                  <c:v>Inpatient Stays</c:v>
                </c:pt>
              </c:strCache>
            </c:strRef>
          </c:tx>
          <c:spPr>
            <a:solidFill>
              <a:schemeClr val="accent3"/>
            </a:solidFill>
            <a:ln w="12700">
              <a:solidFill>
                <a:schemeClr val="tx1"/>
              </a:solidFill>
              <a:prstDash val="solid"/>
            </a:ln>
          </c:spPr>
          <c:invertIfNegative val="0"/>
          <c:cat>
            <c:strRef>
              <c:f>Sheet1!$A$2:$A$5</c:f>
              <c:strCache>
                <c:ptCount val="4"/>
                <c:pt idx="0">
                  <c:v>White, NH</c:v>
                </c:pt>
                <c:pt idx="1">
                  <c:v>Black, NH</c:v>
                </c:pt>
                <c:pt idx="2">
                  <c:v>Hispanic or Latino-a-e</c:v>
                </c:pt>
                <c:pt idx="3">
                  <c:v>Asian, NHPI, NH</c:v>
                </c:pt>
              </c:strCache>
            </c:strRef>
          </c:cat>
          <c:val>
            <c:numRef>
              <c:f>Sheet1!$C$2:$C$5</c:f>
              <c:numCache>
                <c:formatCode>General</c:formatCode>
                <c:ptCount val="4"/>
                <c:pt idx="0">
                  <c:v>36</c:v>
                </c:pt>
                <c:pt idx="1">
                  <c:v>45.7</c:v>
                </c:pt>
                <c:pt idx="2">
                  <c:v>41.6</c:v>
                </c:pt>
                <c:pt idx="3">
                  <c:v>15.1</c:v>
                </c:pt>
              </c:numCache>
            </c:numRef>
          </c:val>
          <c:extLst>
            <c:ext xmlns:c16="http://schemas.microsoft.com/office/drawing/2014/chart" uri="{C3380CC4-5D6E-409C-BE32-E72D297353CC}">
              <c16:uniqueId val="{00000001-506F-48CE-A111-F01942BC062A}"/>
            </c:ext>
          </c:extLst>
        </c:ser>
        <c:dLbls>
          <c:showLegendKey val="0"/>
          <c:showVal val="0"/>
          <c:showCatName val="0"/>
          <c:showSerName val="0"/>
          <c:showPercent val="0"/>
          <c:showBubbleSize val="0"/>
        </c:dLbls>
        <c:gapWidth val="150"/>
        <c:axId val="266826128"/>
        <c:axId val="266822992"/>
      </c:barChart>
      <c:catAx>
        <c:axId val="266826128"/>
        <c:scaling>
          <c:orientation val="minMax"/>
        </c:scaling>
        <c:delete val="0"/>
        <c:axPos val="b"/>
        <c:numFmt formatCode="General" sourceLinked="1"/>
        <c:majorTickMark val="out"/>
        <c:minorTickMark val="none"/>
        <c:tickLblPos val="nextTo"/>
        <c:txPr>
          <a:bodyPr rot="0" vert="horz"/>
          <a:lstStyle/>
          <a:p>
            <a:pPr>
              <a:defRPr/>
            </a:pPr>
            <a:endParaRPr lang="en-US"/>
          </a:p>
        </c:txPr>
        <c:crossAx val="266822992"/>
        <c:crosses val="autoZero"/>
        <c:auto val="1"/>
        <c:lblAlgn val="ctr"/>
        <c:lblOffset val="25"/>
        <c:noMultiLvlLbl val="0"/>
      </c:catAx>
      <c:valAx>
        <c:axId val="266822992"/>
        <c:scaling>
          <c:orientation val="minMax"/>
          <c:max val="110"/>
          <c:min val="0"/>
        </c:scaling>
        <c:delete val="0"/>
        <c:axPos val="l"/>
        <c:majorGridlines>
          <c:spPr>
            <a:ln>
              <a:noFill/>
            </a:ln>
          </c:spPr>
        </c:majorGridlines>
        <c:title>
          <c:tx>
            <c:rich>
              <a:bodyPr rot="-5400000" vert="horz"/>
              <a:lstStyle/>
              <a:p>
                <a:pPr>
                  <a:defRPr/>
                </a:pPr>
                <a:r>
                  <a:rPr lang="en-US"/>
                  <a:t>Rate Per 100,000</a:t>
                </a:r>
              </a:p>
            </c:rich>
          </c:tx>
          <c:overlay val="0"/>
        </c:title>
        <c:numFmt formatCode="General" sourceLinked="0"/>
        <c:majorTickMark val="out"/>
        <c:minorTickMark val="none"/>
        <c:tickLblPos val="nextTo"/>
        <c:crossAx val="266826128"/>
        <c:crosses val="autoZero"/>
        <c:crossBetween val="between"/>
      </c:valAx>
    </c:plotArea>
    <c:legend>
      <c:legendPos val="b"/>
      <c:layout>
        <c:manualLayout>
          <c:xMode val="edge"/>
          <c:yMode val="edge"/>
          <c:x val="0.15901574803149607"/>
          <c:y val="0.87416986876640423"/>
          <c:w val="0.73154534254646741"/>
          <c:h val="8.6749404585400675E-2"/>
        </c:manualLayout>
      </c:layout>
      <c:overlay val="0"/>
    </c:legend>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417556199257475"/>
          <c:y val="6.197326295751493E-2"/>
          <c:w val="0.42039296642323853"/>
          <c:h val="0.86156138308798358"/>
        </c:manualLayout>
      </c:layout>
      <c:barChart>
        <c:barDir val="bar"/>
        <c:grouping val="clustered"/>
        <c:varyColors val="0"/>
        <c:ser>
          <c:idx val="0"/>
          <c:order val="0"/>
          <c:tx>
            <c:strRef>
              <c:f>Sheet1!$B$1</c:f>
              <c:strCache>
                <c:ptCount val="1"/>
                <c:pt idx="0">
                  <c:v>Column1</c:v>
                </c:pt>
              </c:strCache>
            </c:strRef>
          </c:tx>
          <c:spPr>
            <a:ln>
              <a:solidFill>
                <a:schemeClr val="tx1">
                  <a:alpha val="79000"/>
                </a:schemeClr>
              </a:solidFill>
            </a:ln>
          </c:spPr>
          <c:invertIfNegative val="0"/>
          <c:dPt>
            <c:idx val="0"/>
            <c:invertIfNegative val="0"/>
            <c:bubble3D val="0"/>
            <c:spPr>
              <a:pattFill prst="lgCheck">
                <a:fgClr>
                  <a:schemeClr val="accent3">
                    <a:lumMod val="75000"/>
                  </a:schemeClr>
                </a:fgClr>
                <a:bgClr>
                  <a:schemeClr val="bg1"/>
                </a:bgClr>
              </a:pattFill>
              <a:ln>
                <a:solidFill>
                  <a:schemeClr val="tx1">
                    <a:alpha val="79000"/>
                  </a:schemeClr>
                </a:solidFill>
              </a:ln>
            </c:spPr>
            <c:extLst>
              <c:ext xmlns:c16="http://schemas.microsoft.com/office/drawing/2014/chart" uri="{C3380CC4-5D6E-409C-BE32-E72D297353CC}">
                <c16:uniqueId val="{00000001-8FE8-4ADF-80DC-9EFEAC79DA87}"/>
              </c:ext>
            </c:extLst>
          </c:dPt>
          <c:dPt>
            <c:idx val="1"/>
            <c:invertIfNegative val="0"/>
            <c:bubble3D val="0"/>
            <c:spPr>
              <a:pattFill prst="lgCheck">
                <a:fgClr>
                  <a:schemeClr val="accent3">
                    <a:lumMod val="75000"/>
                  </a:schemeClr>
                </a:fgClr>
                <a:bgClr>
                  <a:schemeClr val="bg1"/>
                </a:bgClr>
              </a:pattFill>
              <a:ln>
                <a:solidFill>
                  <a:schemeClr val="tx1">
                    <a:alpha val="79000"/>
                  </a:schemeClr>
                </a:solidFill>
              </a:ln>
            </c:spPr>
            <c:extLst>
              <c:ext xmlns:c16="http://schemas.microsoft.com/office/drawing/2014/chart" uri="{C3380CC4-5D6E-409C-BE32-E72D297353CC}">
                <c16:uniqueId val="{00000003-8FE8-4ADF-80DC-9EFEAC79DA87}"/>
              </c:ext>
            </c:extLst>
          </c:dPt>
          <c:dPt>
            <c:idx val="2"/>
            <c:invertIfNegative val="0"/>
            <c:bubble3D val="0"/>
            <c:spPr>
              <a:pattFill prst="dkUpDiag">
                <a:fgClr>
                  <a:schemeClr val="accent3">
                    <a:lumMod val="50000"/>
                  </a:schemeClr>
                </a:fgClr>
                <a:bgClr>
                  <a:schemeClr val="bg1"/>
                </a:bgClr>
              </a:pattFill>
              <a:ln>
                <a:solidFill>
                  <a:schemeClr val="tx1">
                    <a:alpha val="79000"/>
                  </a:schemeClr>
                </a:solidFill>
              </a:ln>
            </c:spPr>
            <c:extLst>
              <c:ext xmlns:c16="http://schemas.microsoft.com/office/drawing/2014/chart" uri="{C3380CC4-5D6E-409C-BE32-E72D297353CC}">
                <c16:uniqueId val="{00000005-8FE8-4ADF-80DC-9EFEAC79DA87}"/>
              </c:ext>
            </c:extLst>
          </c:dPt>
          <c:dPt>
            <c:idx val="3"/>
            <c:invertIfNegative val="0"/>
            <c:bubble3D val="0"/>
            <c:spPr>
              <a:pattFill prst="dkUpDiag">
                <a:fgClr>
                  <a:schemeClr val="accent3">
                    <a:lumMod val="50000"/>
                  </a:schemeClr>
                </a:fgClr>
                <a:bgClr>
                  <a:schemeClr val="bg1"/>
                </a:bgClr>
              </a:pattFill>
              <a:ln>
                <a:solidFill>
                  <a:schemeClr val="tx1">
                    <a:alpha val="79000"/>
                  </a:schemeClr>
                </a:solidFill>
              </a:ln>
            </c:spPr>
            <c:extLst>
              <c:ext xmlns:c16="http://schemas.microsoft.com/office/drawing/2014/chart" uri="{C3380CC4-5D6E-409C-BE32-E72D297353CC}">
                <c16:uniqueId val="{00000007-8FE8-4ADF-80DC-9EFEAC79DA87}"/>
              </c:ext>
            </c:extLst>
          </c:dPt>
          <c:dPt>
            <c:idx val="4"/>
            <c:invertIfNegative val="0"/>
            <c:bubble3D val="0"/>
            <c:spPr>
              <a:pattFill prst="dkUpDiag">
                <a:fgClr>
                  <a:schemeClr val="accent3">
                    <a:lumMod val="50000"/>
                  </a:schemeClr>
                </a:fgClr>
                <a:bgClr>
                  <a:schemeClr val="bg1"/>
                </a:bgClr>
              </a:pattFill>
              <a:ln>
                <a:solidFill>
                  <a:schemeClr val="tx1">
                    <a:alpha val="79000"/>
                  </a:schemeClr>
                </a:solidFill>
              </a:ln>
            </c:spPr>
            <c:extLst>
              <c:ext xmlns:c16="http://schemas.microsoft.com/office/drawing/2014/chart" uri="{C3380CC4-5D6E-409C-BE32-E72D297353CC}">
                <c16:uniqueId val="{00000009-8FE8-4ADF-80DC-9EFEAC79DA87}"/>
              </c:ext>
            </c:extLst>
          </c:dPt>
          <c:dPt>
            <c:idx val="5"/>
            <c:invertIfNegative val="0"/>
            <c:bubble3D val="0"/>
            <c:spPr>
              <a:solidFill>
                <a:schemeClr val="accent3">
                  <a:lumMod val="20000"/>
                  <a:lumOff val="80000"/>
                </a:schemeClr>
              </a:solidFill>
              <a:ln>
                <a:solidFill>
                  <a:schemeClr val="tx1">
                    <a:alpha val="79000"/>
                  </a:schemeClr>
                </a:solidFill>
              </a:ln>
            </c:spPr>
            <c:extLst>
              <c:ext xmlns:c16="http://schemas.microsoft.com/office/drawing/2014/chart" uri="{C3380CC4-5D6E-409C-BE32-E72D297353CC}">
                <c16:uniqueId val="{0000000B-8FE8-4ADF-80DC-9EFEAC79DA87}"/>
              </c:ext>
            </c:extLst>
          </c:dPt>
          <c:dPt>
            <c:idx val="6"/>
            <c:invertIfNegative val="0"/>
            <c:bubble3D val="0"/>
            <c:spPr>
              <a:solidFill>
                <a:schemeClr val="accent3">
                  <a:lumMod val="20000"/>
                  <a:lumOff val="80000"/>
                </a:schemeClr>
              </a:solidFill>
              <a:ln>
                <a:solidFill>
                  <a:schemeClr val="tx1">
                    <a:alpha val="79000"/>
                  </a:schemeClr>
                </a:solidFill>
              </a:ln>
            </c:spPr>
            <c:extLst>
              <c:ext xmlns:c16="http://schemas.microsoft.com/office/drawing/2014/chart" uri="{C3380CC4-5D6E-409C-BE32-E72D297353CC}">
                <c16:uniqueId val="{0000000D-8FE8-4ADF-80DC-9EFEAC79DA87}"/>
              </c:ext>
            </c:extLst>
          </c:dPt>
          <c:dPt>
            <c:idx val="7"/>
            <c:invertIfNegative val="0"/>
            <c:bubble3D val="0"/>
            <c:spPr>
              <a:solidFill>
                <a:schemeClr val="accent3">
                  <a:lumMod val="20000"/>
                  <a:lumOff val="80000"/>
                </a:schemeClr>
              </a:solidFill>
              <a:ln>
                <a:solidFill>
                  <a:schemeClr val="tx1">
                    <a:alpha val="79000"/>
                  </a:schemeClr>
                </a:solidFill>
              </a:ln>
            </c:spPr>
            <c:extLst>
              <c:ext xmlns:c16="http://schemas.microsoft.com/office/drawing/2014/chart" uri="{C3380CC4-5D6E-409C-BE32-E72D297353CC}">
                <c16:uniqueId val="{0000000F-8FE8-4ADF-80DC-9EFEAC79DA87}"/>
              </c:ext>
            </c:extLst>
          </c:dPt>
          <c:dPt>
            <c:idx val="8"/>
            <c:invertIfNegative val="0"/>
            <c:bubble3D val="0"/>
            <c:spPr>
              <a:solidFill>
                <a:schemeClr val="accent3">
                  <a:lumMod val="20000"/>
                  <a:lumOff val="80000"/>
                </a:schemeClr>
              </a:solidFill>
              <a:ln>
                <a:solidFill>
                  <a:schemeClr val="tx1">
                    <a:lumMod val="95000"/>
                    <a:lumOff val="5000"/>
                    <a:alpha val="79000"/>
                  </a:schemeClr>
                </a:solidFill>
              </a:ln>
            </c:spPr>
            <c:extLst>
              <c:ext xmlns:c16="http://schemas.microsoft.com/office/drawing/2014/chart" uri="{C3380CC4-5D6E-409C-BE32-E72D297353CC}">
                <c16:uniqueId val="{00000011-8FE8-4ADF-80DC-9EFEAC79DA87}"/>
              </c:ext>
            </c:extLst>
          </c:dPt>
          <c:dPt>
            <c:idx val="9"/>
            <c:invertIfNegative val="0"/>
            <c:bubble3D val="0"/>
            <c:spPr>
              <a:solidFill>
                <a:schemeClr val="accent3">
                  <a:lumMod val="20000"/>
                  <a:lumOff val="80000"/>
                </a:schemeClr>
              </a:solidFill>
              <a:ln>
                <a:solidFill>
                  <a:schemeClr val="tx1">
                    <a:alpha val="79000"/>
                  </a:schemeClr>
                </a:solidFill>
              </a:ln>
            </c:spPr>
            <c:extLst>
              <c:ext xmlns:c16="http://schemas.microsoft.com/office/drawing/2014/chart" uri="{C3380CC4-5D6E-409C-BE32-E72D297353CC}">
                <c16:uniqueId val="{00000013-8FE8-4ADF-80DC-9EFEAC79DA87}"/>
              </c:ext>
            </c:extLst>
          </c:dPt>
          <c:dPt>
            <c:idx val="10"/>
            <c:invertIfNegative val="0"/>
            <c:bubble3D val="0"/>
            <c:spPr>
              <a:solidFill>
                <a:schemeClr val="accent3">
                  <a:lumMod val="20000"/>
                  <a:lumOff val="80000"/>
                </a:schemeClr>
              </a:solidFill>
              <a:ln>
                <a:solidFill>
                  <a:schemeClr val="tx1">
                    <a:alpha val="79000"/>
                  </a:schemeClr>
                </a:solidFill>
              </a:ln>
            </c:spPr>
            <c:extLst>
              <c:ext xmlns:c16="http://schemas.microsoft.com/office/drawing/2014/chart" uri="{C3380CC4-5D6E-409C-BE32-E72D297353CC}">
                <c16:uniqueId val="{00000015-8FE8-4ADF-80DC-9EFEAC79DA87}"/>
              </c:ext>
            </c:extLst>
          </c:dPt>
          <c:dPt>
            <c:idx val="11"/>
            <c:invertIfNegative val="0"/>
            <c:bubble3D val="0"/>
            <c:spPr>
              <a:pattFill prst="pct75">
                <a:fgClr>
                  <a:schemeClr val="accent3">
                    <a:lumMod val="75000"/>
                  </a:schemeClr>
                </a:fgClr>
                <a:bgClr>
                  <a:schemeClr val="bg1"/>
                </a:bgClr>
              </a:pattFill>
              <a:ln>
                <a:solidFill>
                  <a:schemeClr val="tx1">
                    <a:alpha val="79000"/>
                  </a:schemeClr>
                </a:solidFill>
              </a:ln>
            </c:spPr>
            <c:extLst>
              <c:ext xmlns:c16="http://schemas.microsoft.com/office/drawing/2014/chart" uri="{C3380CC4-5D6E-409C-BE32-E72D297353CC}">
                <c16:uniqueId val="{00000017-8FE8-4ADF-80DC-9EFEAC79DA87}"/>
              </c:ext>
            </c:extLst>
          </c:dPt>
          <c:dPt>
            <c:idx val="12"/>
            <c:invertIfNegative val="0"/>
            <c:bubble3D val="0"/>
            <c:spPr>
              <a:pattFill prst="pct75">
                <a:fgClr>
                  <a:schemeClr val="accent3">
                    <a:lumMod val="75000"/>
                  </a:schemeClr>
                </a:fgClr>
                <a:bgClr>
                  <a:schemeClr val="bg1"/>
                </a:bgClr>
              </a:pattFill>
              <a:ln>
                <a:solidFill>
                  <a:schemeClr val="tx1">
                    <a:alpha val="79000"/>
                  </a:schemeClr>
                </a:solidFill>
              </a:ln>
            </c:spPr>
            <c:extLst>
              <c:ext xmlns:c16="http://schemas.microsoft.com/office/drawing/2014/chart" uri="{C3380CC4-5D6E-409C-BE32-E72D297353CC}">
                <c16:uniqueId val="{00000019-8FE8-4ADF-80DC-9EFEAC79DA87}"/>
              </c:ext>
            </c:extLst>
          </c:dPt>
          <c:dPt>
            <c:idx val="13"/>
            <c:invertIfNegative val="0"/>
            <c:bubble3D val="0"/>
            <c:spPr>
              <a:pattFill prst="pct75">
                <a:fgClr>
                  <a:schemeClr val="accent3">
                    <a:lumMod val="75000"/>
                  </a:schemeClr>
                </a:fgClr>
                <a:bgClr>
                  <a:schemeClr val="bg1"/>
                </a:bgClr>
              </a:pattFill>
              <a:ln>
                <a:solidFill>
                  <a:schemeClr val="tx1">
                    <a:alpha val="79000"/>
                  </a:schemeClr>
                </a:solidFill>
              </a:ln>
            </c:spPr>
            <c:extLst>
              <c:ext xmlns:c16="http://schemas.microsoft.com/office/drawing/2014/chart" uri="{C3380CC4-5D6E-409C-BE32-E72D297353CC}">
                <c16:uniqueId val="{0000001B-8FE8-4ADF-80DC-9EFEAC79DA87}"/>
              </c:ext>
            </c:extLst>
          </c:dPt>
          <c:dPt>
            <c:idx val="14"/>
            <c:invertIfNegative val="0"/>
            <c:bubble3D val="0"/>
            <c:spPr>
              <a:pattFill prst="pct75">
                <a:fgClr>
                  <a:schemeClr val="accent3">
                    <a:lumMod val="75000"/>
                  </a:schemeClr>
                </a:fgClr>
                <a:bgClr>
                  <a:schemeClr val="bg1"/>
                </a:bgClr>
              </a:pattFill>
              <a:ln>
                <a:solidFill>
                  <a:schemeClr val="tx1">
                    <a:alpha val="79000"/>
                  </a:schemeClr>
                </a:solidFill>
              </a:ln>
            </c:spPr>
            <c:extLst>
              <c:ext xmlns:c16="http://schemas.microsoft.com/office/drawing/2014/chart" uri="{C3380CC4-5D6E-409C-BE32-E72D297353CC}">
                <c16:uniqueId val="{0000001D-8FE8-4ADF-80DC-9EFEAC79DA87}"/>
              </c:ext>
            </c:extLst>
          </c:dPt>
          <c:dPt>
            <c:idx val="15"/>
            <c:invertIfNegative val="0"/>
            <c:bubble3D val="0"/>
            <c:spPr>
              <a:pattFill prst="pct75">
                <a:fgClr>
                  <a:schemeClr val="accent3">
                    <a:lumMod val="75000"/>
                  </a:schemeClr>
                </a:fgClr>
                <a:bgClr>
                  <a:schemeClr val="bg1"/>
                </a:bgClr>
              </a:pattFill>
              <a:ln>
                <a:solidFill>
                  <a:schemeClr val="tx1">
                    <a:alpha val="79000"/>
                  </a:schemeClr>
                </a:solidFill>
              </a:ln>
            </c:spPr>
            <c:extLst>
              <c:ext xmlns:c16="http://schemas.microsoft.com/office/drawing/2014/chart" uri="{C3380CC4-5D6E-409C-BE32-E72D297353CC}">
                <c16:uniqueId val="{0000001F-8FE8-4ADF-80DC-9EFEAC79DA87}"/>
              </c:ext>
            </c:extLst>
          </c:dPt>
          <c:dPt>
            <c:idx val="16"/>
            <c:invertIfNegative val="0"/>
            <c:bubble3D val="0"/>
            <c:spPr>
              <a:pattFill prst="pct75">
                <a:fgClr>
                  <a:schemeClr val="accent3">
                    <a:lumMod val="75000"/>
                  </a:schemeClr>
                </a:fgClr>
                <a:bgClr>
                  <a:schemeClr val="bg1"/>
                </a:bgClr>
              </a:pattFill>
              <a:ln>
                <a:solidFill>
                  <a:schemeClr val="tx1">
                    <a:alpha val="79000"/>
                  </a:schemeClr>
                </a:solidFill>
              </a:ln>
            </c:spPr>
            <c:extLst>
              <c:ext xmlns:c16="http://schemas.microsoft.com/office/drawing/2014/chart" uri="{C3380CC4-5D6E-409C-BE32-E72D297353CC}">
                <c16:uniqueId val="{00000021-8FE8-4ADF-80DC-9EFEAC79DA87}"/>
              </c:ext>
            </c:extLst>
          </c:dPt>
          <c:dPt>
            <c:idx val="17"/>
            <c:invertIfNegative val="0"/>
            <c:bubble3D val="0"/>
            <c:spPr>
              <a:pattFill prst="pct75">
                <a:fgClr>
                  <a:schemeClr val="accent3">
                    <a:lumMod val="75000"/>
                  </a:schemeClr>
                </a:fgClr>
                <a:bgClr>
                  <a:schemeClr val="bg1"/>
                </a:bgClr>
              </a:pattFill>
              <a:ln>
                <a:solidFill>
                  <a:schemeClr val="tx1">
                    <a:alpha val="79000"/>
                  </a:schemeClr>
                </a:solidFill>
              </a:ln>
            </c:spPr>
            <c:extLst>
              <c:ext xmlns:c16="http://schemas.microsoft.com/office/drawing/2014/chart" uri="{C3380CC4-5D6E-409C-BE32-E72D297353CC}">
                <c16:uniqueId val="{00000023-8FE8-4ADF-80DC-9EFEAC79DA87}"/>
              </c:ext>
            </c:extLst>
          </c:dPt>
          <c:dPt>
            <c:idx val="18"/>
            <c:invertIfNegative val="0"/>
            <c:bubble3D val="0"/>
            <c:spPr>
              <a:solidFill>
                <a:schemeClr val="accent3">
                  <a:lumMod val="40000"/>
                  <a:lumOff val="60000"/>
                </a:schemeClr>
              </a:solidFill>
              <a:ln>
                <a:solidFill>
                  <a:schemeClr val="tx1">
                    <a:alpha val="79000"/>
                  </a:schemeClr>
                </a:solidFill>
              </a:ln>
            </c:spPr>
            <c:extLst>
              <c:ext xmlns:c16="http://schemas.microsoft.com/office/drawing/2014/chart" uri="{C3380CC4-5D6E-409C-BE32-E72D297353CC}">
                <c16:uniqueId val="{00000025-8FE8-4ADF-80DC-9EFEAC79DA87}"/>
              </c:ext>
            </c:extLst>
          </c:dPt>
          <c:dPt>
            <c:idx val="19"/>
            <c:invertIfNegative val="0"/>
            <c:bubble3D val="0"/>
            <c:spPr>
              <a:solidFill>
                <a:schemeClr val="accent3">
                  <a:lumMod val="40000"/>
                  <a:lumOff val="60000"/>
                </a:schemeClr>
              </a:solidFill>
              <a:ln>
                <a:solidFill>
                  <a:schemeClr val="tx1">
                    <a:alpha val="79000"/>
                  </a:schemeClr>
                </a:solidFill>
              </a:ln>
            </c:spPr>
            <c:extLst>
              <c:ext xmlns:c16="http://schemas.microsoft.com/office/drawing/2014/chart" uri="{C3380CC4-5D6E-409C-BE32-E72D297353CC}">
                <c16:uniqueId val="{00000027-8FE8-4ADF-80DC-9EFEAC79DA87}"/>
              </c:ext>
            </c:extLst>
          </c:dPt>
          <c:dPt>
            <c:idx val="20"/>
            <c:invertIfNegative val="0"/>
            <c:bubble3D val="0"/>
            <c:spPr>
              <a:solidFill>
                <a:schemeClr val="accent3">
                  <a:lumMod val="40000"/>
                  <a:lumOff val="60000"/>
                </a:schemeClr>
              </a:solidFill>
              <a:ln>
                <a:solidFill>
                  <a:schemeClr val="tx1">
                    <a:alpha val="79000"/>
                  </a:schemeClr>
                </a:solidFill>
              </a:ln>
            </c:spPr>
            <c:extLst>
              <c:ext xmlns:c16="http://schemas.microsoft.com/office/drawing/2014/chart" uri="{C3380CC4-5D6E-409C-BE32-E72D297353CC}">
                <c16:uniqueId val="{00000029-8FE8-4ADF-80DC-9EFEAC79DA87}"/>
              </c:ext>
            </c:extLst>
          </c:dPt>
          <c:dPt>
            <c:idx val="21"/>
            <c:invertIfNegative val="0"/>
            <c:bubble3D val="0"/>
            <c:spPr>
              <a:solidFill>
                <a:schemeClr val="accent3">
                  <a:lumMod val="50000"/>
                </a:schemeClr>
              </a:solidFill>
              <a:ln>
                <a:solidFill>
                  <a:schemeClr val="tx1">
                    <a:alpha val="79000"/>
                  </a:schemeClr>
                </a:solidFill>
              </a:ln>
            </c:spPr>
            <c:extLst>
              <c:ext xmlns:c16="http://schemas.microsoft.com/office/drawing/2014/chart" uri="{C3380CC4-5D6E-409C-BE32-E72D297353CC}">
                <c16:uniqueId val="{0000002B-8FE8-4ADF-80DC-9EFEAC79DA87}"/>
              </c:ext>
            </c:extLst>
          </c:dPt>
          <c:dPt>
            <c:idx val="22"/>
            <c:invertIfNegative val="0"/>
            <c:bubble3D val="0"/>
            <c:spPr>
              <a:solidFill>
                <a:schemeClr val="tx1"/>
              </a:solidFill>
              <a:ln>
                <a:solidFill>
                  <a:schemeClr val="tx1">
                    <a:alpha val="79000"/>
                  </a:schemeClr>
                </a:solidFill>
              </a:ln>
            </c:spPr>
            <c:extLst>
              <c:ext xmlns:c16="http://schemas.microsoft.com/office/drawing/2014/chart" uri="{C3380CC4-5D6E-409C-BE32-E72D297353CC}">
                <c16:uniqueId val="{0000002D-8FE8-4ADF-80DC-9EFEAC79DA87}"/>
              </c:ext>
            </c:extLst>
          </c:dPt>
          <c:dPt>
            <c:idx val="23"/>
            <c:invertIfNegative val="0"/>
            <c:bubble3D val="0"/>
            <c:spPr>
              <a:solidFill>
                <a:schemeClr val="accent4">
                  <a:lumMod val="20000"/>
                  <a:lumOff val="80000"/>
                </a:schemeClr>
              </a:solidFill>
              <a:ln>
                <a:solidFill>
                  <a:schemeClr val="tx1">
                    <a:alpha val="79000"/>
                  </a:schemeClr>
                </a:solidFill>
              </a:ln>
            </c:spPr>
            <c:extLst>
              <c:ext xmlns:c16="http://schemas.microsoft.com/office/drawing/2014/chart" uri="{C3380CC4-5D6E-409C-BE32-E72D297353CC}">
                <c16:uniqueId val="{0000002F-8FE8-4ADF-80DC-9EFEAC79DA87}"/>
              </c:ext>
            </c:extLst>
          </c:dPt>
          <c:dPt>
            <c:idx val="24"/>
            <c:invertIfNegative val="0"/>
            <c:bubble3D val="0"/>
            <c:spPr>
              <a:solidFill>
                <a:schemeClr val="accent4">
                  <a:lumMod val="20000"/>
                  <a:lumOff val="80000"/>
                </a:schemeClr>
              </a:solidFill>
              <a:ln>
                <a:solidFill>
                  <a:schemeClr val="tx1">
                    <a:alpha val="79000"/>
                  </a:schemeClr>
                </a:solidFill>
              </a:ln>
            </c:spPr>
            <c:extLst>
              <c:ext xmlns:c16="http://schemas.microsoft.com/office/drawing/2014/chart" uri="{C3380CC4-5D6E-409C-BE32-E72D297353CC}">
                <c16:uniqueId val="{00000031-8FE8-4ADF-80DC-9EFEAC79DA87}"/>
              </c:ext>
            </c:extLst>
          </c:dPt>
          <c:dPt>
            <c:idx val="25"/>
            <c:invertIfNegative val="0"/>
            <c:bubble3D val="0"/>
            <c:spPr>
              <a:solidFill>
                <a:schemeClr val="accent4">
                  <a:lumMod val="60000"/>
                  <a:lumOff val="40000"/>
                </a:schemeClr>
              </a:solidFill>
              <a:ln>
                <a:solidFill>
                  <a:schemeClr val="tx1">
                    <a:alpha val="79000"/>
                  </a:schemeClr>
                </a:solidFill>
              </a:ln>
            </c:spPr>
            <c:extLst>
              <c:ext xmlns:c16="http://schemas.microsoft.com/office/drawing/2014/chart" uri="{C3380CC4-5D6E-409C-BE32-E72D297353CC}">
                <c16:uniqueId val="{00000033-8FE8-4ADF-80DC-9EFEAC79DA87}"/>
              </c:ext>
            </c:extLst>
          </c:dPt>
          <c:cat>
            <c:strRef>
              <c:f>Sheet1!$A$2:$A$23</c:f>
              <c:strCache>
                <c:ptCount val="22"/>
                <c:pt idx="0">
                  <c:v>No Disability</c:v>
                </c:pt>
                <c:pt idx="1">
                  <c:v>At Least One Disability</c:v>
                </c:pt>
                <c:pt idx="2">
                  <c:v>Not Transgender</c:v>
                </c:pt>
                <c:pt idx="3">
                  <c:v>Not Sure</c:v>
                </c:pt>
                <c:pt idx="4">
                  <c:v>Transgender</c:v>
                </c:pt>
                <c:pt idx="5">
                  <c:v>Straight/Heterosexual</c:v>
                </c:pt>
                <c:pt idx="6">
                  <c:v>Gay or Lesbian</c:v>
                </c:pt>
                <c:pt idx="7">
                  <c:v>Questioning/Not sure</c:v>
                </c:pt>
                <c:pt idx="8">
                  <c:v>Asexual</c:v>
                </c:pt>
                <c:pt idx="9">
                  <c:v>Bisexual/Pansexual</c:v>
                </c:pt>
                <c:pt idx="10">
                  <c:v>Queer</c:v>
                </c:pt>
                <c:pt idx="11">
                  <c:v>Asian, NHPI**, nH*</c:v>
                </c:pt>
                <c:pt idx="12">
                  <c:v>Black, nH*</c:v>
                </c:pt>
                <c:pt idx="13">
                  <c:v>Hispanic/Latino-a-e</c:v>
                </c:pt>
                <c:pt idx="14">
                  <c:v>White, nH*</c:v>
                </c:pt>
                <c:pt idx="15">
                  <c:v>Middle Eastern/North African, nH*</c:v>
                </c:pt>
                <c:pt idx="16">
                  <c:v>Multiracial</c:v>
                </c:pt>
                <c:pt idx="17">
                  <c:v>American Indian/Alaska Native, nH*</c:v>
                </c:pt>
                <c:pt idx="18">
                  <c:v>Female</c:v>
                </c:pt>
                <c:pt idx="19">
                  <c:v>Male</c:v>
                </c:pt>
                <c:pt idx="20">
                  <c:v>Nonbinary</c:v>
                </c:pt>
                <c:pt idx="21">
                  <c:v>Overall</c:v>
                </c:pt>
              </c:strCache>
            </c:strRef>
          </c:cat>
          <c:val>
            <c:numRef>
              <c:f>Sheet1!$B$2:$B$23</c:f>
              <c:numCache>
                <c:formatCode>General</c:formatCode>
                <c:ptCount val="22"/>
                <c:pt idx="0">
                  <c:v>7.8700000000000006E-2</c:v>
                </c:pt>
                <c:pt idx="1">
                  <c:v>0.29432000000000003</c:v>
                </c:pt>
                <c:pt idx="2">
                  <c:v>0.10625</c:v>
                </c:pt>
                <c:pt idx="3">
                  <c:v>0.30599999999999999</c:v>
                </c:pt>
                <c:pt idx="4">
                  <c:v>0.46467000000000003</c:v>
                </c:pt>
                <c:pt idx="5">
                  <c:v>8.4650000000000003E-2</c:v>
                </c:pt>
                <c:pt idx="6">
                  <c:v>0.22917999999999999</c:v>
                </c:pt>
                <c:pt idx="7">
                  <c:v>0.24057000000000001</c:v>
                </c:pt>
                <c:pt idx="8">
                  <c:v>0.25226999999999999</c:v>
                </c:pt>
                <c:pt idx="9">
                  <c:v>0.26594000000000001</c:v>
                </c:pt>
                <c:pt idx="10">
                  <c:v>0.48243999999999998</c:v>
                </c:pt>
                <c:pt idx="11">
                  <c:v>0.10255</c:v>
                </c:pt>
                <c:pt idx="12">
                  <c:v>0.10435</c:v>
                </c:pt>
                <c:pt idx="13">
                  <c:v>0.11285000000000001</c:v>
                </c:pt>
                <c:pt idx="14">
                  <c:v>0.14827000000000001</c:v>
                </c:pt>
                <c:pt idx="15">
                  <c:v>0.14954000000000001</c:v>
                </c:pt>
                <c:pt idx="16">
                  <c:v>0.21365000000000001</c:v>
                </c:pt>
                <c:pt idx="17">
                  <c:v>0.25891999999999998</c:v>
                </c:pt>
                <c:pt idx="18">
                  <c:v>0.10886999999999999</c:v>
                </c:pt>
                <c:pt idx="19">
                  <c:v>0.13668</c:v>
                </c:pt>
                <c:pt idx="20">
                  <c:v>0.43393999999999999</c:v>
                </c:pt>
                <c:pt idx="21">
                  <c:v>0.14047999999999999</c:v>
                </c:pt>
              </c:numCache>
            </c:numRef>
          </c:val>
          <c:extLst>
            <c:ext xmlns:c16="http://schemas.microsoft.com/office/drawing/2014/chart" uri="{C3380CC4-5D6E-409C-BE32-E72D297353CC}">
              <c16:uniqueId val="{00000034-8FE8-4ADF-80DC-9EFEAC79DA87}"/>
            </c:ext>
          </c:extLst>
        </c:ser>
        <c:dLbls>
          <c:showLegendKey val="0"/>
          <c:showVal val="0"/>
          <c:showCatName val="0"/>
          <c:showSerName val="0"/>
          <c:showPercent val="0"/>
          <c:showBubbleSize val="0"/>
        </c:dLbls>
        <c:gapWidth val="150"/>
        <c:axId val="270053792"/>
        <c:axId val="270053008"/>
      </c:barChart>
      <c:catAx>
        <c:axId val="270053792"/>
        <c:scaling>
          <c:orientation val="minMax"/>
        </c:scaling>
        <c:delete val="0"/>
        <c:axPos val="l"/>
        <c:numFmt formatCode="General" sourceLinked="0"/>
        <c:majorTickMark val="out"/>
        <c:minorTickMark val="none"/>
        <c:tickLblPos val="nextTo"/>
        <c:crossAx val="270053008"/>
        <c:crosses val="autoZero"/>
        <c:auto val="1"/>
        <c:lblAlgn val="ctr"/>
        <c:lblOffset val="100"/>
        <c:noMultiLvlLbl val="0"/>
      </c:catAx>
      <c:valAx>
        <c:axId val="270053008"/>
        <c:scaling>
          <c:orientation val="minMax"/>
        </c:scaling>
        <c:delete val="0"/>
        <c:axPos val="b"/>
        <c:majorGridlines>
          <c:spPr>
            <a:ln>
              <a:noFill/>
            </a:ln>
          </c:spPr>
        </c:majorGridlines>
        <c:numFmt formatCode="0%" sourceLinked="0"/>
        <c:majorTickMark val="out"/>
        <c:minorTickMark val="none"/>
        <c:tickLblPos val="nextTo"/>
        <c:crossAx val="270053792"/>
        <c:crosses val="autoZero"/>
        <c:crossBetween val="between"/>
      </c:valAx>
    </c:plotArea>
    <c:plotVisOnly val="1"/>
    <c:dispBlanksAs val="gap"/>
    <c:showDLblsOverMax val="0"/>
  </c:chart>
  <c:spPr>
    <a:ln>
      <a:solidFill>
        <a:schemeClr val="tx1"/>
      </a:solidFill>
    </a:ln>
  </c:spPr>
  <c:txPr>
    <a:bodyPr/>
    <a:lstStyle/>
    <a:p>
      <a:pPr>
        <a:defRPr>
          <a:latin typeface="Avenir Next LT Pro" panose="020B0504020202020204" pitchFamily="34"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pPr>
            <a:r>
              <a:rPr lang="en-US" sz="1200"/>
              <a:t>Figure 2. Annual Suicide Rates by Sex,</a:t>
            </a:r>
            <a:r>
              <a:rPr lang="en-US" sz="1200" baseline="0"/>
              <a:t> </a:t>
            </a:r>
            <a:r>
              <a:rPr lang="en-US" sz="1200"/>
              <a:t>MA 2013-2023</a:t>
            </a:r>
          </a:p>
        </c:rich>
      </c:tx>
      <c:layout>
        <c:manualLayout>
          <c:xMode val="edge"/>
          <c:yMode val="edge"/>
          <c:x val="0.20137079836327584"/>
          <c:y val="1.8845939712081445E-3"/>
        </c:manualLayout>
      </c:layout>
      <c:overlay val="1"/>
    </c:title>
    <c:autoTitleDeleted val="0"/>
    <c:plotArea>
      <c:layout>
        <c:manualLayout>
          <c:layoutTarget val="inner"/>
          <c:xMode val="edge"/>
          <c:yMode val="edge"/>
          <c:x val="0.15252590766579707"/>
          <c:y val="9.6149117124331621E-2"/>
          <c:w val="0.81655899515738228"/>
          <c:h val="0.59730897154286511"/>
        </c:manualLayout>
      </c:layout>
      <c:lineChart>
        <c:grouping val="standard"/>
        <c:varyColors val="0"/>
        <c:ser>
          <c:idx val="0"/>
          <c:order val="0"/>
          <c:tx>
            <c:strRef>
              <c:f>Sheet1!$B$1</c:f>
              <c:strCache>
                <c:ptCount val="1"/>
                <c:pt idx="0">
                  <c:v>Total</c:v>
                </c:pt>
              </c:strCache>
            </c:strRef>
          </c:tx>
          <c:spPr>
            <a:ln>
              <a:solidFill>
                <a:schemeClr val="accent5">
                  <a:lumMod val="90000"/>
                  <a:lumOff val="10000"/>
                </a:schemeClr>
              </a:solidFill>
            </a:ln>
          </c:spPr>
          <c:marker>
            <c:symbol val="circle"/>
            <c:size val="5"/>
            <c:spPr>
              <a:solidFill>
                <a:schemeClr val="accent5">
                  <a:lumMod val="90000"/>
                  <a:lumOff val="10000"/>
                </a:schemeClr>
              </a:solidFill>
              <a:ln>
                <a:solidFill>
                  <a:schemeClr val="accent5">
                    <a:lumMod val="90000"/>
                    <a:lumOff val="10000"/>
                  </a:schemeClr>
                </a:solidFill>
              </a:ln>
            </c:spPr>
          </c:marker>
          <c:dLbls>
            <c:dLbl>
              <c:idx val="1"/>
              <c:delete val="1"/>
              <c:extLst>
                <c:ext xmlns:c15="http://schemas.microsoft.com/office/drawing/2012/chart" uri="{CE6537A1-D6FC-4f65-9D91-7224C49458BB}"/>
                <c:ext xmlns:c16="http://schemas.microsoft.com/office/drawing/2014/chart" uri="{C3380CC4-5D6E-409C-BE32-E72D297353CC}">
                  <c16:uniqueId val="{00000000-C58D-4958-8A65-7245EAA81607}"/>
                </c:ext>
              </c:extLst>
            </c:dLbl>
            <c:dLbl>
              <c:idx val="2"/>
              <c:delete val="1"/>
              <c:extLst>
                <c:ext xmlns:c15="http://schemas.microsoft.com/office/drawing/2012/chart" uri="{CE6537A1-D6FC-4f65-9D91-7224C49458BB}"/>
                <c:ext xmlns:c16="http://schemas.microsoft.com/office/drawing/2014/chart" uri="{C3380CC4-5D6E-409C-BE32-E72D297353CC}">
                  <c16:uniqueId val="{00000001-C58D-4958-8A65-7245EAA81607}"/>
                </c:ext>
              </c:extLst>
            </c:dLbl>
            <c:dLbl>
              <c:idx val="3"/>
              <c:delete val="1"/>
              <c:extLst>
                <c:ext xmlns:c15="http://schemas.microsoft.com/office/drawing/2012/chart" uri="{CE6537A1-D6FC-4f65-9D91-7224C49458BB}"/>
                <c:ext xmlns:c16="http://schemas.microsoft.com/office/drawing/2014/chart" uri="{C3380CC4-5D6E-409C-BE32-E72D297353CC}">
                  <c16:uniqueId val="{00000002-C58D-4958-8A65-7245EAA81607}"/>
                </c:ext>
              </c:extLst>
            </c:dLbl>
            <c:dLbl>
              <c:idx val="4"/>
              <c:delete val="1"/>
              <c:extLst>
                <c:ext xmlns:c15="http://schemas.microsoft.com/office/drawing/2012/chart" uri="{CE6537A1-D6FC-4f65-9D91-7224C49458BB}"/>
                <c:ext xmlns:c16="http://schemas.microsoft.com/office/drawing/2014/chart" uri="{C3380CC4-5D6E-409C-BE32-E72D297353CC}">
                  <c16:uniqueId val="{00000003-C58D-4958-8A65-7245EAA81607}"/>
                </c:ext>
              </c:extLst>
            </c:dLbl>
            <c:dLbl>
              <c:idx val="5"/>
              <c:delete val="1"/>
              <c:extLst>
                <c:ext xmlns:c15="http://schemas.microsoft.com/office/drawing/2012/chart" uri="{CE6537A1-D6FC-4f65-9D91-7224C49458BB}"/>
                <c:ext xmlns:c16="http://schemas.microsoft.com/office/drawing/2014/chart" uri="{C3380CC4-5D6E-409C-BE32-E72D297353CC}">
                  <c16:uniqueId val="{00000004-C58D-4958-8A65-7245EAA81607}"/>
                </c:ext>
              </c:extLst>
            </c:dLbl>
            <c:dLbl>
              <c:idx val="6"/>
              <c:delete val="1"/>
              <c:extLst>
                <c:ext xmlns:c15="http://schemas.microsoft.com/office/drawing/2012/chart" uri="{CE6537A1-D6FC-4f65-9D91-7224C49458BB}"/>
                <c:ext xmlns:c16="http://schemas.microsoft.com/office/drawing/2014/chart" uri="{C3380CC4-5D6E-409C-BE32-E72D297353CC}">
                  <c16:uniqueId val="{00000005-C58D-4958-8A65-7245EAA81607}"/>
                </c:ext>
              </c:extLst>
            </c:dLbl>
            <c:dLbl>
              <c:idx val="7"/>
              <c:delete val="1"/>
              <c:extLst>
                <c:ext xmlns:c15="http://schemas.microsoft.com/office/drawing/2012/chart" uri="{CE6537A1-D6FC-4f65-9D91-7224C49458BB}"/>
                <c:ext xmlns:c16="http://schemas.microsoft.com/office/drawing/2014/chart" uri="{C3380CC4-5D6E-409C-BE32-E72D297353CC}">
                  <c16:uniqueId val="{00000006-C58D-4958-8A65-7245EAA81607}"/>
                </c:ext>
              </c:extLst>
            </c:dLbl>
            <c:dLbl>
              <c:idx val="8"/>
              <c:delete val="1"/>
              <c:extLst>
                <c:ext xmlns:c15="http://schemas.microsoft.com/office/drawing/2012/chart" uri="{CE6537A1-D6FC-4f65-9D91-7224C49458BB}"/>
                <c:ext xmlns:c16="http://schemas.microsoft.com/office/drawing/2014/chart" uri="{C3380CC4-5D6E-409C-BE32-E72D297353CC}">
                  <c16:uniqueId val="{00000007-C58D-4958-8A65-7245EAA81607}"/>
                </c:ext>
              </c:extLst>
            </c:dLbl>
            <c:dLbl>
              <c:idx val="9"/>
              <c:delete val="1"/>
              <c:extLst>
                <c:ext xmlns:c15="http://schemas.microsoft.com/office/drawing/2012/chart" uri="{CE6537A1-D6FC-4f65-9D91-7224C49458BB}"/>
                <c:ext xmlns:c16="http://schemas.microsoft.com/office/drawing/2014/chart" uri="{C3380CC4-5D6E-409C-BE32-E72D297353CC}">
                  <c16:uniqueId val="{00000008-C58D-4958-8A65-7245EAA81607}"/>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Sheet1!$B$2:$B$12</c:f>
              <c:numCache>
                <c:formatCode>General</c:formatCode>
                <c:ptCount val="11"/>
                <c:pt idx="0">
                  <c:v>8.6999999999999993</c:v>
                </c:pt>
                <c:pt idx="1">
                  <c:v>9</c:v>
                </c:pt>
                <c:pt idx="2">
                  <c:v>9.1999999999999993</c:v>
                </c:pt>
                <c:pt idx="3">
                  <c:v>9.3000000000000007</c:v>
                </c:pt>
                <c:pt idx="4">
                  <c:v>9.9</c:v>
                </c:pt>
                <c:pt idx="5">
                  <c:v>10.4</c:v>
                </c:pt>
                <c:pt idx="6">
                  <c:v>9.1999999999999993</c:v>
                </c:pt>
                <c:pt idx="7">
                  <c:v>8.6999999999999993</c:v>
                </c:pt>
                <c:pt idx="8">
                  <c:v>8.5</c:v>
                </c:pt>
                <c:pt idx="9">
                  <c:v>9</c:v>
                </c:pt>
                <c:pt idx="10">
                  <c:v>9.1999999999999993</c:v>
                </c:pt>
              </c:numCache>
            </c:numRef>
          </c:val>
          <c:smooth val="0"/>
          <c:extLst>
            <c:ext xmlns:c16="http://schemas.microsoft.com/office/drawing/2014/chart" uri="{C3380CC4-5D6E-409C-BE32-E72D297353CC}">
              <c16:uniqueId val="{00000009-C58D-4958-8A65-7245EAA81607}"/>
            </c:ext>
          </c:extLst>
        </c:ser>
        <c:ser>
          <c:idx val="1"/>
          <c:order val="1"/>
          <c:tx>
            <c:strRef>
              <c:f>Sheet1!$C$1</c:f>
              <c:strCache>
                <c:ptCount val="1"/>
                <c:pt idx="0">
                  <c:v>Male</c:v>
                </c:pt>
              </c:strCache>
            </c:strRef>
          </c:tx>
          <c:spPr>
            <a:ln>
              <a:solidFill>
                <a:schemeClr val="accent4">
                  <a:lumMod val="50000"/>
                </a:schemeClr>
              </a:solidFill>
            </a:ln>
          </c:spPr>
          <c:marker>
            <c:symbol val="circle"/>
            <c:size val="5"/>
            <c:spPr>
              <a:solidFill>
                <a:schemeClr val="accent4">
                  <a:lumMod val="50000"/>
                </a:schemeClr>
              </a:solidFill>
              <a:ln>
                <a:solidFill>
                  <a:schemeClr val="accent4">
                    <a:lumMod val="50000"/>
                  </a:schemeClr>
                </a:solidFill>
              </a:ln>
            </c:spPr>
          </c:marker>
          <c:dLbls>
            <c:dLbl>
              <c:idx val="1"/>
              <c:delete val="1"/>
              <c:extLst>
                <c:ext xmlns:c15="http://schemas.microsoft.com/office/drawing/2012/chart" uri="{CE6537A1-D6FC-4f65-9D91-7224C49458BB}"/>
                <c:ext xmlns:c16="http://schemas.microsoft.com/office/drawing/2014/chart" uri="{C3380CC4-5D6E-409C-BE32-E72D297353CC}">
                  <c16:uniqueId val="{0000000A-C58D-4958-8A65-7245EAA81607}"/>
                </c:ext>
              </c:extLst>
            </c:dLbl>
            <c:dLbl>
              <c:idx val="2"/>
              <c:delete val="1"/>
              <c:extLst>
                <c:ext xmlns:c15="http://schemas.microsoft.com/office/drawing/2012/chart" uri="{CE6537A1-D6FC-4f65-9D91-7224C49458BB}"/>
                <c:ext xmlns:c16="http://schemas.microsoft.com/office/drawing/2014/chart" uri="{C3380CC4-5D6E-409C-BE32-E72D297353CC}">
                  <c16:uniqueId val="{0000000B-C58D-4958-8A65-7245EAA81607}"/>
                </c:ext>
              </c:extLst>
            </c:dLbl>
            <c:dLbl>
              <c:idx val="3"/>
              <c:delete val="1"/>
              <c:extLst>
                <c:ext xmlns:c15="http://schemas.microsoft.com/office/drawing/2012/chart" uri="{CE6537A1-D6FC-4f65-9D91-7224C49458BB}"/>
                <c:ext xmlns:c16="http://schemas.microsoft.com/office/drawing/2014/chart" uri="{C3380CC4-5D6E-409C-BE32-E72D297353CC}">
                  <c16:uniqueId val="{0000000C-C58D-4958-8A65-7245EAA81607}"/>
                </c:ext>
              </c:extLst>
            </c:dLbl>
            <c:dLbl>
              <c:idx val="4"/>
              <c:delete val="1"/>
              <c:extLst>
                <c:ext xmlns:c15="http://schemas.microsoft.com/office/drawing/2012/chart" uri="{CE6537A1-D6FC-4f65-9D91-7224C49458BB}"/>
                <c:ext xmlns:c16="http://schemas.microsoft.com/office/drawing/2014/chart" uri="{C3380CC4-5D6E-409C-BE32-E72D297353CC}">
                  <c16:uniqueId val="{0000000D-C58D-4958-8A65-7245EAA81607}"/>
                </c:ext>
              </c:extLst>
            </c:dLbl>
            <c:dLbl>
              <c:idx val="5"/>
              <c:delete val="1"/>
              <c:extLst>
                <c:ext xmlns:c15="http://schemas.microsoft.com/office/drawing/2012/chart" uri="{CE6537A1-D6FC-4f65-9D91-7224C49458BB}"/>
                <c:ext xmlns:c16="http://schemas.microsoft.com/office/drawing/2014/chart" uri="{C3380CC4-5D6E-409C-BE32-E72D297353CC}">
                  <c16:uniqueId val="{0000000E-C58D-4958-8A65-7245EAA81607}"/>
                </c:ext>
              </c:extLst>
            </c:dLbl>
            <c:dLbl>
              <c:idx val="6"/>
              <c:delete val="1"/>
              <c:extLst>
                <c:ext xmlns:c15="http://schemas.microsoft.com/office/drawing/2012/chart" uri="{CE6537A1-D6FC-4f65-9D91-7224C49458BB}"/>
                <c:ext xmlns:c16="http://schemas.microsoft.com/office/drawing/2014/chart" uri="{C3380CC4-5D6E-409C-BE32-E72D297353CC}">
                  <c16:uniqueId val="{0000000F-C58D-4958-8A65-7245EAA81607}"/>
                </c:ext>
              </c:extLst>
            </c:dLbl>
            <c:dLbl>
              <c:idx val="7"/>
              <c:delete val="1"/>
              <c:extLst>
                <c:ext xmlns:c15="http://schemas.microsoft.com/office/drawing/2012/chart" uri="{CE6537A1-D6FC-4f65-9D91-7224C49458BB}"/>
                <c:ext xmlns:c16="http://schemas.microsoft.com/office/drawing/2014/chart" uri="{C3380CC4-5D6E-409C-BE32-E72D297353CC}">
                  <c16:uniqueId val="{00000010-C58D-4958-8A65-7245EAA81607}"/>
                </c:ext>
              </c:extLst>
            </c:dLbl>
            <c:dLbl>
              <c:idx val="8"/>
              <c:delete val="1"/>
              <c:extLst>
                <c:ext xmlns:c15="http://schemas.microsoft.com/office/drawing/2012/chart" uri="{CE6537A1-D6FC-4f65-9D91-7224C49458BB}"/>
                <c:ext xmlns:c16="http://schemas.microsoft.com/office/drawing/2014/chart" uri="{C3380CC4-5D6E-409C-BE32-E72D297353CC}">
                  <c16:uniqueId val="{00000011-C58D-4958-8A65-7245EAA81607}"/>
                </c:ext>
              </c:extLst>
            </c:dLbl>
            <c:dLbl>
              <c:idx val="9"/>
              <c:delete val="1"/>
              <c:extLst>
                <c:ext xmlns:c15="http://schemas.microsoft.com/office/drawing/2012/chart" uri="{CE6537A1-D6FC-4f65-9D91-7224C49458BB}"/>
                <c:ext xmlns:c16="http://schemas.microsoft.com/office/drawing/2014/chart" uri="{C3380CC4-5D6E-409C-BE32-E72D297353CC}">
                  <c16:uniqueId val="{00000012-C58D-4958-8A65-7245EAA81607}"/>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Sheet1!$C$2:$C$12</c:f>
              <c:numCache>
                <c:formatCode>General</c:formatCode>
                <c:ptCount val="11"/>
                <c:pt idx="0">
                  <c:v>13.1</c:v>
                </c:pt>
                <c:pt idx="1">
                  <c:v>14.2</c:v>
                </c:pt>
                <c:pt idx="2">
                  <c:v>14.1</c:v>
                </c:pt>
                <c:pt idx="3">
                  <c:v>14.7</c:v>
                </c:pt>
                <c:pt idx="4">
                  <c:v>15.9</c:v>
                </c:pt>
                <c:pt idx="5">
                  <c:v>16.3</c:v>
                </c:pt>
                <c:pt idx="6">
                  <c:v>14.4</c:v>
                </c:pt>
                <c:pt idx="7">
                  <c:v>13.8</c:v>
                </c:pt>
                <c:pt idx="8">
                  <c:v>13.3</c:v>
                </c:pt>
                <c:pt idx="9">
                  <c:v>14.2</c:v>
                </c:pt>
                <c:pt idx="10">
                  <c:v>14.4</c:v>
                </c:pt>
              </c:numCache>
            </c:numRef>
          </c:val>
          <c:smooth val="0"/>
          <c:extLst>
            <c:ext xmlns:c16="http://schemas.microsoft.com/office/drawing/2014/chart" uri="{C3380CC4-5D6E-409C-BE32-E72D297353CC}">
              <c16:uniqueId val="{00000013-C58D-4958-8A65-7245EAA81607}"/>
            </c:ext>
          </c:extLst>
        </c:ser>
        <c:ser>
          <c:idx val="2"/>
          <c:order val="2"/>
          <c:tx>
            <c:strRef>
              <c:f>Sheet1!$D$1</c:f>
              <c:strCache>
                <c:ptCount val="1"/>
                <c:pt idx="0">
                  <c:v>Female</c:v>
                </c:pt>
              </c:strCache>
            </c:strRef>
          </c:tx>
          <c:spPr>
            <a:ln>
              <a:solidFill>
                <a:schemeClr val="accent3">
                  <a:lumMod val="50000"/>
                </a:schemeClr>
              </a:solidFill>
            </a:ln>
          </c:spPr>
          <c:marker>
            <c:symbol val="circle"/>
            <c:size val="5"/>
            <c:spPr>
              <a:solidFill>
                <a:schemeClr val="accent3">
                  <a:lumMod val="50000"/>
                </a:schemeClr>
              </a:solidFill>
              <a:ln>
                <a:solidFill>
                  <a:schemeClr val="accent3">
                    <a:lumMod val="50000"/>
                  </a:schemeClr>
                </a:solidFill>
              </a:ln>
            </c:spPr>
          </c:marker>
          <c:dLbls>
            <c:dLbl>
              <c:idx val="1"/>
              <c:delete val="1"/>
              <c:extLst>
                <c:ext xmlns:c15="http://schemas.microsoft.com/office/drawing/2012/chart" uri="{CE6537A1-D6FC-4f65-9D91-7224C49458BB}"/>
                <c:ext xmlns:c16="http://schemas.microsoft.com/office/drawing/2014/chart" uri="{C3380CC4-5D6E-409C-BE32-E72D297353CC}">
                  <c16:uniqueId val="{00000014-C58D-4958-8A65-7245EAA81607}"/>
                </c:ext>
              </c:extLst>
            </c:dLbl>
            <c:dLbl>
              <c:idx val="2"/>
              <c:delete val="1"/>
              <c:extLst>
                <c:ext xmlns:c15="http://schemas.microsoft.com/office/drawing/2012/chart" uri="{CE6537A1-D6FC-4f65-9D91-7224C49458BB}"/>
                <c:ext xmlns:c16="http://schemas.microsoft.com/office/drawing/2014/chart" uri="{C3380CC4-5D6E-409C-BE32-E72D297353CC}">
                  <c16:uniqueId val="{00000015-C58D-4958-8A65-7245EAA81607}"/>
                </c:ext>
              </c:extLst>
            </c:dLbl>
            <c:dLbl>
              <c:idx val="3"/>
              <c:delete val="1"/>
              <c:extLst>
                <c:ext xmlns:c15="http://schemas.microsoft.com/office/drawing/2012/chart" uri="{CE6537A1-D6FC-4f65-9D91-7224C49458BB}"/>
                <c:ext xmlns:c16="http://schemas.microsoft.com/office/drawing/2014/chart" uri="{C3380CC4-5D6E-409C-BE32-E72D297353CC}">
                  <c16:uniqueId val="{00000016-C58D-4958-8A65-7245EAA81607}"/>
                </c:ext>
              </c:extLst>
            </c:dLbl>
            <c:dLbl>
              <c:idx val="4"/>
              <c:delete val="1"/>
              <c:extLst>
                <c:ext xmlns:c15="http://schemas.microsoft.com/office/drawing/2012/chart" uri="{CE6537A1-D6FC-4f65-9D91-7224C49458BB}"/>
                <c:ext xmlns:c16="http://schemas.microsoft.com/office/drawing/2014/chart" uri="{C3380CC4-5D6E-409C-BE32-E72D297353CC}">
                  <c16:uniqueId val="{00000017-C58D-4958-8A65-7245EAA81607}"/>
                </c:ext>
              </c:extLst>
            </c:dLbl>
            <c:dLbl>
              <c:idx val="5"/>
              <c:delete val="1"/>
              <c:extLst>
                <c:ext xmlns:c15="http://schemas.microsoft.com/office/drawing/2012/chart" uri="{CE6537A1-D6FC-4f65-9D91-7224C49458BB}"/>
                <c:ext xmlns:c16="http://schemas.microsoft.com/office/drawing/2014/chart" uri="{C3380CC4-5D6E-409C-BE32-E72D297353CC}">
                  <c16:uniqueId val="{00000018-C58D-4958-8A65-7245EAA81607}"/>
                </c:ext>
              </c:extLst>
            </c:dLbl>
            <c:dLbl>
              <c:idx val="6"/>
              <c:delete val="1"/>
              <c:extLst>
                <c:ext xmlns:c15="http://schemas.microsoft.com/office/drawing/2012/chart" uri="{CE6537A1-D6FC-4f65-9D91-7224C49458BB}"/>
                <c:ext xmlns:c16="http://schemas.microsoft.com/office/drawing/2014/chart" uri="{C3380CC4-5D6E-409C-BE32-E72D297353CC}">
                  <c16:uniqueId val="{00000019-C58D-4958-8A65-7245EAA81607}"/>
                </c:ext>
              </c:extLst>
            </c:dLbl>
            <c:dLbl>
              <c:idx val="7"/>
              <c:delete val="1"/>
              <c:extLst>
                <c:ext xmlns:c15="http://schemas.microsoft.com/office/drawing/2012/chart" uri="{CE6537A1-D6FC-4f65-9D91-7224C49458BB}"/>
                <c:ext xmlns:c16="http://schemas.microsoft.com/office/drawing/2014/chart" uri="{C3380CC4-5D6E-409C-BE32-E72D297353CC}">
                  <c16:uniqueId val="{0000001A-C58D-4958-8A65-7245EAA81607}"/>
                </c:ext>
              </c:extLst>
            </c:dLbl>
            <c:dLbl>
              <c:idx val="8"/>
              <c:delete val="1"/>
              <c:extLst>
                <c:ext xmlns:c15="http://schemas.microsoft.com/office/drawing/2012/chart" uri="{CE6537A1-D6FC-4f65-9D91-7224C49458BB}"/>
                <c:ext xmlns:c16="http://schemas.microsoft.com/office/drawing/2014/chart" uri="{C3380CC4-5D6E-409C-BE32-E72D297353CC}">
                  <c16:uniqueId val="{0000001B-C58D-4958-8A65-7245EAA81607}"/>
                </c:ext>
              </c:extLst>
            </c:dLbl>
            <c:dLbl>
              <c:idx val="9"/>
              <c:delete val="1"/>
              <c:extLst>
                <c:ext xmlns:c15="http://schemas.microsoft.com/office/drawing/2012/chart" uri="{CE6537A1-D6FC-4f65-9D91-7224C49458BB}"/>
                <c:ext xmlns:c16="http://schemas.microsoft.com/office/drawing/2014/chart" uri="{C3380CC4-5D6E-409C-BE32-E72D297353CC}">
                  <c16:uniqueId val="{0000001C-C58D-4958-8A65-7245EAA81607}"/>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Sheet1!$D$2:$D$12</c:f>
              <c:numCache>
                <c:formatCode>General</c:formatCode>
                <c:ptCount val="11"/>
                <c:pt idx="0">
                  <c:v>4.5</c:v>
                </c:pt>
                <c:pt idx="1">
                  <c:v>4</c:v>
                </c:pt>
                <c:pt idx="2">
                  <c:v>4.7</c:v>
                </c:pt>
                <c:pt idx="3">
                  <c:v>4.2</c:v>
                </c:pt>
                <c:pt idx="4">
                  <c:v>4.3</c:v>
                </c:pt>
                <c:pt idx="5">
                  <c:v>4.9000000000000004</c:v>
                </c:pt>
                <c:pt idx="6">
                  <c:v>4.3</c:v>
                </c:pt>
                <c:pt idx="7">
                  <c:v>4</c:v>
                </c:pt>
                <c:pt idx="8">
                  <c:v>4</c:v>
                </c:pt>
                <c:pt idx="9">
                  <c:v>4</c:v>
                </c:pt>
                <c:pt idx="10">
                  <c:v>4.4000000000000004</c:v>
                </c:pt>
              </c:numCache>
            </c:numRef>
          </c:val>
          <c:smooth val="0"/>
          <c:extLst>
            <c:ext xmlns:c16="http://schemas.microsoft.com/office/drawing/2014/chart" uri="{C3380CC4-5D6E-409C-BE32-E72D297353CC}">
              <c16:uniqueId val="{0000001D-C58D-4958-8A65-7245EAA81607}"/>
            </c:ext>
          </c:extLst>
        </c:ser>
        <c:dLbls>
          <c:dLblPos val="t"/>
          <c:showLegendKey val="0"/>
          <c:showVal val="1"/>
          <c:showCatName val="0"/>
          <c:showSerName val="0"/>
          <c:showPercent val="0"/>
          <c:showBubbleSize val="0"/>
        </c:dLbls>
        <c:marker val="1"/>
        <c:smooth val="0"/>
        <c:axId val="266826128"/>
        <c:axId val="266822992"/>
      </c:lineChart>
      <c:catAx>
        <c:axId val="266826128"/>
        <c:scaling>
          <c:orientation val="minMax"/>
        </c:scaling>
        <c:delete val="0"/>
        <c:axPos val="b"/>
        <c:title>
          <c:tx>
            <c:rich>
              <a:bodyPr/>
              <a:lstStyle/>
              <a:p>
                <a:pPr>
                  <a:defRPr/>
                </a:pPr>
                <a:r>
                  <a:rPr lang="en-US"/>
                  <a:t>Incident Year</a:t>
                </a:r>
              </a:p>
            </c:rich>
          </c:tx>
          <c:overlay val="0"/>
        </c:title>
        <c:numFmt formatCode="General" sourceLinked="1"/>
        <c:majorTickMark val="out"/>
        <c:minorTickMark val="none"/>
        <c:tickLblPos val="nextTo"/>
        <c:txPr>
          <a:bodyPr rot="0" vert="horz"/>
          <a:lstStyle/>
          <a:p>
            <a:pPr>
              <a:defRPr/>
            </a:pPr>
            <a:endParaRPr lang="en-US"/>
          </a:p>
        </c:txPr>
        <c:crossAx val="266822992"/>
        <c:crosses val="autoZero"/>
        <c:auto val="1"/>
        <c:lblAlgn val="ctr"/>
        <c:lblOffset val="25"/>
        <c:noMultiLvlLbl val="0"/>
      </c:catAx>
      <c:valAx>
        <c:axId val="266822992"/>
        <c:scaling>
          <c:orientation val="minMax"/>
          <c:max val="18.5"/>
          <c:min val="0"/>
        </c:scaling>
        <c:delete val="0"/>
        <c:axPos val="l"/>
        <c:majorGridlines>
          <c:spPr>
            <a:ln>
              <a:noFill/>
            </a:ln>
          </c:spPr>
        </c:majorGridlines>
        <c:title>
          <c:tx>
            <c:rich>
              <a:bodyPr rot="-5400000" vert="horz"/>
              <a:lstStyle/>
              <a:p>
                <a:pPr>
                  <a:defRPr/>
                </a:pPr>
                <a:r>
                  <a:rPr lang="en-US"/>
                  <a:t>Rate Per 100,000 Persons</a:t>
                </a:r>
              </a:p>
            </c:rich>
          </c:tx>
          <c:overlay val="0"/>
        </c:title>
        <c:numFmt formatCode="General" sourceLinked="0"/>
        <c:majorTickMark val="out"/>
        <c:minorTickMark val="none"/>
        <c:tickLblPos val="nextTo"/>
        <c:crossAx val="266826128"/>
        <c:crosses val="autoZero"/>
        <c:crossBetween val="between"/>
      </c:valAx>
    </c:plotArea>
    <c:legend>
      <c:legendPos val="b"/>
      <c:layout>
        <c:manualLayout>
          <c:xMode val="edge"/>
          <c:yMode val="edge"/>
          <c:x val="0.23954646626618481"/>
          <c:y val="0.88926402789241177"/>
          <c:w val="0.52090706746763038"/>
          <c:h val="8.6749404585400675E-2"/>
        </c:manualLayout>
      </c:layout>
      <c:overlay val="0"/>
    </c:legend>
    <c:plotVisOnly val="1"/>
    <c:dispBlanksAs val="gap"/>
    <c:showDLblsOverMax val="0"/>
  </c:chart>
  <c:spPr>
    <a:ln>
      <a:solidFill>
        <a:schemeClr val="tx1"/>
      </a:solidFill>
    </a:ln>
  </c:spPr>
  <c:txPr>
    <a:bodyPr/>
    <a:lstStyle/>
    <a:p>
      <a:pPr>
        <a:defRPr sz="1000">
          <a:latin typeface="Avenir Next LT Pro" panose="020B05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Avenir Next LT Pro" panose="020B0504020202020204" pitchFamily="34" charset="0"/>
                <a:ea typeface="+mn-ea"/>
                <a:cs typeface="+mn-cs"/>
              </a:defRPr>
            </a:pPr>
            <a:r>
              <a:rPr lang="en-US" sz="1200"/>
              <a:t>Figure 3A. Suicides by age group, MA 2023 (N=647)</a:t>
            </a:r>
          </a:p>
        </c:rich>
      </c:tx>
      <c:layout>
        <c:manualLayout>
          <c:xMode val="edge"/>
          <c:yMode val="edge"/>
          <c:x val="0.19678589763056478"/>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venir Next LT Pro" panose="020B0504020202020204" pitchFamily="34" charset="0"/>
              <a:ea typeface="+mn-ea"/>
              <a:cs typeface="+mn-cs"/>
            </a:defRPr>
          </a:pPr>
          <a:endParaRPr lang="en-US"/>
        </a:p>
      </c:txPr>
    </c:title>
    <c:autoTitleDeleted val="0"/>
    <c:plotArea>
      <c:layout>
        <c:manualLayout>
          <c:layoutTarget val="inner"/>
          <c:xMode val="edge"/>
          <c:yMode val="edge"/>
          <c:x val="0.18565798505955985"/>
          <c:y val="0.35762431994851218"/>
          <c:w val="0.76989757049599572"/>
          <c:h val="0.32924769461288605"/>
        </c:manualLayout>
      </c:layout>
      <c:barChart>
        <c:barDir val="col"/>
        <c:grouping val="clustered"/>
        <c:varyColors val="0"/>
        <c:ser>
          <c:idx val="0"/>
          <c:order val="0"/>
          <c:tx>
            <c:strRef>
              <c:f>Sheet1!$B$1</c:f>
              <c:strCache>
                <c:ptCount val="1"/>
                <c:pt idx="0">
                  <c:v>Age Group</c:v>
                </c:pt>
              </c:strCache>
            </c:strRef>
          </c:tx>
          <c:spPr>
            <a:solidFill>
              <a:schemeClr val="accent2"/>
            </a:solidFill>
            <a:ln w="12700">
              <a:solidFill>
                <a:schemeClr val="tx1"/>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0-14</c:v>
                </c:pt>
                <c:pt idx="1">
                  <c:v>15-24</c:v>
                </c:pt>
                <c:pt idx="2">
                  <c:v>25-34</c:v>
                </c:pt>
                <c:pt idx="3">
                  <c:v>35-44</c:v>
                </c:pt>
                <c:pt idx="4">
                  <c:v>45-54</c:v>
                </c:pt>
                <c:pt idx="5">
                  <c:v>55-64</c:v>
                </c:pt>
                <c:pt idx="6">
                  <c:v>65-74</c:v>
                </c:pt>
                <c:pt idx="7">
                  <c:v>75-84</c:v>
                </c:pt>
                <c:pt idx="8">
                  <c:v>85+</c:v>
                </c:pt>
              </c:strCache>
            </c:strRef>
          </c:cat>
          <c:val>
            <c:numRef>
              <c:f>Sheet1!$B$2:$B$10</c:f>
              <c:numCache>
                <c:formatCode>General</c:formatCode>
                <c:ptCount val="9"/>
                <c:pt idx="0">
                  <c:v>2</c:v>
                </c:pt>
                <c:pt idx="1">
                  <c:v>58</c:v>
                </c:pt>
                <c:pt idx="2">
                  <c:v>92</c:v>
                </c:pt>
                <c:pt idx="3">
                  <c:v>100</c:v>
                </c:pt>
                <c:pt idx="4">
                  <c:v>109</c:v>
                </c:pt>
                <c:pt idx="5">
                  <c:v>145</c:v>
                </c:pt>
                <c:pt idx="6">
                  <c:v>78</c:v>
                </c:pt>
                <c:pt idx="7">
                  <c:v>44</c:v>
                </c:pt>
                <c:pt idx="8">
                  <c:v>19</c:v>
                </c:pt>
              </c:numCache>
            </c:numRef>
          </c:val>
          <c:extLst>
            <c:ext xmlns:c16="http://schemas.microsoft.com/office/drawing/2014/chart" uri="{C3380CC4-5D6E-409C-BE32-E72D297353CC}">
              <c16:uniqueId val="{00000000-B4FC-4F26-A620-B089EBF48B51}"/>
            </c:ext>
          </c:extLst>
        </c:ser>
        <c:dLbls>
          <c:showLegendKey val="0"/>
          <c:showVal val="0"/>
          <c:showCatName val="0"/>
          <c:showSerName val="0"/>
          <c:showPercent val="0"/>
          <c:showBubbleSize val="0"/>
        </c:dLbls>
        <c:gapWidth val="150"/>
        <c:axId val="268953912"/>
        <c:axId val="268951560"/>
      </c:barChart>
      <c:catAx>
        <c:axId val="26895391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r>
                  <a:rPr lang="en-US"/>
                  <a:t>Age group</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crossAx val="268951560"/>
        <c:crosses val="autoZero"/>
        <c:auto val="1"/>
        <c:lblAlgn val="ctr"/>
        <c:lblOffset val="100"/>
        <c:noMultiLvlLbl val="0"/>
      </c:catAx>
      <c:valAx>
        <c:axId val="268951560"/>
        <c:scaling>
          <c:orientation val="minMax"/>
        </c:scaling>
        <c:delete val="0"/>
        <c:axPos val="l"/>
        <c:majorGridlines>
          <c:spPr>
            <a:ln w="6350" cap="flat" cmpd="sng" algn="ctr">
              <a:noFill/>
              <a:prstDash val="solid"/>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r>
                  <a:rPr lang="en-US"/>
                  <a:t>Number of Suicides</a:t>
                </a:r>
              </a:p>
            </c:rich>
          </c:tx>
          <c:layout>
            <c:manualLayout>
              <c:xMode val="edge"/>
              <c:yMode val="edge"/>
              <c:x val="2.8991455855252136E-2"/>
              <c:y val="0.19568108642290161"/>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endParaRPr lang="en-US"/>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crossAx val="268953912"/>
        <c:crosses val="autoZero"/>
        <c:crossBetween val="between"/>
        <c:majorUnit val="40"/>
      </c:valAx>
      <c:spPr>
        <a:solidFill>
          <a:schemeClr val="bg1"/>
        </a:solidFill>
        <a:ln>
          <a:noFill/>
        </a:ln>
        <a:effectLst/>
      </c:spPr>
    </c:plotArea>
    <c:plotVisOnly val="1"/>
    <c:dispBlanksAs val="gap"/>
    <c:showDLblsOverMax val="0"/>
  </c:chart>
  <c:spPr>
    <a:solidFill>
      <a:schemeClr val="bg1"/>
    </a:solidFill>
    <a:ln w="6350" cap="flat" cmpd="sng" algn="ctr">
      <a:solidFill>
        <a:schemeClr val="accent5"/>
      </a:solidFill>
      <a:prstDash val="solid"/>
      <a:round/>
    </a:ln>
    <a:effectLst/>
  </c:spPr>
  <c:txPr>
    <a:bodyPr/>
    <a:lstStyle/>
    <a:p>
      <a:pPr>
        <a:defRPr sz="1100">
          <a:latin typeface="Avenir Next LT Pro" panose="020B05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baseline="0">
                <a:solidFill>
                  <a:schemeClr val="tx1"/>
                </a:solidFill>
                <a:latin typeface="Avenir Next LT Pro" panose="020B0504020202020204" pitchFamily="34" charset="0"/>
                <a:ea typeface="+mn-ea"/>
                <a:cs typeface="+mn-cs"/>
              </a:defRPr>
            </a:pPr>
            <a:r>
              <a:rPr lang="en-US" sz="1100"/>
              <a:t>Figure 3B. Suicide rates by sex and age group, MA 2023 (N=647)</a:t>
            </a:r>
          </a:p>
        </c:rich>
      </c:tx>
      <c:layout>
        <c:manualLayout>
          <c:xMode val="edge"/>
          <c:yMode val="edge"/>
          <c:x val="0.18217847769028872"/>
          <c:y val="3.0653466110853789E-2"/>
        </c:manualLayout>
      </c:layout>
      <c:overlay val="0"/>
      <c:spPr>
        <a:noFill/>
        <a:ln>
          <a:noFill/>
        </a:ln>
        <a:effectLst/>
      </c:spPr>
      <c:txPr>
        <a:bodyPr rot="0" spcFirstLastPara="1" vertOverflow="ellipsis" vert="horz" wrap="square" anchor="ctr" anchorCtr="1"/>
        <a:lstStyle/>
        <a:p>
          <a:pPr>
            <a:defRPr sz="1320" b="1" i="0" u="none" strike="noStrike" kern="1200" baseline="0">
              <a:solidFill>
                <a:schemeClr val="tx1"/>
              </a:solidFill>
              <a:latin typeface="Avenir Next LT Pro" panose="020B0504020202020204" pitchFamily="34" charset="0"/>
              <a:ea typeface="+mn-ea"/>
              <a:cs typeface="+mn-cs"/>
            </a:defRPr>
          </a:pPr>
          <a:endParaRPr lang="en-US"/>
        </a:p>
      </c:txPr>
    </c:title>
    <c:autoTitleDeleted val="0"/>
    <c:plotArea>
      <c:layout>
        <c:manualLayout>
          <c:layoutTarget val="inner"/>
          <c:xMode val="edge"/>
          <c:yMode val="edge"/>
          <c:x val="0.21793742366362623"/>
          <c:y val="0.26318627450980392"/>
          <c:w val="0.76226059613835395"/>
          <c:h val="0.41883742473367297"/>
        </c:manualLayout>
      </c:layout>
      <c:barChart>
        <c:barDir val="col"/>
        <c:grouping val="clustered"/>
        <c:varyColors val="0"/>
        <c:ser>
          <c:idx val="0"/>
          <c:order val="0"/>
          <c:tx>
            <c:strRef>
              <c:f>Sheet1!$B$1</c:f>
              <c:strCache>
                <c:ptCount val="1"/>
                <c:pt idx="0">
                  <c:v>Male</c:v>
                </c:pt>
              </c:strCache>
            </c:strRef>
          </c:tx>
          <c:spPr>
            <a:solidFill>
              <a:schemeClr val="accent1"/>
            </a:solidFill>
            <a:ln w="12700">
              <a:solidFill>
                <a:schemeClr val="tx1"/>
              </a:solidFill>
            </a:ln>
            <a:effectLst/>
          </c:spPr>
          <c:invertIfNegative val="0"/>
          <c:dLbls>
            <c:dLbl>
              <c:idx val="0"/>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381-46F7-9578-C0CB01FDBA32}"/>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0-14</c:v>
                </c:pt>
                <c:pt idx="1">
                  <c:v>15-24</c:v>
                </c:pt>
                <c:pt idx="2">
                  <c:v>25-34</c:v>
                </c:pt>
                <c:pt idx="3">
                  <c:v>35-44</c:v>
                </c:pt>
                <c:pt idx="4">
                  <c:v>45-54</c:v>
                </c:pt>
                <c:pt idx="5">
                  <c:v>55-64</c:v>
                </c:pt>
                <c:pt idx="6">
                  <c:v>65-74</c:v>
                </c:pt>
                <c:pt idx="7">
                  <c:v>75-84</c:v>
                </c:pt>
                <c:pt idx="8">
                  <c:v>85+</c:v>
                </c:pt>
              </c:strCache>
            </c:strRef>
          </c:cat>
          <c:val>
            <c:numRef>
              <c:f>Sheet1!$B$2:$B$10</c:f>
              <c:numCache>
                <c:formatCode>0.0</c:formatCode>
                <c:ptCount val="9"/>
                <c:pt idx="0">
                  <c:v>0</c:v>
                </c:pt>
                <c:pt idx="1">
                  <c:v>8.1999999999999993</c:v>
                </c:pt>
                <c:pt idx="2">
                  <c:v>15.2</c:v>
                </c:pt>
                <c:pt idx="3">
                  <c:v>16.8</c:v>
                </c:pt>
                <c:pt idx="4">
                  <c:v>20</c:v>
                </c:pt>
                <c:pt idx="5">
                  <c:v>23.7</c:v>
                </c:pt>
                <c:pt idx="6">
                  <c:v>16.2</c:v>
                </c:pt>
                <c:pt idx="7">
                  <c:v>19.600000000000001</c:v>
                </c:pt>
                <c:pt idx="8">
                  <c:v>28.6</c:v>
                </c:pt>
              </c:numCache>
            </c:numRef>
          </c:val>
          <c:extLst>
            <c:ext xmlns:c16="http://schemas.microsoft.com/office/drawing/2014/chart" uri="{C3380CC4-5D6E-409C-BE32-E72D297353CC}">
              <c16:uniqueId val="{00000001-0381-46F7-9578-C0CB01FDBA32}"/>
            </c:ext>
          </c:extLst>
        </c:ser>
        <c:ser>
          <c:idx val="1"/>
          <c:order val="1"/>
          <c:tx>
            <c:strRef>
              <c:f>Sheet1!$C$1</c:f>
              <c:strCache>
                <c:ptCount val="1"/>
                <c:pt idx="0">
                  <c:v>Female</c:v>
                </c:pt>
              </c:strCache>
            </c:strRef>
          </c:tx>
          <c:spPr>
            <a:solidFill>
              <a:schemeClr val="accent3"/>
            </a:solidFill>
            <a:ln w="12700">
              <a:solidFill>
                <a:schemeClr val="tx1"/>
              </a:solidFill>
            </a:ln>
            <a:effectLst/>
          </c:spPr>
          <c:invertIfNegative val="0"/>
          <c:dLbls>
            <c:dLbl>
              <c:idx val="0"/>
              <c:layout>
                <c:manualLayout>
                  <c:x val="5.8556580295710458E-3"/>
                  <c:y val="0"/>
                </c:manualLayout>
              </c:layout>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381-46F7-9578-C0CB01FDBA32}"/>
                </c:ext>
              </c:extLst>
            </c:dLbl>
            <c:dLbl>
              <c:idx val="1"/>
              <c:layout>
                <c:manualLayout>
                  <c:x val="1.4637798622617727E-2"/>
                  <c:y val="9.9124040077331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81-46F7-9578-C0CB01FDBA32}"/>
                </c:ext>
              </c:extLst>
            </c:dLbl>
            <c:dLbl>
              <c:idx val="2"/>
              <c:layout>
                <c:manualLayout>
                  <c:x val="1.1710238898094182E-2"/>
                  <c:y val="9.91240400773323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81-46F7-9578-C0CB01FDBA32}"/>
                </c:ext>
              </c:extLst>
            </c:dLbl>
            <c:dLbl>
              <c:idx val="3"/>
              <c:layout>
                <c:manualLayout>
                  <c:x val="1.4637798622617727E-2"/>
                  <c:y val="4.95620200386661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81-46F7-9578-C0CB01FDBA32}"/>
                </c:ext>
              </c:extLst>
            </c:dLbl>
            <c:dLbl>
              <c:idx val="4"/>
              <c:layout>
                <c:manualLayout>
                  <c:x val="1.4637798622617727E-2"/>
                  <c:y val="1.4868606011599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381-46F7-9578-C0CB01FDBA32}"/>
                </c:ext>
              </c:extLst>
            </c:dLbl>
            <c:dLbl>
              <c:idx val="5"/>
              <c:layout>
                <c:manualLayout>
                  <c:x val="1.4637798622617727E-2"/>
                  <c:y val="1.4868606011599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381-46F7-9578-C0CB01FDBA32}"/>
                </c:ext>
              </c:extLst>
            </c:dLbl>
            <c:dLbl>
              <c:idx val="6"/>
              <c:layout>
                <c:manualLayout>
                  <c:x val="1.4637798622617727E-2"/>
                  <c:y val="9.9124040077331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381-46F7-9578-C0CB01FDBA32}"/>
                </c:ext>
              </c:extLst>
            </c:dLbl>
            <c:dLbl>
              <c:idx val="7"/>
              <c:layout>
                <c:manualLayout>
                  <c:x val="8.7834870443566099E-3"/>
                  <c:y val="0"/>
                </c:manualLayout>
              </c:layout>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0381-46F7-9578-C0CB01FDBA32}"/>
                </c:ext>
              </c:extLst>
            </c:dLbl>
            <c:dLbl>
              <c:idx val="8"/>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0381-46F7-9578-C0CB01FDBA32}"/>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0-14</c:v>
                </c:pt>
                <c:pt idx="1">
                  <c:v>15-24</c:v>
                </c:pt>
                <c:pt idx="2">
                  <c:v>25-34</c:v>
                </c:pt>
                <c:pt idx="3">
                  <c:v>35-44</c:v>
                </c:pt>
                <c:pt idx="4">
                  <c:v>45-54</c:v>
                </c:pt>
                <c:pt idx="5">
                  <c:v>55-64</c:v>
                </c:pt>
                <c:pt idx="6">
                  <c:v>65-74</c:v>
                </c:pt>
                <c:pt idx="7">
                  <c:v>75-84</c:v>
                </c:pt>
                <c:pt idx="8">
                  <c:v>85+</c:v>
                </c:pt>
              </c:strCache>
            </c:strRef>
          </c:cat>
          <c:val>
            <c:numRef>
              <c:f>Sheet1!$C$2:$C$10</c:f>
              <c:numCache>
                <c:formatCode>0.0</c:formatCode>
                <c:ptCount val="9"/>
                <c:pt idx="0">
                  <c:v>0</c:v>
                </c:pt>
                <c:pt idx="1">
                  <c:v>4.3</c:v>
                </c:pt>
                <c:pt idx="2">
                  <c:v>3.7</c:v>
                </c:pt>
                <c:pt idx="3">
                  <c:v>5</c:v>
                </c:pt>
                <c:pt idx="4">
                  <c:v>6</c:v>
                </c:pt>
                <c:pt idx="5">
                  <c:v>7.4</c:v>
                </c:pt>
                <c:pt idx="6">
                  <c:v>5.3</c:v>
                </c:pt>
                <c:pt idx="7">
                  <c:v>4.5</c:v>
                </c:pt>
                <c:pt idx="8">
                  <c:v>0</c:v>
                </c:pt>
              </c:numCache>
            </c:numRef>
          </c:val>
          <c:extLst>
            <c:ext xmlns:c16="http://schemas.microsoft.com/office/drawing/2014/chart" uri="{C3380CC4-5D6E-409C-BE32-E72D297353CC}">
              <c16:uniqueId val="{0000000B-0381-46F7-9578-C0CB01FDBA32}"/>
            </c:ext>
          </c:extLst>
        </c:ser>
        <c:dLbls>
          <c:showLegendKey val="0"/>
          <c:showVal val="0"/>
          <c:showCatName val="0"/>
          <c:showSerName val="0"/>
          <c:showPercent val="0"/>
          <c:showBubbleSize val="0"/>
        </c:dLbls>
        <c:gapWidth val="150"/>
        <c:axId val="268954304"/>
        <c:axId val="268955088"/>
      </c:barChart>
      <c:catAx>
        <c:axId val="26895430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r>
                  <a:rPr lang="en-US"/>
                  <a:t>Age Group</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crossAx val="268955088"/>
        <c:crosses val="autoZero"/>
        <c:auto val="1"/>
        <c:lblAlgn val="ctr"/>
        <c:lblOffset val="100"/>
        <c:noMultiLvlLbl val="0"/>
      </c:catAx>
      <c:valAx>
        <c:axId val="268955088"/>
        <c:scaling>
          <c:orientation val="minMax"/>
        </c:scaling>
        <c:delete val="0"/>
        <c:axPos val="l"/>
        <c:majorGridlines>
          <c:spPr>
            <a:ln w="6350" cap="flat" cmpd="sng" algn="ctr">
              <a:noFill/>
              <a:prstDash val="solid"/>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r>
                  <a:rPr lang="en-US"/>
                  <a:t>Rate per 100,000 Persons</a:t>
                </a:r>
              </a:p>
            </c:rich>
          </c:tx>
          <c:layout>
            <c:manualLayout>
              <c:xMode val="edge"/>
              <c:yMode val="edge"/>
              <c:x val="3.2206119162640899E-2"/>
              <c:y val="0.14893333645794277"/>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endParaRPr lang="en-US"/>
            </a:p>
          </c:txPr>
        </c:title>
        <c:numFmt formatCode="0.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crossAx val="268954304"/>
        <c:crosses val="autoZero"/>
        <c:crossBetween val="between"/>
      </c:valAx>
      <c:spPr>
        <a:solidFill>
          <a:schemeClr val="bg1"/>
        </a:solidFill>
        <a:ln>
          <a:noFill/>
        </a:ln>
        <a:effectLst/>
      </c:spPr>
    </c:plotArea>
    <c:legend>
      <c:legendPos val="l"/>
      <c:layout>
        <c:manualLayout>
          <c:xMode val="edge"/>
          <c:yMode val="edge"/>
          <c:x val="0.22585197889867728"/>
          <c:y val="0.23659641809479698"/>
          <c:w val="0.19254359294197138"/>
          <c:h val="0.17924514311716228"/>
        </c:manualLayout>
      </c:layout>
      <c:overlay val="1"/>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legend>
    <c:plotVisOnly val="1"/>
    <c:dispBlanksAs val="gap"/>
    <c:showDLblsOverMax val="0"/>
  </c:chart>
  <c:spPr>
    <a:solidFill>
      <a:schemeClr val="bg1"/>
    </a:solidFill>
    <a:ln w="6350" cap="flat" cmpd="sng" algn="ctr">
      <a:solidFill>
        <a:schemeClr val="accent5"/>
      </a:solidFill>
      <a:prstDash val="solid"/>
      <a:round/>
    </a:ln>
    <a:effectLst/>
  </c:spPr>
  <c:txPr>
    <a:bodyPr/>
    <a:lstStyle/>
    <a:p>
      <a:pPr>
        <a:defRPr sz="1100">
          <a:latin typeface="Avenir Next LT Pro" panose="020B05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ln>
                  <a:noFill/>
                </a:ln>
                <a:solidFill>
                  <a:schemeClr val="tx1"/>
                </a:solidFill>
                <a:latin typeface="Avenir Next LT Pro" panose="020B0504020202020204" pitchFamily="34" charset="0"/>
                <a:ea typeface="+mn-ea"/>
                <a:cs typeface="+mn-cs"/>
              </a:defRPr>
            </a:pPr>
            <a:r>
              <a:rPr lang="en-US" sz="1200"/>
              <a:t>Figure 4. Average annual suicide rates by sex and race/ethnicity, </a:t>
            </a:r>
          </a:p>
          <a:p>
            <a:pPr>
              <a:defRPr sz="1200"/>
            </a:pPr>
            <a:r>
              <a:rPr lang="en-US" sz="1200"/>
              <a:t>MA 2019-2023 (N=3,127)</a:t>
            </a:r>
            <a:r>
              <a:rPr lang="en-US" sz="1200" baseline="30000"/>
              <a:t>4,5</a:t>
            </a:r>
          </a:p>
        </c:rich>
      </c:tx>
      <c:overlay val="0"/>
      <c:spPr>
        <a:noFill/>
        <a:ln>
          <a:noFill/>
        </a:ln>
        <a:effectLst/>
      </c:spPr>
      <c:txPr>
        <a:bodyPr rot="0" spcFirstLastPara="1" vertOverflow="ellipsis" vert="horz" wrap="square" anchor="ctr" anchorCtr="1"/>
        <a:lstStyle/>
        <a:p>
          <a:pPr>
            <a:defRPr sz="1200" b="1" i="0" u="none" strike="noStrike" kern="1200" baseline="0">
              <a:ln>
                <a:noFill/>
              </a:ln>
              <a:solidFill>
                <a:schemeClr val="tx1"/>
              </a:solidFill>
              <a:latin typeface="Avenir Next LT Pro" panose="020B0504020202020204" pitchFamily="34" charset="0"/>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1"/>
            </a:solidFill>
            <a:ln w="12700">
              <a:solidFill>
                <a:schemeClr val="tx1"/>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White, NH*</c:v>
                </c:pt>
                <c:pt idx="1">
                  <c:v>Black, NH*</c:v>
                </c:pt>
                <c:pt idx="2">
                  <c:v>Hispanic or Latino/a/e</c:v>
                </c:pt>
                <c:pt idx="3">
                  <c:v>Asian, NHPI**, NH*</c:v>
                </c:pt>
              </c:strCache>
            </c:strRef>
          </c:cat>
          <c:val>
            <c:numRef>
              <c:f>Sheet1!$B$2:$B$5</c:f>
              <c:numCache>
                <c:formatCode>0.0</c:formatCode>
                <c:ptCount val="4"/>
                <c:pt idx="0">
                  <c:v>16.8</c:v>
                </c:pt>
                <c:pt idx="1">
                  <c:v>9.8000000000000007</c:v>
                </c:pt>
                <c:pt idx="2">
                  <c:v>4.5</c:v>
                </c:pt>
                <c:pt idx="3">
                  <c:v>6.1</c:v>
                </c:pt>
              </c:numCache>
            </c:numRef>
          </c:val>
          <c:extLst>
            <c:ext xmlns:c16="http://schemas.microsoft.com/office/drawing/2014/chart" uri="{C3380CC4-5D6E-409C-BE32-E72D297353CC}">
              <c16:uniqueId val="{00000000-E9E3-4F22-B325-BDABBAC19ECE}"/>
            </c:ext>
          </c:extLst>
        </c:ser>
        <c:ser>
          <c:idx val="1"/>
          <c:order val="1"/>
          <c:tx>
            <c:strRef>
              <c:f>Sheet1!$C$1</c:f>
              <c:strCache>
                <c:ptCount val="1"/>
                <c:pt idx="0">
                  <c:v>Female</c:v>
                </c:pt>
              </c:strCache>
            </c:strRef>
          </c:tx>
          <c:spPr>
            <a:solidFill>
              <a:schemeClr val="accent3"/>
            </a:solidFill>
            <a:ln w="12700">
              <a:solidFill>
                <a:schemeClr val="tx1"/>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White, NH*</c:v>
                </c:pt>
                <c:pt idx="1">
                  <c:v>Black, NH*</c:v>
                </c:pt>
                <c:pt idx="2">
                  <c:v>Hispanic or Latino/a/e</c:v>
                </c:pt>
                <c:pt idx="3">
                  <c:v>Asian, NHPI**, NH*</c:v>
                </c:pt>
              </c:strCache>
            </c:strRef>
          </c:cat>
          <c:val>
            <c:numRef>
              <c:f>Sheet1!$C$2:$C$5</c:f>
              <c:numCache>
                <c:formatCode>0.0</c:formatCode>
                <c:ptCount val="4"/>
                <c:pt idx="0">
                  <c:v>4.9000000000000004</c:v>
                </c:pt>
                <c:pt idx="1">
                  <c:v>2.2999999999999998</c:v>
                </c:pt>
                <c:pt idx="2">
                  <c:v>1.9</c:v>
                </c:pt>
                <c:pt idx="3">
                  <c:v>3.7</c:v>
                </c:pt>
              </c:numCache>
            </c:numRef>
          </c:val>
          <c:extLst>
            <c:ext xmlns:c16="http://schemas.microsoft.com/office/drawing/2014/chart" uri="{C3380CC4-5D6E-409C-BE32-E72D297353CC}">
              <c16:uniqueId val="{00000001-E9E3-4F22-B325-BDABBAC19ECE}"/>
            </c:ext>
          </c:extLst>
        </c:ser>
        <c:ser>
          <c:idx val="2"/>
          <c:order val="2"/>
          <c:tx>
            <c:strRef>
              <c:f>Sheet1!$D$1</c:f>
              <c:strCache>
                <c:ptCount val="1"/>
                <c:pt idx="0">
                  <c:v>Total</c:v>
                </c:pt>
              </c:strCache>
            </c:strRef>
          </c:tx>
          <c:spPr>
            <a:pattFill prst="dkDnDiag">
              <a:fgClr>
                <a:schemeClr val="accent5"/>
              </a:fgClr>
              <a:bgClr>
                <a:schemeClr val="bg1"/>
              </a:bgClr>
            </a:pattFill>
            <a:ln w="12700">
              <a:solidFill>
                <a:schemeClr val="accent5"/>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White, NH*</c:v>
                </c:pt>
                <c:pt idx="1">
                  <c:v>Black, NH*</c:v>
                </c:pt>
                <c:pt idx="2">
                  <c:v>Hispanic or Latino/a/e</c:v>
                </c:pt>
                <c:pt idx="3">
                  <c:v>Asian, NHPI**, NH*</c:v>
                </c:pt>
              </c:strCache>
            </c:strRef>
          </c:cat>
          <c:val>
            <c:numRef>
              <c:f>Sheet1!$D$2:$D$5</c:f>
              <c:numCache>
                <c:formatCode>0.0</c:formatCode>
                <c:ptCount val="4"/>
                <c:pt idx="0">
                  <c:v>10.7</c:v>
                </c:pt>
                <c:pt idx="1">
                  <c:v>6</c:v>
                </c:pt>
                <c:pt idx="2">
                  <c:v>4.7</c:v>
                </c:pt>
                <c:pt idx="3">
                  <c:v>4.9000000000000004</c:v>
                </c:pt>
              </c:numCache>
            </c:numRef>
          </c:val>
          <c:extLst>
            <c:ext xmlns:c16="http://schemas.microsoft.com/office/drawing/2014/chart" uri="{C3380CC4-5D6E-409C-BE32-E72D297353CC}">
              <c16:uniqueId val="{00000002-E9E3-4F22-B325-BDABBAC19ECE}"/>
            </c:ext>
          </c:extLst>
        </c:ser>
        <c:dLbls>
          <c:showLegendKey val="0"/>
          <c:showVal val="0"/>
          <c:showCatName val="0"/>
          <c:showSerName val="0"/>
          <c:showPercent val="0"/>
          <c:showBubbleSize val="0"/>
        </c:dLbls>
        <c:gapWidth val="150"/>
        <c:axId val="268956656"/>
        <c:axId val="268957048"/>
      </c:barChart>
      <c:catAx>
        <c:axId val="268956656"/>
        <c:scaling>
          <c:orientation val="minMax"/>
        </c:scaling>
        <c:delete val="0"/>
        <c:axPos val="b"/>
        <c:title>
          <c:tx>
            <c:rich>
              <a:bodyPr rot="0" spcFirstLastPara="1" vertOverflow="ellipsis" vert="horz" wrap="square" anchor="ctr" anchorCtr="1"/>
              <a:lstStyle/>
              <a:p>
                <a:pPr>
                  <a:defRPr sz="1100" b="1" i="0" u="none" strike="noStrike" kern="1200" baseline="0">
                    <a:ln>
                      <a:noFill/>
                    </a:ln>
                    <a:solidFill>
                      <a:schemeClr val="tx1"/>
                    </a:solidFill>
                    <a:latin typeface="Avenir Next LT Pro" panose="020B0504020202020204" pitchFamily="34" charset="0"/>
                    <a:ea typeface="+mn-ea"/>
                    <a:cs typeface="+mn-cs"/>
                  </a:defRPr>
                </a:pPr>
                <a:r>
                  <a:rPr lang="en-US"/>
                  <a:t>Race/Ethnicity</a:t>
                </a:r>
              </a:p>
            </c:rich>
          </c:tx>
          <c:overlay val="0"/>
          <c:spPr>
            <a:noFill/>
            <a:ln>
              <a:noFill/>
            </a:ln>
            <a:effectLst/>
          </c:spPr>
          <c:txPr>
            <a:bodyPr rot="0" spcFirstLastPara="1" vertOverflow="ellipsis" vert="horz" wrap="square" anchor="ctr" anchorCtr="1"/>
            <a:lstStyle/>
            <a:p>
              <a:pPr>
                <a:defRPr sz="1100" b="1" i="0" u="none" strike="noStrike" kern="1200" baseline="0">
                  <a:ln>
                    <a:noFill/>
                  </a:ln>
                  <a:solidFill>
                    <a:schemeClr val="tx1"/>
                  </a:solidFill>
                  <a:latin typeface="Avenir Next LT Pro" panose="020B0504020202020204" pitchFamily="34" charset="0"/>
                  <a:ea typeface="+mn-ea"/>
                  <a:cs typeface="+mn-cs"/>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1100" b="0" i="0" u="none" strike="noStrike" kern="1200" baseline="0">
                <a:ln>
                  <a:noFill/>
                </a:ln>
                <a:solidFill>
                  <a:schemeClr val="tx1"/>
                </a:solidFill>
                <a:latin typeface="Avenir Next LT Pro" panose="020B0504020202020204" pitchFamily="34" charset="0"/>
                <a:ea typeface="+mn-ea"/>
                <a:cs typeface="+mn-cs"/>
              </a:defRPr>
            </a:pPr>
            <a:endParaRPr lang="en-US"/>
          </a:p>
        </c:txPr>
        <c:crossAx val="268957048"/>
        <c:crosses val="autoZero"/>
        <c:auto val="1"/>
        <c:lblAlgn val="ctr"/>
        <c:lblOffset val="100"/>
        <c:noMultiLvlLbl val="0"/>
      </c:catAx>
      <c:valAx>
        <c:axId val="268957048"/>
        <c:scaling>
          <c:orientation val="minMax"/>
        </c:scaling>
        <c:delete val="0"/>
        <c:axPos val="l"/>
        <c:majorGridlines>
          <c:spPr>
            <a:ln w="6350" cap="flat" cmpd="sng" algn="ctr">
              <a:noFill/>
              <a:prstDash val="solid"/>
              <a:round/>
            </a:ln>
            <a:effectLst/>
          </c:spPr>
        </c:majorGridlines>
        <c:title>
          <c:tx>
            <c:rich>
              <a:bodyPr rot="-5400000" spcFirstLastPara="1" vertOverflow="ellipsis" vert="horz" wrap="square" anchor="ctr" anchorCtr="1"/>
              <a:lstStyle/>
              <a:p>
                <a:pPr>
                  <a:defRPr sz="1100" b="1" i="0" u="none" strike="noStrike" kern="1200" baseline="0">
                    <a:ln>
                      <a:noFill/>
                    </a:ln>
                    <a:solidFill>
                      <a:schemeClr val="tx1"/>
                    </a:solidFill>
                    <a:latin typeface="Avenir Next LT Pro" panose="020B0504020202020204" pitchFamily="34" charset="0"/>
                    <a:ea typeface="+mn-ea"/>
                    <a:cs typeface="+mn-cs"/>
                  </a:defRPr>
                </a:pPr>
                <a:r>
                  <a:rPr lang="en-US"/>
                  <a:t> Rate per 100,000 Persons</a:t>
                </a:r>
              </a:p>
            </c:rich>
          </c:tx>
          <c:layout>
            <c:manualLayout>
              <c:xMode val="edge"/>
              <c:yMode val="edge"/>
              <c:x val="2.416254805052169E-2"/>
              <c:y val="0.16026936026936026"/>
            </c:manualLayout>
          </c:layout>
          <c:overlay val="0"/>
          <c:spPr>
            <a:noFill/>
            <a:ln>
              <a:noFill/>
            </a:ln>
            <a:effectLst/>
          </c:spPr>
          <c:txPr>
            <a:bodyPr rot="-5400000" spcFirstLastPara="1" vertOverflow="ellipsis" vert="horz" wrap="square" anchor="ctr" anchorCtr="1"/>
            <a:lstStyle/>
            <a:p>
              <a:pPr>
                <a:defRPr sz="1100" b="1" i="0" u="none" strike="noStrike" kern="1200" baseline="0">
                  <a:ln>
                    <a:noFill/>
                  </a:ln>
                  <a:solidFill>
                    <a:schemeClr val="tx1"/>
                  </a:solidFill>
                  <a:latin typeface="Avenir Next LT Pro" panose="020B0504020202020204" pitchFamily="34" charset="0"/>
                  <a:ea typeface="+mn-ea"/>
                  <a:cs typeface="+mn-cs"/>
                </a:defRPr>
              </a:pPr>
              <a:endParaRPr lang="en-US"/>
            </a:p>
          </c:txPr>
        </c:title>
        <c:numFmt formatCode="0.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Avenir Next LT Pro" panose="020B0504020202020204" pitchFamily="34" charset="0"/>
                <a:ea typeface="+mn-ea"/>
                <a:cs typeface="+mn-cs"/>
              </a:defRPr>
            </a:pPr>
            <a:endParaRPr lang="en-US"/>
          </a:p>
        </c:txPr>
        <c:crossAx val="268956656"/>
        <c:crosses val="autoZero"/>
        <c:crossBetween val="between"/>
      </c:valAx>
      <c:spPr>
        <a:solidFill>
          <a:schemeClr val="bg1"/>
        </a:solidFill>
        <a:ln>
          <a:noFill/>
        </a:ln>
        <a:effectLst/>
      </c:spPr>
    </c:plotArea>
    <c:legend>
      <c:legendPos val="r"/>
      <c:layout>
        <c:manualLayout>
          <c:xMode val="edge"/>
          <c:yMode val="edge"/>
          <c:x val="0.84599675801575069"/>
          <c:y val="0.12185541863029201"/>
          <c:w val="0.13645043381435029"/>
          <c:h val="0.25981197393429267"/>
        </c:manualLayout>
      </c:layout>
      <c:overlay val="1"/>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Avenir Next LT Pro" panose="020B0504020202020204" pitchFamily="34" charset="0"/>
              <a:ea typeface="+mn-ea"/>
              <a:cs typeface="+mn-cs"/>
            </a:defRPr>
          </a:pPr>
          <a:endParaRPr lang="en-US"/>
        </a:p>
      </c:txPr>
    </c:legend>
    <c:plotVisOnly val="1"/>
    <c:dispBlanksAs val="gap"/>
    <c:showDLblsOverMax val="0"/>
  </c:chart>
  <c:spPr>
    <a:solidFill>
      <a:schemeClr val="bg1"/>
    </a:solidFill>
    <a:ln w="6350" cap="flat" cmpd="sng" algn="ctr">
      <a:solidFill>
        <a:schemeClr val="accent5"/>
      </a:solidFill>
      <a:prstDash val="solid"/>
      <a:round/>
    </a:ln>
    <a:effectLst/>
  </c:spPr>
  <c:txPr>
    <a:bodyPr/>
    <a:lstStyle/>
    <a:p>
      <a:pPr>
        <a:defRPr sz="1100">
          <a:ln>
            <a:noFill/>
          </a:ln>
          <a:latin typeface="Avenir Next LT Pro" panose="020B05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r>
              <a:rPr lang="en-US" sz="1200"/>
              <a:t>Figure 5. Methods of suicide by sex and by race/ethnicity, </a:t>
            </a:r>
          </a:p>
          <a:p>
            <a:pPr>
              <a:defRPr sz="1100"/>
            </a:pPr>
            <a:r>
              <a:rPr lang="en-US" sz="1200"/>
              <a:t>MA 2023 (N=647)</a:t>
            </a:r>
            <a:r>
              <a:rPr lang="en-US" sz="1200" baseline="30000"/>
              <a:t>6</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endParaRPr lang="en-US"/>
        </a:p>
      </c:txPr>
    </c:title>
    <c:autoTitleDeleted val="0"/>
    <c:plotArea>
      <c:layout>
        <c:manualLayout>
          <c:layoutTarget val="inner"/>
          <c:xMode val="edge"/>
          <c:yMode val="edge"/>
          <c:x val="0.13708913866682695"/>
          <c:y val="0.1523933477946493"/>
          <c:w val="0.79796613972871711"/>
          <c:h val="0.54012567335688966"/>
        </c:manualLayout>
      </c:layout>
      <c:barChart>
        <c:barDir val="col"/>
        <c:grouping val="percentStacked"/>
        <c:varyColors val="0"/>
        <c:ser>
          <c:idx val="0"/>
          <c:order val="0"/>
          <c:tx>
            <c:strRef>
              <c:f>Sheet1!$B$1</c:f>
              <c:strCache>
                <c:ptCount val="1"/>
                <c:pt idx="0">
                  <c:v>Hanging or Suffocation</c:v>
                </c:pt>
              </c:strCache>
            </c:strRef>
          </c:tx>
          <c:spPr>
            <a:solidFill>
              <a:schemeClr val="accent1">
                <a:shade val="58000"/>
              </a:schemeClr>
            </a:solidFill>
            <a:ln w="12700">
              <a:solidFill>
                <a:schemeClr val="tx1"/>
              </a:solidFill>
            </a:ln>
            <a:effectLst/>
          </c:spPr>
          <c:invertIfNegative val="0"/>
          <c:dLbls>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MA Total</c:v>
                </c:pt>
                <c:pt idx="2">
                  <c:v>Male</c:v>
                </c:pt>
                <c:pt idx="3">
                  <c:v>Female</c:v>
                </c:pt>
                <c:pt idx="5">
                  <c:v>White, NH*</c:v>
                </c:pt>
                <c:pt idx="6">
                  <c:v>Black, NH*</c:v>
                </c:pt>
                <c:pt idx="7">
                  <c:v>Hispanic or Latino/a/e</c:v>
                </c:pt>
                <c:pt idx="8">
                  <c:v>Asian, NHPI**, NH*</c:v>
                </c:pt>
              </c:strCache>
            </c:strRef>
          </c:cat>
          <c:val>
            <c:numRef>
              <c:f>Sheet1!$B$2:$B$10</c:f>
              <c:numCache>
                <c:formatCode>General</c:formatCode>
                <c:ptCount val="9"/>
                <c:pt idx="0" formatCode="0.000">
                  <c:v>0.44500000000000001</c:v>
                </c:pt>
                <c:pt idx="2" formatCode="0.000">
                  <c:v>0.44700000000000001</c:v>
                </c:pt>
                <c:pt idx="3" formatCode="0.000">
                  <c:v>0.44</c:v>
                </c:pt>
                <c:pt idx="5" formatCode="0.000">
                  <c:v>0.44700000000000001</c:v>
                </c:pt>
                <c:pt idx="6" formatCode="0.000">
                  <c:v>0.32400000000000001</c:v>
                </c:pt>
                <c:pt idx="7" formatCode="0.000">
                  <c:v>0.44700000000000001</c:v>
                </c:pt>
                <c:pt idx="8" formatCode="0.000">
                  <c:v>0.57699999999999996</c:v>
                </c:pt>
              </c:numCache>
            </c:numRef>
          </c:val>
          <c:extLst>
            <c:ext xmlns:c16="http://schemas.microsoft.com/office/drawing/2014/chart" uri="{C3380CC4-5D6E-409C-BE32-E72D297353CC}">
              <c16:uniqueId val="{00000000-CBA2-4CE8-84E9-33AF478946BD}"/>
            </c:ext>
          </c:extLst>
        </c:ser>
        <c:ser>
          <c:idx val="1"/>
          <c:order val="1"/>
          <c:tx>
            <c:strRef>
              <c:f>Sheet1!$C$1</c:f>
              <c:strCache>
                <c:ptCount val="1"/>
                <c:pt idx="0">
                  <c:v>Firearm</c:v>
                </c:pt>
              </c:strCache>
            </c:strRef>
          </c:tx>
          <c:spPr>
            <a:solidFill>
              <a:schemeClr val="accent1">
                <a:shade val="86000"/>
              </a:schemeClr>
            </a:solidFill>
            <a:ln w="12700">
              <a:solidFill>
                <a:schemeClr val="tx1"/>
              </a:solidFill>
            </a:ln>
            <a:effectLst/>
          </c:spPr>
          <c:invertIfNegative val="0"/>
          <c:dLbls>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MA Total</c:v>
                </c:pt>
                <c:pt idx="2">
                  <c:v>Male</c:v>
                </c:pt>
                <c:pt idx="3">
                  <c:v>Female</c:v>
                </c:pt>
                <c:pt idx="5">
                  <c:v>White, NH*</c:v>
                </c:pt>
                <c:pt idx="6">
                  <c:v>Black, NH*</c:v>
                </c:pt>
                <c:pt idx="7">
                  <c:v>Hispanic or Latino/a/e</c:v>
                </c:pt>
                <c:pt idx="8">
                  <c:v>Asian, NHPI**, NH*</c:v>
                </c:pt>
              </c:strCache>
            </c:strRef>
          </c:cat>
          <c:val>
            <c:numRef>
              <c:f>Sheet1!$C$2:$C$10</c:f>
              <c:numCache>
                <c:formatCode>General</c:formatCode>
                <c:ptCount val="9"/>
                <c:pt idx="0" formatCode="0.000">
                  <c:v>0.22700000000000001</c:v>
                </c:pt>
                <c:pt idx="2" formatCode="0.000">
                  <c:v>0.28100000000000003</c:v>
                </c:pt>
                <c:pt idx="3" formatCode="0.000">
                  <c:v>6.3E-2</c:v>
                </c:pt>
                <c:pt idx="5" formatCode="0.000">
                  <c:v>0.222</c:v>
                </c:pt>
                <c:pt idx="6" formatCode="0.000">
                  <c:v>0.38200000000000001</c:v>
                </c:pt>
                <c:pt idx="7" formatCode="0.000">
                  <c:v>0.23699999999999999</c:v>
                </c:pt>
                <c:pt idx="8" formatCode="0.000">
                  <c:v>7.6999999999999999E-2</c:v>
                </c:pt>
              </c:numCache>
            </c:numRef>
          </c:val>
          <c:extLst>
            <c:ext xmlns:c16="http://schemas.microsoft.com/office/drawing/2014/chart" uri="{C3380CC4-5D6E-409C-BE32-E72D297353CC}">
              <c16:uniqueId val="{00000001-CBA2-4CE8-84E9-33AF478946BD}"/>
            </c:ext>
          </c:extLst>
        </c:ser>
        <c:ser>
          <c:idx val="2"/>
          <c:order val="2"/>
          <c:tx>
            <c:strRef>
              <c:f>Sheet1!$D$1</c:f>
              <c:strCache>
                <c:ptCount val="1"/>
                <c:pt idx="0">
                  <c:v>Poisoning</c:v>
                </c:pt>
              </c:strCache>
            </c:strRef>
          </c:tx>
          <c:spPr>
            <a:solidFill>
              <a:schemeClr val="accent1">
                <a:lumMod val="50000"/>
              </a:schemeClr>
            </a:solidFill>
            <a:ln w="12700">
              <a:solidFill>
                <a:schemeClr val="tx1"/>
              </a:solidFill>
            </a:ln>
            <a:effectLst/>
          </c:spPr>
          <c:invertIfNegative val="0"/>
          <c:dLbls>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MA Total</c:v>
                </c:pt>
                <c:pt idx="2">
                  <c:v>Male</c:v>
                </c:pt>
                <c:pt idx="3">
                  <c:v>Female</c:v>
                </c:pt>
                <c:pt idx="5">
                  <c:v>White, NH*</c:v>
                </c:pt>
                <c:pt idx="6">
                  <c:v>Black, NH*</c:v>
                </c:pt>
                <c:pt idx="7">
                  <c:v>Hispanic or Latino/a/e</c:v>
                </c:pt>
                <c:pt idx="8">
                  <c:v>Asian, NHPI**, NH*</c:v>
                </c:pt>
              </c:strCache>
            </c:strRef>
          </c:cat>
          <c:val>
            <c:numRef>
              <c:f>Sheet1!$D$2:$D$10</c:f>
              <c:numCache>
                <c:formatCode>General</c:formatCode>
                <c:ptCount val="9"/>
                <c:pt idx="0" formatCode="0.000">
                  <c:v>0.186</c:v>
                </c:pt>
                <c:pt idx="2" formatCode="0.000">
                  <c:v>0.13100000000000001</c:v>
                </c:pt>
                <c:pt idx="3" formatCode="0.000">
                  <c:v>0.35199999999999998</c:v>
                </c:pt>
                <c:pt idx="5" formatCode="0.000">
                  <c:v>0.19600000000000001</c:v>
                </c:pt>
                <c:pt idx="6" formatCode="0.000">
                  <c:v>0.14699999999999999</c:v>
                </c:pt>
                <c:pt idx="7" formatCode="0.000">
                  <c:v>0.158</c:v>
                </c:pt>
                <c:pt idx="8" formatCode="0.000">
                  <c:v>0.115</c:v>
                </c:pt>
              </c:numCache>
            </c:numRef>
          </c:val>
          <c:extLst>
            <c:ext xmlns:c16="http://schemas.microsoft.com/office/drawing/2014/chart" uri="{C3380CC4-5D6E-409C-BE32-E72D297353CC}">
              <c16:uniqueId val="{00000002-CBA2-4CE8-84E9-33AF478946BD}"/>
            </c:ext>
          </c:extLst>
        </c:ser>
        <c:ser>
          <c:idx val="3"/>
          <c:order val="3"/>
          <c:tx>
            <c:strRef>
              <c:f>Sheet1!$E$1</c:f>
              <c:strCache>
                <c:ptCount val="1"/>
                <c:pt idx="0">
                  <c:v>Other Method***</c:v>
                </c:pt>
              </c:strCache>
            </c:strRef>
          </c:tx>
          <c:spPr>
            <a:pattFill prst="pct20">
              <a:fgClr>
                <a:schemeClr val="accent1"/>
              </a:fgClr>
              <a:bgClr>
                <a:schemeClr val="bg1"/>
              </a:bgClr>
            </a:pattFill>
            <a:ln w="12700">
              <a:solidFill>
                <a:schemeClr val="tx1"/>
              </a:solidFill>
            </a:ln>
            <a:effectLst/>
          </c:spPr>
          <c:invertIfNegative val="0"/>
          <c:dLbls>
            <c:numFmt formatCode="0.0%" sourceLinked="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MA Total</c:v>
                </c:pt>
                <c:pt idx="2">
                  <c:v>Male</c:v>
                </c:pt>
                <c:pt idx="3">
                  <c:v>Female</c:v>
                </c:pt>
                <c:pt idx="5">
                  <c:v>White, NH*</c:v>
                </c:pt>
                <c:pt idx="6">
                  <c:v>Black, NH*</c:v>
                </c:pt>
                <c:pt idx="7">
                  <c:v>Hispanic or Latino/a/e</c:v>
                </c:pt>
                <c:pt idx="8">
                  <c:v>Asian, NHPI**, NH*</c:v>
                </c:pt>
              </c:strCache>
            </c:strRef>
          </c:cat>
          <c:val>
            <c:numRef>
              <c:f>Sheet1!$E$2:$E$10</c:f>
              <c:numCache>
                <c:formatCode>General</c:formatCode>
                <c:ptCount val="9"/>
                <c:pt idx="0" formatCode="0.000">
                  <c:v>0.14199999999999999</c:v>
                </c:pt>
                <c:pt idx="2" formatCode="0.000">
                  <c:v>0.14099999999999999</c:v>
                </c:pt>
                <c:pt idx="3" formatCode="0.000">
                  <c:v>0.14499999999999999</c:v>
                </c:pt>
                <c:pt idx="5" formatCode="0.000">
                  <c:v>0.13500000000000001</c:v>
                </c:pt>
                <c:pt idx="6" formatCode="0.000">
                  <c:v>0.14699999999999999</c:v>
                </c:pt>
                <c:pt idx="7" formatCode="0.000">
                  <c:v>0.158</c:v>
                </c:pt>
                <c:pt idx="8" formatCode="0.000">
                  <c:v>0.23100000000000001</c:v>
                </c:pt>
              </c:numCache>
            </c:numRef>
          </c:val>
          <c:extLst>
            <c:ext xmlns:c16="http://schemas.microsoft.com/office/drawing/2014/chart" uri="{C3380CC4-5D6E-409C-BE32-E72D297353CC}">
              <c16:uniqueId val="{00000003-CBA2-4CE8-84E9-33AF478946BD}"/>
            </c:ext>
          </c:extLst>
        </c:ser>
        <c:dLbls>
          <c:showLegendKey val="0"/>
          <c:showVal val="0"/>
          <c:showCatName val="0"/>
          <c:showSerName val="0"/>
          <c:showPercent val="0"/>
          <c:showBubbleSize val="0"/>
        </c:dLbls>
        <c:gapWidth val="28"/>
        <c:overlap val="100"/>
        <c:axId val="268958224"/>
        <c:axId val="268957832"/>
      </c:barChart>
      <c:catAx>
        <c:axId val="268958224"/>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1200000" spcFirstLastPara="1" vertOverflow="ellipsis"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crossAx val="268957832"/>
        <c:crosses val="autoZero"/>
        <c:auto val="1"/>
        <c:lblAlgn val="ctr"/>
        <c:lblOffset val="100"/>
        <c:noMultiLvlLbl val="0"/>
      </c:catAx>
      <c:valAx>
        <c:axId val="268957832"/>
        <c:scaling>
          <c:orientation val="minMax"/>
        </c:scaling>
        <c:delete val="0"/>
        <c:axPos val="l"/>
        <c:majorGridlines>
          <c:spPr>
            <a:ln w="6350" cap="flat" cmpd="sng" algn="ctr">
              <a:noFill/>
              <a:prstDash val="solid"/>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r>
                  <a:rPr lang="en-US"/>
                  <a:t>Percent of All Suicides</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Avenir Next LT Pro" panose="020B0504020202020204" pitchFamily="34" charset="0"/>
                  <a:ea typeface="+mn-ea"/>
                  <a:cs typeface="+mn-cs"/>
                </a:defRPr>
              </a:pPr>
              <a:endParaRPr lang="en-US"/>
            </a:p>
          </c:txPr>
        </c:title>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crossAx val="268958224"/>
        <c:crosses val="autoZero"/>
        <c:crossBetween val="between"/>
      </c:valAx>
      <c:spPr>
        <a:solidFill>
          <a:schemeClr val="bg1"/>
        </a:solidFill>
        <a:ln>
          <a:noFill/>
        </a:ln>
        <a:effectLst/>
      </c:spPr>
    </c:plotArea>
    <c:legend>
      <c:legendPos val="b"/>
      <c:layout>
        <c:manualLayout>
          <c:xMode val="edge"/>
          <c:yMode val="edge"/>
          <c:x val="6.0179814479711782E-2"/>
          <c:y val="0.91972362204724412"/>
          <c:w val="0.88493438320209972"/>
          <c:h val="6.027637795275590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venir Next LT Pro" panose="020B0504020202020204" pitchFamily="34" charset="0"/>
              <a:ea typeface="+mn-ea"/>
              <a:cs typeface="+mn-cs"/>
            </a:defRPr>
          </a:pPr>
          <a:endParaRPr lang="en-US"/>
        </a:p>
      </c:txPr>
    </c:legend>
    <c:plotVisOnly val="1"/>
    <c:dispBlanksAs val="gap"/>
    <c:showDLblsOverMax val="0"/>
  </c:chart>
  <c:spPr>
    <a:noFill/>
    <a:ln w="6350" cap="flat" cmpd="sng" algn="ctr">
      <a:solidFill>
        <a:schemeClr val="tx1"/>
      </a:solidFill>
      <a:prstDash val="solid"/>
      <a:round/>
    </a:ln>
    <a:effectLst/>
  </c:spPr>
  <c:txPr>
    <a:bodyPr/>
    <a:lstStyle/>
    <a:p>
      <a:pPr>
        <a:defRPr sz="1100">
          <a:latin typeface="Avenir Next LT Pro" panose="020B05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6A. Circumstances associated with suicide, </a:t>
            </a:r>
          </a:p>
          <a:p>
            <a:pPr>
              <a:defRPr/>
            </a:pPr>
            <a:r>
              <a:rPr lang="en-US" sz="1200"/>
              <a:t>MA 2023 (N=647)</a:t>
            </a:r>
            <a:r>
              <a:rPr lang="en-US" sz="1200" baseline="30000"/>
              <a:t>6</a:t>
            </a:r>
          </a:p>
        </c:rich>
      </c:tx>
      <c:layout>
        <c:manualLayout>
          <c:xMode val="edge"/>
          <c:yMode val="edge"/>
          <c:x val="0.18288045812455261"/>
          <c:y val="1.4336916729348004E-2"/>
        </c:manualLayout>
      </c:layout>
      <c:overlay val="0"/>
    </c:title>
    <c:autoTitleDeleted val="0"/>
    <c:plotArea>
      <c:layout>
        <c:manualLayout>
          <c:layoutTarget val="inner"/>
          <c:xMode val="edge"/>
          <c:yMode val="edge"/>
          <c:x val="0.48391747020927195"/>
          <c:y val="0.1212891770881581"/>
          <c:w val="0.47929563350035792"/>
          <c:h val="0.80931439401340344"/>
        </c:manualLayout>
      </c:layout>
      <c:barChart>
        <c:barDir val="bar"/>
        <c:grouping val="clustered"/>
        <c:varyColors val="0"/>
        <c:ser>
          <c:idx val="0"/>
          <c:order val="0"/>
          <c:tx>
            <c:strRef>
              <c:f>Sheet1!$B$1</c:f>
              <c:strCache>
                <c:ptCount val="1"/>
                <c:pt idx="0">
                  <c:v>Female</c:v>
                </c:pt>
              </c:strCache>
            </c:strRef>
          </c:tx>
          <c:spPr>
            <a:pattFill prst="pct25">
              <a:fgClr>
                <a:schemeClr val="accent3"/>
              </a:fgClr>
              <a:bgClr>
                <a:schemeClr val="bg1"/>
              </a:bgClr>
            </a:pattFill>
            <a:ln w="12700">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misuse</c:v>
                </c:pt>
                <c:pt idx="6">
                  <c:v>Current Tx for mental health diagnosis or alcohol/substance misuse</c:v>
                </c:pt>
                <c:pt idx="7">
                  <c:v>History of Tx for mental health diagnosis</c:v>
                </c:pt>
                <c:pt idx="8">
                  <c:v>Current mental health diagnosis</c:v>
                </c:pt>
              </c:strCache>
            </c:strRef>
          </c:cat>
          <c:val>
            <c:numRef>
              <c:f>Sheet1!$B$2:$B$10</c:f>
              <c:numCache>
                <c:formatCode>General</c:formatCode>
                <c:ptCount val="9"/>
                <c:pt idx="0">
                  <c:v>4.3999999999999997E-2</c:v>
                </c:pt>
                <c:pt idx="1">
                  <c:v>0.20100000000000001</c:v>
                </c:pt>
                <c:pt idx="2">
                  <c:v>0.35199999999999998</c:v>
                </c:pt>
                <c:pt idx="3">
                  <c:v>0.17599999999999999</c:v>
                </c:pt>
                <c:pt idx="4">
                  <c:v>0.113</c:v>
                </c:pt>
                <c:pt idx="5">
                  <c:v>0.28299999999999997</c:v>
                </c:pt>
                <c:pt idx="6">
                  <c:v>0.66700000000000004</c:v>
                </c:pt>
                <c:pt idx="7">
                  <c:v>0.72299999999999998</c:v>
                </c:pt>
                <c:pt idx="8">
                  <c:v>0.80500000000000005</c:v>
                </c:pt>
              </c:numCache>
            </c:numRef>
          </c:val>
          <c:extLst>
            <c:ext xmlns:c16="http://schemas.microsoft.com/office/drawing/2014/chart" uri="{C3380CC4-5D6E-409C-BE32-E72D297353CC}">
              <c16:uniqueId val="{00000000-0A79-437D-A75B-42B5D27FDB40}"/>
            </c:ext>
          </c:extLst>
        </c:ser>
        <c:ser>
          <c:idx val="1"/>
          <c:order val="1"/>
          <c:tx>
            <c:strRef>
              <c:f>Sheet1!$C$1</c:f>
              <c:strCache>
                <c:ptCount val="1"/>
                <c:pt idx="0">
                  <c:v>Male</c:v>
                </c:pt>
              </c:strCache>
            </c:strRef>
          </c:tx>
          <c:spPr>
            <a:solidFill>
              <a:schemeClr val="accent3">
                <a:lumMod val="40000"/>
                <a:lumOff val="60000"/>
              </a:schemeClr>
            </a:solidFill>
            <a:ln w="12700">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misuse</c:v>
                </c:pt>
                <c:pt idx="6">
                  <c:v>Current Tx for mental health diagnosis or alcohol/substance misuse</c:v>
                </c:pt>
                <c:pt idx="7">
                  <c:v>History of Tx for mental health diagnosis</c:v>
                </c:pt>
                <c:pt idx="8">
                  <c:v>Current mental health diagnosis</c:v>
                </c:pt>
              </c:strCache>
            </c:strRef>
          </c:cat>
          <c:val>
            <c:numRef>
              <c:f>Sheet1!$C$2:$C$10</c:f>
              <c:numCache>
                <c:formatCode>General</c:formatCode>
                <c:ptCount val="9"/>
                <c:pt idx="0">
                  <c:v>0.14099999999999999</c:v>
                </c:pt>
                <c:pt idx="1">
                  <c:v>0.14099999999999999</c:v>
                </c:pt>
                <c:pt idx="2">
                  <c:v>0.17199999999999999</c:v>
                </c:pt>
                <c:pt idx="3">
                  <c:v>0.154</c:v>
                </c:pt>
                <c:pt idx="4">
                  <c:v>0.23599999999999999</c:v>
                </c:pt>
                <c:pt idx="5">
                  <c:v>0.33400000000000002</c:v>
                </c:pt>
                <c:pt idx="6">
                  <c:v>0.434</c:v>
                </c:pt>
                <c:pt idx="7">
                  <c:v>0.51400000000000001</c:v>
                </c:pt>
                <c:pt idx="8">
                  <c:v>0.63100000000000001</c:v>
                </c:pt>
              </c:numCache>
            </c:numRef>
          </c:val>
          <c:extLst>
            <c:ext xmlns:c16="http://schemas.microsoft.com/office/drawing/2014/chart" uri="{C3380CC4-5D6E-409C-BE32-E72D297353CC}">
              <c16:uniqueId val="{00000001-0A79-437D-A75B-42B5D27FDB40}"/>
            </c:ext>
          </c:extLst>
        </c:ser>
        <c:ser>
          <c:idx val="2"/>
          <c:order val="2"/>
          <c:tx>
            <c:strRef>
              <c:f>Sheet1!$D$1</c:f>
              <c:strCache>
                <c:ptCount val="1"/>
                <c:pt idx="0">
                  <c:v>Overall</c:v>
                </c:pt>
              </c:strCache>
            </c:strRef>
          </c:tx>
          <c:spPr>
            <a:solidFill>
              <a:schemeClr val="accent3"/>
            </a:solidFill>
            <a:ln w="12700">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misuse</c:v>
                </c:pt>
                <c:pt idx="6">
                  <c:v>Current Tx for mental health diagnosis or alcohol/substance misuse</c:v>
                </c:pt>
                <c:pt idx="7">
                  <c:v>History of Tx for mental health diagnosis</c:v>
                </c:pt>
                <c:pt idx="8">
                  <c:v>Current mental health diagnosis</c:v>
                </c:pt>
              </c:strCache>
            </c:strRef>
          </c:cat>
          <c:val>
            <c:numRef>
              <c:f>Sheet1!$D$2:$D$10</c:f>
              <c:numCache>
                <c:formatCode>General</c:formatCode>
                <c:ptCount val="9"/>
                <c:pt idx="0">
                  <c:v>0.11799999999999999</c:v>
                </c:pt>
                <c:pt idx="1">
                  <c:v>0.156</c:v>
                </c:pt>
                <c:pt idx="2">
                  <c:v>0.216</c:v>
                </c:pt>
                <c:pt idx="3">
                  <c:v>0.159</c:v>
                </c:pt>
                <c:pt idx="4">
                  <c:v>0.20599999999999999</c:v>
                </c:pt>
                <c:pt idx="5">
                  <c:v>0.32200000000000001</c:v>
                </c:pt>
                <c:pt idx="6">
                  <c:v>0.49199999999999999</c:v>
                </c:pt>
                <c:pt idx="7">
                  <c:v>0.56599999999999995</c:v>
                </c:pt>
                <c:pt idx="8">
                  <c:v>0.67400000000000004</c:v>
                </c:pt>
              </c:numCache>
            </c:numRef>
          </c:val>
          <c:extLst>
            <c:ext xmlns:c16="http://schemas.microsoft.com/office/drawing/2014/chart" uri="{C3380CC4-5D6E-409C-BE32-E72D297353CC}">
              <c16:uniqueId val="{00000002-0A79-437D-A75B-42B5D27FDB40}"/>
            </c:ext>
          </c:extLst>
        </c:ser>
        <c:dLbls>
          <c:showLegendKey val="0"/>
          <c:showVal val="0"/>
          <c:showCatName val="0"/>
          <c:showSerName val="0"/>
          <c:showPercent val="0"/>
          <c:showBubbleSize val="0"/>
        </c:dLbls>
        <c:gapWidth val="150"/>
        <c:axId val="268959008"/>
        <c:axId val="268952344"/>
      </c:barChart>
      <c:catAx>
        <c:axId val="268959008"/>
        <c:scaling>
          <c:orientation val="minMax"/>
        </c:scaling>
        <c:delete val="0"/>
        <c:axPos val="l"/>
        <c:numFmt formatCode="General" sourceLinked="0"/>
        <c:majorTickMark val="out"/>
        <c:minorTickMark val="none"/>
        <c:tickLblPos val="nextTo"/>
        <c:txPr>
          <a:bodyPr rot="0" vert="horz"/>
          <a:lstStyle/>
          <a:p>
            <a:pPr algn="r">
              <a:defRPr sz="1100"/>
            </a:pPr>
            <a:endParaRPr lang="en-US"/>
          </a:p>
        </c:txPr>
        <c:crossAx val="268952344"/>
        <c:crosses val="autoZero"/>
        <c:auto val="1"/>
        <c:lblAlgn val="ctr"/>
        <c:lblOffset val="100"/>
        <c:noMultiLvlLbl val="0"/>
      </c:catAx>
      <c:valAx>
        <c:axId val="268952344"/>
        <c:scaling>
          <c:orientation val="minMax"/>
          <c:max val="0.85000000000000009"/>
          <c:min val="0"/>
        </c:scaling>
        <c:delete val="0"/>
        <c:axPos val="b"/>
        <c:majorGridlines>
          <c:spPr>
            <a:ln>
              <a:noFill/>
            </a:ln>
          </c:spPr>
        </c:majorGridlines>
        <c:numFmt formatCode="0%" sourceLinked="0"/>
        <c:majorTickMark val="out"/>
        <c:minorTickMark val="none"/>
        <c:tickLblPos val="nextTo"/>
        <c:crossAx val="268959008"/>
        <c:crosses val="autoZero"/>
        <c:crossBetween val="between"/>
        <c:majorUnit val="0.2"/>
      </c:valAx>
    </c:plotArea>
    <c:legend>
      <c:legendPos val="r"/>
      <c:layout>
        <c:manualLayout>
          <c:xMode val="edge"/>
          <c:yMode val="edge"/>
          <c:x val="0.82155629584763445"/>
          <c:y val="0.63577850438186756"/>
          <c:w val="0.1292804024496938"/>
          <c:h val="0.17685000866334252"/>
        </c:manualLayout>
      </c:layout>
      <c:overlay val="1"/>
    </c:legend>
    <c:plotVisOnly val="1"/>
    <c:dispBlanksAs val="gap"/>
    <c:showDLblsOverMax val="0"/>
  </c:chart>
  <c:spPr>
    <a:ln>
      <a:solidFill>
        <a:schemeClr val="tx1"/>
      </a:solidFill>
    </a:ln>
  </c:spPr>
  <c:txPr>
    <a:bodyPr/>
    <a:lstStyle/>
    <a:p>
      <a:pPr>
        <a:defRPr sz="1050">
          <a:latin typeface="Avenir Next LT Pro" panose="020B05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6B. Circumstances associated with suicide by age group, MA 2023 (N=627)</a:t>
            </a:r>
            <a:r>
              <a:rPr lang="en-US" sz="1200" baseline="30000"/>
              <a:t>6</a:t>
            </a:r>
          </a:p>
        </c:rich>
      </c:tx>
      <c:overlay val="0"/>
    </c:title>
    <c:autoTitleDeleted val="0"/>
    <c:plotArea>
      <c:layout>
        <c:manualLayout>
          <c:layoutTarget val="inner"/>
          <c:xMode val="edge"/>
          <c:yMode val="edge"/>
          <c:x val="0.54970924750910988"/>
          <c:y val="0.12087074300897571"/>
          <c:w val="0.4029066755005139"/>
          <c:h val="0.79910949078859173"/>
        </c:manualLayout>
      </c:layout>
      <c:barChart>
        <c:barDir val="bar"/>
        <c:grouping val="clustered"/>
        <c:varyColors val="0"/>
        <c:ser>
          <c:idx val="0"/>
          <c:order val="0"/>
          <c:tx>
            <c:strRef>
              <c:f>Sheet1!$B$1</c:f>
              <c:strCache>
                <c:ptCount val="1"/>
                <c:pt idx="0">
                  <c:v>65+ yrs</c:v>
                </c:pt>
              </c:strCache>
            </c:strRef>
          </c:tx>
          <c:spPr>
            <a:solidFill>
              <a:schemeClr val="accent3">
                <a:lumMod val="50000"/>
              </a:schemeClr>
            </a:solidFill>
            <a:ln>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misuse</c:v>
                </c:pt>
                <c:pt idx="6">
                  <c:v>Current Tx for mental health diagnosis or alcohol/substance misuse</c:v>
                </c:pt>
                <c:pt idx="7">
                  <c:v>History of Tx for mental health diagnosis</c:v>
                </c:pt>
                <c:pt idx="8">
                  <c:v>Current mental health diagnosis</c:v>
                </c:pt>
              </c:strCache>
            </c:strRef>
          </c:cat>
          <c:val>
            <c:numRef>
              <c:f>Sheet1!$B$2:$B$10</c:f>
              <c:numCache>
                <c:formatCode>General</c:formatCode>
                <c:ptCount val="9"/>
                <c:pt idx="0">
                  <c:v>7.8E-2</c:v>
                </c:pt>
                <c:pt idx="1">
                  <c:v>0.13500000000000001</c:v>
                </c:pt>
                <c:pt idx="2">
                  <c:v>0.128</c:v>
                </c:pt>
                <c:pt idx="3">
                  <c:v>0.39</c:v>
                </c:pt>
                <c:pt idx="4">
                  <c:v>9.9299999999999999E-2</c:v>
                </c:pt>
                <c:pt idx="5">
                  <c:v>0.184</c:v>
                </c:pt>
                <c:pt idx="6">
                  <c:v>0.48899999999999999</c:v>
                </c:pt>
                <c:pt idx="7">
                  <c:v>0.48899999999999999</c:v>
                </c:pt>
                <c:pt idx="8">
                  <c:v>0.61699999999999999</c:v>
                </c:pt>
              </c:numCache>
            </c:numRef>
          </c:val>
          <c:extLst>
            <c:ext xmlns:c16="http://schemas.microsoft.com/office/drawing/2014/chart" uri="{C3380CC4-5D6E-409C-BE32-E72D297353CC}">
              <c16:uniqueId val="{00000000-38A8-41FB-B942-B7073DECD615}"/>
            </c:ext>
          </c:extLst>
        </c:ser>
        <c:ser>
          <c:idx val="1"/>
          <c:order val="1"/>
          <c:tx>
            <c:strRef>
              <c:f>Sheet1!$C$1</c:f>
              <c:strCache>
                <c:ptCount val="1"/>
                <c:pt idx="0">
                  <c:v>45-64 yrs</c:v>
                </c:pt>
              </c:strCache>
            </c:strRef>
          </c:tx>
          <c:spPr>
            <a:solidFill>
              <a:schemeClr val="accent3"/>
            </a:solidFill>
            <a:ln w="12700">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misuse</c:v>
                </c:pt>
                <c:pt idx="6">
                  <c:v>Current Tx for mental health diagnosis or alcohol/substance misuse</c:v>
                </c:pt>
                <c:pt idx="7">
                  <c:v>History of Tx for mental health diagnosis</c:v>
                </c:pt>
                <c:pt idx="8">
                  <c:v>Current mental health diagnosis</c:v>
                </c:pt>
              </c:strCache>
            </c:strRef>
          </c:cat>
          <c:val>
            <c:numRef>
              <c:f>Sheet1!$C$2:$C$10</c:f>
              <c:numCache>
                <c:formatCode>General</c:formatCode>
                <c:ptCount val="9"/>
                <c:pt idx="0">
                  <c:v>0.16900000000000001</c:v>
                </c:pt>
                <c:pt idx="1">
                  <c:v>0.16500000000000001</c:v>
                </c:pt>
                <c:pt idx="2">
                  <c:v>0.23200000000000001</c:v>
                </c:pt>
                <c:pt idx="3">
                  <c:v>0.154</c:v>
                </c:pt>
                <c:pt idx="4">
                  <c:v>0.21299999999999999</c:v>
                </c:pt>
                <c:pt idx="5">
                  <c:v>0.33500000000000002</c:v>
                </c:pt>
                <c:pt idx="6">
                  <c:v>0.53900000000000003</c:v>
                </c:pt>
                <c:pt idx="7">
                  <c:v>0.60599999999999998</c:v>
                </c:pt>
                <c:pt idx="8">
                  <c:v>0.72799999999999998</c:v>
                </c:pt>
              </c:numCache>
            </c:numRef>
          </c:val>
          <c:extLst>
            <c:ext xmlns:c16="http://schemas.microsoft.com/office/drawing/2014/chart" uri="{C3380CC4-5D6E-409C-BE32-E72D297353CC}">
              <c16:uniqueId val="{00000001-38A8-41FB-B942-B7073DECD615}"/>
            </c:ext>
          </c:extLst>
        </c:ser>
        <c:ser>
          <c:idx val="2"/>
          <c:order val="2"/>
          <c:tx>
            <c:strRef>
              <c:f>Sheet1!$D$1</c:f>
              <c:strCache>
                <c:ptCount val="1"/>
                <c:pt idx="0">
                  <c:v>25-44 yrs</c:v>
                </c:pt>
              </c:strCache>
            </c:strRef>
          </c:tx>
          <c:spPr>
            <a:pattFill prst="wdUpDiag">
              <a:fgClr>
                <a:schemeClr val="accent3">
                  <a:lumMod val="50000"/>
                </a:schemeClr>
              </a:fgClr>
              <a:bgClr>
                <a:schemeClr val="bg1"/>
              </a:bgClr>
            </a:pattFill>
            <a:ln w="12700">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misuse</c:v>
                </c:pt>
                <c:pt idx="6">
                  <c:v>Current Tx for mental health diagnosis or alcohol/substance misuse</c:v>
                </c:pt>
                <c:pt idx="7">
                  <c:v>History of Tx for mental health diagnosis</c:v>
                </c:pt>
                <c:pt idx="8">
                  <c:v>Current mental health diagnosis</c:v>
                </c:pt>
              </c:strCache>
            </c:strRef>
          </c:cat>
          <c:val>
            <c:numRef>
              <c:f>Sheet1!$D$2:$D$10</c:f>
              <c:numCache>
                <c:formatCode>General</c:formatCode>
                <c:ptCount val="9"/>
                <c:pt idx="0">
                  <c:v>9.9000000000000005E-2</c:v>
                </c:pt>
                <c:pt idx="1">
                  <c:v>0.16700000000000001</c:v>
                </c:pt>
                <c:pt idx="2">
                  <c:v>0.245</c:v>
                </c:pt>
                <c:pt idx="3">
                  <c:v>3.6999999999999998E-2</c:v>
                </c:pt>
                <c:pt idx="4">
                  <c:v>0.28100000000000003</c:v>
                </c:pt>
                <c:pt idx="5">
                  <c:v>0.443</c:v>
                </c:pt>
                <c:pt idx="6">
                  <c:v>0.44800000000000001</c:v>
                </c:pt>
                <c:pt idx="7">
                  <c:v>0.55700000000000005</c:v>
                </c:pt>
                <c:pt idx="8">
                  <c:v>0.64100000000000001</c:v>
                </c:pt>
              </c:numCache>
            </c:numRef>
          </c:val>
          <c:extLst>
            <c:ext xmlns:c16="http://schemas.microsoft.com/office/drawing/2014/chart" uri="{C3380CC4-5D6E-409C-BE32-E72D297353CC}">
              <c16:uniqueId val="{00000002-38A8-41FB-B942-B7073DECD615}"/>
            </c:ext>
          </c:extLst>
        </c:ser>
        <c:ser>
          <c:idx val="3"/>
          <c:order val="3"/>
          <c:tx>
            <c:strRef>
              <c:f>Sheet1!$E$1</c:f>
              <c:strCache>
                <c:ptCount val="1"/>
                <c:pt idx="0">
                  <c:v>15-24 yrs</c:v>
                </c:pt>
              </c:strCache>
            </c:strRef>
          </c:tx>
          <c:spPr>
            <a:pattFill prst="pct20">
              <a:fgClr>
                <a:schemeClr val="accent3"/>
              </a:fgClr>
              <a:bgClr>
                <a:schemeClr val="bg1"/>
              </a:bgClr>
            </a:pattFill>
            <a:ln w="12700">
              <a:solidFill>
                <a:schemeClr val="tx1"/>
              </a:solidFill>
            </a:ln>
          </c:spPr>
          <c:invertIfNegative val="0"/>
          <c:cat>
            <c:strRef>
              <c:f>Sheet1!$A$2:$A$10</c:f>
              <c:strCache>
                <c:ptCount val="9"/>
                <c:pt idx="0">
                  <c:v>Job/financial problem*</c:v>
                </c:pt>
                <c:pt idx="1">
                  <c:v>Disclosed suicide intent</c:v>
                </c:pt>
                <c:pt idx="2">
                  <c:v>History of suicide attempts</c:v>
                </c:pt>
                <c:pt idx="3">
                  <c:v>Physical health problem*</c:v>
                </c:pt>
                <c:pt idx="4">
                  <c:v>Intimate partner problem</c:v>
                </c:pt>
                <c:pt idx="5">
                  <c:v>Alcohol and/or other substance misuse</c:v>
                </c:pt>
                <c:pt idx="6">
                  <c:v>Current Tx for mental health diagnosis or alcohol/substance misuse</c:v>
                </c:pt>
                <c:pt idx="7">
                  <c:v>History of Tx for mental health diagnosis</c:v>
                </c:pt>
                <c:pt idx="8">
                  <c:v>Current mental health diagnosis</c:v>
                </c:pt>
              </c:strCache>
            </c:strRef>
          </c:cat>
          <c:val>
            <c:numRef>
              <c:f>Sheet1!$E$2:$E$10</c:f>
              <c:numCache>
                <c:formatCode>General</c:formatCode>
                <c:ptCount val="9"/>
                <c:pt idx="0">
                  <c:v>0</c:v>
                </c:pt>
                <c:pt idx="1">
                  <c:v>0.13800000000000001</c:v>
                </c:pt>
                <c:pt idx="2">
                  <c:v>0.27600000000000002</c:v>
                </c:pt>
                <c:pt idx="3">
                  <c:v>0</c:v>
                </c:pt>
                <c:pt idx="4">
                  <c:v>0.19</c:v>
                </c:pt>
                <c:pt idx="5">
                  <c:v>0.20699999999999999</c:v>
                </c:pt>
                <c:pt idx="6">
                  <c:v>0.41399999999999998</c:v>
                </c:pt>
                <c:pt idx="7">
                  <c:v>0.58599999999999997</c:v>
                </c:pt>
                <c:pt idx="8">
                  <c:v>0.67200000000000004</c:v>
                </c:pt>
              </c:numCache>
            </c:numRef>
          </c:val>
          <c:extLst>
            <c:ext xmlns:c16="http://schemas.microsoft.com/office/drawing/2014/chart" uri="{C3380CC4-5D6E-409C-BE32-E72D297353CC}">
              <c16:uniqueId val="{00000003-38A8-41FB-B942-B7073DECD615}"/>
            </c:ext>
          </c:extLst>
        </c:ser>
        <c:dLbls>
          <c:showLegendKey val="0"/>
          <c:showVal val="0"/>
          <c:showCatName val="0"/>
          <c:showSerName val="0"/>
          <c:showPercent val="0"/>
          <c:showBubbleSize val="0"/>
        </c:dLbls>
        <c:gapWidth val="150"/>
        <c:axId val="268953128"/>
        <c:axId val="268953520"/>
      </c:barChart>
      <c:catAx>
        <c:axId val="268953128"/>
        <c:scaling>
          <c:orientation val="minMax"/>
        </c:scaling>
        <c:delete val="0"/>
        <c:axPos val="l"/>
        <c:numFmt formatCode="General" sourceLinked="0"/>
        <c:majorTickMark val="out"/>
        <c:minorTickMark val="none"/>
        <c:tickLblPos val="nextTo"/>
        <c:txPr>
          <a:bodyPr rot="0" vert="horz"/>
          <a:lstStyle/>
          <a:p>
            <a:pPr algn="r">
              <a:defRPr/>
            </a:pPr>
            <a:endParaRPr lang="en-US"/>
          </a:p>
        </c:txPr>
        <c:crossAx val="268953520"/>
        <c:crosses val="autoZero"/>
        <c:auto val="1"/>
        <c:lblAlgn val="ctr"/>
        <c:lblOffset val="100"/>
        <c:noMultiLvlLbl val="0"/>
      </c:catAx>
      <c:valAx>
        <c:axId val="268953520"/>
        <c:scaling>
          <c:orientation val="minMax"/>
          <c:max val="0.75000000000000011"/>
          <c:min val="0"/>
        </c:scaling>
        <c:delete val="0"/>
        <c:axPos val="b"/>
        <c:majorGridlines>
          <c:spPr>
            <a:ln>
              <a:noFill/>
            </a:ln>
          </c:spPr>
        </c:majorGridlines>
        <c:numFmt formatCode="0%" sourceLinked="0"/>
        <c:majorTickMark val="out"/>
        <c:minorTickMark val="none"/>
        <c:tickLblPos val="nextTo"/>
        <c:txPr>
          <a:bodyPr/>
          <a:lstStyle/>
          <a:p>
            <a:pPr>
              <a:defRPr sz="1050"/>
            </a:pPr>
            <a:endParaRPr lang="en-US"/>
          </a:p>
        </c:txPr>
        <c:crossAx val="268953128"/>
        <c:crosses val="autoZero"/>
        <c:crossBetween val="between"/>
        <c:majorUnit val="0.15000000000000002"/>
      </c:valAx>
    </c:plotArea>
    <c:legend>
      <c:legendPos val="b"/>
      <c:layout>
        <c:manualLayout>
          <c:xMode val="edge"/>
          <c:yMode val="edge"/>
          <c:x val="0.80457508345437401"/>
          <c:y val="0.60029085253232239"/>
          <c:w val="0.16539136491433712"/>
          <c:h val="0.2496781638058341"/>
        </c:manualLayout>
      </c:layout>
      <c:overlay val="0"/>
    </c:legend>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6C. Circumstances associated with suicide by race and ethnicity, MA 2023 (N=647)</a:t>
            </a:r>
            <a:r>
              <a:rPr lang="en-US" sz="1200" baseline="30000"/>
              <a:t>5,6</a:t>
            </a:r>
          </a:p>
        </c:rich>
      </c:tx>
      <c:layout>
        <c:manualLayout>
          <c:xMode val="edge"/>
          <c:yMode val="edge"/>
          <c:x val="0.11090702157805495"/>
          <c:y val="2.2435897435897436E-2"/>
        </c:manualLayout>
      </c:layout>
      <c:overlay val="0"/>
    </c:title>
    <c:autoTitleDeleted val="0"/>
    <c:plotArea>
      <c:layout>
        <c:manualLayout>
          <c:layoutTarget val="inner"/>
          <c:xMode val="edge"/>
          <c:yMode val="edge"/>
          <c:x val="0.53747560624689361"/>
          <c:y val="0.13368191180826805"/>
          <c:w val="0.41388093930119202"/>
          <c:h val="0.59521910154931423"/>
        </c:manualLayout>
      </c:layout>
      <c:barChart>
        <c:barDir val="bar"/>
        <c:grouping val="clustered"/>
        <c:varyColors val="0"/>
        <c:ser>
          <c:idx val="0"/>
          <c:order val="0"/>
          <c:tx>
            <c:strRef>
              <c:f>Sheet1!$B$1</c:f>
              <c:strCache>
                <c:ptCount val="1"/>
                <c:pt idx="0">
                  <c:v>Asian, Native Hawaiian, Pacific Islander, NH</c:v>
                </c:pt>
              </c:strCache>
            </c:strRef>
          </c:tx>
          <c:spPr>
            <a:solidFill>
              <a:schemeClr val="accent3">
                <a:lumMod val="50000"/>
              </a:schemeClr>
            </a:solidFill>
            <a:ln>
              <a:solidFill>
                <a:schemeClr val="tx1"/>
              </a:solidFill>
            </a:ln>
          </c:spPr>
          <c:invertIfNegative val="0"/>
          <c:cat>
            <c:strRef>
              <c:f>Sheet1!$A$2:$A$7</c:f>
              <c:strCache>
                <c:ptCount val="6"/>
                <c:pt idx="0">
                  <c:v>History of suicide attempts*</c:v>
                </c:pt>
                <c:pt idx="1">
                  <c:v>Intimate partner problem*</c:v>
                </c:pt>
                <c:pt idx="2">
                  <c:v>Alcohol and/or other substance misuse*</c:v>
                </c:pt>
                <c:pt idx="3">
                  <c:v>Current Tx for mental health diagnosis or alcohol/substance misuse</c:v>
                </c:pt>
                <c:pt idx="4">
                  <c:v>History of Tx for mental health diagnosis</c:v>
                </c:pt>
                <c:pt idx="5">
                  <c:v>Current mental health diagnosis</c:v>
                </c:pt>
              </c:strCache>
            </c:strRef>
          </c:cat>
          <c:val>
            <c:numRef>
              <c:f>Sheet1!$B$2:$B$7</c:f>
              <c:numCache>
                <c:formatCode>General</c:formatCode>
                <c:ptCount val="6"/>
                <c:pt idx="0">
                  <c:v>0.38500000000000001</c:v>
                </c:pt>
                <c:pt idx="1">
                  <c:v>0.23100000000000001</c:v>
                </c:pt>
                <c:pt idx="3">
                  <c:v>0.5</c:v>
                </c:pt>
                <c:pt idx="4">
                  <c:v>0.57699999999999996</c:v>
                </c:pt>
                <c:pt idx="5">
                  <c:v>0.69199999999999995</c:v>
                </c:pt>
              </c:numCache>
            </c:numRef>
          </c:val>
          <c:extLst>
            <c:ext xmlns:c16="http://schemas.microsoft.com/office/drawing/2014/chart" uri="{C3380CC4-5D6E-409C-BE32-E72D297353CC}">
              <c16:uniqueId val="{00000000-A0F9-48FF-8F91-5FAEE05F4EBA}"/>
            </c:ext>
          </c:extLst>
        </c:ser>
        <c:ser>
          <c:idx val="1"/>
          <c:order val="1"/>
          <c:tx>
            <c:strRef>
              <c:f>Sheet1!$C$1</c:f>
              <c:strCache>
                <c:ptCount val="1"/>
                <c:pt idx="0">
                  <c:v>Black, NH</c:v>
                </c:pt>
              </c:strCache>
            </c:strRef>
          </c:tx>
          <c:spPr>
            <a:solidFill>
              <a:schemeClr val="accent3"/>
            </a:solidFill>
            <a:ln w="12700">
              <a:solidFill>
                <a:schemeClr val="tx1"/>
              </a:solidFill>
            </a:ln>
          </c:spPr>
          <c:invertIfNegative val="0"/>
          <c:cat>
            <c:strRef>
              <c:f>Sheet1!$A$2:$A$7</c:f>
              <c:strCache>
                <c:ptCount val="6"/>
                <c:pt idx="0">
                  <c:v>History of suicide attempts*</c:v>
                </c:pt>
                <c:pt idx="1">
                  <c:v>Intimate partner problem*</c:v>
                </c:pt>
                <c:pt idx="2">
                  <c:v>Alcohol and/or other substance misuse*</c:v>
                </c:pt>
                <c:pt idx="3">
                  <c:v>Current Tx for mental health diagnosis or alcohol/substance misuse</c:v>
                </c:pt>
                <c:pt idx="4">
                  <c:v>History of Tx for mental health diagnosis</c:v>
                </c:pt>
                <c:pt idx="5">
                  <c:v>Current mental health diagnosis</c:v>
                </c:pt>
              </c:strCache>
            </c:strRef>
          </c:cat>
          <c:val>
            <c:numRef>
              <c:f>Sheet1!$C$2:$C$7</c:f>
              <c:numCache>
                <c:formatCode>General</c:formatCode>
                <c:ptCount val="6"/>
                <c:pt idx="1">
                  <c:v>0.23499999999999999</c:v>
                </c:pt>
                <c:pt idx="2">
                  <c:v>0.32400000000000001</c:v>
                </c:pt>
                <c:pt idx="3">
                  <c:v>0.38200000000000001</c:v>
                </c:pt>
                <c:pt idx="4">
                  <c:v>0.47099999999999997</c:v>
                </c:pt>
                <c:pt idx="5">
                  <c:v>0.58799999999999997</c:v>
                </c:pt>
              </c:numCache>
            </c:numRef>
          </c:val>
          <c:extLst>
            <c:ext xmlns:c16="http://schemas.microsoft.com/office/drawing/2014/chart" uri="{C3380CC4-5D6E-409C-BE32-E72D297353CC}">
              <c16:uniqueId val="{00000001-A0F9-48FF-8F91-5FAEE05F4EBA}"/>
            </c:ext>
          </c:extLst>
        </c:ser>
        <c:ser>
          <c:idx val="2"/>
          <c:order val="2"/>
          <c:tx>
            <c:strRef>
              <c:f>Sheet1!$D$1</c:f>
              <c:strCache>
                <c:ptCount val="1"/>
                <c:pt idx="0">
                  <c:v>Hispanic/Latino/a/e</c:v>
                </c:pt>
              </c:strCache>
            </c:strRef>
          </c:tx>
          <c:spPr>
            <a:pattFill prst="wdUpDiag">
              <a:fgClr>
                <a:schemeClr val="accent3">
                  <a:lumMod val="50000"/>
                </a:schemeClr>
              </a:fgClr>
              <a:bgClr>
                <a:schemeClr val="bg1"/>
              </a:bgClr>
            </a:pattFill>
            <a:ln w="12700">
              <a:solidFill>
                <a:schemeClr val="tx1"/>
              </a:solidFill>
            </a:ln>
          </c:spPr>
          <c:invertIfNegative val="0"/>
          <c:cat>
            <c:strRef>
              <c:f>Sheet1!$A$2:$A$7</c:f>
              <c:strCache>
                <c:ptCount val="6"/>
                <c:pt idx="0">
                  <c:v>History of suicide attempts*</c:v>
                </c:pt>
                <c:pt idx="1">
                  <c:v>Intimate partner problem*</c:v>
                </c:pt>
                <c:pt idx="2">
                  <c:v>Alcohol and/or other substance misuse*</c:v>
                </c:pt>
                <c:pt idx="3">
                  <c:v>Current Tx for mental health diagnosis or alcohol/substance misuse</c:v>
                </c:pt>
                <c:pt idx="4">
                  <c:v>History of Tx for mental health diagnosis</c:v>
                </c:pt>
                <c:pt idx="5">
                  <c:v>Current mental health diagnosis</c:v>
                </c:pt>
              </c:strCache>
            </c:strRef>
          </c:cat>
          <c:val>
            <c:numRef>
              <c:f>Sheet1!$D$2:$D$7</c:f>
              <c:numCache>
                <c:formatCode>General</c:formatCode>
                <c:ptCount val="6"/>
                <c:pt idx="0">
                  <c:v>0.158</c:v>
                </c:pt>
                <c:pt idx="1">
                  <c:v>0.21099999999999999</c:v>
                </c:pt>
                <c:pt idx="2">
                  <c:v>0.23699999999999999</c:v>
                </c:pt>
                <c:pt idx="3">
                  <c:v>0.47399999999999998</c:v>
                </c:pt>
                <c:pt idx="4">
                  <c:v>0.52600000000000002</c:v>
                </c:pt>
                <c:pt idx="5">
                  <c:v>0.60499999999999998</c:v>
                </c:pt>
              </c:numCache>
            </c:numRef>
          </c:val>
          <c:extLst>
            <c:ext xmlns:c16="http://schemas.microsoft.com/office/drawing/2014/chart" uri="{C3380CC4-5D6E-409C-BE32-E72D297353CC}">
              <c16:uniqueId val="{00000002-A0F9-48FF-8F91-5FAEE05F4EBA}"/>
            </c:ext>
          </c:extLst>
        </c:ser>
        <c:ser>
          <c:idx val="3"/>
          <c:order val="3"/>
          <c:tx>
            <c:strRef>
              <c:f>Sheet1!$E$1</c:f>
              <c:strCache>
                <c:ptCount val="1"/>
                <c:pt idx="0">
                  <c:v>White, NH</c:v>
                </c:pt>
              </c:strCache>
            </c:strRef>
          </c:tx>
          <c:spPr>
            <a:pattFill prst="pct20">
              <a:fgClr>
                <a:schemeClr val="accent3"/>
              </a:fgClr>
              <a:bgClr>
                <a:schemeClr val="bg1"/>
              </a:bgClr>
            </a:pattFill>
            <a:ln w="12700">
              <a:solidFill>
                <a:schemeClr val="tx1"/>
              </a:solidFill>
            </a:ln>
          </c:spPr>
          <c:invertIfNegative val="0"/>
          <c:cat>
            <c:strRef>
              <c:f>Sheet1!$A$2:$A$7</c:f>
              <c:strCache>
                <c:ptCount val="6"/>
                <c:pt idx="0">
                  <c:v>History of suicide attempts*</c:v>
                </c:pt>
                <c:pt idx="1">
                  <c:v>Intimate partner problem*</c:v>
                </c:pt>
                <c:pt idx="2">
                  <c:v>Alcohol and/or other substance misuse*</c:v>
                </c:pt>
                <c:pt idx="3">
                  <c:v>Current Tx for mental health diagnosis or alcohol/substance misuse</c:v>
                </c:pt>
                <c:pt idx="4">
                  <c:v>History of Tx for mental health diagnosis</c:v>
                </c:pt>
                <c:pt idx="5">
                  <c:v>Current mental health diagnosis</c:v>
                </c:pt>
              </c:strCache>
            </c:strRef>
          </c:cat>
          <c:val>
            <c:numRef>
              <c:f>Sheet1!$E$2:$E$7</c:f>
              <c:numCache>
                <c:formatCode>General</c:formatCode>
                <c:ptCount val="6"/>
                <c:pt idx="0">
                  <c:v>0.218</c:v>
                </c:pt>
                <c:pt idx="1">
                  <c:v>0.20300000000000001</c:v>
                </c:pt>
                <c:pt idx="2">
                  <c:v>0.34200000000000003</c:v>
                </c:pt>
                <c:pt idx="3">
                  <c:v>0.505</c:v>
                </c:pt>
                <c:pt idx="4">
                  <c:v>0.57899999999999996</c:v>
                </c:pt>
                <c:pt idx="5">
                  <c:v>0.69</c:v>
                </c:pt>
              </c:numCache>
            </c:numRef>
          </c:val>
          <c:extLst>
            <c:ext xmlns:c16="http://schemas.microsoft.com/office/drawing/2014/chart" uri="{C3380CC4-5D6E-409C-BE32-E72D297353CC}">
              <c16:uniqueId val="{00000003-A0F9-48FF-8F91-5FAEE05F4EBA}"/>
            </c:ext>
          </c:extLst>
        </c:ser>
        <c:dLbls>
          <c:showLegendKey val="0"/>
          <c:showVal val="0"/>
          <c:showCatName val="0"/>
          <c:showSerName val="0"/>
          <c:showPercent val="0"/>
          <c:showBubbleSize val="0"/>
        </c:dLbls>
        <c:gapWidth val="150"/>
        <c:axId val="268953128"/>
        <c:axId val="268953520"/>
      </c:barChart>
      <c:catAx>
        <c:axId val="268953128"/>
        <c:scaling>
          <c:orientation val="minMax"/>
        </c:scaling>
        <c:delete val="0"/>
        <c:axPos val="l"/>
        <c:numFmt formatCode="General" sourceLinked="0"/>
        <c:majorTickMark val="out"/>
        <c:minorTickMark val="none"/>
        <c:tickLblPos val="nextTo"/>
        <c:txPr>
          <a:bodyPr rot="0" vert="horz"/>
          <a:lstStyle/>
          <a:p>
            <a:pPr algn="r">
              <a:defRPr/>
            </a:pPr>
            <a:endParaRPr lang="en-US"/>
          </a:p>
        </c:txPr>
        <c:crossAx val="268953520"/>
        <c:crosses val="autoZero"/>
        <c:auto val="1"/>
        <c:lblAlgn val="ctr"/>
        <c:lblOffset val="100"/>
        <c:noMultiLvlLbl val="0"/>
      </c:catAx>
      <c:valAx>
        <c:axId val="268953520"/>
        <c:scaling>
          <c:orientation val="minMax"/>
          <c:max val="0.75000000000000011"/>
          <c:min val="0"/>
        </c:scaling>
        <c:delete val="0"/>
        <c:axPos val="b"/>
        <c:majorGridlines>
          <c:spPr>
            <a:ln>
              <a:noFill/>
            </a:ln>
          </c:spPr>
        </c:majorGridlines>
        <c:numFmt formatCode="0%" sourceLinked="0"/>
        <c:majorTickMark val="out"/>
        <c:minorTickMark val="none"/>
        <c:tickLblPos val="nextTo"/>
        <c:crossAx val="268953128"/>
        <c:crosses val="autoZero"/>
        <c:crossBetween val="between"/>
        <c:majorUnit val="0.15000000000000002"/>
      </c:valAx>
    </c:plotArea>
    <c:legend>
      <c:legendPos val="b"/>
      <c:layout>
        <c:manualLayout>
          <c:xMode val="edge"/>
          <c:yMode val="edge"/>
          <c:x val="1.3289036544850499E-2"/>
          <c:y val="0.71305019943373216"/>
          <c:w val="0.52941690428231358"/>
          <c:h val="0.26830191680585375"/>
        </c:manualLayout>
      </c:layout>
      <c:overlay val="0"/>
    </c:legend>
    <c:plotVisOnly val="1"/>
    <c:dispBlanksAs val="gap"/>
    <c:showDLblsOverMax val="0"/>
  </c:chart>
  <c:spPr>
    <a:ln>
      <a:solidFill>
        <a:schemeClr val="tx1"/>
      </a:solidFill>
    </a:ln>
  </c:spPr>
  <c:txPr>
    <a:bodyPr/>
    <a:lstStyle/>
    <a:p>
      <a:pPr>
        <a:defRPr sz="1100">
          <a:latin typeface="Avenir Next LT Pro" panose="020B05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0.16255</cdr:x>
      <cdr:y>0.10806</cdr:y>
    </cdr:from>
    <cdr:to>
      <cdr:x>0.17892</cdr:x>
      <cdr:y>0.21419</cdr:y>
    </cdr:to>
    <cdr:sp macro="" textlink="">
      <cdr:nvSpPr>
        <cdr:cNvPr id="2" name="Left Brace 1">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a:off x="996055" y="621680"/>
          <a:ext cx="100311" cy="610576"/>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wrap="square">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0.16368</cdr:x>
      <cdr:y>0.21915</cdr:y>
    </cdr:from>
    <cdr:to>
      <cdr:x>0.18099</cdr:x>
      <cdr:y>0.4893</cdr:y>
    </cdr:to>
    <cdr:sp macro="" textlink="">
      <cdr:nvSpPr>
        <cdr:cNvPr id="3" name="Left Brace 2">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a:off x="1002995" y="1260813"/>
          <a:ext cx="106071" cy="1554200"/>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0.05078</cdr:x>
      <cdr:y>0.32887</cdr:y>
    </cdr:from>
    <cdr:to>
      <cdr:x>0.16148</cdr:x>
      <cdr:y>0.44465</cdr:y>
    </cdr:to>
    <cdr:sp macro="" textlink="">
      <cdr:nvSpPr>
        <cdr:cNvPr id="9" name="Text Box 2">
          <a:extLst xmlns:a="http://schemas.openxmlformats.org/drawingml/2006/main">
            <a:ext uri="{C183D7F6-B498-43B3-948B-1728B52AA6E4}">
              <adec:decorative xmlns:adec="http://schemas.microsoft.com/office/drawing/2017/decorative" val="1"/>
            </a:ext>
          </a:extLst>
        </cdr:cNvPr>
        <cdr:cNvSpPr txBox="1">
          <a:spLocks xmlns:a="http://schemas.openxmlformats.org/drawingml/2006/main" noChangeArrowheads="1"/>
        </cdr:cNvSpPr>
      </cdr:nvSpPr>
      <cdr:spPr bwMode="auto">
        <a:xfrm xmlns:a="http://schemas.openxmlformats.org/drawingml/2006/main">
          <a:off x="311150" y="1892036"/>
          <a:ext cx="678341" cy="666094"/>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gn="r"/>
          <a:r>
            <a:rPr lang="en-US" sz="1000">
              <a:effectLst/>
              <a:latin typeface="Avenir Next LT Pro" panose="020B0504020202020204" pitchFamily="34" charset="0"/>
              <a:ea typeface="Times New Roman" panose="02020603050405020304" pitchFamily="18" charset="0"/>
              <a:cs typeface="Arial" panose="020B0604020202020204" pitchFamily="34" charset="0"/>
            </a:rPr>
            <a:t>Race</a:t>
          </a:r>
          <a:r>
            <a:rPr lang="en-US" sz="1000" baseline="0">
              <a:effectLst/>
              <a:latin typeface="Avenir Next LT Pro" panose="020B0504020202020204" pitchFamily="34" charset="0"/>
              <a:ea typeface="Times New Roman" panose="02020603050405020304" pitchFamily="18" charset="0"/>
              <a:cs typeface="Arial" panose="020B0604020202020204" pitchFamily="34" charset="0"/>
            </a:rPr>
            <a:t> &amp; Ethnicity</a:t>
          </a:r>
          <a:endParaRPr lang="en-US" sz="1050">
            <a:effectLst/>
            <a:latin typeface="Avenir Next LT Pro" panose="020B0504020202020204" pitchFamily="34" charset="0"/>
            <a:ea typeface="Times New Roman" panose="02020603050405020304" pitchFamily="18" charset="0"/>
            <a:cs typeface="Arial" panose="020B0604020202020204" pitchFamily="34" charset="0"/>
          </a:endParaRPr>
        </a:p>
      </cdr:txBody>
    </cdr:sp>
  </cdr:relSizeAnchor>
  <cdr:relSizeAnchor xmlns:cdr="http://schemas.openxmlformats.org/drawingml/2006/chartDrawing">
    <cdr:from>
      <cdr:x>0.05181</cdr:x>
      <cdr:y>0.13112</cdr:y>
    </cdr:from>
    <cdr:to>
      <cdr:x>0.15827</cdr:x>
      <cdr:y>0.20262</cdr:y>
    </cdr:to>
    <cdr:sp macro="" textlink="">
      <cdr:nvSpPr>
        <cdr:cNvPr id="4" name="Text Box 2">
          <a:extLst xmlns:a="http://schemas.openxmlformats.org/drawingml/2006/main">
            <a:ext uri="{C183D7F6-B498-43B3-948B-1728B52AA6E4}">
              <adec:decorative xmlns:adec="http://schemas.microsoft.com/office/drawing/2017/decorative" val="1"/>
            </a:ext>
          </a:extLst>
        </cdr:cNvPr>
        <cdr:cNvSpPr txBox="1">
          <a:spLocks xmlns:a="http://schemas.openxmlformats.org/drawingml/2006/main" noChangeArrowheads="1"/>
        </cdr:cNvSpPr>
      </cdr:nvSpPr>
      <cdr:spPr bwMode="auto">
        <a:xfrm xmlns:a="http://schemas.openxmlformats.org/drawingml/2006/main">
          <a:off x="317501" y="754325"/>
          <a:ext cx="652344" cy="411347"/>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r"/>
          <a:r>
            <a:rPr lang="en-US" sz="1000">
              <a:effectLst/>
              <a:latin typeface="Avenir Next LT Pro" panose="020B0504020202020204" pitchFamily="34" charset="0"/>
              <a:ea typeface="Times New Roman" panose="02020603050405020304" pitchFamily="18" charset="0"/>
              <a:cs typeface="Arial" panose="020B0604020202020204" pitchFamily="34" charset="0"/>
            </a:rPr>
            <a:t>Gender</a:t>
          </a:r>
          <a:r>
            <a:rPr lang="en-US" sz="1000" baseline="0">
              <a:effectLst/>
              <a:latin typeface="Avenir Next LT Pro" panose="020B0504020202020204" pitchFamily="34" charset="0"/>
              <a:ea typeface="Times New Roman" panose="02020603050405020304" pitchFamily="18" charset="0"/>
              <a:cs typeface="Arial" panose="020B0604020202020204" pitchFamily="34" charset="0"/>
            </a:rPr>
            <a:t> Identity</a:t>
          </a:r>
          <a:endParaRPr lang="en-US" sz="1000">
            <a:effectLst/>
            <a:latin typeface="Avenir Next LT Pro" panose="020B0504020202020204" pitchFamily="34" charset="0"/>
            <a:ea typeface="Times New Roman" panose="02020603050405020304" pitchFamily="18" charset="0"/>
            <a:cs typeface="Arial" panose="020B0604020202020204" pitchFamily="34" charset="0"/>
          </a:endParaRPr>
        </a:p>
      </cdr:txBody>
    </cdr:sp>
  </cdr:relSizeAnchor>
  <cdr:relSizeAnchor xmlns:cdr="http://schemas.openxmlformats.org/drawingml/2006/chartDrawing">
    <cdr:from>
      <cdr:x>0.16312</cdr:x>
      <cdr:y>0.49564</cdr:y>
    </cdr:from>
    <cdr:to>
      <cdr:x>0.18203</cdr:x>
      <cdr:y>0.72527</cdr:y>
    </cdr:to>
    <cdr:sp macro="" textlink="">
      <cdr:nvSpPr>
        <cdr:cNvPr id="8" name="Left Brace 7">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a:off x="999540" y="2851481"/>
          <a:ext cx="115876" cy="1321084"/>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wrap="square">
          <a:no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0.00777</cdr:x>
      <cdr:y>0.57962</cdr:y>
    </cdr:from>
    <cdr:to>
      <cdr:x>0.16166</cdr:x>
      <cdr:y>0.66446</cdr:y>
    </cdr:to>
    <cdr:sp macro="" textlink="">
      <cdr:nvSpPr>
        <cdr:cNvPr id="10" name="Text Box 2">
          <a:extLst xmlns:a="http://schemas.openxmlformats.org/drawingml/2006/main">
            <a:ext uri="{C183D7F6-B498-43B3-948B-1728B52AA6E4}">
              <adec:decorative xmlns:adec="http://schemas.microsoft.com/office/drawing/2017/decorative" val="1"/>
            </a:ext>
          </a:extLst>
        </cdr:cNvPr>
        <cdr:cNvSpPr txBox="1">
          <a:spLocks xmlns:a="http://schemas.openxmlformats.org/drawingml/2006/main" noChangeArrowheads="1"/>
        </cdr:cNvSpPr>
      </cdr:nvSpPr>
      <cdr:spPr bwMode="auto">
        <a:xfrm xmlns:a="http://schemas.openxmlformats.org/drawingml/2006/main">
          <a:off x="47626" y="3699006"/>
          <a:ext cx="942974" cy="541406"/>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r"/>
          <a:r>
            <a:rPr lang="en-US" sz="1000">
              <a:effectLst/>
              <a:latin typeface="Avenir Next LT Pro" panose="020B0504020202020204" pitchFamily="34" charset="0"/>
              <a:ea typeface="Times New Roman" panose="02020603050405020304" pitchFamily="18" charset="0"/>
              <a:cs typeface="Arial" panose="020B0604020202020204" pitchFamily="34" charset="0"/>
            </a:rPr>
            <a:t>Sexual</a:t>
          </a:r>
          <a:r>
            <a:rPr lang="en-US" sz="1000" baseline="0">
              <a:effectLst/>
              <a:latin typeface="Avenir Next LT Pro" panose="020B0504020202020204" pitchFamily="34" charset="0"/>
              <a:ea typeface="Times New Roman" panose="02020603050405020304" pitchFamily="18" charset="0"/>
              <a:cs typeface="Arial" panose="020B0604020202020204" pitchFamily="34" charset="0"/>
            </a:rPr>
            <a:t> Orientation</a:t>
          </a:r>
          <a:endParaRPr lang="en-US" sz="1000">
            <a:effectLst/>
            <a:latin typeface="Avenir Next LT Pro" panose="020B0504020202020204" pitchFamily="34" charset="0"/>
            <a:ea typeface="Times New Roman" panose="02020603050405020304" pitchFamily="18" charset="0"/>
            <a:cs typeface="Arial" panose="020B0604020202020204" pitchFamily="34" charset="0"/>
          </a:endParaRPr>
        </a:p>
      </cdr:txBody>
    </cdr:sp>
  </cdr:relSizeAnchor>
  <cdr:relSizeAnchor xmlns:cdr="http://schemas.openxmlformats.org/drawingml/2006/chartDrawing">
    <cdr:from>
      <cdr:x>0.16523</cdr:x>
      <cdr:y>0.72946</cdr:y>
    </cdr:from>
    <cdr:to>
      <cdr:x>0.18095</cdr:x>
      <cdr:y>0.83333</cdr:y>
    </cdr:to>
    <cdr:sp macro="" textlink="">
      <cdr:nvSpPr>
        <cdr:cNvPr id="11" name="Left Brace 10">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a:off x="1012470" y="4196671"/>
          <a:ext cx="96328" cy="597574"/>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wrap="square">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0.00777</cdr:x>
      <cdr:y>0.74932</cdr:y>
    </cdr:from>
    <cdr:to>
      <cdr:x>0.16373</cdr:x>
      <cdr:y>0.83637</cdr:y>
    </cdr:to>
    <cdr:sp macro="" textlink="">
      <cdr:nvSpPr>
        <cdr:cNvPr id="12" name="Text Box 2">
          <a:extLst xmlns:a="http://schemas.openxmlformats.org/drawingml/2006/main">
            <a:ext uri="{C183D7F6-B498-43B3-948B-1728B52AA6E4}">
              <adec:decorative xmlns:adec="http://schemas.microsoft.com/office/drawing/2017/decorative" val="1"/>
            </a:ext>
          </a:extLst>
        </cdr:cNvPr>
        <cdr:cNvSpPr txBox="1">
          <a:spLocks xmlns:a="http://schemas.openxmlformats.org/drawingml/2006/main" noChangeArrowheads="1"/>
        </cdr:cNvSpPr>
      </cdr:nvSpPr>
      <cdr:spPr bwMode="auto">
        <a:xfrm xmlns:a="http://schemas.openxmlformats.org/drawingml/2006/main">
          <a:off x="47626" y="4781989"/>
          <a:ext cx="955674" cy="555532"/>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r"/>
          <a:r>
            <a:rPr lang="en-US" sz="1000">
              <a:effectLst/>
              <a:latin typeface="Avenir Next LT Pro" panose="020B0504020202020204" pitchFamily="34" charset="0"/>
              <a:ea typeface="Times New Roman" panose="02020603050405020304" pitchFamily="18" charset="0"/>
              <a:cs typeface="Arial" panose="020B0604020202020204" pitchFamily="34" charset="0"/>
            </a:rPr>
            <a:t>Transgender Status</a:t>
          </a:r>
        </a:p>
        <a:p xmlns:a="http://schemas.openxmlformats.org/drawingml/2006/main">
          <a:pPr marL="0" marR="0" algn="ctr"/>
          <a:endParaRPr lang="en-US" sz="1050">
            <a:effectLst/>
            <a:latin typeface="Arial" panose="020B0604020202020204" pitchFamily="34" charset="0"/>
            <a:ea typeface="Times New Roman" panose="02020603050405020304" pitchFamily="18" charset="0"/>
            <a:cs typeface="Arial" panose="020B0604020202020204" pitchFamily="34" charset="0"/>
          </a:endParaRPr>
        </a:p>
      </cdr:txBody>
    </cdr:sp>
  </cdr:relSizeAnchor>
  <cdr:relSizeAnchor xmlns:cdr="http://schemas.openxmlformats.org/drawingml/2006/chartDrawing">
    <cdr:from>
      <cdr:x>0.16256</cdr:x>
      <cdr:y>0.83746</cdr:y>
    </cdr:from>
    <cdr:to>
      <cdr:x>0.18203</cdr:x>
      <cdr:y>0.90875</cdr:y>
    </cdr:to>
    <cdr:sp macro="" textlink="">
      <cdr:nvSpPr>
        <cdr:cNvPr id="13" name="Left Brace 12">
          <a:extLst xmlns:a="http://schemas.openxmlformats.org/drawingml/2006/main">
            <a:ext uri="{C183D7F6-B498-43B3-948B-1728B52AA6E4}">
              <adec:decorative xmlns:adec="http://schemas.microsoft.com/office/drawing/2017/decorative" val="1"/>
            </a:ext>
          </a:extLst>
        </cdr:cNvPr>
        <cdr:cNvSpPr/>
      </cdr:nvSpPr>
      <cdr:spPr>
        <a:xfrm xmlns:a="http://schemas.openxmlformats.org/drawingml/2006/main">
          <a:off x="996109" y="4818013"/>
          <a:ext cx="119307" cy="410138"/>
        </a:xfrm>
        <a:prstGeom xmlns:a="http://schemas.openxmlformats.org/drawingml/2006/main" prst="leftBrace">
          <a:avLst>
            <a:gd name="adj1" fmla="val 0"/>
            <a:gd name="adj2" fmla="val 53571"/>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wrap="square">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0.03627</cdr:x>
      <cdr:y>0.83715</cdr:y>
    </cdr:from>
    <cdr:to>
      <cdr:x>0.16175</cdr:x>
      <cdr:y>0.92419</cdr:y>
    </cdr:to>
    <cdr:sp macro="" textlink="">
      <cdr:nvSpPr>
        <cdr:cNvPr id="14" name="Text Box 2">
          <a:extLst xmlns:a="http://schemas.openxmlformats.org/drawingml/2006/main">
            <a:ext uri="{C183D7F6-B498-43B3-948B-1728B52AA6E4}">
              <adec:decorative xmlns:adec="http://schemas.microsoft.com/office/drawing/2017/decorative" val="1"/>
            </a:ext>
          </a:extLst>
        </cdr:cNvPr>
        <cdr:cNvSpPr txBox="1">
          <a:spLocks xmlns:a="http://schemas.openxmlformats.org/drawingml/2006/main" noChangeArrowheads="1"/>
        </cdr:cNvSpPr>
      </cdr:nvSpPr>
      <cdr:spPr bwMode="auto">
        <a:xfrm xmlns:a="http://schemas.openxmlformats.org/drawingml/2006/main">
          <a:off x="222250" y="4816208"/>
          <a:ext cx="768910" cy="500749"/>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r"/>
          <a:r>
            <a:rPr lang="en-US" sz="1000">
              <a:effectLst/>
              <a:latin typeface="Avenir Next LT Pro" panose="020B0504020202020204" pitchFamily="34" charset="0"/>
              <a:ea typeface="Times New Roman" panose="02020603050405020304" pitchFamily="18" charset="0"/>
              <a:cs typeface="Arial" panose="020B0604020202020204" pitchFamily="34" charset="0"/>
            </a:rPr>
            <a:t>Disability Status</a:t>
          </a:r>
        </a:p>
        <a:p xmlns:a="http://schemas.openxmlformats.org/drawingml/2006/main">
          <a:pPr marL="0" marR="0" algn="ctr"/>
          <a:endParaRPr lang="en-US" sz="1050">
            <a:effectLst/>
            <a:latin typeface="Arial" panose="020B0604020202020204" pitchFamily="34" charset="0"/>
            <a:ea typeface="Times New Roman" panose="02020603050405020304" pitchFamily="18"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92CAD6"/>
      </a:accent1>
      <a:accent2>
        <a:srgbClr val="F5C822"/>
      </a:accent2>
      <a:accent3>
        <a:srgbClr val="FF8F3D"/>
      </a:accent3>
      <a:accent4>
        <a:srgbClr val="FFC000"/>
      </a:accent4>
      <a:accent5>
        <a:srgbClr val="032E53"/>
      </a:accent5>
      <a:accent6>
        <a:srgbClr val="055994"/>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5f90766b180ba68a0e58c87aa8be02fd">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19f115d88123860bb9a86c3eb311c110"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34DF89-22D4-429E-9F57-6EA0BC28A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FAF7D-7281-4AA1-8BDC-894C7CCC5D44}">
  <ds:schemaRefs>
    <ds:schemaRef ds:uri="http://schemas.microsoft.com/sharepoint/v3/contenttype/forms"/>
  </ds:schemaRefs>
</ds:datastoreItem>
</file>

<file path=customXml/itemProps3.xml><?xml version="1.0" encoding="utf-8"?>
<ds:datastoreItem xmlns:ds="http://schemas.openxmlformats.org/officeDocument/2006/customXml" ds:itemID="{50CC6C92-59F7-4E2E-960B-A7B7D07C95F0}">
  <ds:schemaRefs>
    <ds:schemaRef ds:uri="http://schemas.openxmlformats.org/officeDocument/2006/bibliography"/>
  </ds:schemaRefs>
</ds:datastoreItem>
</file>

<file path=customXml/itemProps4.xml><?xml version="1.0" encoding="utf-8"?>
<ds:datastoreItem xmlns:ds="http://schemas.openxmlformats.org/officeDocument/2006/customXml" ds:itemID="{7067ECEE-7BDD-4BBE-AAB9-03D3035AB0C8}">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4005</Words>
  <Characters>22830</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Jessica L (DPH)</dc:creator>
  <cp:keywords/>
  <dc:description/>
  <cp:lastModifiedBy>Ellis, Wayne (DPH)</cp:lastModifiedBy>
  <cp:revision>2</cp:revision>
  <dcterms:created xsi:type="dcterms:W3CDTF">2026-02-10T20:08:00Z</dcterms:created>
  <dcterms:modified xsi:type="dcterms:W3CDTF">2026-02-10T20:08:00Z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y fmtid="{D5CDD505-2E9C-101B-9397-08002B2CF9AE}" pid="4" name="GrammarlyDocumentId">
    <vt:lpwstr>088f2a7a-12c1-4ec9-8782-1fb8208af716</vt:lpwstr>
  </property>
</Properties>
</file>