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1B88A" w14:textId="77777777" w:rsidR="001865E9" w:rsidRDefault="00882AC1">
      <w:pPr>
        <w:spacing w:after="80"/>
        <w:jc w:val="center"/>
        <w:rPr>
          <w:b/>
          <w:bCs/>
          <w:sz w:val="36"/>
          <w:szCs w:val="36"/>
        </w:rPr>
      </w:pPr>
      <w:r>
        <w:rPr>
          <w:b/>
          <w:bCs/>
          <w:sz w:val="36"/>
          <w:szCs w:val="36"/>
        </w:rPr>
        <w:t xml:space="preserve">From Recognition to Access: </w:t>
      </w:r>
    </w:p>
    <w:p w14:paraId="6D1165D0" w14:textId="77777777" w:rsidR="001865E9" w:rsidRDefault="00882AC1">
      <w:pPr>
        <w:spacing w:after="80"/>
        <w:jc w:val="center"/>
        <w:rPr>
          <w:b/>
          <w:bCs/>
          <w:i/>
          <w:iCs/>
          <w:sz w:val="36"/>
          <w:szCs w:val="36"/>
        </w:rPr>
      </w:pPr>
      <w:r>
        <w:rPr>
          <w:b/>
          <w:bCs/>
          <w:i/>
          <w:iCs/>
          <w:sz w:val="36"/>
          <w:szCs w:val="36"/>
        </w:rPr>
        <w:t xml:space="preserve">2024 Massachusetts Youth Count </w:t>
      </w:r>
    </w:p>
    <w:p w14:paraId="4F7BDB0A" w14:textId="77777777" w:rsidR="001865E9" w:rsidRDefault="00882AC1">
      <w:pPr>
        <w:spacing w:after="80"/>
        <w:jc w:val="center"/>
        <w:rPr>
          <w:b/>
          <w:bCs/>
          <w:sz w:val="36"/>
          <w:szCs w:val="36"/>
        </w:rPr>
      </w:pPr>
      <w:r>
        <w:rPr>
          <w:b/>
          <w:bCs/>
          <w:sz w:val="36"/>
          <w:szCs w:val="36"/>
        </w:rPr>
        <w:t>Research to Action Brief</w:t>
      </w:r>
    </w:p>
    <w:p w14:paraId="5D8EFFD9" w14:textId="77777777" w:rsidR="001865E9" w:rsidRDefault="00882AC1">
      <w:pPr>
        <w:spacing w:before="240" w:after="240"/>
      </w:pPr>
      <w:r>
        <w:t>This report was prepared in 2025 for the Massachusetts Unaccompanied Homeless Youth Commission (UHYC) by Dr. Alice Colegrove, Dr. Laurie Ross, Ayala Livny, and Thaliana Paulino. We gratefully acknowledge the essential contributions of the UHYC whose collaboration and guidance have strengthened the depth and scope of this research.</w:t>
      </w:r>
    </w:p>
    <w:p w14:paraId="51FA1347" w14:textId="77777777" w:rsidR="001865E9" w:rsidRDefault="00882AC1">
      <w:pPr>
        <w:spacing w:before="240" w:after="240"/>
      </w:pPr>
      <w:r>
        <w:t>We also extend our deepest appreciation to the youth and young adults who completed the 2024 Youth Count survey, participated in focus groups and interviews, offered feedback, and shared their lived experiences. Your insights, courage, and expertise have been invaluable in shaping the analysis and recommendations presented in this report.</w:t>
      </w:r>
    </w:p>
    <w:p w14:paraId="01C276C5" w14:textId="77777777" w:rsidR="001865E9" w:rsidRDefault="00882AC1">
      <w:pPr>
        <w:spacing w:after="80"/>
      </w:pPr>
      <w:r>
        <w:t>For questions or requests for additional information, please contact Alice Colegrove, Director of Homeless Youth Services and UHYC Chair, at Alice.J.Colegrove@mass.gov.</w:t>
      </w:r>
    </w:p>
    <w:p w14:paraId="1C530D3B" w14:textId="77777777" w:rsidR="001865E9" w:rsidRDefault="00882AC1">
      <w:pPr>
        <w:spacing w:after="80"/>
      </w:pPr>
      <w:r>
        <w:br w:type="page"/>
      </w:r>
    </w:p>
    <w:p w14:paraId="392F439D" w14:textId="77777777" w:rsidR="001865E9" w:rsidRDefault="00882AC1">
      <w:pPr>
        <w:spacing w:after="80"/>
        <w:rPr>
          <w:b/>
          <w:bCs/>
          <w:sz w:val="28"/>
          <w:szCs w:val="28"/>
        </w:rPr>
      </w:pPr>
      <w:r>
        <w:rPr>
          <w:b/>
          <w:bCs/>
          <w:sz w:val="28"/>
          <w:szCs w:val="28"/>
        </w:rPr>
        <w:lastRenderedPageBreak/>
        <w:t>Introduction</w:t>
      </w:r>
    </w:p>
    <w:p w14:paraId="6541AAD6" w14:textId="77777777" w:rsidR="001865E9" w:rsidRDefault="00882AC1">
      <w:pPr>
        <w:spacing w:before="240" w:after="240"/>
      </w:pPr>
      <w:r>
        <w:t xml:space="preserve">Understanding both </w:t>
      </w:r>
      <w:r>
        <w:rPr>
          <w:b/>
          <w:bCs/>
        </w:rPr>
        <w:t>who</w:t>
      </w:r>
      <w:r>
        <w:t xml:space="preserve"> is experiencing homelessness and </w:t>
      </w:r>
      <w:r>
        <w:rPr>
          <w:b/>
          <w:bCs/>
        </w:rPr>
        <w:t>where</w:t>
      </w:r>
      <w:r>
        <w:t xml:space="preserve"> supports are available is essential to designing effective and equitable policy and practices. Since 2014, the Massachusetts Unaccompanied Homeless Youth Commission (UHYC) has overseen the Youth Count, gathering nearly 10,000 responses. The 2024 Youth Count provides the most current statewide picture of young people’s experiences, unmet needs, and regional disparities, offering a foundation for translating data into action.</w:t>
      </w:r>
    </w:p>
    <w:p w14:paraId="2343B48D" w14:textId="77777777" w:rsidR="001865E9" w:rsidRDefault="00882AC1">
      <w:pPr>
        <w:spacing w:before="240" w:after="240"/>
      </w:pPr>
      <w:r>
        <w:t xml:space="preserve">While Massachusetts recognizes youth homelessness across a broad range of experiences, from shelter stays and unsheltered homelessness to couch-surfing and doubled-up living situations, housing resources are limited and must be prioritized. Most federal housing investments, which make up the majority of available housing dollars, are allocated through systems designed to serve those facing the most severe and visible forms of homelessness. As a result, young people who are doubled up or couch-surfing often </w:t>
      </w:r>
      <w:r>
        <w:t>remain unserved, not because their housing instability is less serious, but because scarce resources are directed first to youth in the deepest crisis.</w:t>
      </w:r>
    </w:p>
    <w:p w14:paraId="777252C5" w14:textId="77777777" w:rsidR="001865E9" w:rsidRDefault="00882AC1">
      <w:pPr>
        <w:spacing w:before="240" w:after="240"/>
      </w:pPr>
      <w:r>
        <w:t xml:space="preserve">The </w:t>
      </w:r>
      <w:hyperlink r:id="rId8">
        <w:r>
          <w:rPr>
            <w:color w:val="1155CC"/>
            <w:u w:val="single"/>
          </w:rPr>
          <w:t>2024 Massachusetts Youth Count</w:t>
        </w:r>
      </w:hyperlink>
      <w:r>
        <w:t xml:space="preserve"> highlights the scale of this mismatch and shows where gaps in access are greatest. This brief uses the data to identify opportunities to redesign access pathways, expand flexible housing options, and build a system that responds earlier and more effectively to the housing needs of youth and young adults.</w:t>
      </w:r>
    </w:p>
    <w:p w14:paraId="77DE4FB1" w14:textId="77777777" w:rsidR="001865E9" w:rsidRDefault="00882AC1">
      <w:pPr>
        <w:spacing w:before="240" w:after="240"/>
        <w:rPr>
          <w:b/>
          <w:bCs/>
          <w:sz w:val="28"/>
          <w:szCs w:val="28"/>
        </w:rPr>
      </w:pPr>
      <w:r>
        <w:rPr>
          <w:b/>
          <w:bCs/>
          <w:sz w:val="28"/>
          <w:szCs w:val="28"/>
        </w:rPr>
        <w:t>What’s Inside</w:t>
      </w:r>
    </w:p>
    <w:p w14:paraId="26A42A85" w14:textId="77777777" w:rsidR="001865E9" w:rsidRDefault="00882AC1">
      <w:pPr>
        <w:spacing w:before="240" w:after="240"/>
      </w:pPr>
      <w:r>
        <w:t>This brief begins with overall findings and key highlights from the 2024 Massachusetts Youth Count, providing a statewide view of youth homelessness trends and demographics. It then delves into two areas of focus:</w:t>
      </w:r>
    </w:p>
    <w:p w14:paraId="02FFF57B" w14:textId="77777777" w:rsidR="001865E9" w:rsidRDefault="00882AC1">
      <w:pPr>
        <w:spacing w:before="240" w:after="240"/>
        <w:ind w:left="720"/>
      </w:pPr>
      <w:r>
        <w:rPr>
          <w:b/>
          <w:bCs/>
        </w:rPr>
        <w:t>Couch-Surfing and Identification:</w:t>
      </w:r>
      <w:r>
        <w:rPr>
          <w:b/>
          <w:bCs/>
        </w:rPr>
        <w:br/>
      </w:r>
      <w:r>
        <w:t>How doubled-up youth navigate instability, how self-identification shapes help-seeking, and why many never access housing services.</w:t>
      </w:r>
    </w:p>
    <w:p w14:paraId="307915E6" w14:textId="77777777" w:rsidR="001865E9" w:rsidRDefault="00882AC1">
      <w:pPr>
        <w:spacing w:before="240" w:after="240"/>
        <w:ind w:left="720"/>
      </w:pPr>
      <w:r>
        <w:rPr>
          <w:b/>
          <w:bCs/>
        </w:rPr>
        <w:t>Housing Access and Regional Disparities:</w:t>
      </w:r>
      <w:r>
        <w:rPr>
          <w:b/>
          <w:bCs/>
        </w:rPr>
        <w:br/>
      </w:r>
      <w:r>
        <w:t>Where youth emergency and transitional housing is available, where it is not, and which regions require urgent investment.</w:t>
      </w:r>
    </w:p>
    <w:p w14:paraId="3049E476" w14:textId="77777777" w:rsidR="001865E9" w:rsidRDefault="00882AC1">
      <w:pPr>
        <w:pBdr>
          <w:top w:val="nil"/>
          <w:left w:val="nil"/>
          <w:bottom w:val="nil"/>
          <w:right w:val="nil"/>
          <w:between w:val="nil"/>
        </w:pBdr>
        <w:spacing w:before="240"/>
      </w:pPr>
      <w:r>
        <w:t>Together, these sections offer a data-driven picture of who is affected, where gaps exist, and how Massachusetts can act to ensure all young people have a safe place to call home.</w:t>
      </w:r>
    </w:p>
    <w:p w14:paraId="1DCE4D6C" w14:textId="77777777" w:rsidR="001865E9" w:rsidRDefault="00882AC1">
      <w:pPr>
        <w:spacing w:before="240" w:after="240"/>
        <w:rPr>
          <w:sz w:val="24"/>
          <w:szCs w:val="24"/>
        </w:rPr>
      </w:pPr>
      <w:r>
        <w:rPr>
          <w:b/>
          <w:bCs/>
        </w:rPr>
        <w:t>Note:</w:t>
      </w:r>
      <w:r>
        <w:t xml:space="preserve"> Throughout this brief, the terms </w:t>
      </w:r>
      <w:r>
        <w:rPr>
          <w:i/>
          <w:iCs/>
        </w:rPr>
        <w:t>“youth,” “youth and young adult (YYA)”</w:t>
      </w:r>
      <w:r>
        <w:t xml:space="preserve"> and </w:t>
      </w:r>
      <w:r>
        <w:rPr>
          <w:i/>
          <w:iCs/>
        </w:rPr>
        <w:t>“unaccompanied homeless youth (UHY)”</w:t>
      </w:r>
      <w:r>
        <w:t xml:space="preserve"> are used interchangeably to describe young people under age 25 who meet the Massachusetts definition of unaccompanied youth homelessness.</w:t>
      </w:r>
    </w:p>
    <w:tbl>
      <w:tblPr>
        <w:tblStyle w:val="a8"/>
        <w:tblpPr w:leftFromText="180" w:rightFromText="180" w:topFromText="180" w:bottomFromText="180" w:vertAnchor="text"/>
        <w:tblW w:w="4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95"/>
      </w:tblGrid>
      <w:tr w:rsidR="001865E9" w14:paraId="480563A8" w14:textId="77777777">
        <w:trPr>
          <w:trHeight w:val="2145"/>
        </w:trPr>
        <w:tc>
          <w:tcPr>
            <w:tcW w:w="4695" w:type="dxa"/>
          </w:tcPr>
          <w:p w14:paraId="0E7CF7D0" w14:textId="77777777" w:rsidR="001865E9" w:rsidRDefault="00882AC1">
            <w:pPr>
              <w:widowControl w:val="0"/>
              <w:rPr>
                <w:rFonts w:ascii="Arial" w:eastAsia="Arial" w:hAnsi="Arial" w:cs="Arial"/>
                <w:sz w:val="24"/>
                <w:szCs w:val="24"/>
              </w:rPr>
            </w:pPr>
            <w:r>
              <w:rPr>
                <w:rFonts w:ascii="Arial" w:eastAsia="Arial" w:hAnsi="Arial" w:cs="Arial"/>
                <w:sz w:val="24"/>
                <w:szCs w:val="24"/>
              </w:rPr>
              <w:lastRenderedPageBreak/>
              <w:t>Massachusetts defines an unaccompanied homeless youth (UHY) as a person who:</w:t>
            </w:r>
          </w:p>
          <w:p w14:paraId="6B3B964A" w14:textId="77777777" w:rsidR="001865E9" w:rsidRDefault="00882AC1">
            <w:pPr>
              <w:widowControl w:val="0"/>
              <w:rPr>
                <w:rFonts w:ascii="Arial" w:eastAsia="Arial" w:hAnsi="Arial" w:cs="Arial"/>
                <w:sz w:val="24"/>
                <w:szCs w:val="24"/>
              </w:rPr>
            </w:pPr>
            <w:r>
              <w:rPr>
                <w:rFonts w:ascii="Arial" w:eastAsia="Arial" w:hAnsi="Arial" w:cs="Arial"/>
                <w:sz w:val="24"/>
                <w:szCs w:val="24"/>
              </w:rPr>
              <w:t>1) Is 24 years of age or younger; and</w:t>
            </w:r>
          </w:p>
          <w:p w14:paraId="680189C5" w14:textId="77777777" w:rsidR="001865E9" w:rsidRDefault="00882AC1">
            <w:pPr>
              <w:widowControl w:val="0"/>
              <w:rPr>
                <w:rFonts w:ascii="Arial" w:eastAsia="Arial" w:hAnsi="Arial" w:cs="Arial"/>
                <w:sz w:val="24"/>
                <w:szCs w:val="24"/>
              </w:rPr>
            </w:pPr>
            <w:r>
              <w:rPr>
                <w:rFonts w:ascii="Arial" w:eastAsia="Arial" w:hAnsi="Arial" w:cs="Arial"/>
                <w:sz w:val="24"/>
                <w:szCs w:val="24"/>
              </w:rPr>
              <w:t>2) Is not in the physical custody or care of a parent or legal guardian; and</w:t>
            </w:r>
          </w:p>
          <w:p w14:paraId="1E0F3232" w14:textId="77777777" w:rsidR="001865E9" w:rsidRDefault="00882AC1">
            <w:pPr>
              <w:widowControl w:val="0"/>
              <w:rPr>
                <w:rFonts w:ascii="Arial" w:eastAsia="Arial" w:hAnsi="Arial" w:cs="Arial"/>
                <w:sz w:val="24"/>
                <w:szCs w:val="24"/>
              </w:rPr>
            </w:pPr>
            <w:r>
              <w:rPr>
                <w:rFonts w:ascii="Arial" w:eastAsia="Arial" w:hAnsi="Arial" w:cs="Arial"/>
                <w:sz w:val="24"/>
                <w:szCs w:val="24"/>
              </w:rPr>
              <w:t>3) Lacks a fixed, regular, and adequate nighttime residence.</w:t>
            </w:r>
          </w:p>
        </w:tc>
      </w:tr>
    </w:tbl>
    <w:p w14:paraId="11CD066A" w14:textId="77777777" w:rsidR="001865E9" w:rsidRDefault="00882AC1">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color w:val="0D0D0D"/>
        </w:rPr>
      </w:pPr>
      <w:r>
        <w:rPr>
          <w:b/>
          <w:bCs/>
          <w:color w:val="0D0D0D"/>
          <w:sz w:val="26"/>
          <w:szCs w:val="26"/>
        </w:rPr>
        <w:t>What:</w:t>
      </w:r>
      <w:r>
        <w:rPr>
          <w:b/>
          <w:bCs/>
          <w:color w:val="0D0D0D"/>
        </w:rPr>
        <w:t xml:space="preserve"> </w:t>
      </w:r>
      <w:r>
        <w:rPr>
          <w:color w:val="0D0D0D"/>
        </w:rPr>
        <w:t>The MA Youth Count is an annual survey by the Massachusetts Commission on</w:t>
      </w:r>
    </w:p>
    <w:p w14:paraId="017BD6F2" w14:textId="77777777" w:rsidR="001865E9" w:rsidRDefault="00882AC1">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color w:val="0D0D0D"/>
        </w:rPr>
      </w:pPr>
      <w:r>
        <w:rPr>
          <w:color w:val="0D0D0D"/>
        </w:rPr>
        <w:t>Unaccompanied Homeless Youth (UHYC). It aims to understand the number, characteristics, and needs of youth experiencing homelessness in the state.</w:t>
      </w:r>
    </w:p>
    <w:p w14:paraId="06F1AB81" w14:textId="77777777" w:rsidR="001865E9" w:rsidRDefault="001865E9">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b/>
          <w:bCs/>
          <w:color w:val="0D0D0D"/>
        </w:rPr>
      </w:pPr>
    </w:p>
    <w:p w14:paraId="004D2014" w14:textId="77777777" w:rsidR="001865E9" w:rsidRDefault="00882AC1">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color w:val="0D0D0D"/>
        </w:rPr>
      </w:pPr>
      <w:r>
        <w:rPr>
          <w:b/>
          <w:bCs/>
          <w:color w:val="0D0D0D"/>
          <w:sz w:val="26"/>
          <w:szCs w:val="26"/>
        </w:rPr>
        <w:t xml:space="preserve">Why: </w:t>
      </w:r>
      <w:r>
        <w:rPr>
          <w:color w:val="0D0D0D"/>
        </w:rPr>
        <w:t>Gathering accurate data helps the UHYC make better decisions about policies, funding, and programs to prevent and end youth homelessness.</w:t>
      </w:r>
    </w:p>
    <w:p w14:paraId="29D43E53" w14:textId="77777777" w:rsidR="001865E9" w:rsidRDefault="001865E9">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b/>
          <w:bCs/>
          <w:color w:val="0D0D0D"/>
        </w:rPr>
      </w:pPr>
    </w:p>
    <w:p w14:paraId="4E67C7F0" w14:textId="77777777" w:rsidR="001865E9" w:rsidRDefault="00882AC1">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color w:val="0D0D0D"/>
        </w:rPr>
      </w:pPr>
      <w:r>
        <w:rPr>
          <w:b/>
          <w:bCs/>
          <w:color w:val="0D0D0D"/>
          <w:sz w:val="26"/>
          <w:szCs w:val="26"/>
        </w:rPr>
        <w:t>Where:</w:t>
      </w:r>
      <w:r>
        <w:rPr>
          <w:b/>
          <w:bCs/>
          <w:color w:val="0D0D0D"/>
        </w:rPr>
        <w:t xml:space="preserve"> </w:t>
      </w:r>
      <w:r>
        <w:rPr>
          <w:color w:val="0D0D0D"/>
        </w:rPr>
        <w:t>The survey covers all of Massachusetts.</w:t>
      </w:r>
    </w:p>
    <w:p w14:paraId="7E6E213B" w14:textId="77777777" w:rsidR="001865E9" w:rsidRDefault="001865E9">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b/>
          <w:bCs/>
          <w:color w:val="0D0D0D"/>
        </w:rPr>
      </w:pPr>
    </w:p>
    <w:p w14:paraId="61FDD143" w14:textId="77777777" w:rsidR="001865E9" w:rsidRDefault="00882AC1">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color w:val="0D0D0D"/>
        </w:rPr>
      </w:pPr>
      <w:r>
        <w:rPr>
          <w:b/>
          <w:bCs/>
          <w:color w:val="0D0D0D"/>
          <w:sz w:val="26"/>
          <w:szCs w:val="26"/>
        </w:rPr>
        <w:t>How:</w:t>
      </w:r>
      <w:r>
        <w:rPr>
          <w:b/>
          <w:bCs/>
          <w:color w:val="0D0D0D"/>
        </w:rPr>
        <w:t xml:space="preserve"> </w:t>
      </w:r>
      <w:r>
        <w:rPr>
          <w:color w:val="0D0D0D"/>
        </w:rPr>
        <w:t>Youth took the survey online or in person and received $20 for participating.</w:t>
      </w:r>
    </w:p>
    <w:p w14:paraId="6151E8DB" w14:textId="77777777" w:rsidR="001865E9" w:rsidRDefault="001865E9">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b/>
          <w:bCs/>
          <w:color w:val="0D0D0D"/>
        </w:rPr>
      </w:pPr>
    </w:p>
    <w:p w14:paraId="1E5EFA85" w14:textId="77777777" w:rsidR="001865E9" w:rsidRDefault="00882AC1">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rPr>
          <w:color w:val="0D0D0D"/>
        </w:rPr>
      </w:pPr>
      <w:r>
        <w:rPr>
          <w:b/>
          <w:bCs/>
          <w:color w:val="0D0D0D"/>
          <w:sz w:val="26"/>
          <w:szCs w:val="26"/>
        </w:rPr>
        <w:t>Who:</w:t>
      </w:r>
      <w:r>
        <w:rPr>
          <w:color w:val="0D0D0D"/>
        </w:rPr>
        <w:t xml:space="preserve"> In 2024 Youth Ambassadors, providers, shelters, state programs, and peers collaborated to collect 1,413 surveys from people aged 24 and under across 147 cities and towns in MA. Among them, 661 from 105 cities and towns met the MA definition of an unaccompanied homeless youth. </w:t>
      </w:r>
    </w:p>
    <w:p w14:paraId="3CBD7571" w14:textId="77777777" w:rsidR="001865E9" w:rsidRDefault="00882AC1">
      <w:pPr>
        <w:spacing w:before="240" w:after="240"/>
        <w:rPr>
          <w:b/>
          <w:bCs/>
          <w:sz w:val="28"/>
          <w:szCs w:val="28"/>
        </w:rPr>
      </w:pPr>
      <w:r>
        <w:br w:type="page"/>
      </w:r>
    </w:p>
    <w:p w14:paraId="4B4F4193" w14:textId="77777777" w:rsidR="001865E9" w:rsidRDefault="00882AC1">
      <w:pPr>
        <w:spacing w:before="240" w:after="240"/>
      </w:pPr>
      <w:r>
        <w:rPr>
          <w:b/>
          <w:bCs/>
          <w:sz w:val="28"/>
          <w:szCs w:val="28"/>
        </w:rPr>
        <w:lastRenderedPageBreak/>
        <w:t>Unaccompanied Homeless Youth (UHY): identities and experiences</w:t>
      </w:r>
    </w:p>
    <w:p w14:paraId="3A936FDB" w14:textId="77777777" w:rsidR="001865E9" w:rsidRDefault="00882AC1">
      <w:pPr>
        <w:spacing w:before="280"/>
        <w:rPr>
          <w:b/>
          <w:bCs/>
          <w:sz w:val="28"/>
          <w:szCs w:val="28"/>
          <w:u w:val="single"/>
        </w:rPr>
      </w:pPr>
      <w:r>
        <w:rPr>
          <w:b/>
          <w:bCs/>
          <w:sz w:val="28"/>
          <w:szCs w:val="28"/>
          <w:u w:val="single"/>
        </w:rPr>
        <w:t>Signs of Progress (2022-2024)</w:t>
      </w:r>
      <w:r>
        <w:rPr>
          <w:b/>
          <w:bCs/>
          <w:sz w:val="28"/>
          <w:szCs w:val="28"/>
          <w:u w:val="single"/>
          <w:vertAlign w:val="superscript"/>
        </w:rPr>
        <w:footnoteReference w:id="1"/>
      </w:r>
    </w:p>
    <w:p w14:paraId="4536FB07" w14:textId="77777777" w:rsidR="001865E9" w:rsidRDefault="00882AC1">
      <w:pPr>
        <w:rPr>
          <w:b/>
          <w:bCs/>
          <w:sz w:val="24"/>
          <w:szCs w:val="24"/>
          <w:u w:val="single"/>
        </w:rPr>
      </w:pPr>
      <w:r>
        <w:rPr>
          <w:b/>
          <w:bCs/>
          <w:i/>
          <w:iCs/>
          <w:sz w:val="24"/>
          <w:szCs w:val="24"/>
        </w:rPr>
        <w:t>Because targeted action works.</w:t>
      </w:r>
    </w:p>
    <w:p w14:paraId="6949068B" w14:textId="77777777" w:rsidR="001865E9" w:rsidRDefault="00882AC1">
      <w:pPr>
        <w:numPr>
          <w:ilvl w:val="0"/>
          <w:numId w:val="2"/>
        </w:numPr>
        <w:spacing w:before="240"/>
      </w:pPr>
      <w:r>
        <w:rPr>
          <w:b/>
          <w:bCs/>
        </w:rPr>
        <w:t>Foster Care Involvement:</w:t>
      </w:r>
      <w:r>
        <w:t xml:space="preserve"> 30.7% (down from 34.7% in 2022)</w:t>
      </w:r>
      <w:r>
        <w:br/>
      </w:r>
    </w:p>
    <w:p w14:paraId="318CFBE2" w14:textId="77777777" w:rsidR="001865E9" w:rsidRDefault="00882AC1">
      <w:pPr>
        <w:numPr>
          <w:ilvl w:val="0"/>
          <w:numId w:val="2"/>
        </w:numPr>
      </w:pPr>
      <w:r>
        <w:rPr>
          <w:b/>
          <w:bCs/>
        </w:rPr>
        <w:t>Unsheltered Youth with Foster Care History:</w:t>
      </w:r>
      <w:r>
        <w:t xml:space="preserve"> 15.8% in 2024 (down from 20% in 2022)</w:t>
      </w:r>
      <w:r>
        <w:br/>
      </w:r>
    </w:p>
    <w:p w14:paraId="08A7CA79" w14:textId="77777777" w:rsidR="001865E9" w:rsidRDefault="00882AC1">
      <w:pPr>
        <w:numPr>
          <w:ilvl w:val="0"/>
          <w:numId w:val="2"/>
        </w:numPr>
      </w:pPr>
      <w:r>
        <w:rPr>
          <w:b/>
          <w:bCs/>
        </w:rPr>
        <w:t>Juvenile/Justice System History:</w:t>
      </w:r>
      <w:r>
        <w:t xml:space="preserve"> 19.8% (down from 27% in 2022) (33% 2018)</w:t>
      </w:r>
      <w:r>
        <w:br/>
      </w:r>
    </w:p>
    <w:p w14:paraId="280F2E5E" w14:textId="77777777" w:rsidR="001865E9" w:rsidRDefault="00882AC1">
      <w:pPr>
        <w:numPr>
          <w:ilvl w:val="0"/>
          <w:numId w:val="2"/>
        </w:numPr>
        <w:spacing w:after="240"/>
      </w:pPr>
      <w:r>
        <w:rPr>
          <w:b/>
          <w:bCs/>
        </w:rPr>
        <w:t>Youth Leaving Home Before Age 18:</w:t>
      </w:r>
      <w:r>
        <w:t xml:space="preserve"> 28.1% (down from 33% in 2022)</w:t>
      </w:r>
    </w:p>
    <w:p w14:paraId="69729EA4" w14:textId="77777777" w:rsidR="001865E9" w:rsidRDefault="00882AC1">
      <w:pPr>
        <w:spacing w:before="240" w:after="240"/>
        <w:rPr>
          <w:b/>
          <w:bCs/>
          <w:color w:val="000000"/>
          <w:sz w:val="26"/>
          <w:szCs w:val="26"/>
          <w:u w:val="single"/>
        </w:rPr>
      </w:pPr>
      <w:r>
        <w:rPr>
          <w:b/>
          <w:bCs/>
          <w:u w:val="single"/>
        </w:rPr>
        <w:t xml:space="preserve">Where Youth are Sleeping the night before the count:  </w:t>
      </w:r>
      <w:r>
        <w:t>— about the same as 2022</w:t>
      </w:r>
    </w:p>
    <w:p w14:paraId="6D3CF941" w14:textId="77777777" w:rsidR="001865E9" w:rsidRDefault="00882AC1">
      <w:pPr>
        <w:numPr>
          <w:ilvl w:val="0"/>
          <w:numId w:val="5"/>
        </w:numPr>
        <w:spacing w:before="240"/>
      </w:pPr>
      <w:r>
        <w:t xml:space="preserve">49.1% sheltered (shelter, transitional housing, hotel/motel, facility) </w:t>
      </w:r>
    </w:p>
    <w:p w14:paraId="5733203B" w14:textId="77777777" w:rsidR="001865E9" w:rsidRDefault="00882AC1">
      <w:pPr>
        <w:numPr>
          <w:ilvl w:val="0"/>
          <w:numId w:val="5"/>
        </w:numPr>
      </w:pPr>
      <w:r>
        <w:t>33.4% doubled-up or couch surfing)</w:t>
      </w:r>
    </w:p>
    <w:p w14:paraId="5F686DBE" w14:textId="77777777" w:rsidR="001865E9" w:rsidRDefault="00882AC1">
      <w:pPr>
        <w:numPr>
          <w:ilvl w:val="0"/>
          <w:numId w:val="5"/>
        </w:numPr>
        <w:spacing w:after="240"/>
      </w:pPr>
      <w:r>
        <w:t>17.3% unsheltered</w:t>
      </w:r>
    </w:p>
    <w:p w14:paraId="44470AF5" w14:textId="77777777" w:rsidR="001865E9" w:rsidRDefault="00882AC1">
      <w:pPr>
        <w:spacing w:before="280"/>
        <w:rPr>
          <w:b/>
          <w:bCs/>
          <w:u w:val="single"/>
        </w:rPr>
      </w:pPr>
      <w:r>
        <w:rPr>
          <w:b/>
          <w:bCs/>
          <w:u w:val="single"/>
        </w:rPr>
        <w:t>Demographics &amp; Other Key Stats</w:t>
      </w:r>
    </w:p>
    <w:p w14:paraId="747C3949" w14:textId="77777777" w:rsidR="001865E9" w:rsidRDefault="00882AC1">
      <w:pPr>
        <w:numPr>
          <w:ilvl w:val="0"/>
          <w:numId w:val="7"/>
        </w:numPr>
        <w:spacing w:before="240"/>
      </w:pPr>
      <w:r>
        <w:rPr>
          <w:b/>
          <w:bCs/>
        </w:rPr>
        <w:t>BIPOC</w:t>
      </w:r>
      <w:r>
        <w:rPr>
          <w:b/>
          <w:bCs/>
          <w:vertAlign w:val="superscript"/>
        </w:rPr>
        <w:footnoteReference w:id="2"/>
      </w:r>
      <w:r>
        <w:rPr>
          <w:b/>
          <w:bCs/>
        </w:rPr>
        <w:t xml:space="preserve"> Youth:</w:t>
      </w:r>
      <w:r>
        <w:t xml:space="preserve"> 65% (up from 60% in 2022)</w:t>
      </w:r>
      <w:r>
        <w:br/>
      </w:r>
    </w:p>
    <w:p w14:paraId="5CAE8F04" w14:textId="77777777" w:rsidR="001865E9" w:rsidRDefault="00882AC1">
      <w:pPr>
        <w:numPr>
          <w:ilvl w:val="0"/>
          <w:numId w:val="7"/>
        </w:numPr>
      </w:pPr>
      <w:r>
        <w:rPr>
          <w:b/>
          <w:bCs/>
        </w:rPr>
        <w:t>Pregnant or Parenting:</w:t>
      </w:r>
      <w:r>
        <w:t xml:space="preserve"> 17%</w:t>
      </w:r>
      <w:r>
        <w:br/>
      </w:r>
    </w:p>
    <w:p w14:paraId="2FB18311" w14:textId="77777777" w:rsidR="001865E9" w:rsidRDefault="00882AC1">
      <w:pPr>
        <w:numPr>
          <w:ilvl w:val="0"/>
          <w:numId w:val="7"/>
        </w:numPr>
      </w:pPr>
      <w:r>
        <w:rPr>
          <w:b/>
          <w:bCs/>
        </w:rPr>
        <w:t>LGBTQ+ Identified:</w:t>
      </w:r>
      <w:r>
        <w:t xml:space="preserve"> 26%</w:t>
      </w:r>
      <w:r>
        <w:br/>
      </w:r>
    </w:p>
    <w:p w14:paraId="47FDEB42" w14:textId="77777777" w:rsidR="001865E9" w:rsidRDefault="00882AC1">
      <w:pPr>
        <w:numPr>
          <w:ilvl w:val="0"/>
          <w:numId w:val="7"/>
        </w:numPr>
      </w:pPr>
      <w:r>
        <w:rPr>
          <w:b/>
          <w:bCs/>
        </w:rPr>
        <w:t>No Income:</w:t>
      </w:r>
      <w:r>
        <w:t xml:space="preserve"> 24%</w:t>
      </w:r>
      <w:r>
        <w:br/>
      </w:r>
    </w:p>
    <w:p w14:paraId="733712C6" w14:textId="77777777" w:rsidR="001865E9" w:rsidRDefault="00882AC1">
      <w:pPr>
        <w:numPr>
          <w:ilvl w:val="0"/>
          <w:numId w:val="7"/>
        </w:numPr>
      </w:pPr>
      <w:r>
        <w:rPr>
          <w:b/>
          <w:bCs/>
        </w:rPr>
        <w:t>Dropped out of School:</w:t>
      </w:r>
      <w:r>
        <w:t xml:space="preserve"> 23%</w:t>
      </w:r>
      <w:r>
        <w:br/>
      </w:r>
    </w:p>
    <w:p w14:paraId="22D820EE" w14:textId="77777777" w:rsidR="001865E9" w:rsidRDefault="00882AC1">
      <w:pPr>
        <w:numPr>
          <w:ilvl w:val="0"/>
          <w:numId w:val="7"/>
        </w:numPr>
        <w:spacing w:after="200"/>
      </w:pPr>
      <w:r>
        <w:rPr>
          <w:b/>
          <w:bCs/>
        </w:rPr>
        <w:t>Traded sex or sexual content for basic needs:</w:t>
      </w:r>
      <w:r>
        <w:t xml:space="preserve"> 20% (with more than ¼ reporting that someone else kept the profits/money)</w:t>
      </w:r>
    </w:p>
    <w:p w14:paraId="58740C9F" w14:textId="77777777" w:rsidR="001865E9" w:rsidRDefault="001865E9">
      <w:pPr>
        <w:spacing w:before="200" w:after="240"/>
      </w:pPr>
    </w:p>
    <w:p w14:paraId="77151882" w14:textId="77777777" w:rsidR="001865E9" w:rsidRDefault="00882AC1">
      <w:pPr>
        <w:spacing w:before="240" w:after="240"/>
        <w:rPr>
          <w:b/>
          <w:bCs/>
          <w:sz w:val="32"/>
          <w:szCs w:val="32"/>
        </w:rPr>
      </w:pPr>
      <w:r>
        <w:lastRenderedPageBreak/>
        <w:br w:type="page"/>
      </w:r>
    </w:p>
    <w:p w14:paraId="7F5A30E1" w14:textId="77777777" w:rsidR="001865E9" w:rsidRDefault="001865E9">
      <w:pPr>
        <w:spacing w:before="240"/>
      </w:pPr>
    </w:p>
    <w:p w14:paraId="4212191B" w14:textId="77777777" w:rsidR="001865E9" w:rsidRDefault="00882AC1">
      <w:pPr>
        <w:spacing w:before="240" w:after="240"/>
        <w:rPr>
          <w:b/>
          <w:bCs/>
          <w:sz w:val="32"/>
          <w:szCs w:val="32"/>
        </w:rPr>
      </w:pPr>
      <w:r>
        <w:rPr>
          <w:b/>
          <w:bCs/>
          <w:sz w:val="32"/>
          <w:szCs w:val="32"/>
        </w:rPr>
        <w:t>PART I: Couch-Surfing and Identification</w:t>
      </w:r>
    </w:p>
    <w:tbl>
      <w:tblPr>
        <w:tblStyle w:val="a9"/>
        <w:tblW w:w="934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45"/>
      </w:tblGrid>
      <w:tr w:rsidR="001865E9" w14:paraId="54EECF9D" w14:textId="77777777">
        <w:trPr>
          <w:trHeight w:val="795"/>
        </w:trPr>
        <w:tc>
          <w:tcPr>
            <w:tcW w:w="9345" w:type="dxa"/>
            <w:tcMar>
              <w:top w:w="100" w:type="dxa"/>
              <w:left w:w="100" w:type="dxa"/>
              <w:bottom w:w="100" w:type="dxa"/>
              <w:right w:w="100" w:type="dxa"/>
            </w:tcMar>
          </w:tcPr>
          <w:p w14:paraId="4B59F3E7" w14:textId="77777777" w:rsidR="001865E9" w:rsidRDefault="00882AC1">
            <w:pPr>
              <w:ind w:right="20"/>
              <w:rPr>
                <w:rFonts w:ascii="Cambria" w:eastAsia="Cambria" w:hAnsi="Cambria" w:cs="Cambria"/>
                <w:b/>
                <w:bCs/>
                <w:i/>
                <w:iCs/>
                <w:color w:val="4F81BD"/>
              </w:rPr>
            </w:pPr>
            <w:r>
              <w:rPr>
                <w:rFonts w:ascii="Cambria" w:eastAsia="Cambria" w:hAnsi="Cambria" w:cs="Cambria"/>
                <w:b/>
                <w:bCs/>
                <w:i/>
                <w:iCs/>
                <w:color w:val="4F81BD"/>
              </w:rPr>
              <w:t xml:space="preserve">“When you are couch-surfing you still have walls to cover you from the weather. I didn’t understand that I was homeless.” </w:t>
            </w:r>
          </w:p>
        </w:tc>
      </w:tr>
    </w:tbl>
    <w:p w14:paraId="689FAD0C" w14:textId="77777777" w:rsidR="001865E9" w:rsidRDefault="00882AC1">
      <w:pPr>
        <w:spacing w:before="240" w:after="240"/>
      </w:pPr>
      <w:r>
        <w:rPr>
          <w:b/>
          <w:bCs/>
          <w:sz w:val="28"/>
          <w:szCs w:val="28"/>
        </w:rPr>
        <w:t>The Issue</w:t>
      </w:r>
      <w:r>
        <w:br/>
      </w:r>
      <w:r>
        <w:t>Couch-surfing and doubled up youth—those staying temporarily with friends, relatives, or acquaintances—are recognized as homeless under Massachusetts law, yet they remain largely outside the reach of federally funded housing resources as a result of prioritization. Coordinated Entry systems must allocate scarce federal dollars to the most vulnerable, which typically means youth experiencing literal homelessness.</w:t>
      </w:r>
    </w:p>
    <w:p w14:paraId="50BE9E98" w14:textId="77777777" w:rsidR="001865E9" w:rsidRDefault="00882AC1">
      <w:pPr>
        <w:spacing w:before="240" w:after="240"/>
      </w:pPr>
      <w:r>
        <w:t xml:space="preserve">In the 2024 Massachusetts Youth Count, </w:t>
      </w:r>
      <w:r>
        <w:rPr>
          <w:b/>
          <w:bCs/>
        </w:rPr>
        <w:t xml:space="preserve">one in three (220) unaccompanied homeless youth reported couch-surfing </w:t>
      </w:r>
      <w:r>
        <w:t>or being doubled-up. Many described constant moves, emotional strain, and the uncertainty of relying on short stays. Only 75 percent of these youth (162 of 220) identified as homeless—often a prerequisite for seeking help through the homelessness system, revealing how stigma, survival strategies, and self-perception can limit access to help they desperately need</w:t>
      </w:r>
      <w:r>
        <w:t>.</w:t>
      </w:r>
    </w:p>
    <w:p w14:paraId="3BD70303" w14:textId="77777777" w:rsidR="001865E9" w:rsidRDefault="00882AC1">
      <w:pPr>
        <w:spacing w:before="240" w:after="240"/>
      </w:pPr>
      <w:r>
        <w:rPr>
          <w:b/>
          <w:bCs/>
          <w:sz w:val="28"/>
          <w:szCs w:val="28"/>
        </w:rPr>
        <w:t>Who: Identity, Help-Seeking, and Who Gets Served</w:t>
      </w:r>
    </w:p>
    <w:p w14:paraId="429B631B" w14:textId="77777777" w:rsidR="001865E9" w:rsidRDefault="00882AC1">
      <w:pPr>
        <w:spacing w:before="240" w:after="240"/>
      </w:pPr>
      <w:r>
        <w:t>Youth who are couch-surfing or doubled up experience housing instability in different ways—and they engage with help differently. Youth Count data show that identifying as “homeless” is associated with higher rates of help-seeking, but it does not guarantee that help is received. Many youth who asked for help reported receiving little or none, underscoring that access is shaped not just by self-identification, but by how systems respond.</w:t>
      </w:r>
    </w:p>
    <w:p w14:paraId="5E35D48E" w14:textId="77777777" w:rsidR="001865E9" w:rsidRDefault="00882AC1">
      <w:pPr>
        <w:spacing w:before="240" w:after="240"/>
      </w:pPr>
      <w:r>
        <w:t>Identity plays a significant role in this experience. Nearly half of BIPOC youth who were couch-surfing reported gaps in access to services. Black and Multiracial youth were the most likely to ask for help and the most likely to report not receiving it. Latinx youth were the least likely to see themselves as needing help at all, suggesting that cultural norms, stigma, and past experiences influence whether youth engage with systems in the first place.</w:t>
      </w:r>
    </w:p>
    <w:p w14:paraId="52282BF1" w14:textId="77777777" w:rsidR="001865E9" w:rsidRDefault="00882AC1">
      <w:pPr>
        <w:spacing w:before="240" w:after="240"/>
        <w:rPr>
          <w:i/>
          <w:iCs/>
        </w:rPr>
      </w:pPr>
      <w:r>
        <w:t>In focus groups, many Black young adults emphasized that labels like “homeless” or “couch-surfing” mattered less than whether help was actually available. Even when they reached out, the process often felt discouraging or ineffective. These patterns suggest that inequities in access are driven not only by housing status, but by how identity shapes youth’s trust in systems—and how systems respond when youth ask for support.</w:t>
      </w:r>
    </w:p>
    <w:p w14:paraId="6A2AAD04" w14:textId="77777777" w:rsidR="001865E9" w:rsidRDefault="00882AC1">
      <w:pPr>
        <w:spacing w:before="240" w:after="240"/>
        <w:rPr>
          <w:b/>
          <w:bCs/>
        </w:rPr>
      </w:pPr>
      <w:r>
        <w:rPr>
          <w:b/>
          <w:bCs/>
        </w:rPr>
        <w:t>How Couch-Surfing Youth Report Help with Emergency Shelter by Race</w:t>
      </w:r>
    </w:p>
    <w:tbl>
      <w:tblPr>
        <w:tblStyle w:val="aa"/>
        <w:tblpPr w:leftFromText="180" w:rightFromText="180" w:topFromText="180" w:bottomFromText="180" w:vertAnchor="text" w:tblpX="45"/>
        <w:tblW w:w="7425" w:type="dxa"/>
        <w:tblBorders>
          <w:top w:val="nil"/>
          <w:left w:val="nil"/>
          <w:bottom w:val="nil"/>
          <w:right w:val="nil"/>
          <w:insideH w:val="nil"/>
          <w:insideV w:val="nil"/>
        </w:tblBorders>
        <w:tblLayout w:type="fixed"/>
        <w:tblLook w:val="0600" w:firstRow="0" w:lastRow="0" w:firstColumn="0" w:lastColumn="0" w:noHBand="1" w:noVBand="1"/>
      </w:tblPr>
      <w:tblGrid>
        <w:gridCol w:w="3045"/>
        <w:gridCol w:w="1005"/>
        <w:gridCol w:w="1140"/>
        <w:gridCol w:w="1125"/>
        <w:gridCol w:w="1110"/>
      </w:tblGrid>
      <w:tr w:rsidR="001865E9" w14:paraId="670CA317" w14:textId="77777777">
        <w:trPr>
          <w:trHeight w:val="300"/>
        </w:trPr>
        <w:tc>
          <w:tcPr>
            <w:tcW w:w="3045" w:type="dxa"/>
            <w:tcBorders>
              <w:top w:val="single" w:sz="17" w:space="0" w:color="000000"/>
              <w:left w:val="single" w:sz="17" w:space="0" w:color="000000"/>
              <w:bottom w:val="single" w:sz="4" w:space="0" w:color="000000"/>
              <w:right w:val="single" w:sz="4" w:space="0" w:color="000000"/>
            </w:tcBorders>
            <w:tcMar>
              <w:top w:w="0" w:type="dxa"/>
              <w:left w:w="40" w:type="dxa"/>
              <w:bottom w:w="0" w:type="dxa"/>
              <w:right w:w="40" w:type="dxa"/>
            </w:tcMar>
            <w:vAlign w:val="bottom"/>
          </w:tcPr>
          <w:p w14:paraId="023C64F3" w14:textId="77777777" w:rsidR="001865E9" w:rsidRDefault="00882AC1">
            <w:pPr>
              <w:widowControl w:val="0"/>
              <w:jc w:val="center"/>
              <w:rPr>
                <w:rFonts w:ascii="Calibri" w:eastAsia="Calibri" w:hAnsi="Calibri" w:cs="Calibri"/>
              </w:rPr>
            </w:pPr>
            <w:r>
              <w:rPr>
                <w:rFonts w:ascii="Calibri" w:eastAsia="Calibri" w:hAnsi="Calibri" w:cs="Calibri"/>
                <w:b/>
                <w:bCs/>
              </w:rPr>
              <w:lastRenderedPageBreak/>
              <w:t>Outcome</w:t>
            </w:r>
          </w:p>
        </w:tc>
        <w:tc>
          <w:tcPr>
            <w:tcW w:w="1005" w:type="dxa"/>
            <w:tcBorders>
              <w:top w:val="single" w:sz="17"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61F9605E" w14:textId="77777777" w:rsidR="001865E9" w:rsidRDefault="00882AC1">
            <w:pPr>
              <w:widowControl w:val="0"/>
              <w:jc w:val="center"/>
              <w:rPr>
                <w:rFonts w:ascii="Calibri" w:eastAsia="Calibri" w:hAnsi="Calibri" w:cs="Calibri"/>
              </w:rPr>
            </w:pPr>
            <w:r>
              <w:rPr>
                <w:rFonts w:ascii="Calibri" w:eastAsia="Calibri" w:hAnsi="Calibri" w:cs="Calibri"/>
                <w:b/>
                <w:bCs/>
              </w:rPr>
              <w:t>Black</w:t>
            </w:r>
          </w:p>
        </w:tc>
        <w:tc>
          <w:tcPr>
            <w:tcW w:w="1140" w:type="dxa"/>
            <w:tcBorders>
              <w:top w:val="single" w:sz="17"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36F2E8CB" w14:textId="77777777" w:rsidR="001865E9" w:rsidRDefault="00882AC1">
            <w:pPr>
              <w:widowControl w:val="0"/>
              <w:jc w:val="center"/>
              <w:rPr>
                <w:rFonts w:ascii="Calibri" w:eastAsia="Calibri" w:hAnsi="Calibri" w:cs="Calibri"/>
              </w:rPr>
            </w:pPr>
            <w:r>
              <w:rPr>
                <w:rFonts w:ascii="Calibri" w:eastAsia="Calibri" w:hAnsi="Calibri" w:cs="Calibri"/>
                <w:b/>
                <w:bCs/>
              </w:rPr>
              <w:t>Multiracial</w:t>
            </w:r>
          </w:p>
        </w:tc>
        <w:tc>
          <w:tcPr>
            <w:tcW w:w="1125" w:type="dxa"/>
            <w:tcBorders>
              <w:top w:val="single" w:sz="17"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1FD97AC8" w14:textId="77777777" w:rsidR="001865E9" w:rsidRDefault="00882AC1">
            <w:pPr>
              <w:widowControl w:val="0"/>
              <w:jc w:val="center"/>
              <w:rPr>
                <w:rFonts w:ascii="Calibri" w:eastAsia="Calibri" w:hAnsi="Calibri" w:cs="Calibri"/>
              </w:rPr>
            </w:pPr>
            <w:r>
              <w:rPr>
                <w:rFonts w:ascii="Calibri" w:eastAsia="Calibri" w:hAnsi="Calibri" w:cs="Calibri"/>
                <w:b/>
                <w:bCs/>
              </w:rPr>
              <w:t>Latinx</w:t>
            </w:r>
          </w:p>
        </w:tc>
        <w:tc>
          <w:tcPr>
            <w:tcW w:w="1110" w:type="dxa"/>
            <w:tcBorders>
              <w:top w:val="single" w:sz="17" w:space="0" w:color="000000"/>
              <w:left w:val="single" w:sz="4" w:space="0" w:color="000000"/>
              <w:bottom w:val="single" w:sz="4" w:space="0" w:color="000000"/>
              <w:right w:val="single" w:sz="17" w:space="0" w:color="000000"/>
            </w:tcBorders>
            <w:tcMar>
              <w:top w:w="0" w:type="dxa"/>
              <w:left w:w="40" w:type="dxa"/>
              <w:bottom w:w="0" w:type="dxa"/>
              <w:right w:w="40" w:type="dxa"/>
            </w:tcMar>
            <w:vAlign w:val="bottom"/>
          </w:tcPr>
          <w:p w14:paraId="7548059F" w14:textId="77777777" w:rsidR="001865E9" w:rsidRDefault="00882AC1">
            <w:pPr>
              <w:widowControl w:val="0"/>
              <w:jc w:val="center"/>
              <w:rPr>
                <w:rFonts w:ascii="Calibri" w:eastAsia="Calibri" w:hAnsi="Calibri" w:cs="Calibri"/>
              </w:rPr>
            </w:pPr>
            <w:r>
              <w:rPr>
                <w:rFonts w:ascii="Calibri" w:eastAsia="Calibri" w:hAnsi="Calibri" w:cs="Calibri"/>
                <w:b/>
                <w:bCs/>
              </w:rPr>
              <w:t>White</w:t>
            </w:r>
          </w:p>
        </w:tc>
      </w:tr>
      <w:tr w:rsidR="001865E9" w14:paraId="1CC936CD" w14:textId="77777777">
        <w:trPr>
          <w:trHeight w:val="300"/>
        </w:trPr>
        <w:tc>
          <w:tcPr>
            <w:tcW w:w="3045" w:type="dxa"/>
            <w:tcBorders>
              <w:top w:val="single" w:sz="4" w:space="0" w:color="000000"/>
              <w:left w:val="single" w:sz="17" w:space="0" w:color="000000"/>
              <w:bottom w:val="single" w:sz="4" w:space="0" w:color="000000"/>
              <w:right w:val="single" w:sz="4" w:space="0" w:color="000000"/>
            </w:tcBorders>
            <w:tcMar>
              <w:top w:w="0" w:type="dxa"/>
              <w:left w:w="40" w:type="dxa"/>
              <w:bottom w:w="0" w:type="dxa"/>
              <w:right w:w="40" w:type="dxa"/>
            </w:tcMar>
            <w:vAlign w:val="bottom"/>
          </w:tcPr>
          <w:p w14:paraId="6AD98CC8" w14:textId="77777777" w:rsidR="001865E9" w:rsidRDefault="00882AC1">
            <w:pPr>
              <w:widowControl w:val="0"/>
              <w:jc w:val="right"/>
              <w:rPr>
                <w:rFonts w:ascii="Calibri" w:eastAsia="Calibri" w:hAnsi="Calibri" w:cs="Calibri"/>
              </w:rPr>
            </w:pPr>
            <w:r>
              <w:rPr>
                <w:rFonts w:ascii="Calibri" w:eastAsia="Calibri" w:hAnsi="Calibri" w:cs="Calibri"/>
              </w:rPr>
              <w:t>Did not need help</w:t>
            </w:r>
          </w:p>
        </w:tc>
        <w:tc>
          <w:tcPr>
            <w:tcW w:w="100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36FAD648" w14:textId="77777777" w:rsidR="001865E9" w:rsidRDefault="00882AC1">
            <w:pPr>
              <w:widowControl w:val="0"/>
              <w:jc w:val="center"/>
              <w:rPr>
                <w:rFonts w:ascii="Calibri" w:eastAsia="Calibri" w:hAnsi="Calibri" w:cs="Calibri"/>
              </w:rPr>
            </w:pPr>
            <w:r>
              <w:rPr>
                <w:rFonts w:ascii="Calibri" w:eastAsia="Calibri" w:hAnsi="Calibri" w:cs="Calibri"/>
              </w:rPr>
              <w:t>20%</w:t>
            </w:r>
          </w:p>
        </w:tc>
        <w:tc>
          <w:tcPr>
            <w:tcW w:w="114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4FFB6B49" w14:textId="77777777" w:rsidR="001865E9" w:rsidRDefault="00882AC1">
            <w:pPr>
              <w:widowControl w:val="0"/>
              <w:jc w:val="center"/>
              <w:rPr>
                <w:rFonts w:ascii="Calibri" w:eastAsia="Calibri" w:hAnsi="Calibri" w:cs="Calibri"/>
              </w:rPr>
            </w:pPr>
            <w:r>
              <w:rPr>
                <w:rFonts w:ascii="Calibri" w:eastAsia="Calibri" w:hAnsi="Calibri" w:cs="Calibri"/>
              </w:rPr>
              <w:t>33%</w:t>
            </w:r>
          </w:p>
        </w:tc>
        <w:tc>
          <w:tcPr>
            <w:tcW w:w="112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7B4FB545" w14:textId="77777777" w:rsidR="001865E9" w:rsidRDefault="00882AC1">
            <w:pPr>
              <w:widowControl w:val="0"/>
              <w:jc w:val="center"/>
              <w:rPr>
                <w:rFonts w:ascii="Calibri" w:eastAsia="Calibri" w:hAnsi="Calibri" w:cs="Calibri"/>
              </w:rPr>
            </w:pPr>
            <w:r>
              <w:rPr>
                <w:rFonts w:ascii="Calibri" w:eastAsia="Calibri" w:hAnsi="Calibri" w:cs="Calibri"/>
              </w:rPr>
              <w:t>41%</w:t>
            </w:r>
          </w:p>
        </w:tc>
        <w:tc>
          <w:tcPr>
            <w:tcW w:w="1110" w:type="dxa"/>
            <w:tcBorders>
              <w:top w:val="single" w:sz="4" w:space="0" w:color="000000"/>
              <w:left w:val="single" w:sz="4" w:space="0" w:color="000000"/>
              <w:bottom w:val="single" w:sz="4" w:space="0" w:color="000000"/>
              <w:right w:val="single" w:sz="17" w:space="0" w:color="000000"/>
            </w:tcBorders>
            <w:tcMar>
              <w:top w:w="0" w:type="dxa"/>
              <w:left w:w="40" w:type="dxa"/>
              <w:bottom w:w="0" w:type="dxa"/>
              <w:right w:w="40" w:type="dxa"/>
            </w:tcMar>
            <w:vAlign w:val="bottom"/>
          </w:tcPr>
          <w:p w14:paraId="3BEA0B88" w14:textId="77777777" w:rsidR="001865E9" w:rsidRDefault="00882AC1">
            <w:pPr>
              <w:widowControl w:val="0"/>
              <w:jc w:val="center"/>
              <w:rPr>
                <w:rFonts w:ascii="Calibri" w:eastAsia="Calibri" w:hAnsi="Calibri" w:cs="Calibri"/>
              </w:rPr>
            </w:pPr>
            <w:r>
              <w:rPr>
                <w:rFonts w:ascii="Calibri" w:eastAsia="Calibri" w:hAnsi="Calibri" w:cs="Calibri"/>
              </w:rPr>
              <w:t>38%</w:t>
            </w:r>
          </w:p>
        </w:tc>
      </w:tr>
      <w:tr w:rsidR="001865E9" w14:paraId="571F713C" w14:textId="77777777">
        <w:trPr>
          <w:trHeight w:val="300"/>
        </w:trPr>
        <w:tc>
          <w:tcPr>
            <w:tcW w:w="3045" w:type="dxa"/>
            <w:tcBorders>
              <w:top w:val="single" w:sz="4" w:space="0" w:color="000000"/>
              <w:left w:val="single" w:sz="17" w:space="0" w:color="000000"/>
              <w:bottom w:val="single" w:sz="4" w:space="0" w:color="000000"/>
              <w:right w:val="single" w:sz="4" w:space="0" w:color="000000"/>
            </w:tcBorders>
            <w:tcMar>
              <w:top w:w="0" w:type="dxa"/>
              <w:left w:w="40" w:type="dxa"/>
              <w:bottom w:w="0" w:type="dxa"/>
              <w:right w:w="40" w:type="dxa"/>
            </w:tcMar>
            <w:vAlign w:val="bottom"/>
          </w:tcPr>
          <w:p w14:paraId="6E481A81" w14:textId="77777777" w:rsidR="001865E9" w:rsidRDefault="00882AC1">
            <w:pPr>
              <w:widowControl w:val="0"/>
              <w:jc w:val="right"/>
              <w:rPr>
                <w:rFonts w:ascii="Calibri" w:eastAsia="Calibri" w:hAnsi="Calibri" w:cs="Calibri"/>
              </w:rPr>
            </w:pPr>
            <w:r>
              <w:rPr>
                <w:rFonts w:ascii="Calibri" w:eastAsia="Calibri" w:hAnsi="Calibri" w:cs="Calibri"/>
              </w:rPr>
              <w:t>Needed help but did not ask</w:t>
            </w:r>
          </w:p>
        </w:tc>
        <w:tc>
          <w:tcPr>
            <w:tcW w:w="100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5F2DC45E" w14:textId="77777777" w:rsidR="001865E9" w:rsidRDefault="00882AC1">
            <w:pPr>
              <w:widowControl w:val="0"/>
              <w:jc w:val="center"/>
              <w:rPr>
                <w:rFonts w:ascii="Calibri" w:eastAsia="Calibri" w:hAnsi="Calibri" w:cs="Calibri"/>
              </w:rPr>
            </w:pPr>
            <w:r>
              <w:rPr>
                <w:rFonts w:ascii="Calibri" w:eastAsia="Calibri" w:hAnsi="Calibri" w:cs="Calibri"/>
              </w:rPr>
              <w:t>10%</w:t>
            </w:r>
          </w:p>
        </w:tc>
        <w:tc>
          <w:tcPr>
            <w:tcW w:w="114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79D32D93" w14:textId="77777777" w:rsidR="001865E9" w:rsidRDefault="00882AC1">
            <w:pPr>
              <w:widowControl w:val="0"/>
              <w:jc w:val="center"/>
              <w:rPr>
                <w:rFonts w:ascii="Calibri" w:eastAsia="Calibri" w:hAnsi="Calibri" w:cs="Calibri"/>
              </w:rPr>
            </w:pPr>
            <w:r>
              <w:rPr>
                <w:rFonts w:ascii="Calibri" w:eastAsia="Calibri" w:hAnsi="Calibri" w:cs="Calibri"/>
              </w:rPr>
              <w:t>20%</w:t>
            </w:r>
          </w:p>
        </w:tc>
        <w:tc>
          <w:tcPr>
            <w:tcW w:w="112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35886207" w14:textId="77777777" w:rsidR="001865E9" w:rsidRDefault="00882AC1">
            <w:pPr>
              <w:widowControl w:val="0"/>
              <w:jc w:val="center"/>
              <w:rPr>
                <w:rFonts w:ascii="Calibri" w:eastAsia="Calibri" w:hAnsi="Calibri" w:cs="Calibri"/>
              </w:rPr>
            </w:pPr>
            <w:r>
              <w:rPr>
                <w:rFonts w:ascii="Calibri" w:eastAsia="Calibri" w:hAnsi="Calibri" w:cs="Calibri"/>
              </w:rPr>
              <w:t>20%</w:t>
            </w:r>
          </w:p>
        </w:tc>
        <w:tc>
          <w:tcPr>
            <w:tcW w:w="1110" w:type="dxa"/>
            <w:tcBorders>
              <w:top w:val="single" w:sz="4" w:space="0" w:color="000000"/>
              <w:left w:val="single" w:sz="4" w:space="0" w:color="000000"/>
              <w:bottom w:val="single" w:sz="4" w:space="0" w:color="000000"/>
              <w:right w:val="single" w:sz="17" w:space="0" w:color="000000"/>
            </w:tcBorders>
            <w:tcMar>
              <w:top w:w="0" w:type="dxa"/>
              <w:left w:w="40" w:type="dxa"/>
              <w:bottom w:w="0" w:type="dxa"/>
              <w:right w:w="40" w:type="dxa"/>
            </w:tcMar>
            <w:vAlign w:val="bottom"/>
          </w:tcPr>
          <w:p w14:paraId="4C2589AC" w14:textId="77777777" w:rsidR="001865E9" w:rsidRDefault="00882AC1">
            <w:pPr>
              <w:widowControl w:val="0"/>
              <w:jc w:val="center"/>
              <w:rPr>
                <w:rFonts w:ascii="Calibri" w:eastAsia="Calibri" w:hAnsi="Calibri" w:cs="Calibri"/>
              </w:rPr>
            </w:pPr>
            <w:r>
              <w:rPr>
                <w:rFonts w:ascii="Calibri" w:eastAsia="Calibri" w:hAnsi="Calibri" w:cs="Calibri"/>
              </w:rPr>
              <w:t>10%</w:t>
            </w:r>
          </w:p>
        </w:tc>
      </w:tr>
      <w:tr w:rsidR="001865E9" w14:paraId="6A39B5E8" w14:textId="77777777">
        <w:trPr>
          <w:trHeight w:val="300"/>
        </w:trPr>
        <w:tc>
          <w:tcPr>
            <w:tcW w:w="3045" w:type="dxa"/>
            <w:tcBorders>
              <w:top w:val="single" w:sz="4" w:space="0" w:color="000000"/>
              <w:left w:val="single" w:sz="17" w:space="0" w:color="000000"/>
              <w:bottom w:val="single" w:sz="4" w:space="0" w:color="000000"/>
              <w:right w:val="single" w:sz="4" w:space="0" w:color="000000"/>
            </w:tcBorders>
            <w:tcMar>
              <w:top w:w="0" w:type="dxa"/>
              <w:left w:w="40" w:type="dxa"/>
              <w:bottom w:w="0" w:type="dxa"/>
              <w:right w:w="40" w:type="dxa"/>
            </w:tcMar>
            <w:vAlign w:val="bottom"/>
          </w:tcPr>
          <w:p w14:paraId="6C47FE42" w14:textId="77777777" w:rsidR="001865E9" w:rsidRDefault="00882AC1">
            <w:pPr>
              <w:widowControl w:val="0"/>
              <w:jc w:val="right"/>
              <w:rPr>
                <w:rFonts w:ascii="Calibri" w:eastAsia="Calibri" w:hAnsi="Calibri" w:cs="Calibri"/>
              </w:rPr>
            </w:pPr>
            <w:r>
              <w:rPr>
                <w:rFonts w:ascii="Calibri" w:eastAsia="Calibri" w:hAnsi="Calibri" w:cs="Calibri"/>
              </w:rPr>
              <w:t>Asked for help but received none</w:t>
            </w:r>
          </w:p>
        </w:tc>
        <w:tc>
          <w:tcPr>
            <w:tcW w:w="100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20F226A9" w14:textId="77777777" w:rsidR="001865E9" w:rsidRDefault="00882AC1">
            <w:pPr>
              <w:widowControl w:val="0"/>
              <w:jc w:val="center"/>
              <w:rPr>
                <w:rFonts w:ascii="Calibri" w:eastAsia="Calibri" w:hAnsi="Calibri" w:cs="Calibri"/>
              </w:rPr>
            </w:pPr>
            <w:r>
              <w:rPr>
                <w:rFonts w:ascii="Calibri" w:eastAsia="Calibri" w:hAnsi="Calibri" w:cs="Calibri"/>
              </w:rPr>
              <w:t>33%</w:t>
            </w:r>
          </w:p>
        </w:tc>
        <w:tc>
          <w:tcPr>
            <w:tcW w:w="114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04C1DE77" w14:textId="77777777" w:rsidR="001865E9" w:rsidRDefault="00882AC1">
            <w:pPr>
              <w:widowControl w:val="0"/>
              <w:jc w:val="center"/>
              <w:rPr>
                <w:rFonts w:ascii="Calibri" w:eastAsia="Calibri" w:hAnsi="Calibri" w:cs="Calibri"/>
              </w:rPr>
            </w:pPr>
            <w:r>
              <w:rPr>
                <w:rFonts w:ascii="Calibri" w:eastAsia="Calibri" w:hAnsi="Calibri" w:cs="Calibri"/>
              </w:rPr>
              <w:t>34%</w:t>
            </w:r>
          </w:p>
        </w:tc>
        <w:tc>
          <w:tcPr>
            <w:tcW w:w="112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1C803022" w14:textId="77777777" w:rsidR="001865E9" w:rsidRDefault="00882AC1">
            <w:pPr>
              <w:widowControl w:val="0"/>
              <w:jc w:val="center"/>
              <w:rPr>
                <w:rFonts w:ascii="Calibri" w:eastAsia="Calibri" w:hAnsi="Calibri" w:cs="Calibri"/>
              </w:rPr>
            </w:pPr>
            <w:r>
              <w:rPr>
                <w:rFonts w:ascii="Calibri" w:eastAsia="Calibri" w:hAnsi="Calibri" w:cs="Calibri"/>
              </w:rPr>
              <w:t>24%</w:t>
            </w:r>
          </w:p>
        </w:tc>
        <w:tc>
          <w:tcPr>
            <w:tcW w:w="1110" w:type="dxa"/>
            <w:tcBorders>
              <w:top w:val="single" w:sz="4" w:space="0" w:color="000000"/>
              <w:left w:val="single" w:sz="4" w:space="0" w:color="000000"/>
              <w:bottom w:val="single" w:sz="4" w:space="0" w:color="000000"/>
              <w:right w:val="single" w:sz="17" w:space="0" w:color="000000"/>
            </w:tcBorders>
            <w:tcMar>
              <w:top w:w="0" w:type="dxa"/>
              <w:left w:w="40" w:type="dxa"/>
              <w:bottom w:w="0" w:type="dxa"/>
              <w:right w:w="40" w:type="dxa"/>
            </w:tcMar>
            <w:vAlign w:val="bottom"/>
          </w:tcPr>
          <w:p w14:paraId="7CC344F7" w14:textId="77777777" w:rsidR="001865E9" w:rsidRDefault="00882AC1">
            <w:pPr>
              <w:widowControl w:val="0"/>
              <w:jc w:val="center"/>
              <w:rPr>
                <w:rFonts w:ascii="Calibri" w:eastAsia="Calibri" w:hAnsi="Calibri" w:cs="Calibri"/>
              </w:rPr>
            </w:pPr>
            <w:r>
              <w:rPr>
                <w:rFonts w:ascii="Calibri" w:eastAsia="Calibri" w:hAnsi="Calibri" w:cs="Calibri"/>
              </w:rPr>
              <w:t>18%</w:t>
            </w:r>
          </w:p>
        </w:tc>
      </w:tr>
      <w:tr w:rsidR="001865E9" w14:paraId="78E2EA69" w14:textId="77777777">
        <w:trPr>
          <w:trHeight w:val="300"/>
        </w:trPr>
        <w:tc>
          <w:tcPr>
            <w:tcW w:w="3045" w:type="dxa"/>
            <w:tcBorders>
              <w:top w:val="single" w:sz="4" w:space="0" w:color="000000"/>
              <w:left w:val="single" w:sz="17" w:space="0" w:color="000000"/>
              <w:bottom w:val="single" w:sz="4" w:space="0" w:color="000000"/>
              <w:right w:val="single" w:sz="4" w:space="0" w:color="000000"/>
            </w:tcBorders>
            <w:tcMar>
              <w:top w:w="0" w:type="dxa"/>
              <w:left w:w="40" w:type="dxa"/>
              <w:bottom w:w="0" w:type="dxa"/>
              <w:right w:w="40" w:type="dxa"/>
            </w:tcMar>
            <w:vAlign w:val="bottom"/>
          </w:tcPr>
          <w:p w14:paraId="430480FD" w14:textId="77777777" w:rsidR="001865E9" w:rsidRDefault="00882AC1">
            <w:pPr>
              <w:widowControl w:val="0"/>
              <w:jc w:val="right"/>
              <w:rPr>
                <w:rFonts w:ascii="Calibri" w:eastAsia="Calibri" w:hAnsi="Calibri" w:cs="Calibri"/>
              </w:rPr>
            </w:pPr>
            <w:r>
              <w:rPr>
                <w:rFonts w:ascii="Calibri" w:eastAsia="Calibri" w:hAnsi="Calibri" w:cs="Calibri"/>
              </w:rPr>
              <w:t>Received some help</w:t>
            </w:r>
          </w:p>
        </w:tc>
        <w:tc>
          <w:tcPr>
            <w:tcW w:w="100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1ED53F7B" w14:textId="77777777" w:rsidR="001865E9" w:rsidRDefault="00882AC1">
            <w:pPr>
              <w:widowControl w:val="0"/>
              <w:jc w:val="center"/>
              <w:rPr>
                <w:rFonts w:ascii="Calibri" w:eastAsia="Calibri" w:hAnsi="Calibri" w:cs="Calibri"/>
              </w:rPr>
            </w:pPr>
            <w:r>
              <w:rPr>
                <w:rFonts w:ascii="Calibri" w:eastAsia="Calibri" w:hAnsi="Calibri" w:cs="Calibri"/>
              </w:rPr>
              <w:t>20%</w:t>
            </w:r>
          </w:p>
        </w:tc>
        <w:tc>
          <w:tcPr>
            <w:tcW w:w="114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75F115CA" w14:textId="77777777" w:rsidR="001865E9" w:rsidRDefault="00882AC1">
            <w:pPr>
              <w:widowControl w:val="0"/>
              <w:jc w:val="center"/>
              <w:rPr>
                <w:rFonts w:ascii="Calibri" w:eastAsia="Calibri" w:hAnsi="Calibri" w:cs="Calibri"/>
              </w:rPr>
            </w:pPr>
            <w:r>
              <w:rPr>
                <w:rFonts w:ascii="Calibri" w:eastAsia="Calibri" w:hAnsi="Calibri" w:cs="Calibri"/>
              </w:rPr>
              <w:t>17%</w:t>
            </w:r>
          </w:p>
        </w:tc>
        <w:tc>
          <w:tcPr>
            <w:tcW w:w="112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3CDDEADB" w14:textId="77777777" w:rsidR="001865E9" w:rsidRDefault="00882AC1">
            <w:pPr>
              <w:widowControl w:val="0"/>
              <w:jc w:val="center"/>
              <w:rPr>
                <w:rFonts w:ascii="Calibri" w:eastAsia="Calibri" w:hAnsi="Calibri" w:cs="Calibri"/>
              </w:rPr>
            </w:pPr>
            <w:r>
              <w:rPr>
                <w:rFonts w:ascii="Calibri" w:eastAsia="Calibri" w:hAnsi="Calibri" w:cs="Calibri"/>
              </w:rPr>
              <w:t>15%</w:t>
            </w:r>
          </w:p>
        </w:tc>
        <w:tc>
          <w:tcPr>
            <w:tcW w:w="1110" w:type="dxa"/>
            <w:tcBorders>
              <w:top w:val="single" w:sz="4" w:space="0" w:color="000000"/>
              <w:left w:val="single" w:sz="4" w:space="0" w:color="000000"/>
              <w:bottom w:val="single" w:sz="4" w:space="0" w:color="000000"/>
              <w:right w:val="single" w:sz="17" w:space="0" w:color="000000"/>
            </w:tcBorders>
            <w:tcMar>
              <w:top w:w="0" w:type="dxa"/>
              <w:left w:w="40" w:type="dxa"/>
              <w:bottom w:w="0" w:type="dxa"/>
              <w:right w:w="40" w:type="dxa"/>
            </w:tcMar>
            <w:vAlign w:val="bottom"/>
          </w:tcPr>
          <w:p w14:paraId="2887B2CB" w14:textId="77777777" w:rsidR="001865E9" w:rsidRDefault="00882AC1">
            <w:pPr>
              <w:widowControl w:val="0"/>
              <w:jc w:val="center"/>
              <w:rPr>
                <w:rFonts w:ascii="Calibri" w:eastAsia="Calibri" w:hAnsi="Calibri" w:cs="Calibri"/>
              </w:rPr>
            </w:pPr>
            <w:r>
              <w:rPr>
                <w:rFonts w:ascii="Calibri" w:eastAsia="Calibri" w:hAnsi="Calibri" w:cs="Calibri"/>
              </w:rPr>
              <w:t>20%</w:t>
            </w:r>
          </w:p>
        </w:tc>
      </w:tr>
      <w:tr w:rsidR="001865E9" w14:paraId="379D5A9B" w14:textId="77777777">
        <w:trPr>
          <w:trHeight w:val="300"/>
        </w:trPr>
        <w:tc>
          <w:tcPr>
            <w:tcW w:w="3045" w:type="dxa"/>
            <w:tcBorders>
              <w:top w:val="single" w:sz="4" w:space="0" w:color="000000"/>
              <w:left w:val="single" w:sz="17" w:space="0" w:color="000000"/>
              <w:bottom w:val="single" w:sz="17" w:space="0" w:color="000000"/>
              <w:right w:val="single" w:sz="4" w:space="0" w:color="000000"/>
            </w:tcBorders>
            <w:tcMar>
              <w:top w:w="0" w:type="dxa"/>
              <w:left w:w="40" w:type="dxa"/>
              <w:bottom w:w="0" w:type="dxa"/>
              <w:right w:w="40" w:type="dxa"/>
            </w:tcMar>
            <w:vAlign w:val="bottom"/>
          </w:tcPr>
          <w:p w14:paraId="3447C817" w14:textId="77777777" w:rsidR="001865E9" w:rsidRDefault="00882AC1">
            <w:pPr>
              <w:widowControl w:val="0"/>
              <w:jc w:val="right"/>
              <w:rPr>
                <w:rFonts w:ascii="Calibri" w:eastAsia="Calibri" w:hAnsi="Calibri" w:cs="Calibri"/>
              </w:rPr>
            </w:pPr>
            <w:r>
              <w:rPr>
                <w:rFonts w:ascii="Calibri" w:eastAsia="Calibri" w:hAnsi="Calibri" w:cs="Calibri"/>
              </w:rPr>
              <w:t>Received all help needed</w:t>
            </w:r>
          </w:p>
        </w:tc>
        <w:tc>
          <w:tcPr>
            <w:tcW w:w="1005" w:type="dxa"/>
            <w:tcBorders>
              <w:top w:val="single" w:sz="4" w:space="0" w:color="000000"/>
              <w:left w:val="single" w:sz="4" w:space="0" w:color="000000"/>
              <w:bottom w:val="single" w:sz="17" w:space="0" w:color="000000"/>
              <w:right w:val="single" w:sz="4" w:space="0" w:color="000000"/>
            </w:tcBorders>
            <w:tcMar>
              <w:top w:w="0" w:type="dxa"/>
              <w:left w:w="40" w:type="dxa"/>
              <w:bottom w:w="0" w:type="dxa"/>
              <w:right w:w="40" w:type="dxa"/>
            </w:tcMar>
            <w:vAlign w:val="bottom"/>
          </w:tcPr>
          <w:p w14:paraId="40D3DD44" w14:textId="77777777" w:rsidR="001865E9" w:rsidRDefault="00882AC1">
            <w:pPr>
              <w:widowControl w:val="0"/>
              <w:jc w:val="center"/>
              <w:rPr>
                <w:rFonts w:ascii="Calibri" w:eastAsia="Calibri" w:hAnsi="Calibri" w:cs="Calibri"/>
              </w:rPr>
            </w:pPr>
            <w:r>
              <w:rPr>
                <w:rFonts w:ascii="Calibri" w:eastAsia="Calibri" w:hAnsi="Calibri" w:cs="Calibri"/>
              </w:rPr>
              <w:t>8%</w:t>
            </w:r>
          </w:p>
        </w:tc>
        <w:tc>
          <w:tcPr>
            <w:tcW w:w="1140" w:type="dxa"/>
            <w:tcBorders>
              <w:top w:val="single" w:sz="4" w:space="0" w:color="000000"/>
              <w:left w:val="single" w:sz="4" w:space="0" w:color="000000"/>
              <w:bottom w:val="single" w:sz="17" w:space="0" w:color="000000"/>
              <w:right w:val="single" w:sz="4" w:space="0" w:color="000000"/>
            </w:tcBorders>
            <w:tcMar>
              <w:top w:w="0" w:type="dxa"/>
              <w:left w:w="40" w:type="dxa"/>
              <w:bottom w:w="0" w:type="dxa"/>
              <w:right w:w="40" w:type="dxa"/>
            </w:tcMar>
            <w:vAlign w:val="bottom"/>
          </w:tcPr>
          <w:p w14:paraId="1ADC5B6A" w14:textId="77777777" w:rsidR="001865E9" w:rsidRDefault="00882AC1">
            <w:pPr>
              <w:widowControl w:val="0"/>
              <w:jc w:val="center"/>
              <w:rPr>
                <w:rFonts w:ascii="Calibri" w:eastAsia="Calibri" w:hAnsi="Calibri" w:cs="Calibri"/>
              </w:rPr>
            </w:pPr>
            <w:r>
              <w:rPr>
                <w:rFonts w:ascii="Calibri" w:eastAsia="Calibri" w:hAnsi="Calibri" w:cs="Calibri"/>
              </w:rPr>
              <w:t>6%</w:t>
            </w:r>
          </w:p>
        </w:tc>
        <w:tc>
          <w:tcPr>
            <w:tcW w:w="1125" w:type="dxa"/>
            <w:tcBorders>
              <w:top w:val="single" w:sz="4" w:space="0" w:color="000000"/>
              <w:left w:val="single" w:sz="4" w:space="0" w:color="000000"/>
              <w:bottom w:val="single" w:sz="17" w:space="0" w:color="000000"/>
              <w:right w:val="single" w:sz="4" w:space="0" w:color="000000"/>
            </w:tcBorders>
            <w:tcMar>
              <w:top w:w="0" w:type="dxa"/>
              <w:left w:w="40" w:type="dxa"/>
              <w:bottom w:w="0" w:type="dxa"/>
              <w:right w:w="40" w:type="dxa"/>
            </w:tcMar>
            <w:vAlign w:val="bottom"/>
          </w:tcPr>
          <w:p w14:paraId="12AB9F98" w14:textId="77777777" w:rsidR="001865E9" w:rsidRDefault="00882AC1">
            <w:pPr>
              <w:widowControl w:val="0"/>
              <w:jc w:val="center"/>
              <w:rPr>
                <w:rFonts w:ascii="Calibri" w:eastAsia="Calibri" w:hAnsi="Calibri" w:cs="Calibri"/>
              </w:rPr>
            </w:pPr>
            <w:r>
              <w:rPr>
                <w:rFonts w:ascii="Calibri" w:eastAsia="Calibri" w:hAnsi="Calibri" w:cs="Calibri"/>
              </w:rPr>
              <w:t>0%</w:t>
            </w:r>
          </w:p>
        </w:tc>
        <w:tc>
          <w:tcPr>
            <w:tcW w:w="1110" w:type="dxa"/>
            <w:tcBorders>
              <w:top w:val="single" w:sz="4" w:space="0" w:color="000000"/>
              <w:left w:val="single" w:sz="4" w:space="0" w:color="000000"/>
              <w:bottom w:val="single" w:sz="17" w:space="0" w:color="000000"/>
              <w:right w:val="single" w:sz="17" w:space="0" w:color="000000"/>
            </w:tcBorders>
            <w:tcMar>
              <w:top w:w="0" w:type="dxa"/>
              <w:left w:w="40" w:type="dxa"/>
              <w:bottom w:w="0" w:type="dxa"/>
              <w:right w:w="40" w:type="dxa"/>
            </w:tcMar>
            <w:vAlign w:val="bottom"/>
          </w:tcPr>
          <w:p w14:paraId="5D163287" w14:textId="77777777" w:rsidR="001865E9" w:rsidRDefault="00882AC1">
            <w:pPr>
              <w:widowControl w:val="0"/>
              <w:jc w:val="center"/>
              <w:rPr>
                <w:rFonts w:ascii="Calibri" w:eastAsia="Calibri" w:hAnsi="Calibri" w:cs="Calibri"/>
              </w:rPr>
            </w:pPr>
            <w:r>
              <w:rPr>
                <w:rFonts w:ascii="Calibri" w:eastAsia="Calibri" w:hAnsi="Calibri" w:cs="Calibri"/>
              </w:rPr>
              <w:t>14%</w:t>
            </w:r>
          </w:p>
        </w:tc>
      </w:tr>
    </w:tbl>
    <w:p w14:paraId="2AA9C5ED" w14:textId="77777777" w:rsidR="001865E9" w:rsidRDefault="001865E9">
      <w:pPr>
        <w:spacing w:before="240" w:after="240"/>
        <w:rPr>
          <w:b/>
          <w:bCs/>
          <w:sz w:val="28"/>
          <w:szCs w:val="28"/>
        </w:rPr>
      </w:pPr>
    </w:p>
    <w:p w14:paraId="4E1AD1DD" w14:textId="77777777" w:rsidR="001865E9" w:rsidRDefault="001865E9">
      <w:pPr>
        <w:spacing w:before="240" w:after="240"/>
        <w:rPr>
          <w:b/>
          <w:bCs/>
          <w:sz w:val="28"/>
          <w:szCs w:val="28"/>
        </w:rPr>
      </w:pPr>
    </w:p>
    <w:p w14:paraId="75F1F109" w14:textId="77777777" w:rsidR="001865E9" w:rsidRDefault="001865E9">
      <w:pPr>
        <w:spacing w:before="240" w:after="240"/>
        <w:rPr>
          <w:b/>
          <w:bCs/>
          <w:sz w:val="28"/>
          <w:szCs w:val="28"/>
        </w:rPr>
      </w:pPr>
    </w:p>
    <w:p w14:paraId="5DB8D9BC" w14:textId="77777777" w:rsidR="001865E9" w:rsidRDefault="001865E9">
      <w:pPr>
        <w:rPr>
          <w:b/>
          <w:bCs/>
          <w:sz w:val="28"/>
          <w:szCs w:val="28"/>
        </w:rPr>
      </w:pPr>
    </w:p>
    <w:p w14:paraId="1785D7B1" w14:textId="77777777" w:rsidR="001865E9" w:rsidRDefault="00882AC1">
      <w:pPr>
        <w:spacing w:after="240"/>
      </w:pPr>
      <w:r>
        <w:rPr>
          <w:b/>
          <w:bCs/>
          <w:sz w:val="28"/>
          <w:szCs w:val="28"/>
        </w:rPr>
        <w:t>Why It Matters</w:t>
      </w:r>
    </w:p>
    <w:tbl>
      <w:tblPr>
        <w:tblStyle w:val="ab"/>
        <w:tblW w:w="9390" w:type="dxa"/>
        <w:tblInd w:w="-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90"/>
      </w:tblGrid>
      <w:tr w:rsidR="001865E9" w14:paraId="092071F6" w14:textId="77777777">
        <w:tc>
          <w:tcPr>
            <w:tcW w:w="9390" w:type="dxa"/>
            <w:tcMar>
              <w:top w:w="100" w:type="dxa"/>
              <w:left w:w="100" w:type="dxa"/>
              <w:bottom w:w="100" w:type="dxa"/>
              <w:right w:w="100" w:type="dxa"/>
            </w:tcMar>
          </w:tcPr>
          <w:sdt>
            <w:sdtPr>
              <w:tag w:val="goog_rdk_0"/>
              <w:id w:val="780397791"/>
              <w:lock w:val="contentLocked"/>
            </w:sdtPr>
            <w:sdtEndPr/>
            <w:sdtContent>
              <w:p w14:paraId="04B06557" w14:textId="77777777" w:rsidR="001865E9" w:rsidRDefault="00882AC1">
                <w:pPr>
                  <w:jc w:val="center"/>
                  <w:rPr>
                    <w:i/>
                    <w:iCs/>
                    <w:color w:val="1155CC"/>
                    <w:sz w:val="24"/>
                    <w:szCs w:val="24"/>
                  </w:rPr>
                </w:pPr>
                <w:r>
                  <w:rPr>
                    <w:i/>
                    <w:iCs/>
                    <w:color w:val="1155CC"/>
                    <w:sz w:val="24"/>
                    <w:szCs w:val="24"/>
                  </w:rPr>
                  <w:t xml:space="preserve">“I was homeless in every sense–– except the paperwork” </w:t>
                </w:r>
              </w:p>
              <w:p w14:paraId="7E2C6B61" w14:textId="77777777" w:rsidR="001865E9" w:rsidRDefault="00882AC1">
                <w:pPr>
                  <w:jc w:val="center"/>
                  <w:rPr>
                    <w:rFonts w:ascii="Cambria" w:eastAsia="Cambria" w:hAnsi="Cambria" w:cs="Cambria"/>
                    <w:b/>
                    <w:bCs/>
                    <w:i/>
                    <w:iCs/>
                    <w:color w:val="1155CC"/>
                    <w:sz w:val="32"/>
                    <w:szCs w:val="32"/>
                  </w:rPr>
                </w:pPr>
                <w:r>
                  <w:rPr>
                    <w:i/>
                    <w:iCs/>
                    <w:color w:val="1155CC"/>
                    <w:sz w:val="24"/>
                    <w:szCs w:val="24"/>
                  </w:rPr>
                  <w:t>-—Youth Count Focus Group Participant</w:t>
                </w:r>
              </w:p>
            </w:sdtContent>
          </w:sdt>
        </w:tc>
      </w:tr>
    </w:tbl>
    <w:p w14:paraId="3CC09873" w14:textId="77777777" w:rsidR="001865E9" w:rsidRDefault="00882AC1">
      <w:pPr>
        <w:rPr>
          <w:b/>
          <w:bCs/>
        </w:rPr>
      </w:pPr>
      <w:r>
        <w:rPr>
          <w:b/>
          <w:bCs/>
        </w:rPr>
        <w:t>Resource Prioritization Limits Access</w:t>
      </w:r>
    </w:p>
    <w:p w14:paraId="43A54274" w14:textId="77777777" w:rsidR="001865E9" w:rsidRDefault="00882AC1">
      <w:r>
        <w:t>Couch-surfing youth rarely meet federal prioritization thresholds used by most Coordinated Entry Systems, which means they are unlikely to access HUD-funded housing resources. This is not a reflection of lower need, but of systems designed to direct scarce housing dollars to youth experiencing the most severe and visible forms of homelessness.</w:t>
      </w:r>
    </w:p>
    <w:p w14:paraId="35F32B57" w14:textId="77777777" w:rsidR="001865E9" w:rsidRDefault="001865E9">
      <w:pPr>
        <w:rPr>
          <w:b/>
          <w:bCs/>
        </w:rPr>
      </w:pPr>
    </w:p>
    <w:p w14:paraId="4CD28238" w14:textId="77777777" w:rsidR="001865E9" w:rsidRDefault="00882AC1">
      <w:pPr>
        <w:rPr>
          <w:b/>
          <w:bCs/>
        </w:rPr>
      </w:pPr>
      <w:r>
        <w:rPr>
          <w:b/>
          <w:bCs/>
        </w:rPr>
        <w:t>Service Design Creates Access Gaps</w:t>
      </w:r>
    </w:p>
    <w:p w14:paraId="42DA8179" w14:textId="77777777" w:rsidR="001865E9" w:rsidRDefault="00882AC1">
      <w:r>
        <w:t>Youth who are couch-surfing are less likely than youth in shelter to have their needs addressed—not because they are less vulnerable, but because services are most accessible in settings where support is built into the environment. Youth in shelter are physically connected to case management, referrals, and daily problem-solving, while couch-surfing youth must navigate fragmented systems on their own.</w:t>
      </w:r>
    </w:p>
    <w:p w14:paraId="53A5E4B5" w14:textId="77777777" w:rsidR="001865E9" w:rsidRDefault="001865E9">
      <w:pPr>
        <w:rPr>
          <w:b/>
          <w:bCs/>
        </w:rPr>
      </w:pPr>
    </w:p>
    <w:p w14:paraId="1E43E739" w14:textId="77777777" w:rsidR="001865E9" w:rsidRDefault="00882AC1">
      <w:pPr>
        <w:rPr>
          <w:b/>
          <w:bCs/>
        </w:rPr>
      </w:pPr>
      <w:r>
        <w:rPr>
          <w:b/>
          <w:bCs/>
        </w:rPr>
        <w:t>Daily Instability Has Real Consequences</w:t>
      </w:r>
    </w:p>
    <w:p w14:paraId="2E0A25AA" w14:textId="77777777" w:rsidR="001865E9" w:rsidRDefault="00882AC1">
      <w:r>
        <w:t>Couch-surfing youth reported frequent moves, uncertainty about where they will sleep, and ongoing stress. This instability disrupts school, work, health, and relationships, and makes it difficult to plan beyond the immediate future.</w:t>
      </w:r>
    </w:p>
    <w:p w14:paraId="5653A7D3" w14:textId="77777777" w:rsidR="001865E9" w:rsidRDefault="001865E9">
      <w:pPr>
        <w:rPr>
          <w:b/>
          <w:bCs/>
        </w:rPr>
      </w:pPr>
    </w:p>
    <w:p w14:paraId="625A24EA" w14:textId="77777777" w:rsidR="001865E9" w:rsidRDefault="00882AC1">
      <w:pPr>
        <w:rPr>
          <w:b/>
          <w:bCs/>
        </w:rPr>
      </w:pPr>
      <w:r>
        <w:rPr>
          <w:b/>
          <w:bCs/>
        </w:rPr>
        <w:t>Identity and Trust Shape Engagement</w:t>
      </w:r>
    </w:p>
    <w:p w14:paraId="374707FD" w14:textId="77777777" w:rsidR="001865E9" w:rsidRDefault="00882AC1">
      <w:r>
        <w:t>Many youth avoid the word “homeless,” even when their housing is unstable. While distancing from the label can reduce stigma, it can also affect whether youth seek help or see services as relevant to them. These dynamics are shaped by past experiences with systems, perceived risk, and whether youth believe support will actually be available.</w:t>
      </w:r>
    </w:p>
    <w:p w14:paraId="3B0A4CBA" w14:textId="77777777" w:rsidR="001865E9" w:rsidRDefault="001865E9">
      <w:pPr>
        <w:ind w:right="20"/>
        <w:rPr>
          <w:i/>
          <w:iCs/>
        </w:rPr>
      </w:pPr>
    </w:p>
    <w:tbl>
      <w:tblPr>
        <w:tblStyle w:val="a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865E9" w14:paraId="2CE2F694" w14:textId="77777777">
        <w:trPr>
          <w:trHeight w:val="761"/>
        </w:trPr>
        <w:tc>
          <w:tcPr>
            <w:tcW w:w="9360" w:type="dxa"/>
            <w:tcMar>
              <w:top w:w="100" w:type="dxa"/>
              <w:left w:w="100" w:type="dxa"/>
              <w:bottom w:w="100" w:type="dxa"/>
              <w:right w:w="100" w:type="dxa"/>
            </w:tcMar>
          </w:tcPr>
          <w:sdt>
            <w:sdtPr>
              <w:tag w:val="goog_rdk_1"/>
              <w:id w:val="576863903"/>
              <w:lock w:val="contentLocked"/>
            </w:sdtPr>
            <w:sdtEndPr/>
            <w:sdtContent>
              <w:p w14:paraId="152E50EB" w14:textId="77777777" w:rsidR="001865E9" w:rsidRDefault="00882AC1">
                <w:pPr>
                  <w:rPr>
                    <w:i/>
                    <w:iCs/>
                  </w:rPr>
                </w:pPr>
                <w:r>
                  <w:rPr>
                    <w:i/>
                    <w:iCs/>
                  </w:rPr>
                  <w:t>“I want to keep [the term] ‘homeless’ distant from my identity. But it limited my ability to ask for help.”</w:t>
                </w:r>
              </w:p>
            </w:sdtContent>
          </w:sdt>
        </w:tc>
      </w:tr>
    </w:tbl>
    <w:p w14:paraId="1A1A4FE1" w14:textId="77777777" w:rsidR="001865E9" w:rsidRDefault="001865E9">
      <w:pPr>
        <w:spacing w:before="240"/>
        <w:rPr>
          <w:b/>
          <w:bCs/>
        </w:rPr>
      </w:pPr>
    </w:p>
    <w:p w14:paraId="7E77227B" w14:textId="77777777" w:rsidR="001865E9" w:rsidRDefault="001865E9">
      <w:pPr>
        <w:spacing w:before="240"/>
        <w:rPr>
          <w:b/>
          <w:bCs/>
        </w:rPr>
      </w:pPr>
    </w:p>
    <w:p w14:paraId="3B72CE48" w14:textId="77777777" w:rsidR="001865E9" w:rsidRDefault="00882AC1">
      <w:pPr>
        <w:spacing w:before="240"/>
        <w:rPr>
          <w:b/>
          <w:bCs/>
        </w:rPr>
      </w:pPr>
      <w:r>
        <w:rPr>
          <w:b/>
          <w:bCs/>
        </w:rPr>
        <w:lastRenderedPageBreak/>
        <w:t>Structural Inequities Persist</w:t>
      </w:r>
    </w:p>
    <w:p w14:paraId="3E6074E7" w14:textId="77777777" w:rsidR="001865E9" w:rsidRDefault="00882AC1">
      <w:pPr>
        <w:spacing w:after="240"/>
      </w:pPr>
      <w:r>
        <w:t>For BIPOC, LGBTQ+, and immigrant youth, distrust of systems, fear of unintended consequences, and experiences of bias further limit engagement. These barriers compound existing access gaps and help explain why some youth remain disconnected even when services exist.</w:t>
      </w:r>
    </w:p>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865E9" w14:paraId="3F327886" w14:textId="77777777">
        <w:tc>
          <w:tcPr>
            <w:tcW w:w="9360" w:type="dxa"/>
            <w:tcMar>
              <w:top w:w="100" w:type="dxa"/>
              <w:left w:w="100" w:type="dxa"/>
              <w:bottom w:w="100" w:type="dxa"/>
              <w:right w:w="100" w:type="dxa"/>
            </w:tcMar>
          </w:tcPr>
          <w:p w14:paraId="1571861B" w14:textId="77777777" w:rsidR="001865E9" w:rsidRDefault="00882AC1">
            <w:pPr>
              <w:ind w:right="20"/>
              <w:rPr>
                <w:sz w:val="26"/>
                <w:szCs w:val="26"/>
              </w:rPr>
            </w:pPr>
            <w:r>
              <w:rPr>
                <w:rFonts w:ascii="Cambria" w:eastAsia="Cambria" w:hAnsi="Cambria" w:cs="Cambria"/>
                <w:b/>
                <w:bCs/>
                <w:i/>
                <w:iCs/>
                <w:color w:val="4F81BD"/>
                <w:sz w:val="26"/>
                <w:szCs w:val="26"/>
              </w:rPr>
              <w:t>“It’s a constant uneasiness... I know it’s not forever and [this place to stay] could be taken away at any moment.” —Youth Count Focus Group Participant</w:t>
            </w:r>
          </w:p>
        </w:tc>
      </w:tr>
    </w:tbl>
    <w:p w14:paraId="0E4687CC" w14:textId="77777777" w:rsidR="001865E9" w:rsidRDefault="00882AC1">
      <w:pPr>
        <w:spacing w:before="240" w:after="240"/>
      </w:pPr>
      <w:r>
        <w:rPr>
          <w:b/>
          <w:bCs/>
          <w:sz w:val="28"/>
          <w:szCs w:val="28"/>
        </w:rPr>
        <w:t>Action</w:t>
      </w:r>
      <w:r>
        <w:br/>
        <w:t>Recognizing couch-surfing youth as homeless under Massachusetts law was a crucial step, and the state maintains strong access points through Homeless Youth Services (HYS) providers. But access points alone do not guarantee access. Many YYA couch-surfing with friends, relatives, or acquaintances do not see themselves as “homeless,” and as a result they often don’t realize they can use these services. At the same time, most federally funded housing programs must prioritize youth experiencing literal homeless</w:t>
      </w:r>
      <w:r>
        <w:t>ness, leaving couch-surfing youth without meaningful pathways to housing unless or until their situation worsens.</w:t>
      </w:r>
    </w:p>
    <w:p w14:paraId="42D44BCA" w14:textId="77777777" w:rsidR="001865E9" w:rsidRDefault="00882AC1">
      <w:pPr>
        <w:spacing w:before="240" w:after="240"/>
      </w:pPr>
      <w:r>
        <w:t>To close this gap, Massachusetts must ensure that YYA understand they can seek support before entering crisis—whether they are couch-surfing, staying somewhere unsafe, or at risk of losing their housing. Outreach, communication, and low-barrier service design are essential to making these connections.</w:t>
      </w:r>
    </w:p>
    <w:p w14:paraId="656C6470" w14:textId="77777777" w:rsidR="001865E9" w:rsidRDefault="00882AC1">
      <w:pPr>
        <w:spacing w:before="240" w:after="240"/>
      </w:pPr>
      <w:r>
        <w:t>The actions below focus on expanding flexible housing options, improving access pathways, and strengthening engagement so that couch-surfing youth can receive support earlier and more effectively.</w:t>
      </w:r>
    </w:p>
    <w:p w14:paraId="0A5617A6" w14:textId="77777777" w:rsidR="001865E9" w:rsidRDefault="00882AC1">
      <w:pPr>
        <w:spacing w:before="240" w:after="240"/>
        <w:rPr>
          <w:b/>
          <w:bCs/>
        </w:rPr>
      </w:pPr>
      <w:r>
        <w:rPr>
          <w:b/>
          <w:bCs/>
        </w:rPr>
        <w:t>Expand Access Through State-Funded Pathways</w:t>
      </w:r>
    </w:p>
    <w:p w14:paraId="23D5F18E" w14:textId="77777777" w:rsidR="001865E9" w:rsidRDefault="00882AC1">
      <w:pPr>
        <w:numPr>
          <w:ilvl w:val="1"/>
          <w:numId w:val="1"/>
        </w:numPr>
        <w:pBdr>
          <w:top w:val="nil"/>
          <w:left w:val="nil"/>
          <w:bottom w:val="nil"/>
          <w:right w:val="nil"/>
          <w:between w:val="nil"/>
        </w:pBdr>
        <w:spacing w:before="240" w:after="240"/>
        <w:rPr>
          <w:color w:val="000000"/>
        </w:rPr>
      </w:pPr>
      <w:r>
        <w:t xml:space="preserve">Ensure Massachusetts Homeless Youth Services (HYS) continue serving couch-surfing </w:t>
      </w:r>
      <w:r>
        <w:t xml:space="preserve">YYA </w:t>
      </w:r>
      <w:r>
        <w:t>without requiring literal homelessness.</w:t>
      </w:r>
    </w:p>
    <w:p w14:paraId="61A09B8B" w14:textId="77777777" w:rsidR="001865E9" w:rsidRDefault="00882AC1">
      <w:pPr>
        <w:numPr>
          <w:ilvl w:val="1"/>
          <w:numId w:val="1"/>
        </w:numPr>
        <w:pBdr>
          <w:top w:val="nil"/>
          <w:left w:val="nil"/>
          <w:bottom w:val="nil"/>
          <w:right w:val="nil"/>
          <w:between w:val="nil"/>
        </w:pBdr>
        <w:spacing w:before="240" w:after="240"/>
      </w:pPr>
      <w:r>
        <w:t>Explore investments in flexible, youth-centered housing that does not rely on federal eligibility, including brief stabilization beds, host homes, transitional housing slots, and rental support for youth before crisis.</w:t>
      </w:r>
    </w:p>
    <w:p w14:paraId="697BFDDB" w14:textId="77777777" w:rsidR="001865E9" w:rsidRDefault="00882AC1">
      <w:pPr>
        <w:numPr>
          <w:ilvl w:val="1"/>
          <w:numId w:val="1"/>
        </w:numPr>
      </w:pPr>
      <w:r>
        <w:t>Expand access to housing subsidies for youth exiting DCF and explore subsidies for youth exiting DYS care.</w:t>
      </w:r>
      <w:r>
        <w:br/>
      </w:r>
    </w:p>
    <w:p w14:paraId="54C6BD02" w14:textId="77777777" w:rsidR="001865E9" w:rsidRDefault="00882AC1">
      <w:pPr>
        <w:rPr>
          <w:b/>
          <w:bCs/>
        </w:rPr>
      </w:pPr>
      <w:r>
        <w:rPr>
          <w:b/>
          <w:bCs/>
        </w:rPr>
        <w:t>Improve Service Design and Engagement</w:t>
      </w:r>
    </w:p>
    <w:p w14:paraId="674DD8A1" w14:textId="77777777" w:rsidR="001865E9" w:rsidRDefault="00882AC1">
      <w:pPr>
        <w:numPr>
          <w:ilvl w:val="1"/>
          <w:numId w:val="8"/>
        </w:numPr>
      </w:pPr>
      <w:r>
        <w:t>Use youth-friendly language that welcomes those who do not identify as homeless.</w:t>
      </w:r>
      <w:r>
        <w:br/>
      </w:r>
    </w:p>
    <w:p w14:paraId="307C8FB3" w14:textId="77777777" w:rsidR="001865E9" w:rsidRDefault="00882AC1">
      <w:pPr>
        <w:numPr>
          <w:ilvl w:val="1"/>
          <w:numId w:val="8"/>
        </w:numPr>
      </w:pPr>
      <w:r>
        <w:t>Expand mail, transportation, and telehealth supports through drop-in centers.</w:t>
      </w:r>
    </w:p>
    <w:p w14:paraId="35A19F7E" w14:textId="77777777" w:rsidR="001865E9" w:rsidRDefault="001865E9">
      <w:pPr>
        <w:ind w:left="1440"/>
      </w:pPr>
    </w:p>
    <w:p w14:paraId="147079F8" w14:textId="77777777" w:rsidR="001865E9" w:rsidRDefault="00882AC1">
      <w:pPr>
        <w:numPr>
          <w:ilvl w:val="1"/>
          <w:numId w:val="8"/>
        </w:numPr>
      </w:pPr>
      <w:r>
        <w:t xml:space="preserve">Building on the 2018 </w:t>
      </w:r>
      <w:hyperlink r:id="rId9">
        <w:r>
          <w:rPr>
            <w:i/>
            <w:iCs/>
            <w:color w:val="1155CC"/>
            <w:u w:val="single"/>
          </w:rPr>
          <w:t>MA State Plan to End Youth Homelessness</w:t>
        </w:r>
      </w:hyperlink>
      <w:r>
        <w:t>, explore having at least one state or privately funded, low-barrier young adult drop-in center in every region—either as stand-alone sites or part of existing programs. Some regions have made progress with existing resources that could inform future efforts.</w:t>
      </w:r>
      <w:r>
        <w:rPr>
          <w:b/>
          <w:bCs/>
          <w:vertAlign w:val="superscript"/>
        </w:rPr>
        <w:footnoteReference w:id="3"/>
      </w:r>
      <w:r>
        <w:rPr>
          <w:b/>
          <w:bCs/>
        </w:rPr>
        <w:t xml:space="preserve"> </w:t>
      </w:r>
    </w:p>
    <w:p w14:paraId="3A03E6BA" w14:textId="77777777" w:rsidR="001865E9" w:rsidRDefault="00882AC1">
      <w:pPr>
        <w:numPr>
          <w:ilvl w:val="1"/>
          <w:numId w:val="8"/>
        </w:numPr>
      </w:pPr>
      <w:r>
        <w:t>Continue to offer training to HYS providers in cultural humility, recognizing racial bias, and trauma-informed care.</w:t>
      </w:r>
    </w:p>
    <w:p w14:paraId="42B739EC" w14:textId="77777777" w:rsidR="001865E9" w:rsidRDefault="00882AC1">
      <w:pPr>
        <w:numPr>
          <w:ilvl w:val="1"/>
          <w:numId w:val="8"/>
        </w:numPr>
        <w:spacing w:before="240" w:after="240"/>
      </w:pPr>
      <w:r>
        <w:t>Center youth voices in shaping program language and outreach.</w:t>
      </w:r>
    </w:p>
    <w:p w14:paraId="0A35F019" w14:textId="77777777" w:rsidR="001865E9" w:rsidRDefault="001865E9">
      <w:pPr>
        <w:rPr>
          <w:b/>
          <w:bCs/>
        </w:rPr>
      </w:pPr>
    </w:p>
    <w:p w14:paraId="5248AEFF" w14:textId="77777777" w:rsidR="001865E9" w:rsidRDefault="00882AC1">
      <w:pPr>
        <w:rPr>
          <w:b/>
          <w:bCs/>
          <w:color w:val="000000"/>
        </w:rPr>
      </w:pPr>
      <w:r>
        <w:rPr>
          <w:b/>
          <w:bCs/>
          <w:color w:val="000000"/>
        </w:rPr>
        <w:t>Support Peer and Community-Based Navigation</w:t>
      </w:r>
    </w:p>
    <w:p w14:paraId="496E4427" w14:textId="77777777" w:rsidR="001865E9" w:rsidRDefault="00882AC1">
      <w:pPr>
        <w:numPr>
          <w:ilvl w:val="1"/>
          <w:numId w:val="8"/>
        </w:numPr>
      </w:pPr>
      <w:r>
        <w:t>Develop peer-to-peer models and community-based youth navigators, which are lower-cost and often more effective</w:t>
      </w:r>
    </w:p>
    <w:p w14:paraId="26396C01" w14:textId="77777777" w:rsidR="001865E9" w:rsidRDefault="00882AC1">
      <w:pPr>
        <w:pBdr>
          <w:top w:val="nil"/>
          <w:left w:val="nil"/>
          <w:bottom w:val="nil"/>
          <w:right w:val="nil"/>
          <w:between w:val="nil"/>
        </w:pBdr>
        <w:spacing w:before="240" w:after="240"/>
        <w:rPr>
          <w:b/>
          <w:bCs/>
          <w:color w:val="000000"/>
        </w:rPr>
      </w:pPr>
      <w:r>
        <w:rPr>
          <w:b/>
          <w:bCs/>
          <w:color w:val="000000"/>
        </w:rPr>
        <w:t>Expand Outreach and Awareness</w:t>
      </w:r>
    </w:p>
    <w:p w14:paraId="03F1220E" w14:textId="77777777" w:rsidR="001865E9" w:rsidRDefault="00882AC1">
      <w:pPr>
        <w:numPr>
          <w:ilvl w:val="0"/>
          <w:numId w:val="9"/>
        </w:numPr>
        <w:spacing w:before="240" w:after="240"/>
      </w:pPr>
      <w:r>
        <w:t xml:space="preserve">Massachusetts already has strong HYS access points—but many couch-surfing youth do not realize they can use them. Outreach should clearly communicate: </w:t>
      </w:r>
      <w:r>
        <w:rPr>
          <w:i/>
          <w:iCs/>
        </w:rPr>
        <w:t xml:space="preserve">You do not need to be in shelter to get help. </w:t>
      </w:r>
    </w:p>
    <w:p w14:paraId="54B435B2" w14:textId="77777777" w:rsidR="001865E9" w:rsidRDefault="00882AC1">
      <w:pPr>
        <w:numPr>
          <w:ilvl w:val="0"/>
          <w:numId w:val="9"/>
        </w:numPr>
        <w:spacing w:before="240" w:after="240"/>
      </w:pPr>
      <w:r>
        <w:t>Educate existing drop in centers and CE access points about the importance of intakes and access for all YYA under the state definition.</w:t>
      </w:r>
    </w:p>
    <w:p w14:paraId="207CD9DD" w14:textId="77777777" w:rsidR="001865E9" w:rsidRDefault="00882AC1">
      <w:pPr>
        <w:numPr>
          <w:ilvl w:val="0"/>
          <w:numId w:val="9"/>
        </w:numPr>
        <w:spacing w:before="240" w:after="240"/>
      </w:pPr>
      <w:r>
        <w:t>Include resources for youth who are couch-surfing in public awareness campaigns, and disseminate in schools, libraries, social media, and community spaces.</w:t>
      </w:r>
    </w:p>
    <w:p w14:paraId="70BEB1D9" w14:textId="77777777" w:rsidR="001865E9" w:rsidRDefault="001865E9">
      <w:pPr>
        <w:spacing w:before="240" w:after="240"/>
      </w:pPr>
    </w:p>
    <w:p w14:paraId="5EB9C55F" w14:textId="77777777" w:rsidR="001865E9" w:rsidRDefault="00882AC1">
      <w:pPr>
        <w:spacing w:before="240"/>
        <w:rPr>
          <w:b/>
          <w:bCs/>
          <w:sz w:val="28"/>
          <w:szCs w:val="28"/>
        </w:rPr>
      </w:pPr>
      <w:r>
        <w:br w:type="page"/>
      </w:r>
    </w:p>
    <w:p w14:paraId="17D5AAF3" w14:textId="77777777" w:rsidR="001865E9" w:rsidRDefault="00882AC1">
      <w:pPr>
        <w:spacing w:before="240"/>
        <w:rPr>
          <w:b/>
          <w:bCs/>
          <w:sz w:val="28"/>
          <w:szCs w:val="28"/>
        </w:rPr>
      </w:pPr>
      <w:r>
        <w:rPr>
          <w:b/>
          <w:bCs/>
          <w:sz w:val="32"/>
          <w:szCs w:val="32"/>
        </w:rPr>
        <w:lastRenderedPageBreak/>
        <w:t xml:space="preserve">PART II: </w:t>
      </w:r>
      <w:r>
        <w:rPr>
          <w:b/>
          <w:bCs/>
          <w:sz w:val="28"/>
          <w:szCs w:val="28"/>
        </w:rPr>
        <w:t xml:space="preserve"> Housing Access and Regional Disparities</w:t>
      </w:r>
    </w:p>
    <w:tbl>
      <w:tblPr>
        <w:tblStyle w:val="a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865E9" w14:paraId="7D94DA2A" w14:textId="77777777">
        <w:tc>
          <w:tcPr>
            <w:tcW w:w="9360" w:type="dxa"/>
            <w:tcMar>
              <w:top w:w="100" w:type="dxa"/>
              <w:left w:w="100" w:type="dxa"/>
              <w:bottom w:w="100" w:type="dxa"/>
              <w:right w:w="100" w:type="dxa"/>
            </w:tcMar>
          </w:tcPr>
          <w:p w14:paraId="7B0BF328" w14:textId="77777777" w:rsidR="001865E9" w:rsidRDefault="00882AC1">
            <w:pPr>
              <w:rPr>
                <w:color w:val="3C78D8"/>
              </w:rPr>
            </w:pPr>
            <w:r>
              <w:rPr>
                <w:color w:val="3C78D8"/>
              </w:rPr>
              <w:t>“I wish they understood how hard it is being out here in these streets when it's hot, when it's cold, when it's snowing…I really wish they understood everything that we're going through.”</w:t>
            </w:r>
          </w:p>
          <w:p w14:paraId="147C3F4B" w14:textId="77777777" w:rsidR="001865E9" w:rsidRDefault="00882AC1">
            <w:pPr>
              <w:rPr>
                <w:color w:val="3C78D8"/>
              </w:rPr>
            </w:pPr>
            <w:r>
              <w:rPr>
                <w:color w:val="3C78D8"/>
              </w:rPr>
              <w:t>—Youth Count Focus Group Participant</w:t>
            </w:r>
          </w:p>
        </w:tc>
      </w:tr>
    </w:tbl>
    <w:p w14:paraId="528266C2" w14:textId="77777777" w:rsidR="001865E9" w:rsidRDefault="00882AC1">
      <w:pPr>
        <w:spacing w:before="240" w:after="240"/>
      </w:pPr>
      <w:r>
        <w:rPr>
          <w:b/>
          <w:bCs/>
          <w:sz w:val="28"/>
          <w:szCs w:val="28"/>
        </w:rPr>
        <w:t>The Issue</w:t>
      </w:r>
      <w:r>
        <w:br/>
        <w:t xml:space="preserve">In spring 2024, the Massachusetts Youth Count identified 661 young people experiencing homelessness statewide—546 unaccompanied youth and 115 young parents. Of these, 114 were unsheltered and 220 were couch-surfing or doubled up.Conducted over several weeks each spring, the Youth Count engages schools, service providers, and peer outreach to reach a broader range of participants. It captures not only where youth are staying, but also their service needs, help-seeking behaviors, and barriers to access. </w:t>
      </w:r>
    </w:p>
    <w:p w14:paraId="6FACF0B9" w14:textId="77777777" w:rsidR="001865E9" w:rsidRDefault="00882AC1">
      <w:pPr>
        <w:spacing w:before="240" w:after="240"/>
      </w:pPr>
      <w:r>
        <w:t>These data provide a more complete picture than the HUD Point-in-Time (PIT) count, which captures only literal homelessness on a single night, and in January 2024 identified 564 unaccompanied youth and young adults and 401 parenting youth experiencing homelessness in Massachusetts, including only 55 unsheltered youth.</w:t>
      </w:r>
      <w:r>
        <w:rPr>
          <w:vertAlign w:val="superscript"/>
        </w:rPr>
        <w:footnoteReference w:id="4"/>
      </w:r>
      <w:r>
        <w:t xml:space="preserve">  The PIT Count does not collect data on people who are couch-surfing or doubled-up, so those who stay temporarily with others go uncounted in federal homelessness data.</w:t>
      </w:r>
    </w:p>
    <w:p w14:paraId="589BD7A6" w14:textId="77777777" w:rsidR="001865E9" w:rsidRDefault="00882AC1">
      <w:pPr>
        <w:spacing w:before="240" w:after="240"/>
      </w:pPr>
      <w:r>
        <w:t>This brief focuses on the 2024 Youth Count data to examine regional disparities in access to youth-appropriate shelter and housing.When Youth Count data are combined with PIT data and statewide HYS service data, a clear picture emerges: not only is youth homelessness undercounted, but access to youth-appropriate housing varies significantly by region.</w:t>
      </w:r>
    </w:p>
    <w:tbl>
      <w:tblPr>
        <w:tblStyle w:val="af"/>
        <w:tblW w:w="945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0"/>
      </w:tblGrid>
      <w:tr w:rsidR="001865E9" w14:paraId="1EBE0CF9" w14:textId="77777777">
        <w:tc>
          <w:tcPr>
            <w:tcW w:w="9450" w:type="dxa"/>
            <w:tcMar>
              <w:top w:w="100" w:type="dxa"/>
              <w:left w:w="100" w:type="dxa"/>
              <w:bottom w:w="100" w:type="dxa"/>
              <w:right w:w="100" w:type="dxa"/>
            </w:tcMar>
          </w:tcPr>
          <w:p w14:paraId="6DACF19D" w14:textId="77777777" w:rsidR="001865E9" w:rsidRDefault="00882AC1">
            <w:pPr>
              <w:rPr>
                <w:b/>
                <w:bCs/>
                <w:color w:val="3C78D8"/>
              </w:rPr>
            </w:pPr>
            <w:r>
              <w:rPr>
                <w:rFonts w:ascii="Roboto" w:eastAsia="Roboto" w:hAnsi="Roboto" w:cs="Roboto"/>
                <w:b/>
                <w:bCs/>
                <w:color w:val="3C78D8"/>
                <w:sz w:val="21"/>
                <w:szCs w:val="21"/>
              </w:rPr>
              <w:t>“We need more housing! You can't bus-pass your way out of homelessness."</w:t>
            </w:r>
          </w:p>
        </w:tc>
      </w:tr>
    </w:tbl>
    <w:p w14:paraId="7C046686" w14:textId="77777777" w:rsidR="001865E9" w:rsidRDefault="00882AC1">
      <w:pPr>
        <w:spacing w:before="240" w:after="240"/>
        <w:rPr>
          <w:b/>
          <w:bCs/>
          <w:sz w:val="28"/>
          <w:szCs w:val="28"/>
        </w:rPr>
      </w:pPr>
      <w:r>
        <w:rPr>
          <w:b/>
          <w:bCs/>
          <w:sz w:val="28"/>
          <w:szCs w:val="28"/>
        </w:rPr>
        <w:t>Where: Geographic Disparities in Housing Access</w:t>
      </w:r>
    </w:p>
    <w:p w14:paraId="4FDE1A1D" w14:textId="77777777" w:rsidR="001865E9" w:rsidRDefault="00882AC1">
      <w:r>
        <w:t>Regional data highlight significant variation in housing access across Massachusetts:</w:t>
      </w:r>
    </w:p>
    <w:p w14:paraId="169CB90F" w14:textId="77777777" w:rsidR="001865E9" w:rsidRDefault="001865E9"/>
    <w:tbl>
      <w:tblPr>
        <w:tblStyle w:val="af0"/>
        <w:tblW w:w="9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90"/>
        <w:gridCol w:w="975"/>
        <w:gridCol w:w="900"/>
        <w:gridCol w:w="795"/>
        <w:gridCol w:w="855"/>
        <w:gridCol w:w="1020"/>
        <w:gridCol w:w="645"/>
        <w:gridCol w:w="1275"/>
        <w:gridCol w:w="1200"/>
        <w:gridCol w:w="870"/>
      </w:tblGrid>
      <w:tr w:rsidR="001865E9" w14:paraId="7C96C40E" w14:textId="77777777">
        <w:trPr>
          <w:trHeight w:val="180"/>
        </w:trPr>
        <w:tc>
          <w:tcPr>
            <w:tcW w:w="990" w:type="dxa"/>
            <w:shd w:val="clear" w:color="auto" w:fill="000000"/>
            <w:vAlign w:val="center"/>
          </w:tcPr>
          <w:p w14:paraId="157424DB" w14:textId="77777777" w:rsidR="001865E9" w:rsidRDefault="001865E9">
            <w:pPr>
              <w:spacing w:line="288" w:lineRule="auto"/>
              <w:rPr>
                <w:rFonts w:ascii="Cambria" w:eastAsia="Cambria" w:hAnsi="Cambria" w:cs="Cambria"/>
                <w:b/>
                <w:bCs/>
                <w:color w:val="FFFFFF"/>
                <w:sz w:val="18"/>
                <w:szCs w:val="18"/>
              </w:rPr>
            </w:pPr>
          </w:p>
        </w:tc>
        <w:tc>
          <w:tcPr>
            <w:tcW w:w="975" w:type="dxa"/>
            <w:shd w:val="clear" w:color="auto" w:fill="000000"/>
            <w:vAlign w:val="center"/>
          </w:tcPr>
          <w:p w14:paraId="23B6A613" w14:textId="77777777" w:rsidR="001865E9" w:rsidRDefault="001865E9">
            <w:pPr>
              <w:spacing w:line="288" w:lineRule="auto"/>
              <w:jc w:val="center"/>
              <w:rPr>
                <w:rFonts w:ascii="Cambria" w:eastAsia="Cambria" w:hAnsi="Cambria" w:cs="Cambria"/>
                <w:b/>
                <w:bCs/>
                <w:color w:val="FFFFFF"/>
                <w:sz w:val="18"/>
                <w:szCs w:val="18"/>
              </w:rPr>
            </w:pPr>
          </w:p>
        </w:tc>
        <w:tc>
          <w:tcPr>
            <w:tcW w:w="4215" w:type="dxa"/>
            <w:gridSpan w:val="5"/>
            <w:shd w:val="clear" w:color="auto" w:fill="000000"/>
            <w:vAlign w:val="center"/>
          </w:tcPr>
          <w:p w14:paraId="310DE971" w14:textId="77777777" w:rsidR="001865E9" w:rsidRDefault="00882AC1">
            <w:pPr>
              <w:spacing w:line="288" w:lineRule="auto"/>
              <w:jc w:val="center"/>
              <w:rPr>
                <w:rFonts w:ascii="Cambria" w:eastAsia="Cambria" w:hAnsi="Cambria" w:cs="Cambria"/>
                <w:b/>
                <w:bCs/>
                <w:color w:val="FFFFFF"/>
                <w:sz w:val="18"/>
                <w:szCs w:val="18"/>
              </w:rPr>
            </w:pPr>
            <w:r>
              <w:rPr>
                <w:rFonts w:ascii="Cambria" w:eastAsia="Cambria" w:hAnsi="Cambria" w:cs="Cambria"/>
                <w:b/>
                <w:bCs/>
                <w:color w:val="FFFFFF"/>
                <w:sz w:val="18"/>
                <w:szCs w:val="18"/>
              </w:rPr>
              <w:t>Where UHY reported staying</w:t>
            </w:r>
          </w:p>
        </w:tc>
        <w:tc>
          <w:tcPr>
            <w:tcW w:w="3345" w:type="dxa"/>
            <w:gridSpan w:val="3"/>
            <w:shd w:val="clear" w:color="auto" w:fill="000000"/>
            <w:vAlign w:val="center"/>
          </w:tcPr>
          <w:p w14:paraId="7DC152EA" w14:textId="77777777" w:rsidR="001865E9" w:rsidRDefault="00882AC1">
            <w:pPr>
              <w:spacing w:line="288" w:lineRule="auto"/>
              <w:jc w:val="center"/>
              <w:rPr>
                <w:rFonts w:ascii="Cambria" w:eastAsia="Cambria" w:hAnsi="Cambria" w:cs="Cambria"/>
                <w:b/>
                <w:bCs/>
                <w:color w:val="FFFFFF"/>
                <w:sz w:val="18"/>
                <w:szCs w:val="18"/>
              </w:rPr>
            </w:pPr>
            <w:r>
              <w:rPr>
                <w:rFonts w:ascii="Cambria" w:eastAsia="Cambria" w:hAnsi="Cambria" w:cs="Cambria"/>
                <w:b/>
                <w:bCs/>
                <w:color w:val="FFFFFF"/>
                <w:sz w:val="18"/>
                <w:szCs w:val="18"/>
              </w:rPr>
              <w:t>Where UHY reported not receiving help</w:t>
            </w:r>
          </w:p>
        </w:tc>
      </w:tr>
      <w:tr w:rsidR="001865E9" w14:paraId="10383B9C" w14:textId="77777777">
        <w:trPr>
          <w:trHeight w:val="20"/>
        </w:trPr>
        <w:tc>
          <w:tcPr>
            <w:tcW w:w="990" w:type="dxa"/>
            <w:shd w:val="clear" w:color="auto" w:fill="000000"/>
            <w:vAlign w:val="center"/>
          </w:tcPr>
          <w:p w14:paraId="3EEC4067" w14:textId="77777777" w:rsidR="001865E9" w:rsidRDefault="00882AC1">
            <w:pPr>
              <w:spacing w:line="288" w:lineRule="auto"/>
              <w:rPr>
                <w:rFonts w:ascii="Cambria" w:eastAsia="Cambria" w:hAnsi="Cambria" w:cs="Cambria"/>
                <w:b/>
                <w:bCs/>
                <w:color w:val="FFFFFF"/>
                <w:sz w:val="18"/>
                <w:szCs w:val="18"/>
              </w:rPr>
            </w:pPr>
            <w:r>
              <w:rPr>
                <w:rFonts w:ascii="Cambria" w:eastAsia="Cambria" w:hAnsi="Cambria" w:cs="Cambria"/>
                <w:b/>
                <w:bCs/>
                <w:color w:val="FFFFFF"/>
                <w:sz w:val="18"/>
                <w:szCs w:val="18"/>
              </w:rPr>
              <w:t xml:space="preserve">Region </w:t>
            </w:r>
          </w:p>
        </w:tc>
        <w:tc>
          <w:tcPr>
            <w:tcW w:w="975" w:type="dxa"/>
            <w:shd w:val="clear" w:color="auto" w:fill="000000"/>
            <w:vAlign w:val="center"/>
          </w:tcPr>
          <w:p w14:paraId="086F77E1" w14:textId="77777777" w:rsidR="001865E9" w:rsidRDefault="00882AC1">
            <w:pPr>
              <w:spacing w:line="288" w:lineRule="auto"/>
              <w:jc w:val="center"/>
              <w:rPr>
                <w:rFonts w:ascii="Cambria" w:eastAsia="Cambria" w:hAnsi="Cambria" w:cs="Cambria"/>
                <w:b/>
                <w:bCs/>
                <w:color w:val="FFFFFF"/>
                <w:sz w:val="18"/>
                <w:szCs w:val="18"/>
              </w:rPr>
            </w:pPr>
            <w:r>
              <w:rPr>
                <w:rFonts w:ascii="Cambria" w:eastAsia="Cambria" w:hAnsi="Cambria" w:cs="Cambria"/>
                <w:b/>
                <w:bCs/>
                <w:color w:val="FFFFFF"/>
                <w:sz w:val="18"/>
                <w:szCs w:val="18"/>
              </w:rPr>
              <w:t>2024 UHY (n=661)</w:t>
            </w:r>
          </w:p>
        </w:tc>
        <w:tc>
          <w:tcPr>
            <w:tcW w:w="900" w:type="dxa"/>
            <w:shd w:val="clear" w:color="auto" w:fill="000000"/>
            <w:vAlign w:val="center"/>
          </w:tcPr>
          <w:p w14:paraId="375698A7" w14:textId="77777777" w:rsidR="001865E9" w:rsidRDefault="00882AC1">
            <w:pPr>
              <w:spacing w:line="288" w:lineRule="auto"/>
              <w:jc w:val="center"/>
              <w:rPr>
                <w:rFonts w:ascii="Cambria" w:eastAsia="Cambria" w:hAnsi="Cambria" w:cs="Cambria"/>
                <w:b/>
                <w:bCs/>
                <w:color w:val="FFFFFF"/>
                <w:sz w:val="18"/>
                <w:szCs w:val="18"/>
              </w:rPr>
            </w:pPr>
            <w:r>
              <w:rPr>
                <w:rFonts w:ascii="Cambria" w:eastAsia="Cambria" w:hAnsi="Cambria" w:cs="Cambria"/>
                <w:b/>
                <w:bCs/>
                <w:color w:val="FFFFFF"/>
                <w:sz w:val="18"/>
                <w:szCs w:val="18"/>
              </w:rPr>
              <w:t>Un- sheltered</w:t>
            </w:r>
          </w:p>
        </w:tc>
        <w:tc>
          <w:tcPr>
            <w:tcW w:w="795" w:type="dxa"/>
            <w:shd w:val="clear" w:color="auto" w:fill="000000"/>
            <w:vAlign w:val="center"/>
          </w:tcPr>
          <w:p w14:paraId="102B1510" w14:textId="77777777" w:rsidR="001865E9" w:rsidRDefault="00882AC1">
            <w:pPr>
              <w:spacing w:line="288" w:lineRule="auto"/>
              <w:jc w:val="center"/>
              <w:rPr>
                <w:rFonts w:ascii="Cambria" w:eastAsia="Cambria" w:hAnsi="Cambria" w:cs="Cambria"/>
                <w:b/>
                <w:bCs/>
                <w:color w:val="FFFFFF"/>
                <w:sz w:val="18"/>
                <w:szCs w:val="18"/>
              </w:rPr>
            </w:pPr>
            <w:r>
              <w:rPr>
                <w:rFonts w:ascii="Cambria" w:eastAsia="Cambria" w:hAnsi="Cambria" w:cs="Cambria"/>
                <w:b/>
                <w:bCs/>
                <w:color w:val="FFFFFF"/>
                <w:sz w:val="18"/>
                <w:szCs w:val="18"/>
              </w:rPr>
              <w:t>Shelter</w:t>
            </w:r>
          </w:p>
        </w:tc>
        <w:tc>
          <w:tcPr>
            <w:tcW w:w="855" w:type="dxa"/>
            <w:shd w:val="clear" w:color="auto" w:fill="000000"/>
            <w:vAlign w:val="center"/>
          </w:tcPr>
          <w:p w14:paraId="5FD3CAD9" w14:textId="77777777" w:rsidR="001865E9" w:rsidRDefault="00882AC1">
            <w:pPr>
              <w:spacing w:line="288" w:lineRule="auto"/>
              <w:jc w:val="center"/>
              <w:rPr>
                <w:rFonts w:ascii="Cambria" w:eastAsia="Cambria" w:hAnsi="Cambria" w:cs="Cambria"/>
                <w:b/>
                <w:bCs/>
                <w:color w:val="FFFFFF"/>
                <w:sz w:val="18"/>
                <w:szCs w:val="18"/>
              </w:rPr>
            </w:pPr>
            <w:r>
              <w:rPr>
                <w:rFonts w:ascii="Cambria" w:eastAsia="Cambria" w:hAnsi="Cambria" w:cs="Cambria"/>
                <w:b/>
                <w:bCs/>
                <w:color w:val="FFFFFF"/>
                <w:sz w:val="18"/>
                <w:szCs w:val="18"/>
              </w:rPr>
              <w:t>Transitional</w:t>
            </w:r>
          </w:p>
        </w:tc>
        <w:tc>
          <w:tcPr>
            <w:tcW w:w="1020" w:type="dxa"/>
            <w:shd w:val="clear" w:color="auto" w:fill="000000"/>
            <w:vAlign w:val="center"/>
          </w:tcPr>
          <w:p w14:paraId="5B19BDF9" w14:textId="77777777" w:rsidR="001865E9" w:rsidRDefault="00882AC1">
            <w:pPr>
              <w:spacing w:line="288" w:lineRule="auto"/>
              <w:jc w:val="center"/>
              <w:rPr>
                <w:rFonts w:ascii="Cambria" w:eastAsia="Cambria" w:hAnsi="Cambria" w:cs="Cambria"/>
                <w:b/>
                <w:bCs/>
                <w:color w:val="FFFFFF"/>
                <w:sz w:val="18"/>
                <w:szCs w:val="18"/>
              </w:rPr>
            </w:pPr>
            <w:r>
              <w:rPr>
                <w:rFonts w:ascii="Cambria" w:eastAsia="Cambria" w:hAnsi="Cambria" w:cs="Cambria"/>
                <w:b/>
                <w:bCs/>
                <w:color w:val="FFFFFF"/>
                <w:sz w:val="18"/>
                <w:szCs w:val="18"/>
              </w:rPr>
              <w:t>Doubled Up/Couch Surfing</w:t>
            </w:r>
          </w:p>
        </w:tc>
        <w:tc>
          <w:tcPr>
            <w:tcW w:w="645" w:type="dxa"/>
            <w:shd w:val="clear" w:color="auto" w:fill="000000"/>
            <w:vAlign w:val="center"/>
          </w:tcPr>
          <w:p w14:paraId="0599DCD1" w14:textId="77777777" w:rsidR="001865E9" w:rsidRDefault="00882AC1">
            <w:pPr>
              <w:spacing w:line="288" w:lineRule="auto"/>
              <w:jc w:val="center"/>
              <w:rPr>
                <w:rFonts w:ascii="Cambria" w:eastAsia="Cambria" w:hAnsi="Cambria" w:cs="Cambria"/>
                <w:b/>
                <w:bCs/>
                <w:color w:val="FFFFFF"/>
                <w:sz w:val="18"/>
                <w:szCs w:val="18"/>
              </w:rPr>
            </w:pPr>
            <w:r>
              <w:rPr>
                <w:rFonts w:ascii="Cambria" w:eastAsia="Cambria" w:hAnsi="Cambria" w:cs="Cambria"/>
                <w:b/>
                <w:bCs/>
                <w:color w:val="FFFFFF"/>
                <w:sz w:val="18"/>
                <w:szCs w:val="18"/>
              </w:rPr>
              <w:t>Other</w:t>
            </w:r>
          </w:p>
        </w:tc>
        <w:tc>
          <w:tcPr>
            <w:tcW w:w="1275" w:type="dxa"/>
            <w:shd w:val="clear" w:color="auto" w:fill="000000"/>
            <w:vAlign w:val="center"/>
          </w:tcPr>
          <w:p w14:paraId="7AB8EBDB" w14:textId="77777777" w:rsidR="001865E9" w:rsidRDefault="00882AC1">
            <w:pPr>
              <w:spacing w:line="288" w:lineRule="auto"/>
              <w:jc w:val="center"/>
              <w:rPr>
                <w:rFonts w:ascii="Cambria" w:eastAsia="Cambria" w:hAnsi="Cambria" w:cs="Cambria"/>
                <w:b/>
                <w:bCs/>
                <w:color w:val="FFFFFF"/>
                <w:sz w:val="18"/>
                <w:szCs w:val="18"/>
              </w:rPr>
            </w:pPr>
            <w:r>
              <w:rPr>
                <w:rFonts w:ascii="Cambria" w:eastAsia="Cambria" w:hAnsi="Cambria" w:cs="Cambria"/>
                <w:b/>
                <w:bCs/>
                <w:color w:val="FFFFFF"/>
                <w:sz w:val="18"/>
                <w:szCs w:val="18"/>
              </w:rPr>
              <w:t>No help with shelter</w:t>
            </w:r>
          </w:p>
        </w:tc>
        <w:tc>
          <w:tcPr>
            <w:tcW w:w="1200" w:type="dxa"/>
            <w:shd w:val="clear" w:color="auto" w:fill="000000"/>
            <w:vAlign w:val="center"/>
          </w:tcPr>
          <w:p w14:paraId="233D17A9" w14:textId="77777777" w:rsidR="001865E9" w:rsidRDefault="00882AC1">
            <w:pPr>
              <w:spacing w:line="288" w:lineRule="auto"/>
              <w:jc w:val="center"/>
              <w:rPr>
                <w:rFonts w:ascii="Cambria" w:eastAsia="Cambria" w:hAnsi="Cambria" w:cs="Cambria"/>
                <w:b/>
                <w:bCs/>
                <w:color w:val="FFFFFF"/>
                <w:sz w:val="18"/>
                <w:szCs w:val="18"/>
              </w:rPr>
            </w:pPr>
            <w:r>
              <w:rPr>
                <w:rFonts w:ascii="Cambria" w:eastAsia="Cambria" w:hAnsi="Cambria" w:cs="Cambria"/>
                <w:b/>
                <w:bCs/>
                <w:color w:val="FFFFFF"/>
                <w:sz w:val="18"/>
                <w:szCs w:val="18"/>
              </w:rPr>
              <w:t>No help with transitional housing</w:t>
            </w:r>
          </w:p>
        </w:tc>
        <w:tc>
          <w:tcPr>
            <w:tcW w:w="870" w:type="dxa"/>
            <w:shd w:val="clear" w:color="auto" w:fill="000000"/>
            <w:vAlign w:val="center"/>
          </w:tcPr>
          <w:p w14:paraId="79C185D5" w14:textId="77777777" w:rsidR="001865E9" w:rsidRDefault="00882AC1">
            <w:pPr>
              <w:spacing w:line="288" w:lineRule="auto"/>
              <w:jc w:val="center"/>
              <w:rPr>
                <w:rFonts w:ascii="Cambria" w:eastAsia="Cambria" w:hAnsi="Cambria" w:cs="Cambria"/>
                <w:b/>
                <w:bCs/>
                <w:color w:val="FFFFFF"/>
                <w:sz w:val="18"/>
                <w:szCs w:val="18"/>
              </w:rPr>
            </w:pPr>
            <w:r>
              <w:rPr>
                <w:rFonts w:ascii="Cambria" w:eastAsia="Cambria" w:hAnsi="Cambria" w:cs="Cambria"/>
                <w:b/>
                <w:bCs/>
                <w:color w:val="FFFFFF"/>
                <w:sz w:val="18"/>
                <w:szCs w:val="18"/>
              </w:rPr>
              <w:t>No help with long- term housing</w:t>
            </w:r>
          </w:p>
        </w:tc>
      </w:tr>
      <w:tr w:rsidR="001865E9" w14:paraId="185DF4FB" w14:textId="77777777">
        <w:trPr>
          <w:trHeight w:val="20"/>
        </w:trPr>
        <w:tc>
          <w:tcPr>
            <w:tcW w:w="990" w:type="dxa"/>
          </w:tcPr>
          <w:p w14:paraId="585393A1" w14:textId="77777777" w:rsidR="001865E9" w:rsidRDefault="00882AC1">
            <w:pPr>
              <w:spacing w:line="288" w:lineRule="auto"/>
              <w:rPr>
                <w:rFonts w:ascii="Cambria" w:eastAsia="Cambria" w:hAnsi="Cambria" w:cs="Cambria"/>
                <w:b/>
                <w:bCs/>
                <w:sz w:val="18"/>
                <w:szCs w:val="18"/>
              </w:rPr>
            </w:pPr>
            <w:r>
              <w:rPr>
                <w:rFonts w:ascii="Cambria" w:eastAsia="Cambria" w:hAnsi="Cambria" w:cs="Cambria"/>
                <w:b/>
                <w:bCs/>
                <w:sz w:val="18"/>
                <w:szCs w:val="18"/>
              </w:rPr>
              <w:t>Metro Boston</w:t>
            </w:r>
          </w:p>
        </w:tc>
        <w:tc>
          <w:tcPr>
            <w:tcW w:w="975" w:type="dxa"/>
            <w:vAlign w:val="center"/>
          </w:tcPr>
          <w:p w14:paraId="19537E07" w14:textId="77777777" w:rsidR="001865E9" w:rsidRDefault="00882AC1">
            <w:pPr>
              <w:spacing w:line="288" w:lineRule="auto"/>
              <w:jc w:val="center"/>
              <w:rPr>
                <w:rFonts w:ascii="Cambria" w:eastAsia="Cambria" w:hAnsi="Cambria" w:cs="Cambria"/>
                <w:sz w:val="18"/>
                <w:szCs w:val="18"/>
              </w:rPr>
            </w:pPr>
            <w:r>
              <w:rPr>
                <w:rFonts w:ascii="Cambria" w:eastAsia="Cambria" w:hAnsi="Cambria" w:cs="Cambria"/>
                <w:sz w:val="18"/>
                <w:szCs w:val="18"/>
              </w:rPr>
              <w:t>164</w:t>
            </w:r>
          </w:p>
        </w:tc>
        <w:tc>
          <w:tcPr>
            <w:tcW w:w="900" w:type="dxa"/>
            <w:vAlign w:val="center"/>
          </w:tcPr>
          <w:p w14:paraId="331693A8"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13%</w:t>
            </w:r>
          </w:p>
        </w:tc>
        <w:tc>
          <w:tcPr>
            <w:tcW w:w="795" w:type="dxa"/>
            <w:vAlign w:val="center"/>
          </w:tcPr>
          <w:p w14:paraId="042B67F4"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37%</w:t>
            </w:r>
          </w:p>
        </w:tc>
        <w:tc>
          <w:tcPr>
            <w:tcW w:w="855" w:type="dxa"/>
            <w:vAlign w:val="center"/>
          </w:tcPr>
          <w:p w14:paraId="103FBFE7"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15%</w:t>
            </w:r>
          </w:p>
        </w:tc>
        <w:tc>
          <w:tcPr>
            <w:tcW w:w="1020" w:type="dxa"/>
            <w:vAlign w:val="center"/>
          </w:tcPr>
          <w:p w14:paraId="78B1C699"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28%</w:t>
            </w:r>
          </w:p>
        </w:tc>
        <w:tc>
          <w:tcPr>
            <w:tcW w:w="645" w:type="dxa"/>
            <w:vAlign w:val="center"/>
          </w:tcPr>
          <w:p w14:paraId="571CD8F0"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7%</w:t>
            </w:r>
          </w:p>
        </w:tc>
        <w:tc>
          <w:tcPr>
            <w:tcW w:w="1275" w:type="dxa"/>
            <w:vAlign w:val="center"/>
          </w:tcPr>
          <w:p w14:paraId="08BB44AF"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23%</w:t>
            </w:r>
          </w:p>
        </w:tc>
        <w:tc>
          <w:tcPr>
            <w:tcW w:w="1200" w:type="dxa"/>
            <w:vAlign w:val="center"/>
          </w:tcPr>
          <w:p w14:paraId="1346AAB8"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27%</w:t>
            </w:r>
          </w:p>
        </w:tc>
        <w:tc>
          <w:tcPr>
            <w:tcW w:w="870" w:type="dxa"/>
            <w:vAlign w:val="center"/>
          </w:tcPr>
          <w:p w14:paraId="191010B7"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42%</w:t>
            </w:r>
          </w:p>
        </w:tc>
      </w:tr>
      <w:tr w:rsidR="001865E9" w14:paraId="45AA3C29" w14:textId="77777777">
        <w:trPr>
          <w:trHeight w:val="20"/>
        </w:trPr>
        <w:tc>
          <w:tcPr>
            <w:tcW w:w="990" w:type="dxa"/>
          </w:tcPr>
          <w:p w14:paraId="678BF302" w14:textId="77777777" w:rsidR="001865E9" w:rsidRDefault="00882AC1">
            <w:pPr>
              <w:spacing w:line="288" w:lineRule="auto"/>
              <w:rPr>
                <w:rFonts w:ascii="Cambria" w:eastAsia="Cambria" w:hAnsi="Cambria" w:cs="Cambria"/>
                <w:b/>
                <w:bCs/>
                <w:sz w:val="18"/>
                <w:szCs w:val="18"/>
              </w:rPr>
            </w:pPr>
            <w:r>
              <w:rPr>
                <w:rFonts w:ascii="Cambria" w:eastAsia="Cambria" w:hAnsi="Cambria" w:cs="Cambria"/>
                <w:b/>
                <w:bCs/>
                <w:sz w:val="18"/>
                <w:szCs w:val="18"/>
              </w:rPr>
              <w:t>Bristol</w:t>
            </w:r>
          </w:p>
        </w:tc>
        <w:tc>
          <w:tcPr>
            <w:tcW w:w="975" w:type="dxa"/>
            <w:vAlign w:val="center"/>
          </w:tcPr>
          <w:p w14:paraId="7EF68BE8" w14:textId="77777777" w:rsidR="001865E9" w:rsidRDefault="00882AC1">
            <w:pPr>
              <w:spacing w:line="288" w:lineRule="auto"/>
              <w:jc w:val="center"/>
              <w:rPr>
                <w:rFonts w:ascii="Cambria" w:eastAsia="Cambria" w:hAnsi="Cambria" w:cs="Cambria"/>
                <w:sz w:val="18"/>
                <w:szCs w:val="18"/>
              </w:rPr>
            </w:pPr>
            <w:r>
              <w:rPr>
                <w:rFonts w:ascii="Cambria" w:eastAsia="Cambria" w:hAnsi="Cambria" w:cs="Cambria"/>
                <w:sz w:val="18"/>
                <w:szCs w:val="18"/>
              </w:rPr>
              <w:t>108</w:t>
            </w:r>
          </w:p>
        </w:tc>
        <w:tc>
          <w:tcPr>
            <w:tcW w:w="900" w:type="dxa"/>
            <w:shd w:val="clear" w:color="auto" w:fill="FFFF00"/>
            <w:vAlign w:val="center"/>
          </w:tcPr>
          <w:p w14:paraId="536250F8"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19%</w:t>
            </w:r>
          </w:p>
        </w:tc>
        <w:tc>
          <w:tcPr>
            <w:tcW w:w="795" w:type="dxa"/>
            <w:vAlign w:val="center"/>
          </w:tcPr>
          <w:p w14:paraId="7DC92683"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21%</w:t>
            </w:r>
          </w:p>
        </w:tc>
        <w:tc>
          <w:tcPr>
            <w:tcW w:w="855" w:type="dxa"/>
            <w:vAlign w:val="center"/>
          </w:tcPr>
          <w:p w14:paraId="28D7696D"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9%</w:t>
            </w:r>
          </w:p>
        </w:tc>
        <w:tc>
          <w:tcPr>
            <w:tcW w:w="1020" w:type="dxa"/>
            <w:shd w:val="clear" w:color="auto" w:fill="FFFF00"/>
            <w:vAlign w:val="center"/>
          </w:tcPr>
          <w:p w14:paraId="6AF43B8F"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44%</w:t>
            </w:r>
          </w:p>
        </w:tc>
        <w:tc>
          <w:tcPr>
            <w:tcW w:w="645" w:type="dxa"/>
            <w:vAlign w:val="center"/>
          </w:tcPr>
          <w:p w14:paraId="369DC94C"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7%</w:t>
            </w:r>
          </w:p>
        </w:tc>
        <w:tc>
          <w:tcPr>
            <w:tcW w:w="1275" w:type="dxa"/>
            <w:shd w:val="clear" w:color="auto" w:fill="FFFF00"/>
            <w:vAlign w:val="center"/>
          </w:tcPr>
          <w:p w14:paraId="5E403542"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28%</w:t>
            </w:r>
          </w:p>
        </w:tc>
        <w:tc>
          <w:tcPr>
            <w:tcW w:w="1200" w:type="dxa"/>
            <w:shd w:val="clear" w:color="auto" w:fill="FFFF00"/>
            <w:vAlign w:val="center"/>
          </w:tcPr>
          <w:p w14:paraId="60481E35"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38%</w:t>
            </w:r>
          </w:p>
        </w:tc>
        <w:tc>
          <w:tcPr>
            <w:tcW w:w="870" w:type="dxa"/>
            <w:shd w:val="clear" w:color="auto" w:fill="FFFF00"/>
            <w:vAlign w:val="center"/>
          </w:tcPr>
          <w:p w14:paraId="49BBD369"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50%</w:t>
            </w:r>
          </w:p>
        </w:tc>
      </w:tr>
      <w:tr w:rsidR="001865E9" w14:paraId="0FFAA409" w14:textId="77777777">
        <w:trPr>
          <w:trHeight w:val="20"/>
        </w:trPr>
        <w:tc>
          <w:tcPr>
            <w:tcW w:w="990" w:type="dxa"/>
          </w:tcPr>
          <w:p w14:paraId="2ED2C2A5" w14:textId="77777777" w:rsidR="001865E9" w:rsidRDefault="00882AC1">
            <w:pPr>
              <w:spacing w:line="288" w:lineRule="auto"/>
              <w:rPr>
                <w:rFonts w:ascii="Cambria" w:eastAsia="Cambria" w:hAnsi="Cambria" w:cs="Cambria"/>
                <w:b/>
                <w:bCs/>
                <w:sz w:val="18"/>
                <w:szCs w:val="18"/>
              </w:rPr>
            </w:pPr>
            <w:r>
              <w:rPr>
                <w:rFonts w:ascii="Cambria" w:eastAsia="Cambria" w:hAnsi="Cambria" w:cs="Cambria"/>
                <w:b/>
                <w:bCs/>
                <w:sz w:val="18"/>
                <w:szCs w:val="18"/>
              </w:rPr>
              <w:lastRenderedPageBreak/>
              <w:t xml:space="preserve">Worcester </w:t>
            </w:r>
          </w:p>
        </w:tc>
        <w:tc>
          <w:tcPr>
            <w:tcW w:w="975" w:type="dxa"/>
            <w:vAlign w:val="center"/>
          </w:tcPr>
          <w:p w14:paraId="6681EDEF" w14:textId="77777777" w:rsidR="001865E9" w:rsidRDefault="00882AC1">
            <w:pPr>
              <w:spacing w:line="288" w:lineRule="auto"/>
              <w:jc w:val="center"/>
              <w:rPr>
                <w:rFonts w:ascii="Cambria" w:eastAsia="Cambria" w:hAnsi="Cambria" w:cs="Cambria"/>
                <w:sz w:val="18"/>
                <w:szCs w:val="18"/>
              </w:rPr>
            </w:pPr>
            <w:r>
              <w:rPr>
                <w:rFonts w:ascii="Cambria" w:eastAsia="Cambria" w:hAnsi="Cambria" w:cs="Cambria"/>
                <w:sz w:val="18"/>
                <w:szCs w:val="18"/>
              </w:rPr>
              <w:t>80</w:t>
            </w:r>
          </w:p>
        </w:tc>
        <w:tc>
          <w:tcPr>
            <w:tcW w:w="900" w:type="dxa"/>
            <w:shd w:val="clear" w:color="auto" w:fill="FFFF00"/>
            <w:vAlign w:val="center"/>
          </w:tcPr>
          <w:p w14:paraId="2191DA4B"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24%</w:t>
            </w:r>
          </w:p>
        </w:tc>
        <w:tc>
          <w:tcPr>
            <w:tcW w:w="795" w:type="dxa"/>
            <w:vAlign w:val="center"/>
          </w:tcPr>
          <w:p w14:paraId="73703B5F"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23%</w:t>
            </w:r>
          </w:p>
        </w:tc>
        <w:tc>
          <w:tcPr>
            <w:tcW w:w="855" w:type="dxa"/>
            <w:vAlign w:val="center"/>
          </w:tcPr>
          <w:p w14:paraId="33A29A55"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21%</w:t>
            </w:r>
          </w:p>
        </w:tc>
        <w:tc>
          <w:tcPr>
            <w:tcW w:w="1020" w:type="dxa"/>
            <w:vAlign w:val="center"/>
          </w:tcPr>
          <w:p w14:paraId="00077B3C"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24%</w:t>
            </w:r>
          </w:p>
        </w:tc>
        <w:tc>
          <w:tcPr>
            <w:tcW w:w="645" w:type="dxa"/>
            <w:vAlign w:val="center"/>
          </w:tcPr>
          <w:p w14:paraId="3A0F63CC"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8%</w:t>
            </w:r>
          </w:p>
        </w:tc>
        <w:tc>
          <w:tcPr>
            <w:tcW w:w="1275" w:type="dxa"/>
            <w:vAlign w:val="center"/>
          </w:tcPr>
          <w:p w14:paraId="7B744905"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26%</w:t>
            </w:r>
          </w:p>
        </w:tc>
        <w:tc>
          <w:tcPr>
            <w:tcW w:w="1200" w:type="dxa"/>
            <w:vAlign w:val="center"/>
          </w:tcPr>
          <w:p w14:paraId="37225055"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35%</w:t>
            </w:r>
          </w:p>
        </w:tc>
        <w:tc>
          <w:tcPr>
            <w:tcW w:w="870" w:type="dxa"/>
            <w:shd w:val="clear" w:color="auto" w:fill="FFFF00"/>
            <w:vAlign w:val="center"/>
          </w:tcPr>
          <w:p w14:paraId="3A70AF1C"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52%</w:t>
            </w:r>
          </w:p>
        </w:tc>
      </w:tr>
      <w:tr w:rsidR="001865E9" w14:paraId="2AC6C5AD" w14:textId="77777777">
        <w:trPr>
          <w:trHeight w:val="20"/>
        </w:trPr>
        <w:tc>
          <w:tcPr>
            <w:tcW w:w="990" w:type="dxa"/>
          </w:tcPr>
          <w:p w14:paraId="1D739F19" w14:textId="77777777" w:rsidR="001865E9" w:rsidRDefault="00882AC1">
            <w:pPr>
              <w:spacing w:line="288" w:lineRule="auto"/>
              <w:rPr>
                <w:rFonts w:ascii="Cambria" w:eastAsia="Cambria" w:hAnsi="Cambria" w:cs="Cambria"/>
                <w:b/>
                <w:bCs/>
                <w:sz w:val="18"/>
                <w:szCs w:val="18"/>
              </w:rPr>
            </w:pPr>
            <w:r>
              <w:rPr>
                <w:rFonts w:ascii="Cambria" w:eastAsia="Cambria" w:hAnsi="Cambria" w:cs="Cambria"/>
                <w:b/>
                <w:bCs/>
                <w:sz w:val="18"/>
                <w:szCs w:val="18"/>
              </w:rPr>
              <w:t>Plymouth</w:t>
            </w:r>
          </w:p>
        </w:tc>
        <w:tc>
          <w:tcPr>
            <w:tcW w:w="975" w:type="dxa"/>
            <w:vAlign w:val="center"/>
          </w:tcPr>
          <w:p w14:paraId="77AB53E7" w14:textId="77777777" w:rsidR="001865E9" w:rsidRDefault="00882AC1">
            <w:pPr>
              <w:spacing w:line="288" w:lineRule="auto"/>
              <w:jc w:val="center"/>
              <w:rPr>
                <w:rFonts w:ascii="Cambria" w:eastAsia="Cambria" w:hAnsi="Cambria" w:cs="Cambria"/>
                <w:sz w:val="18"/>
                <w:szCs w:val="18"/>
              </w:rPr>
            </w:pPr>
            <w:r>
              <w:rPr>
                <w:rFonts w:ascii="Cambria" w:eastAsia="Cambria" w:hAnsi="Cambria" w:cs="Cambria"/>
                <w:sz w:val="18"/>
                <w:szCs w:val="18"/>
              </w:rPr>
              <w:t>64</w:t>
            </w:r>
          </w:p>
        </w:tc>
        <w:tc>
          <w:tcPr>
            <w:tcW w:w="900" w:type="dxa"/>
            <w:vAlign w:val="center"/>
          </w:tcPr>
          <w:p w14:paraId="02BEAC40"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16%</w:t>
            </w:r>
          </w:p>
        </w:tc>
        <w:tc>
          <w:tcPr>
            <w:tcW w:w="795" w:type="dxa"/>
            <w:vAlign w:val="center"/>
          </w:tcPr>
          <w:p w14:paraId="67E2B2F1"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47%</w:t>
            </w:r>
          </w:p>
        </w:tc>
        <w:tc>
          <w:tcPr>
            <w:tcW w:w="855" w:type="dxa"/>
            <w:vAlign w:val="center"/>
          </w:tcPr>
          <w:p w14:paraId="7EF7C162"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6%</w:t>
            </w:r>
          </w:p>
        </w:tc>
        <w:tc>
          <w:tcPr>
            <w:tcW w:w="1020" w:type="dxa"/>
            <w:vAlign w:val="center"/>
          </w:tcPr>
          <w:p w14:paraId="01C2CAC9"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25%</w:t>
            </w:r>
          </w:p>
        </w:tc>
        <w:tc>
          <w:tcPr>
            <w:tcW w:w="645" w:type="dxa"/>
            <w:vAlign w:val="center"/>
          </w:tcPr>
          <w:p w14:paraId="28EA3000"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6%</w:t>
            </w:r>
          </w:p>
        </w:tc>
        <w:tc>
          <w:tcPr>
            <w:tcW w:w="1275" w:type="dxa"/>
            <w:vAlign w:val="center"/>
          </w:tcPr>
          <w:p w14:paraId="3B404592"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19%</w:t>
            </w:r>
          </w:p>
        </w:tc>
        <w:tc>
          <w:tcPr>
            <w:tcW w:w="1200" w:type="dxa"/>
            <w:vAlign w:val="center"/>
          </w:tcPr>
          <w:p w14:paraId="2BB9CD27"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29%</w:t>
            </w:r>
          </w:p>
        </w:tc>
        <w:tc>
          <w:tcPr>
            <w:tcW w:w="870" w:type="dxa"/>
            <w:vAlign w:val="center"/>
          </w:tcPr>
          <w:p w14:paraId="12002637"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35%</w:t>
            </w:r>
          </w:p>
        </w:tc>
      </w:tr>
      <w:tr w:rsidR="001865E9" w14:paraId="4D35B5B0" w14:textId="77777777">
        <w:trPr>
          <w:trHeight w:val="20"/>
        </w:trPr>
        <w:tc>
          <w:tcPr>
            <w:tcW w:w="990" w:type="dxa"/>
          </w:tcPr>
          <w:p w14:paraId="269A5272" w14:textId="77777777" w:rsidR="001865E9" w:rsidRDefault="00882AC1">
            <w:pPr>
              <w:spacing w:line="288" w:lineRule="auto"/>
              <w:rPr>
                <w:rFonts w:ascii="Cambria" w:eastAsia="Cambria" w:hAnsi="Cambria" w:cs="Cambria"/>
                <w:b/>
                <w:bCs/>
                <w:sz w:val="18"/>
                <w:szCs w:val="18"/>
              </w:rPr>
            </w:pPr>
            <w:r>
              <w:rPr>
                <w:rFonts w:ascii="Cambria" w:eastAsia="Cambria" w:hAnsi="Cambria" w:cs="Cambria"/>
                <w:b/>
                <w:bCs/>
                <w:sz w:val="18"/>
                <w:szCs w:val="18"/>
              </w:rPr>
              <w:t>Essex</w:t>
            </w:r>
          </w:p>
        </w:tc>
        <w:tc>
          <w:tcPr>
            <w:tcW w:w="975" w:type="dxa"/>
            <w:vAlign w:val="center"/>
          </w:tcPr>
          <w:p w14:paraId="095995AA" w14:textId="77777777" w:rsidR="001865E9" w:rsidRDefault="00882AC1">
            <w:pPr>
              <w:spacing w:line="288" w:lineRule="auto"/>
              <w:jc w:val="center"/>
              <w:rPr>
                <w:rFonts w:ascii="Cambria" w:eastAsia="Cambria" w:hAnsi="Cambria" w:cs="Cambria"/>
                <w:sz w:val="18"/>
                <w:szCs w:val="18"/>
              </w:rPr>
            </w:pPr>
            <w:r>
              <w:rPr>
                <w:rFonts w:ascii="Cambria" w:eastAsia="Cambria" w:hAnsi="Cambria" w:cs="Cambria"/>
                <w:sz w:val="18"/>
                <w:szCs w:val="18"/>
              </w:rPr>
              <w:t>63</w:t>
            </w:r>
          </w:p>
        </w:tc>
        <w:tc>
          <w:tcPr>
            <w:tcW w:w="900" w:type="dxa"/>
            <w:vAlign w:val="center"/>
          </w:tcPr>
          <w:p w14:paraId="4CCF61B7"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17%</w:t>
            </w:r>
          </w:p>
        </w:tc>
        <w:tc>
          <w:tcPr>
            <w:tcW w:w="795" w:type="dxa"/>
            <w:vAlign w:val="center"/>
          </w:tcPr>
          <w:p w14:paraId="4AE483D8"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17%</w:t>
            </w:r>
          </w:p>
        </w:tc>
        <w:tc>
          <w:tcPr>
            <w:tcW w:w="855" w:type="dxa"/>
            <w:vAlign w:val="center"/>
          </w:tcPr>
          <w:p w14:paraId="3BA2D18E"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w:t>
            </w:r>
          </w:p>
        </w:tc>
        <w:tc>
          <w:tcPr>
            <w:tcW w:w="1020" w:type="dxa"/>
            <w:shd w:val="clear" w:color="auto" w:fill="FFFF00"/>
            <w:vAlign w:val="center"/>
          </w:tcPr>
          <w:p w14:paraId="704E177D"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54%</w:t>
            </w:r>
          </w:p>
        </w:tc>
        <w:tc>
          <w:tcPr>
            <w:tcW w:w="645" w:type="dxa"/>
            <w:vAlign w:val="center"/>
          </w:tcPr>
          <w:p w14:paraId="7EE80D9E"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10%</w:t>
            </w:r>
          </w:p>
        </w:tc>
        <w:tc>
          <w:tcPr>
            <w:tcW w:w="1275" w:type="dxa"/>
            <w:shd w:val="clear" w:color="auto" w:fill="FFFF00"/>
            <w:vAlign w:val="center"/>
          </w:tcPr>
          <w:p w14:paraId="275F664E"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39%</w:t>
            </w:r>
          </w:p>
        </w:tc>
        <w:tc>
          <w:tcPr>
            <w:tcW w:w="1200" w:type="dxa"/>
            <w:shd w:val="clear" w:color="auto" w:fill="FFFF00"/>
            <w:vAlign w:val="center"/>
          </w:tcPr>
          <w:p w14:paraId="11E47436"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48%</w:t>
            </w:r>
          </w:p>
        </w:tc>
        <w:tc>
          <w:tcPr>
            <w:tcW w:w="870" w:type="dxa"/>
            <w:shd w:val="clear" w:color="auto" w:fill="FFFF00"/>
            <w:vAlign w:val="center"/>
          </w:tcPr>
          <w:p w14:paraId="044B061A"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51%</w:t>
            </w:r>
          </w:p>
        </w:tc>
      </w:tr>
      <w:tr w:rsidR="001865E9" w14:paraId="329CC87D" w14:textId="77777777">
        <w:trPr>
          <w:trHeight w:val="20"/>
        </w:trPr>
        <w:tc>
          <w:tcPr>
            <w:tcW w:w="990" w:type="dxa"/>
          </w:tcPr>
          <w:p w14:paraId="2087FB27" w14:textId="77777777" w:rsidR="001865E9" w:rsidRDefault="00882AC1">
            <w:pPr>
              <w:spacing w:line="288" w:lineRule="auto"/>
              <w:rPr>
                <w:rFonts w:ascii="Cambria" w:eastAsia="Cambria" w:hAnsi="Cambria" w:cs="Cambria"/>
                <w:b/>
                <w:bCs/>
                <w:sz w:val="18"/>
                <w:szCs w:val="18"/>
              </w:rPr>
            </w:pPr>
            <w:r>
              <w:rPr>
                <w:rFonts w:ascii="Cambria" w:eastAsia="Cambria" w:hAnsi="Cambria" w:cs="Cambria"/>
                <w:b/>
                <w:bCs/>
                <w:sz w:val="18"/>
                <w:szCs w:val="18"/>
              </w:rPr>
              <w:t>Three County</w:t>
            </w:r>
          </w:p>
        </w:tc>
        <w:tc>
          <w:tcPr>
            <w:tcW w:w="975" w:type="dxa"/>
            <w:vAlign w:val="center"/>
          </w:tcPr>
          <w:p w14:paraId="1BBAD552" w14:textId="77777777" w:rsidR="001865E9" w:rsidRDefault="00882AC1">
            <w:pPr>
              <w:spacing w:line="288" w:lineRule="auto"/>
              <w:jc w:val="center"/>
              <w:rPr>
                <w:rFonts w:ascii="Cambria" w:eastAsia="Cambria" w:hAnsi="Cambria" w:cs="Cambria"/>
                <w:sz w:val="18"/>
                <w:szCs w:val="18"/>
              </w:rPr>
            </w:pPr>
            <w:r>
              <w:rPr>
                <w:rFonts w:ascii="Cambria" w:eastAsia="Cambria" w:hAnsi="Cambria" w:cs="Cambria"/>
                <w:sz w:val="18"/>
                <w:szCs w:val="18"/>
              </w:rPr>
              <w:t>51</w:t>
            </w:r>
          </w:p>
        </w:tc>
        <w:tc>
          <w:tcPr>
            <w:tcW w:w="900" w:type="dxa"/>
            <w:vAlign w:val="center"/>
          </w:tcPr>
          <w:p w14:paraId="69966F92"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16%</w:t>
            </w:r>
          </w:p>
        </w:tc>
        <w:tc>
          <w:tcPr>
            <w:tcW w:w="795" w:type="dxa"/>
            <w:vAlign w:val="center"/>
          </w:tcPr>
          <w:p w14:paraId="4B432A80"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33%</w:t>
            </w:r>
          </w:p>
        </w:tc>
        <w:tc>
          <w:tcPr>
            <w:tcW w:w="855" w:type="dxa"/>
            <w:vAlign w:val="center"/>
          </w:tcPr>
          <w:p w14:paraId="6AC25101"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18%</w:t>
            </w:r>
          </w:p>
        </w:tc>
        <w:tc>
          <w:tcPr>
            <w:tcW w:w="1020" w:type="dxa"/>
            <w:vAlign w:val="center"/>
          </w:tcPr>
          <w:p w14:paraId="3BAA91C5"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29%</w:t>
            </w:r>
          </w:p>
        </w:tc>
        <w:tc>
          <w:tcPr>
            <w:tcW w:w="645" w:type="dxa"/>
            <w:vAlign w:val="center"/>
          </w:tcPr>
          <w:p w14:paraId="19A6F674"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4%</w:t>
            </w:r>
          </w:p>
        </w:tc>
        <w:tc>
          <w:tcPr>
            <w:tcW w:w="1275" w:type="dxa"/>
            <w:vAlign w:val="center"/>
          </w:tcPr>
          <w:p w14:paraId="35498959"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20%</w:t>
            </w:r>
          </w:p>
        </w:tc>
        <w:tc>
          <w:tcPr>
            <w:tcW w:w="1200" w:type="dxa"/>
            <w:vAlign w:val="center"/>
          </w:tcPr>
          <w:p w14:paraId="6126E090"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23%</w:t>
            </w:r>
          </w:p>
        </w:tc>
        <w:tc>
          <w:tcPr>
            <w:tcW w:w="870" w:type="dxa"/>
            <w:vAlign w:val="center"/>
          </w:tcPr>
          <w:p w14:paraId="2B81EE39"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34%</w:t>
            </w:r>
          </w:p>
        </w:tc>
      </w:tr>
      <w:tr w:rsidR="001865E9" w14:paraId="6DA1C06E" w14:textId="77777777">
        <w:trPr>
          <w:trHeight w:val="20"/>
        </w:trPr>
        <w:tc>
          <w:tcPr>
            <w:tcW w:w="990" w:type="dxa"/>
          </w:tcPr>
          <w:p w14:paraId="43C43DB3" w14:textId="77777777" w:rsidR="001865E9" w:rsidRDefault="00882AC1">
            <w:pPr>
              <w:spacing w:line="288" w:lineRule="auto"/>
              <w:rPr>
                <w:rFonts w:ascii="Cambria" w:eastAsia="Cambria" w:hAnsi="Cambria" w:cs="Cambria"/>
                <w:b/>
                <w:bCs/>
                <w:sz w:val="18"/>
                <w:szCs w:val="18"/>
              </w:rPr>
            </w:pPr>
            <w:r>
              <w:rPr>
                <w:rFonts w:ascii="Cambria" w:eastAsia="Cambria" w:hAnsi="Cambria" w:cs="Cambria"/>
                <w:b/>
                <w:bCs/>
                <w:sz w:val="18"/>
                <w:szCs w:val="18"/>
              </w:rPr>
              <w:t>Hampden</w:t>
            </w:r>
          </w:p>
        </w:tc>
        <w:tc>
          <w:tcPr>
            <w:tcW w:w="975" w:type="dxa"/>
            <w:vAlign w:val="center"/>
          </w:tcPr>
          <w:p w14:paraId="5A7FD125" w14:textId="77777777" w:rsidR="001865E9" w:rsidRDefault="00882AC1">
            <w:pPr>
              <w:spacing w:line="288" w:lineRule="auto"/>
              <w:jc w:val="center"/>
              <w:rPr>
                <w:rFonts w:ascii="Cambria" w:eastAsia="Cambria" w:hAnsi="Cambria" w:cs="Cambria"/>
                <w:sz w:val="18"/>
                <w:szCs w:val="18"/>
              </w:rPr>
            </w:pPr>
            <w:r>
              <w:rPr>
                <w:rFonts w:ascii="Cambria" w:eastAsia="Cambria" w:hAnsi="Cambria" w:cs="Cambria"/>
                <w:sz w:val="18"/>
                <w:szCs w:val="18"/>
              </w:rPr>
              <w:t>46</w:t>
            </w:r>
          </w:p>
        </w:tc>
        <w:tc>
          <w:tcPr>
            <w:tcW w:w="900" w:type="dxa"/>
            <w:vAlign w:val="center"/>
          </w:tcPr>
          <w:p w14:paraId="74875F77"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13%</w:t>
            </w:r>
          </w:p>
        </w:tc>
        <w:tc>
          <w:tcPr>
            <w:tcW w:w="795" w:type="dxa"/>
            <w:vAlign w:val="center"/>
          </w:tcPr>
          <w:p w14:paraId="08664F12"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37%</w:t>
            </w:r>
          </w:p>
        </w:tc>
        <w:tc>
          <w:tcPr>
            <w:tcW w:w="855" w:type="dxa"/>
            <w:vAlign w:val="center"/>
          </w:tcPr>
          <w:p w14:paraId="57F41C4F"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11%</w:t>
            </w:r>
          </w:p>
        </w:tc>
        <w:tc>
          <w:tcPr>
            <w:tcW w:w="1020" w:type="dxa"/>
            <w:vAlign w:val="center"/>
          </w:tcPr>
          <w:p w14:paraId="4AEEFA6F"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33%</w:t>
            </w:r>
          </w:p>
        </w:tc>
        <w:tc>
          <w:tcPr>
            <w:tcW w:w="645" w:type="dxa"/>
            <w:vAlign w:val="center"/>
          </w:tcPr>
          <w:p w14:paraId="4D0A5834"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6%</w:t>
            </w:r>
          </w:p>
        </w:tc>
        <w:tc>
          <w:tcPr>
            <w:tcW w:w="1275" w:type="dxa"/>
            <w:shd w:val="clear" w:color="auto" w:fill="FFFF00"/>
            <w:vAlign w:val="center"/>
          </w:tcPr>
          <w:p w14:paraId="20E6A19A"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31%</w:t>
            </w:r>
          </w:p>
        </w:tc>
        <w:tc>
          <w:tcPr>
            <w:tcW w:w="1200" w:type="dxa"/>
            <w:shd w:val="clear" w:color="auto" w:fill="FFFF00"/>
            <w:vAlign w:val="center"/>
          </w:tcPr>
          <w:p w14:paraId="4AD25B33"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47%</w:t>
            </w:r>
          </w:p>
        </w:tc>
        <w:tc>
          <w:tcPr>
            <w:tcW w:w="870" w:type="dxa"/>
            <w:vAlign w:val="center"/>
          </w:tcPr>
          <w:p w14:paraId="03018D98"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45%</w:t>
            </w:r>
          </w:p>
        </w:tc>
      </w:tr>
      <w:tr w:rsidR="001865E9" w14:paraId="62A24D10" w14:textId="77777777">
        <w:trPr>
          <w:trHeight w:val="20"/>
        </w:trPr>
        <w:tc>
          <w:tcPr>
            <w:tcW w:w="990" w:type="dxa"/>
          </w:tcPr>
          <w:p w14:paraId="71602F5A" w14:textId="77777777" w:rsidR="001865E9" w:rsidRDefault="00882AC1">
            <w:pPr>
              <w:spacing w:line="288" w:lineRule="auto"/>
              <w:rPr>
                <w:rFonts w:ascii="Cambria" w:eastAsia="Cambria" w:hAnsi="Cambria" w:cs="Cambria"/>
                <w:b/>
                <w:bCs/>
                <w:sz w:val="18"/>
                <w:szCs w:val="18"/>
              </w:rPr>
            </w:pPr>
            <w:r>
              <w:rPr>
                <w:rFonts w:ascii="Cambria" w:eastAsia="Cambria" w:hAnsi="Cambria" w:cs="Cambria"/>
                <w:b/>
                <w:bCs/>
                <w:sz w:val="18"/>
                <w:szCs w:val="18"/>
              </w:rPr>
              <w:t>North Middlesex</w:t>
            </w:r>
          </w:p>
        </w:tc>
        <w:tc>
          <w:tcPr>
            <w:tcW w:w="975" w:type="dxa"/>
            <w:vAlign w:val="center"/>
          </w:tcPr>
          <w:p w14:paraId="12057620" w14:textId="77777777" w:rsidR="001865E9" w:rsidRDefault="00882AC1">
            <w:pPr>
              <w:spacing w:line="288" w:lineRule="auto"/>
              <w:jc w:val="center"/>
              <w:rPr>
                <w:rFonts w:ascii="Cambria" w:eastAsia="Cambria" w:hAnsi="Cambria" w:cs="Cambria"/>
                <w:sz w:val="18"/>
                <w:szCs w:val="18"/>
              </w:rPr>
            </w:pPr>
            <w:r>
              <w:rPr>
                <w:rFonts w:ascii="Cambria" w:eastAsia="Cambria" w:hAnsi="Cambria" w:cs="Cambria"/>
                <w:sz w:val="18"/>
                <w:szCs w:val="18"/>
              </w:rPr>
              <w:t>36</w:t>
            </w:r>
          </w:p>
        </w:tc>
        <w:tc>
          <w:tcPr>
            <w:tcW w:w="900" w:type="dxa"/>
            <w:shd w:val="clear" w:color="auto" w:fill="FFFF00"/>
            <w:vAlign w:val="center"/>
          </w:tcPr>
          <w:p w14:paraId="769168C9"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28%</w:t>
            </w:r>
          </w:p>
        </w:tc>
        <w:tc>
          <w:tcPr>
            <w:tcW w:w="795" w:type="dxa"/>
            <w:vAlign w:val="center"/>
          </w:tcPr>
          <w:p w14:paraId="436DEBF1"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14%</w:t>
            </w:r>
          </w:p>
        </w:tc>
        <w:tc>
          <w:tcPr>
            <w:tcW w:w="855" w:type="dxa"/>
            <w:vAlign w:val="center"/>
          </w:tcPr>
          <w:p w14:paraId="6B015F61"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5%</w:t>
            </w:r>
          </w:p>
        </w:tc>
        <w:tc>
          <w:tcPr>
            <w:tcW w:w="1020" w:type="dxa"/>
            <w:shd w:val="clear" w:color="auto" w:fill="FFFF00"/>
            <w:vAlign w:val="center"/>
          </w:tcPr>
          <w:p w14:paraId="2EB4FC7B"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39%</w:t>
            </w:r>
          </w:p>
        </w:tc>
        <w:tc>
          <w:tcPr>
            <w:tcW w:w="645" w:type="dxa"/>
            <w:vAlign w:val="center"/>
          </w:tcPr>
          <w:p w14:paraId="7046D86B"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14%</w:t>
            </w:r>
          </w:p>
        </w:tc>
        <w:tc>
          <w:tcPr>
            <w:tcW w:w="1275" w:type="dxa"/>
            <w:shd w:val="clear" w:color="auto" w:fill="FFFF00"/>
            <w:vAlign w:val="center"/>
          </w:tcPr>
          <w:p w14:paraId="68E963A0"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35%</w:t>
            </w:r>
          </w:p>
        </w:tc>
        <w:tc>
          <w:tcPr>
            <w:tcW w:w="1200" w:type="dxa"/>
            <w:vAlign w:val="center"/>
          </w:tcPr>
          <w:p w14:paraId="5C9FDA8C"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27%</w:t>
            </w:r>
          </w:p>
        </w:tc>
        <w:tc>
          <w:tcPr>
            <w:tcW w:w="870" w:type="dxa"/>
            <w:vAlign w:val="center"/>
          </w:tcPr>
          <w:p w14:paraId="7B901C80"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32%</w:t>
            </w:r>
          </w:p>
        </w:tc>
      </w:tr>
      <w:tr w:rsidR="001865E9" w14:paraId="5DE7C18D" w14:textId="77777777">
        <w:trPr>
          <w:trHeight w:val="20"/>
        </w:trPr>
        <w:tc>
          <w:tcPr>
            <w:tcW w:w="990" w:type="dxa"/>
          </w:tcPr>
          <w:p w14:paraId="077354AE" w14:textId="77777777" w:rsidR="001865E9" w:rsidRDefault="00882AC1">
            <w:pPr>
              <w:spacing w:line="288" w:lineRule="auto"/>
              <w:rPr>
                <w:rFonts w:ascii="Cambria" w:eastAsia="Cambria" w:hAnsi="Cambria" w:cs="Cambria"/>
                <w:b/>
                <w:bCs/>
                <w:sz w:val="18"/>
                <w:szCs w:val="18"/>
              </w:rPr>
            </w:pPr>
            <w:r>
              <w:rPr>
                <w:rFonts w:ascii="Cambria" w:eastAsia="Cambria" w:hAnsi="Cambria" w:cs="Cambria"/>
                <w:b/>
                <w:bCs/>
                <w:sz w:val="18"/>
                <w:szCs w:val="18"/>
              </w:rPr>
              <w:t>Metro West</w:t>
            </w:r>
          </w:p>
        </w:tc>
        <w:tc>
          <w:tcPr>
            <w:tcW w:w="975" w:type="dxa"/>
            <w:vAlign w:val="center"/>
          </w:tcPr>
          <w:p w14:paraId="6E843FF8" w14:textId="77777777" w:rsidR="001865E9" w:rsidRDefault="00882AC1">
            <w:pPr>
              <w:spacing w:line="288" w:lineRule="auto"/>
              <w:jc w:val="center"/>
              <w:rPr>
                <w:rFonts w:ascii="Cambria" w:eastAsia="Cambria" w:hAnsi="Cambria" w:cs="Cambria"/>
                <w:sz w:val="18"/>
                <w:szCs w:val="18"/>
              </w:rPr>
            </w:pPr>
            <w:r>
              <w:rPr>
                <w:rFonts w:ascii="Cambria" w:eastAsia="Cambria" w:hAnsi="Cambria" w:cs="Cambria"/>
                <w:sz w:val="18"/>
                <w:szCs w:val="18"/>
              </w:rPr>
              <w:t>27</w:t>
            </w:r>
          </w:p>
        </w:tc>
        <w:tc>
          <w:tcPr>
            <w:tcW w:w="900" w:type="dxa"/>
            <w:shd w:val="clear" w:color="auto" w:fill="FFFF00"/>
            <w:vAlign w:val="center"/>
          </w:tcPr>
          <w:p w14:paraId="6297061A"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19%</w:t>
            </w:r>
          </w:p>
        </w:tc>
        <w:tc>
          <w:tcPr>
            <w:tcW w:w="795" w:type="dxa"/>
            <w:vAlign w:val="center"/>
          </w:tcPr>
          <w:p w14:paraId="56D1FAC5"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31%</w:t>
            </w:r>
          </w:p>
        </w:tc>
        <w:tc>
          <w:tcPr>
            <w:tcW w:w="855" w:type="dxa"/>
            <w:vAlign w:val="center"/>
          </w:tcPr>
          <w:p w14:paraId="508E43E9"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w:t>
            </w:r>
          </w:p>
        </w:tc>
        <w:tc>
          <w:tcPr>
            <w:tcW w:w="1020" w:type="dxa"/>
            <w:vAlign w:val="center"/>
          </w:tcPr>
          <w:p w14:paraId="7CD03482"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22%</w:t>
            </w:r>
          </w:p>
        </w:tc>
        <w:tc>
          <w:tcPr>
            <w:tcW w:w="645" w:type="dxa"/>
            <w:vAlign w:val="center"/>
          </w:tcPr>
          <w:p w14:paraId="5A7B4A86"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25%</w:t>
            </w:r>
          </w:p>
        </w:tc>
        <w:tc>
          <w:tcPr>
            <w:tcW w:w="1275" w:type="dxa"/>
            <w:vAlign w:val="center"/>
          </w:tcPr>
          <w:p w14:paraId="46E6D4B7"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18%</w:t>
            </w:r>
          </w:p>
        </w:tc>
        <w:tc>
          <w:tcPr>
            <w:tcW w:w="1200" w:type="dxa"/>
            <w:vAlign w:val="center"/>
          </w:tcPr>
          <w:p w14:paraId="207B48C0"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17%</w:t>
            </w:r>
          </w:p>
        </w:tc>
        <w:tc>
          <w:tcPr>
            <w:tcW w:w="870" w:type="dxa"/>
            <w:vAlign w:val="center"/>
          </w:tcPr>
          <w:p w14:paraId="34A2A02E"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30%</w:t>
            </w:r>
          </w:p>
        </w:tc>
      </w:tr>
      <w:tr w:rsidR="001865E9" w14:paraId="52B0F6F2" w14:textId="77777777">
        <w:trPr>
          <w:trHeight w:val="20"/>
        </w:trPr>
        <w:tc>
          <w:tcPr>
            <w:tcW w:w="990" w:type="dxa"/>
          </w:tcPr>
          <w:p w14:paraId="1EF92AF2" w14:textId="77777777" w:rsidR="001865E9" w:rsidRDefault="00882AC1">
            <w:pPr>
              <w:spacing w:line="288" w:lineRule="auto"/>
              <w:rPr>
                <w:rFonts w:ascii="Cambria" w:eastAsia="Cambria" w:hAnsi="Cambria" w:cs="Cambria"/>
                <w:b/>
                <w:bCs/>
                <w:sz w:val="18"/>
                <w:szCs w:val="18"/>
              </w:rPr>
            </w:pPr>
            <w:r>
              <w:rPr>
                <w:rFonts w:ascii="Cambria" w:eastAsia="Cambria" w:hAnsi="Cambria" w:cs="Cambria"/>
                <w:b/>
                <w:bCs/>
                <w:sz w:val="18"/>
                <w:szCs w:val="18"/>
              </w:rPr>
              <w:t>Cape &amp; Islands</w:t>
            </w:r>
          </w:p>
        </w:tc>
        <w:tc>
          <w:tcPr>
            <w:tcW w:w="975" w:type="dxa"/>
            <w:vAlign w:val="center"/>
          </w:tcPr>
          <w:p w14:paraId="57F14EE5" w14:textId="77777777" w:rsidR="001865E9" w:rsidRDefault="00882AC1">
            <w:pPr>
              <w:spacing w:line="288" w:lineRule="auto"/>
              <w:jc w:val="center"/>
              <w:rPr>
                <w:rFonts w:ascii="Cambria" w:eastAsia="Cambria" w:hAnsi="Cambria" w:cs="Cambria"/>
                <w:sz w:val="18"/>
                <w:szCs w:val="18"/>
              </w:rPr>
            </w:pPr>
            <w:r>
              <w:rPr>
                <w:rFonts w:ascii="Cambria" w:eastAsia="Cambria" w:hAnsi="Cambria" w:cs="Cambria"/>
                <w:sz w:val="18"/>
                <w:szCs w:val="18"/>
              </w:rPr>
              <w:t>12</w:t>
            </w:r>
          </w:p>
        </w:tc>
        <w:tc>
          <w:tcPr>
            <w:tcW w:w="900" w:type="dxa"/>
            <w:vAlign w:val="center"/>
          </w:tcPr>
          <w:p w14:paraId="5F6C7DE2"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8%</w:t>
            </w:r>
          </w:p>
        </w:tc>
        <w:tc>
          <w:tcPr>
            <w:tcW w:w="795" w:type="dxa"/>
            <w:vAlign w:val="center"/>
          </w:tcPr>
          <w:p w14:paraId="60262702"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8%</w:t>
            </w:r>
          </w:p>
        </w:tc>
        <w:tc>
          <w:tcPr>
            <w:tcW w:w="855" w:type="dxa"/>
            <w:vAlign w:val="center"/>
          </w:tcPr>
          <w:p w14:paraId="32B364C0"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17%</w:t>
            </w:r>
          </w:p>
        </w:tc>
        <w:tc>
          <w:tcPr>
            <w:tcW w:w="1020" w:type="dxa"/>
            <w:shd w:val="clear" w:color="auto" w:fill="FFFF00"/>
            <w:vAlign w:val="center"/>
          </w:tcPr>
          <w:p w14:paraId="272CD83E"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42%</w:t>
            </w:r>
          </w:p>
        </w:tc>
        <w:tc>
          <w:tcPr>
            <w:tcW w:w="645" w:type="dxa"/>
            <w:vAlign w:val="center"/>
          </w:tcPr>
          <w:p w14:paraId="7E7088BA"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25%</w:t>
            </w:r>
          </w:p>
        </w:tc>
        <w:tc>
          <w:tcPr>
            <w:tcW w:w="1275" w:type="dxa"/>
            <w:vAlign w:val="center"/>
          </w:tcPr>
          <w:p w14:paraId="3E3A4F57"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20%</w:t>
            </w:r>
          </w:p>
        </w:tc>
        <w:tc>
          <w:tcPr>
            <w:tcW w:w="1200" w:type="dxa"/>
            <w:shd w:val="clear" w:color="auto" w:fill="FFFF00"/>
            <w:vAlign w:val="center"/>
          </w:tcPr>
          <w:p w14:paraId="5E029B8A"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64%</w:t>
            </w:r>
          </w:p>
        </w:tc>
        <w:tc>
          <w:tcPr>
            <w:tcW w:w="870" w:type="dxa"/>
            <w:shd w:val="clear" w:color="auto" w:fill="FFFF00"/>
            <w:vAlign w:val="center"/>
          </w:tcPr>
          <w:p w14:paraId="2515DC4B" w14:textId="77777777" w:rsidR="001865E9" w:rsidRDefault="00882AC1">
            <w:pPr>
              <w:jc w:val="center"/>
              <w:rPr>
                <w:rFonts w:ascii="Cambria" w:eastAsia="Cambria" w:hAnsi="Cambria" w:cs="Cambria"/>
                <w:color w:val="242424"/>
                <w:sz w:val="18"/>
                <w:szCs w:val="18"/>
              </w:rPr>
            </w:pPr>
            <w:r>
              <w:rPr>
                <w:rFonts w:ascii="Cambria" w:eastAsia="Cambria" w:hAnsi="Cambria" w:cs="Cambria"/>
                <w:color w:val="242424"/>
                <w:sz w:val="18"/>
                <w:szCs w:val="18"/>
              </w:rPr>
              <w:t>50%</w:t>
            </w:r>
          </w:p>
        </w:tc>
      </w:tr>
    </w:tbl>
    <w:p w14:paraId="69FE899D" w14:textId="77777777" w:rsidR="001865E9" w:rsidRDefault="00882AC1">
      <w:pPr>
        <w:spacing w:before="280"/>
        <w:rPr>
          <w:b/>
          <w:bCs/>
          <w:sz w:val="28"/>
          <w:szCs w:val="28"/>
        </w:rPr>
      </w:pPr>
      <w:r>
        <w:rPr>
          <w:b/>
          <w:bCs/>
          <w:sz w:val="28"/>
          <w:szCs w:val="28"/>
        </w:rPr>
        <w:t>Why it matters: Regional Gaps and Their Implications</w:t>
      </w:r>
    </w:p>
    <w:p w14:paraId="64F234DC" w14:textId="77777777" w:rsidR="001865E9" w:rsidRDefault="00882AC1">
      <w:pPr>
        <w:numPr>
          <w:ilvl w:val="0"/>
          <w:numId w:val="6"/>
        </w:numPr>
        <w:spacing w:before="240"/>
        <w:rPr>
          <w:color w:val="141414"/>
        </w:rPr>
      </w:pPr>
      <w:r>
        <w:rPr>
          <w:b/>
          <w:bCs/>
          <w:color w:val="141414"/>
        </w:rPr>
        <w:t>Couch-surfing and unsheltered homelessness are the most common experiences statewide.</w:t>
      </w:r>
      <w:r>
        <w:rPr>
          <w:color w:val="141414"/>
        </w:rPr>
        <w:t xml:space="preserve"> Youth in these situations are at high risk and often lack access to formal support.</w:t>
      </w:r>
    </w:p>
    <w:p w14:paraId="3AE2BA2F" w14:textId="77777777" w:rsidR="001865E9" w:rsidRDefault="001865E9"/>
    <w:p w14:paraId="270D63E2" w14:textId="77777777" w:rsidR="001865E9" w:rsidRDefault="00882AC1">
      <w:pPr>
        <w:numPr>
          <w:ilvl w:val="0"/>
          <w:numId w:val="6"/>
        </w:numPr>
        <w:rPr>
          <w:b/>
          <w:bCs/>
        </w:rPr>
      </w:pPr>
      <w:r>
        <w:rPr>
          <w:b/>
          <w:bCs/>
        </w:rPr>
        <w:t>Geographic and Transportation Barriers</w:t>
      </w:r>
    </w:p>
    <w:p w14:paraId="47BDA187" w14:textId="77777777" w:rsidR="001865E9" w:rsidRDefault="00882AC1">
      <w:pPr>
        <w:ind w:left="720"/>
        <w:rPr>
          <w:b/>
          <w:bCs/>
        </w:rPr>
      </w:pPr>
      <w:r>
        <w:rPr>
          <w:color w:val="141414"/>
        </w:rPr>
        <w:t xml:space="preserve">The availability of youth emergency and transitional beds </w:t>
      </w:r>
      <w:r>
        <w:t>is uneven statewide. Some regions have no youth-specific emergency shelter/crisis or transitional beds at all.</w:t>
      </w:r>
    </w:p>
    <w:p w14:paraId="50EA9C5F" w14:textId="77777777" w:rsidR="001865E9" w:rsidRDefault="00882AC1">
      <w:pPr>
        <w:numPr>
          <w:ilvl w:val="1"/>
          <w:numId w:val="6"/>
        </w:numPr>
      </w:pPr>
      <w:r>
        <w:rPr>
          <w:color w:val="141414"/>
        </w:rPr>
        <w:t>In Plymouth County, youth rely on adult shelters (like Father Bill’s &amp; Mainspring) due to the lack of youth-specific beds.</w:t>
      </w:r>
    </w:p>
    <w:p w14:paraId="537DCAAB" w14:textId="77777777" w:rsidR="001865E9" w:rsidRDefault="00882AC1">
      <w:pPr>
        <w:numPr>
          <w:ilvl w:val="0"/>
          <w:numId w:val="4"/>
        </w:numPr>
      </w:pPr>
      <w:r>
        <w:rPr>
          <w:color w:val="141414"/>
        </w:rPr>
        <w:t>In Worcester County, youth also rely on adult shelters, as there are currently no youth-specific options. The region shows high unmet need for long-term housing, with 52% of youth reporting no help was received.</w:t>
      </w:r>
    </w:p>
    <w:p w14:paraId="1BD4DA04" w14:textId="77777777" w:rsidR="001865E9" w:rsidRDefault="00882AC1">
      <w:pPr>
        <w:numPr>
          <w:ilvl w:val="0"/>
          <w:numId w:val="4"/>
        </w:numPr>
        <w:rPr>
          <w:color w:val="141414"/>
        </w:rPr>
      </w:pPr>
      <w:r>
        <w:rPr>
          <w:color w:val="141414"/>
        </w:rPr>
        <w:t>In North Middlesex, shelter access was limited during the Youth Count; a new 25-bed crisis-transitional program opened in Lowell shortly afterward.</w:t>
      </w:r>
    </w:p>
    <w:p w14:paraId="4FBC8167" w14:textId="77777777" w:rsidR="001865E9" w:rsidRDefault="00882AC1">
      <w:pPr>
        <w:numPr>
          <w:ilvl w:val="1"/>
          <w:numId w:val="6"/>
        </w:numPr>
        <w:spacing w:after="240"/>
      </w:pPr>
      <w:r>
        <w:rPr>
          <w:color w:val="141414"/>
        </w:rPr>
        <w:t>Rural regions</w:t>
      </w:r>
      <w:r>
        <w:t>—including Three County and parts of Worcester County—face extremely limited or nonexistent public transportation, long distances between services, and limited housing stock.</w:t>
      </w:r>
      <w:r>
        <w:t xml:space="preserve"> </w:t>
      </w:r>
      <w:r>
        <w:t>These conditions make access far more difficult even when programs exist.</w:t>
      </w:r>
    </w:p>
    <w:p w14:paraId="0DBD1DDE" w14:textId="77777777" w:rsidR="001865E9" w:rsidRDefault="00882AC1">
      <w:pPr>
        <w:numPr>
          <w:ilvl w:val="1"/>
          <w:numId w:val="6"/>
        </w:numPr>
        <w:spacing w:after="240"/>
      </w:pPr>
      <w:r>
        <w:rPr>
          <w:color w:val="141414"/>
        </w:rPr>
        <w:t>Essex and Bristol County, and the Cape &amp; Islands have high rates of couch-surfing and youth indicated they receive limited help with long-term housing—highlighting a need for outreach, non HUD funded housing pathways, and non-traditional housing models such as host homes and rental subsidies in these regions.</w:t>
      </w:r>
    </w:p>
    <w:p w14:paraId="2B2F9222" w14:textId="77777777" w:rsidR="001865E9" w:rsidRDefault="00882AC1">
      <w:pPr>
        <w:numPr>
          <w:ilvl w:val="0"/>
          <w:numId w:val="6"/>
        </w:numPr>
        <w:spacing w:after="240"/>
      </w:pPr>
      <w:r>
        <w:rPr>
          <w:b/>
          <w:bCs/>
        </w:rPr>
        <w:t>System-Involved Youth Are Especially Vulnerable:</w:t>
      </w:r>
      <w:r>
        <w:t xml:space="preserve"> Cross-agency collaboration among</w:t>
      </w:r>
      <w:r>
        <w:rPr>
          <w:color w:val="141414"/>
        </w:rPr>
        <w:t xml:space="preserve"> DCF, DYS, and HYS programs </w:t>
      </w:r>
      <w:r>
        <w:t>has improved prevention efforts, but gaps remain. Data indicate that roughly 20% of youth experiencing homelessness had involvement with DYS and 30% with DCF.</w:t>
      </w:r>
      <w:r>
        <w:rPr>
          <w:color w:val="141414"/>
        </w:rPr>
        <w:t xml:space="preserve"> </w:t>
      </w:r>
      <w:r>
        <w:t>Many lose housing when exiting DCF or DYS-funded independent living programs but remain ineligible for housing supports and programs until they meet the HUD definition of literal homelessness.</w:t>
      </w:r>
      <w:r>
        <w:rPr>
          <w:b/>
          <w:bCs/>
          <w:color w:val="141414"/>
        </w:rPr>
        <w:t xml:space="preserve"> </w:t>
      </w:r>
    </w:p>
    <w:p w14:paraId="5B05FCF0" w14:textId="77777777" w:rsidR="001865E9" w:rsidRDefault="00882AC1">
      <w:pPr>
        <w:spacing w:after="240"/>
        <w:rPr>
          <w:b/>
          <w:bCs/>
          <w:sz w:val="28"/>
          <w:szCs w:val="28"/>
        </w:rPr>
      </w:pPr>
      <w:r>
        <w:rPr>
          <w:b/>
          <w:bCs/>
          <w:sz w:val="28"/>
          <w:szCs w:val="28"/>
        </w:rPr>
        <w:lastRenderedPageBreak/>
        <w:t>Action: Closing the Housing Gap</w:t>
      </w:r>
    </w:p>
    <w:p w14:paraId="0FC5742F" w14:textId="77777777" w:rsidR="001865E9" w:rsidRDefault="00882AC1">
      <w:pPr>
        <w:spacing w:before="240" w:after="240"/>
      </w:pPr>
      <w:r>
        <w:t>Massachusetts has made important progress in building youth-specific housing and service capacity, but access remains uneven across the state. Youth in some regions have multiple crisis or transitional housing options, while others—particularly rural and under-resourced areas—have none. At the same time, limited housing dollars must be prioritized for youth with the most severe forms of homelessness, creating bottlenecks that make it difficult for couch-surfing youth and system-involved young adults to acce</w:t>
      </w:r>
      <w:r>
        <w:t>ss stable housing before reaching crisis.</w:t>
      </w:r>
    </w:p>
    <w:p w14:paraId="2506DF41" w14:textId="77777777" w:rsidR="001865E9" w:rsidRDefault="00882AC1">
      <w:pPr>
        <w:spacing w:before="240" w:after="240"/>
      </w:pPr>
      <w:r>
        <w:t>To ensure that young people can move from instability to stability—quickly and equitably—Massachusetts needs a more balanced housing system: one that supports the most vulnerable youth in accessing permanent housing while also offering earlier, developmentally appropriate options for those at risk. This requires flexible crisis</w:t>
      </w:r>
      <w:r>
        <w:t xml:space="preserve"> and </w:t>
      </w:r>
      <w:r>
        <w:t>transitional housing, stronger cross-system coordination, and upstream investments that prevent homelessness before it occurs.</w:t>
      </w:r>
    </w:p>
    <w:p w14:paraId="13AF9296" w14:textId="77777777" w:rsidR="001865E9" w:rsidRDefault="00882AC1">
      <w:pPr>
        <w:spacing w:before="240" w:after="240"/>
      </w:pPr>
      <w:r>
        <w:rPr>
          <w:b/>
          <w:bCs/>
        </w:rPr>
        <w:t xml:space="preserve">Additionally, young people need more than a place to sleep, they need safe, stable environments that support healing, growth, and the ability to build their future. </w:t>
      </w:r>
      <w:r>
        <w:t>While permanent housing is the ultimate goal, speed and access matter. Youth can’t wait months or years for units to become available. Most youth will not require long-term subsidies or Permanent Supportive Housing, but they do need clear, accessible pathways to stable, permanent homes. Transitional housing can play a key role in bridging that gap.</w:t>
      </w:r>
    </w:p>
    <w:p w14:paraId="51975364" w14:textId="77777777" w:rsidR="001865E9" w:rsidRDefault="00882AC1">
      <w:pPr>
        <w:spacing w:before="240" w:after="240"/>
        <w:rPr>
          <w:b/>
          <w:bCs/>
        </w:rPr>
      </w:pPr>
      <w:r>
        <w:t>The following actions outline how Massachusetts can close regional gaps, strengthen pathways to housing, and build a youth homelessness response that is both responsive in crisis and preventive by design.</w:t>
      </w:r>
    </w:p>
    <w:p w14:paraId="3567076F" w14:textId="77777777" w:rsidR="001865E9" w:rsidRDefault="00882AC1">
      <w:pPr>
        <w:spacing w:before="240"/>
        <w:rPr>
          <w:b/>
          <w:bCs/>
        </w:rPr>
      </w:pPr>
      <w:r>
        <w:rPr>
          <w:b/>
          <w:bCs/>
        </w:rPr>
        <w:t>Expansion of Crisis–Transitional Housing Options</w:t>
      </w:r>
    </w:p>
    <w:p w14:paraId="4C94FA93" w14:textId="77777777" w:rsidR="001865E9" w:rsidRDefault="00882AC1">
      <w:pPr>
        <w:numPr>
          <w:ilvl w:val="1"/>
          <w:numId w:val="3"/>
        </w:numPr>
      </w:pPr>
      <w:r>
        <w:t>Develop hybrid models combining emergency shelter with medium-term stabilization that can serve both unsheltered and couch-surfing youth, regardless of HUD eligibility.</w:t>
      </w:r>
    </w:p>
    <w:p w14:paraId="0A5DBDA9" w14:textId="77777777" w:rsidR="001865E9" w:rsidRDefault="00882AC1">
      <w:pPr>
        <w:numPr>
          <w:ilvl w:val="1"/>
          <w:numId w:val="3"/>
        </w:numPr>
      </w:pPr>
      <w:r>
        <w:t>Prioritize investment in regions with limited or no youth housing options</w:t>
      </w:r>
    </w:p>
    <w:p w14:paraId="4941B138" w14:textId="77777777" w:rsidR="001865E9" w:rsidRDefault="001865E9">
      <w:pPr>
        <w:ind w:left="1440"/>
      </w:pPr>
    </w:p>
    <w:p w14:paraId="78388D5A" w14:textId="77777777" w:rsidR="001865E9" w:rsidRDefault="00882AC1">
      <w:r>
        <w:rPr>
          <w:b/>
          <w:bCs/>
        </w:rPr>
        <w:t>Strengthen Cross-System Coordination</w:t>
      </w:r>
    </w:p>
    <w:p w14:paraId="2C93B7FF" w14:textId="77777777" w:rsidR="001865E9" w:rsidRDefault="00882AC1">
      <w:pPr>
        <w:numPr>
          <w:ilvl w:val="1"/>
          <w:numId w:val="3"/>
        </w:numPr>
      </w:pPr>
      <w:r>
        <w:t>Continue partnerships among DCF, DYS, DMH, CoCs, and HYS providers to better align referrals, explore data sharing, and ensure warm handoffs.</w:t>
      </w:r>
    </w:p>
    <w:p w14:paraId="3A0686AE" w14:textId="77777777" w:rsidR="001865E9" w:rsidRDefault="00882AC1">
      <w:pPr>
        <w:numPr>
          <w:ilvl w:val="1"/>
          <w:numId w:val="3"/>
        </w:numPr>
      </w:pPr>
      <w:r>
        <w:t>Explore joint transition planning to help youth move directly from care into stable housing, preventing homelessness before it begins.</w:t>
      </w:r>
    </w:p>
    <w:p w14:paraId="2769A145" w14:textId="77777777" w:rsidR="001865E9" w:rsidRDefault="00882AC1">
      <w:pPr>
        <w:numPr>
          <w:ilvl w:val="1"/>
          <w:numId w:val="3"/>
        </w:numPr>
      </w:pPr>
      <w:r>
        <w:t>Continue to use flexible funds, rental support, and short term vouchers, such as FYI, to stabilize youth before they reach crisis or age out of care.</w:t>
      </w:r>
    </w:p>
    <w:p w14:paraId="1A5CA8AA" w14:textId="77777777" w:rsidR="001865E9" w:rsidRDefault="001865E9">
      <w:pPr>
        <w:rPr>
          <w:b/>
          <w:bCs/>
        </w:rPr>
      </w:pPr>
    </w:p>
    <w:p w14:paraId="6FBF3801" w14:textId="77777777" w:rsidR="001865E9" w:rsidRDefault="00882AC1">
      <w:r>
        <w:rPr>
          <w:b/>
          <w:bCs/>
        </w:rPr>
        <w:t>Improve Eligibility Pathways</w:t>
      </w:r>
    </w:p>
    <w:p w14:paraId="15D46BB0" w14:textId="77777777" w:rsidR="001865E9" w:rsidRDefault="00882AC1">
      <w:pPr>
        <w:numPr>
          <w:ilvl w:val="1"/>
          <w:numId w:val="3"/>
        </w:numPr>
      </w:pPr>
      <w:r>
        <w:t xml:space="preserve">Explore the use of </w:t>
      </w:r>
      <w:r>
        <w:rPr>
          <w:i/>
          <w:iCs/>
        </w:rPr>
        <w:t>state-funded access points</w:t>
      </w:r>
      <w:r>
        <w:t xml:space="preserve"> for couch-surfing and doubled-up youth that follow the Massachusetts definition of youth homelessness.</w:t>
      </w:r>
    </w:p>
    <w:p w14:paraId="1133F304" w14:textId="77777777" w:rsidR="001865E9" w:rsidRDefault="00882AC1">
      <w:pPr>
        <w:numPr>
          <w:ilvl w:val="1"/>
          <w:numId w:val="3"/>
        </w:numPr>
      </w:pPr>
      <w:r>
        <w:lastRenderedPageBreak/>
        <w:t>Promote access to emergency beds and transitional housing even for youth who do not  meet HUD’s criteria for “literal homelessness.”</w:t>
      </w:r>
    </w:p>
    <w:p w14:paraId="10FE9D26" w14:textId="77777777" w:rsidR="001865E9" w:rsidRDefault="001865E9">
      <w:pPr>
        <w:rPr>
          <w:b/>
          <w:bCs/>
        </w:rPr>
      </w:pPr>
    </w:p>
    <w:p w14:paraId="12DF733B" w14:textId="77777777" w:rsidR="001865E9" w:rsidRDefault="00882AC1">
      <w:r>
        <w:rPr>
          <w:b/>
          <w:bCs/>
        </w:rPr>
        <w:t>Continue Use Data to Drive Solutions</w:t>
      </w:r>
    </w:p>
    <w:p w14:paraId="2154494B" w14:textId="77777777" w:rsidR="001865E9" w:rsidRDefault="00882AC1">
      <w:pPr>
        <w:numPr>
          <w:ilvl w:val="1"/>
          <w:numId w:val="3"/>
        </w:numPr>
        <w:rPr>
          <w:sz w:val="18"/>
          <w:szCs w:val="18"/>
        </w:rPr>
      </w:pPr>
      <w:r>
        <w:t>Integrate data from the 2026 Massachusetts Youth Count, HUD PIT, and HYS programs to build a more complete picture of youth housing needs.</w:t>
      </w:r>
    </w:p>
    <w:p w14:paraId="398C9831" w14:textId="77777777" w:rsidR="001865E9" w:rsidRDefault="00882AC1">
      <w:pPr>
        <w:numPr>
          <w:ilvl w:val="1"/>
          <w:numId w:val="3"/>
        </w:numPr>
      </w:pPr>
      <w:r>
        <w:t>Use demographic and regional data to support targeting investments where they are most needed and where youth are most underserved.</w:t>
      </w:r>
    </w:p>
    <w:p w14:paraId="61B75063" w14:textId="77777777" w:rsidR="001865E9" w:rsidRDefault="00882AC1">
      <w:pPr>
        <w:numPr>
          <w:ilvl w:val="1"/>
          <w:numId w:val="3"/>
        </w:numPr>
        <w:spacing w:after="240"/>
      </w:pPr>
      <w:r>
        <w:t>Share data back to communities and providers to guide ongoing improvements and local decision-making.</w:t>
      </w:r>
    </w:p>
    <w:p w14:paraId="5093D5D5" w14:textId="77777777" w:rsidR="001865E9" w:rsidRDefault="00882AC1">
      <w:pPr>
        <w:spacing w:before="240" w:after="240"/>
      </w:pPr>
      <w:r>
        <w:t>***********</w:t>
      </w:r>
    </w:p>
    <w:p w14:paraId="527F2D7C" w14:textId="77777777" w:rsidR="001865E9" w:rsidRDefault="00882AC1">
      <w:pPr>
        <w:pStyle w:val="Heading3"/>
        <w:keepNext w:val="0"/>
        <w:keepLines w:val="0"/>
        <w:spacing w:before="280"/>
        <w:rPr>
          <w:b/>
          <w:bCs/>
          <w:color w:val="000000"/>
          <w:sz w:val="26"/>
          <w:szCs w:val="26"/>
        </w:rPr>
      </w:pPr>
      <w:bookmarkStart w:id="0" w:name="_heading=h.suwyvggas3yn" w:colFirst="0" w:colLast="0"/>
      <w:bookmarkEnd w:id="0"/>
      <w:r>
        <w:rPr>
          <w:b/>
          <w:bCs/>
          <w:color w:val="000000"/>
          <w:sz w:val="26"/>
          <w:szCs w:val="26"/>
        </w:rPr>
        <w:t>Final Conclusion</w:t>
      </w:r>
    </w:p>
    <w:p w14:paraId="7400D778" w14:textId="77777777" w:rsidR="001865E9" w:rsidRDefault="00882AC1">
      <w:pPr>
        <w:spacing w:before="240" w:after="240"/>
      </w:pPr>
      <w:r>
        <w:t>Too many youth and young adults in Massachusetts still experience unsafe and unstable housing because limited resources are often used only after situations worsen. With federal dollars focused on the most intensive housing responses, hundreds—if not thousands—of youth facing housing instability never appear on housing waitlists, are not prioritized through Coordinated Entry, and cannot access housing early enough. To close this gap, Massachusetts must expand flexible, youth-centered housing options, create</w:t>
      </w:r>
      <w:r>
        <w:t xml:space="preserve"> earlier access points, strengthen regional coordination, and invest in prevention. Doing so helps youth stabilize sooner and ensures that couch-surfing youth receive support before their situations escalate.</w:t>
      </w:r>
    </w:p>
    <w:p w14:paraId="5F57063C" w14:textId="77777777" w:rsidR="001865E9" w:rsidRDefault="00882AC1">
      <w:pPr>
        <w:spacing w:before="240" w:after="240"/>
      </w:pPr>
      <w:r>
        <w:t>Massachusetts has the definition, the direction, and the data; we have a strong foundation on which to act. A system that responds earlier is a system that prevents youth homelessness—not just manages it.</w:t>
      </w:r>
    </w:p>
    <w:p w14:paraId="28971E84" w14:textId="77777777" w:rsidR="001865E9" w:rsidRDefault="001865E9">
      <w:pPr>
        <w:spacing w:before="240" w:after="240"/>
        <w:rPr>
          <w:b/>
          <w:bCs/>
        </w:rPr>
      </w:pPr>
    </w:p>
    <w:p w14:paraId="487A64F3" w14:textId="77777777" w:rsidR="001865E9" w:rsidRDefault="001865E9">
      <w:pPr>
        <w:spacing w:before="240" w:after="240"/>
      </w:pPr>
    </w:p>
    <w:sectPr w:rsidR="001865E9">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4985D" w14:textId="77777777" w:rsidR="00882AC1" w:rsidRDefault="00882AC1">
      <w:pPr>
        <w:spacing w:line="240" w:lineRule="auto"/>
      </w:pPr>
      <w:r>
        <w:separator/>
      </w:r>
    </w:p>
  </w:endnote>
  <w:endnote w:type="continuationSeparator" w:id="0">
    <w:p w14:paraId="363922CC" w14:textId="77777777" w:rsidR="00882AC1" w:rsidRDefault="00882A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CB0CAD9-3407-4D00-B7B3-E66D08C5C4BE}"/>
    <w:embedBold r:id="rId2" w:fontKey="{6C2B9673-48B8-486E-B2B1-3DB79DB10218}"/>
  </w:font>
  <w:font w:name="Cambria">
    <w:panose1 w:val="02040503050406030204"/>
    <w:charset w:val="00"/>
    <w:family w:val="roman"/>
    <w:pitch w:val="variable"/>
    <w:sig w:usb0="E00006FF" w:usb1="420024FF" w:usb2="02000000" w:usb3="00000000" w:csb0="0000019F" w:csb1="00000000"/>
    <w:embedRegular r:id="rId3" w:fontKey="{2120A499-38FA-41C9-8CCA-11F7C1473D84}"/>
    <w:embedBold r:id="rId4" w:fontKey="{00828081-74DB-476A-9FDA-4A01CFE2CB49}"/>
    <w:embedBoldItalic r:id="rId5" w:fontKey="{29413C41-CB27-46E7-981F-930BBB239808}"/>
  </w:font>
  <w:font w:name="Roboto">
    <w:charset w:val="00"/>
    <w:family w:val="auto"/>
    <w:pitch w:val="variable"/>
    <w:sig w:usb0="E0000AFF" w:usb1="5000217F" w:usb2="00000021" w:usb3="00000000" w:csb0="0000019F" w:csb1="00000000"/>
    <w:embedBold r:id="rId6" w:fontKey="{D6D62A6D-5C08-41EC-A101-2E00885C2B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07E5A" w14:textId="77777777" w:rsidR="001865E9" w:rsidRDefault="001865E9">
    <w:pPr>
      <w:widowControl w:val="0"/>
      <w:pBdr>
        <w:top w:val="nil"/>
        <w:left w:val="nil"/>
        <w:bottom w:val="nil"/>
        <w:right w:val="nil"/>
        <w:between w:val="nil"/>
      </w:pBdr>
    </w:pPr>
  </w:p>
  <w:tbl>
    <w:tblPr>
      <w:tblStyle w:val="af1"/>
      <w:tblW w:w="9360" w:type="dxa"/>
      <w:tblLayout w:type="fixed"/>
      <w:tblLook w:val="0600" w:firstRow="0" w:lastRow="0" w:firstColumn="0" w:lastColumn="0" w:noHBand="1" w:noVBand="1"/>
    </w:tblPr>
    <w:tblGrid>
      <w:gridCol w:w="3120"/>
      <w:gridCol w:w="3120"/>
      <w:gridCol w:w="3120"/>
    </w:tblGrid>
    <w:tr w:rsidR="001865E9" w14:paraId="764BBE5D" w14:textId="77777777">
      <w:trPr>
        <w:trHeight w:val="300"/>
      </w:trPr>
      <w:tc>
        <w:tcPr>
          <w:tcW w:w="3120" w:type="dxa"/>
        </w:tcPr>
        <w:p w14:paraId="7AAC32C9" w14:textId="77777777" w:rsidR="001865E9" w:rsidRDefault="001865E9">
          <w:pPr>
            <w:pBdr>
              <w:top w:val="nil"/>
              <w:left w:val="nil"/>
              <w:bottom w:val="nil"/>
              <w:right w:val="nil"/>
              <w:between w:val="nil"/>
            </w:pBdr>
            <w:tabs>
              <w:tab w:val="center" w:pos="4680"/>
              <w:tab w:val="right" w:pos="9360"/>
            </w:tabs>
            <w:spacing w:line="240" w:lineRule="auto"/>
            <w:ind w:left="-115"/>
            <w:rPr>
              <w:color w:val="000000"/>
            </w:rPr>
          </w:pPr>
        </w:p>
      </w:tc>
      <w:tc>
        <w:tcPr>
          <w:tcW w:w="3120" w:type="dxa"/>
        </w:tcPr>
        <w:p w14:paraId="3B253F08" w14:textId="77777777" w:rsidR="001865E9" w:rsidRDefault="001865E9">
          <w:pPr>
            <w:pBdr>
              <w:top w:val="nil"/>
              <w:left w:val="nil"/>
              <w:bottom w:val="nil"/>
              <w:right w:val="nil"/>
              <w:between w:val="nil"/>
            </w:pBdr>
            <w:tabs>
              <w:tab w:val="center" w:pos="4680"/>
              <w:tab w:val="right" w:pos="9360"/>
            </w:tabs>
            <w:spacing w:line="240" w:lineRule="auto"/>
            <w:jc w:val="center"/>
            <w:rPr>
              <w:color w:val="000000"/>
            </w:rPr>
          </w:pPr>
        </w:p>
      </w:tc>
      <w:tc>
        <w:tcPr>
          <w:tcW w:w="3120" w:type="dxa"/>
        </w:tcPr>
        <w:p w14:paraId="1EEFF30B" w14:textId="77777777" w:rsidR="001865E9" w:rsidRDefault="001865E9">
          <w:pPr>
            <w:pBdr>
              <w:top w:val="nil"/>
              <w:left w:val="nil"/>
              <w:bottom w:val="nil"/>
              <w:right w:val="nil"/>
              <w:between w:val="nil"/>
            </w:pBdr>
            <w:tabs>
              <w:tab w:val="center" w:pos="4680"/>
              <w:tab w:val="right" w:pos="9360"/>
            </w:tabs>
            <w:spacing w:line="240" w:lineRule="auto"/>
            <w:ind w:right="-115"/>
            <w:jc w:val="right"/>
            <w:rPr>
              <w:color w:val="000000"/>
            </w:rPr>
          </w:pPr>
        </w:p>
      </w:tc>
    </w:tr>
  </w:tbl>
  <w:p w14:paraId="52D30007" w14:textId="77777777" w:rsidR="001865E9" w:rsidRDefault="001865E9">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FFA7" w14:textId="77777777" w:rsidR="00882AC1" w:rsidRDefault="00882AC1">
      <w:pPr>
        <w:spacing w:line="240" w:lineRule="auto"/>
      </w:pPr>
      <w:r>
        <w:separator/>
      </w:r>
    </w:p>
  </w:footnote>
  <w:footnote w:type="continuationSeparator" w:id="0">
    <w:p w14:paraId="475D53EB" w14:textId="77777777" w:rsidR="00882AC1" w:rsidRDefault="00882AC1">
      <w:pPr>
        <w:spacing w:line="240" w:lineRule="auto"/>
      </w:pPr>
      <w:r>
        <w:continuationSeparator/>
      </w:r>
    </w:p>
  </w:footnote>
  <w:footnote w:id="1">
    <w:p w14:paraId="0839169B" w14:textId="77777777" w:rsidR="001865E9" w:rsidRDefault="00882AC1">
      <w:pPr>
        <w:pBdr>
          <w:top w:val="nil"/>
          <w:left w:val="nil"/>
          <w:bottom w:val="nil"/>
          <w:right w:val="nil"/>
          <w:between w:val="nil"/>
        </w:pBdr>
        <w:spacing w:before="240" w:after="240" w:line="240" w:lineRule="auto"/>
        <w:rPr>
          <w:color w:val="000000"/>
          <w:sz w:val="20"/>
          <w:szCs w:val="20"/>
        </w:rPr>
      </w:pPr>
      <w:r>
        <w:rPr>
          <w:rStyle w:val="FootnoteReference"/>
        </w:rPr>
        <w:footnoteRef/>
      </w:r>
      <w:r>
        <w:rPr>
          <w:color w:val="000000"/>
          <w:sz w:val="20"/>
          <w:szCs w:val="20"/>
        </w:rPr>
        <w:t xml:space="preserve"> Data were collected from April 1-30, 2024. All data presented in this report are in relation to the 661 youth and young adults who currently met the UHYC definition of unaccompanied youth homelessness (see text box).</w:t>
      </w:r>
    </w:p>
  </w:footnote>
  <w:footnote w:id="2">
    <w:p w14:paraId="1124F8E6" w14:textId="77777777" w:rsidR="001865E9" w:rsidRDefault="00882AC1">
      <w:pPr>
        <w:pBdr>
          <w:top w:val="nil"/>
          <w:left w:val="nil"/>
          <w:bottom w:val="nil"/>
          <w:right w:val="nil"/>
          <w:between w:val="nil"/>
        </w:pBdr>
        <w:spacing w:before="240" w:after="240" w:line="240" w:lineRule="auto"/>
        <w:rPr>
          <w:color w:val="000000"/>
          <w:sz w:val="20"/>
          <w:szCs w:val="20"/>
        </w:rPr>
      </w:pPr>
      <w:r>
        <w:rPr>
          <w:rStyle w:val="FootnoteReference"/>
        </w:rPr>
        <w:footnoteRef/>
      </w:r>
      <w:r>
        <w:rPr>
          <w:color w:val="000000"/>
          <w:sz w:val="20"/>
          <w:szCs w:val="20"/>
        </w:rPr>
        <w:t xml:space="preserve"> Black, Indigenous, and People of Color (BIPOC)</w:t>
      </w:r>
    </w:p>
  </w:footnote>
  <w:footnote w:id="3">
    <w:p w14:paraId="526D590F" w14:textId="77777777" w:rsidR="001865E9" w:rsidRDefault="00882AC1">
      <w:pPr>
        <w:spacing w:line="240" w:lineRule="auto"/>
      </w:pPr>
      <w:r>
        <w:rPr>
          <w:rStyle w:val="FootnoteReference"/>
        </w:rPr>
        <w:footnoteRef/>
      </w:r>
      <w:r>
        <w:rPr>
          <w:sz w:val="20"/>
          <w:szCs w:val="20"/>
        </w:rPr>
        <w:t xml:space="preserve"> </w:t>
      </w:r>
      <w:r>
        <w:t xml:space="preserve">A statewide list of current youth and young adult drop-in centers can be accessed at: </w:t>
      </w:r>
      <w:hyperlink r:id="rId1">
        <w:r>
          <w:rPr>
            <w:color w:val="0000FF"/>
            <w:u w:val="single"/>
          </w:rPr>
          <w:t>www.mass.gov/info-details/youth-young-adult-resource-drop-in-and-access-centers</w:t>
        </w:r>
      </w:hyperlink>
      <w:r>
        <w:t xml:space="preserve"> </w:t>
      </w:r>
    </w:p>
    <w:p w14:paraId="47FE758E" w14:textId="77777777" w:rsidR="001865E9" w:rsidRDefault="001865E9">
      <w:pPr>
        <w:spacing w:line="240" w:lineRule="auto"/>
        <w:rPr>
          <w:sz w:val="20"/>
          <w:szCs w:val="20"/>
        </w:rPr>
      </w:pPr>
    </w:p>
  </w:footnote>
  <w:footnote w:id="4">
    <w:p w14:paraId="07F0B204" w14:textId="77777777" w:rsidR="001865E9" w:rsidRDefault="00882AC1">
      <w:pPr>
        <w:pBdr>
          <w:top w:val="nil"/>
          <w:left w:val="nil"/>
          <w:bottom w:val="nil"/>
          <w:right w:val="nil"/>
          <w:between w:val="nil"/>
        </w:pBdr>
        <w:spacing w:before="240" w:after="240" w:line="240" w:lineRule="auto"/>
        <w:rPr>
          <w:color w:val="0000FF"/>
          <w:u w:val="single"/>
        </w:rPr>
      </w:pPr>
      <w:r>
        <w:rPr>
          <w:rStyle w:val="FootnoteReference"/>
        </w:rPr>
        <w:footnoteRef/>
      </w:r>
      <w:r>
        <w:t xml:space="preserve"> </w:t>
      </w:r>
      <w:hyperlink r:id="rId2">
        <w:r>
          <w:rPr>
            <w:color w:val="0000FF"/>
            <w:u w:val="single"/>
          </w:rPr>
          <w:t>https://files.hudexchange.info/reports/published/CoC_PopSub_State_MA_2024.pdf</w:t>
        </w:r>
      </w:hyperlink>
    </w:p>
    <w:p w14:paraId="37E9E65F" w14:textId="77777777" w:rsidR="001865E9" w:rsidRDefault="001865E9">
      <w:pPr>
        <w:pBdr>
          <w:top w:val="nil"/>
          <w:left w:val="nil"/>
          <w:bottom w:val="nil"/>
          <w:right w:val="nil"/>
          <w:between w:val="nil"/>
        </w:pBdr>
        <w:spacing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5F6E" w14:textId="77777777" w:rsidR="001865E9" w:rsidRDefault="001865E9">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88A"/>
    <w:multiLevelType w:val="multilevel"/>
    <w:tmpl w:val="9878E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A81DE8"/>
    <w:multiLevelType w:val="multilevel"/>
    <w:tmpl w:val="EDA43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FC510E"/>
    <w:multiLevelType w:val="multilevel"/>
    <w:tmpl w:val="7D349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B53661"/>
    <w:multiLevelType w:val="multilevel"/>
    <w:tmpl w:val="AF5C07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97F6DA8"/>
    <w:multiLevelType w:val="multilevel"/>
    <w:tmpl w:val="45CE5C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43D03F66"/>
    <w:multiLevelType w:val="multilevel"/>
    <w:tmpl w:val="00CA9A4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459B132C"/>
    <w:multiLevelType w:val="multilevel"/>
    <w:tmpl w:val="57B0718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4F27375"/>
    <w:multiLevelType w:val="multilevel"/>
    <w:tmpl w:val="621083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7B430886"/>
    <w:multiLevelType w:val="multilevel"/>
    <w:tmpl w:val="523AF9D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80205125">
    <w:abstractNumId w:val="6"/>
  </w:num>
  <w:num w:numId="2" w16cid:durableId="1234001738">
    <w:abstractNumId w:val="2"/>
  </w:num>
  <w:num w:numId="3" w16cid:durableId="925724242">
    <w:abstractNumId w:val="8"/>
  </w:num>
  <w:num w:numId="4" w16cid:durableId="1437559452">
    <w:abstractNumId w:val="4"/>
  </w:num>
  <w:num w:numId="5" w16cid:durableId="1949852515">
    <w:abstractNumId w:val="1"/>
  </w:num>
  <w:num w:numId="6" w16cid:durableId="719017035">
    <w:abstractNumId w:val="0"/>
  </w:num>
  <w:num w:numId="7" w16cid:durableId="375929049">
    <w:abstractNumId w:val="3"/>
  </w:num>
  <w:num w:numId="8" w16cid:durableId="1307515246">
    <w:abstractNumId w:val="5"/>
  </w:num>
  <w:num w:numId="9" w16cid:durableId="4742254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5E9"/>
    <w:rsid w:val="001865E9"/>
    <w:rsid w:val="002F4C7A"/>
    <w:rsid w:val="00312833"/>
    <w:rsid w:val="00882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1C171"/>
  <w15:docId w15:val="{42D26051-D232-401C-8D4E-CD72371AE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tblPr/>
  </w:style>
  <w:style w:type="table" w:customStyle="1" w:styleId="a0">
    <w:basedOn w:val="TableNormal1"/>
    <w:tblPr/>
  </w:style>
  <w:style w:type="table" w:customStyle="1" w:styleId="a1">
    <w:basedOn w:val="TableNormal1"/>
    <w:tblPr/>
  </w:style>
  <w:style w:type="table" w:customStyle="1" w:styleId="a2">
    <w:basedOn w:val="TableNormal1"/>
    <w:tblPr/>
  </w:style>
  <w:style w:type="table" w:customStyle="1" w:styleId="a3">
    <w:basedOn w:val="TableNormal1"/>
    <w:tblPr/>
  </w:style>
  <w:style w:type="table" w:customStyle="1" w:styleId="a4">
    <w:basedOn w:val="TableNormal1"/>
    <w:tblPr/>
  </w:style>
  <w:style w:type="table" w:customStyle="1" w:styleId="a5">
    <w:basedOn w:val="TableNormal1"/>
    <w:tblPr/>
  </w:style>
  <w:style w:type="table" w:customStyle="1" w:styleId="a6">
    <w:basedOn w:val="TableNormal1"/>
    <w:tblPr/>
  </w:style>
  <w:style w:type="table" w:customStyle="1" w:styleId="a7">
    <w:basedOn w:val="TableNormal1"/>
    <w:pPr>
      <w:spacing w:line="240" w:lineRule="auto"/>
    </w:pP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479CD"/>
    <w:pPr>
      <w:spacing w:line="240" w:lineRule="auto"/>
    </w:pPr>
  </w:style>
  <w:style w:type="paragraph" w:styleId="CommentSubject">
    <w:name w:val="annotation subject"/>
    <w:basedOn w:val="CommentText"/>
    <w:next w:val="CommentText"/>
    <w:link w:val="CommentSubjectChar"/>
    <w:uiPriority w:val="99"/>
    <w:semiHidden/>
    <w:unhideWhenUsed/>
    <w:rsid w:val="004479CD"/>
    <w:rPr>
      <w:b/>
      <w:bCs/>
    </w:rPr>
  </w:style>
  <w:style w:type="character" w:customStyle="1" w:styleId="CommentSubjectChar">
    <w:name w:val="Comment Subject Char"/>
    <w:basedOn w:val="CommentTextChar"/>
    <w:link w:val="CommentSubject"/>
    <w:uiPriority w:val="99"/>
    <w:semiHidden/>
    <w:rsid w:val="004479CD"/>
    <w:rPr>
      <w:b/>
      <w:bCs/>
      <w:sz w:val="20"/>
      <w:szCs w:val="20"/>
    </w:rPr>
  </w:style>
  <w:style w:type="paragraph" w:styleId="Header">
    <w:name w:val="header"/>
    <w:basedOn w:val="Normal"/>
    <w:link w:val="HeaderChar"/>
    <w:uiPriority w:val="99"/>
    <w:unhideWhenUsed/>
    <w:rsid w:val="00DC08FD"/>
    <w:pPr>
      <w:tabs>
        <w:tab w:val="center" w:pos="4680"/>
        <w:tab w:val="right" w:pos="9360"/>
      </w:tabs>
      <w:spacing w:line="240" w:lineRule="auto"/>
    </w:pPr>
  </w:style>
  <w:style w:type="character" w:customStyle="1" w:styleId="HeaderChar">
    <w:name w:val="Header Char"/>
    <w:basedOn w:val="DefaultParagraphFont"/>
    <w:link w:val="Header"/>
    <w:uiPriority w:val="99"/>
    <w:rsid w:val="00DC08FD"/>
  </w:style>
  <w:style w:type="paragraph" w:styleId="Footer">
    <w:name w:val="footer"/>
    <w:basedOn w:val="Normal"/>
    <w:link w:val="FooterChar"/>
    <w:uiPriority w:val="99"/>
    <w:unhideWhenUsed/>
    <w:rsid w:val="00DC08FD"/>
    <w:pPr>
      <w:tabs>
        <w:tab w:val="center" w:pos="4680"/>
        <w:tab w:val="right" w:pos="9360"/>
      </w:tabs>
      <w:spacing w:line="240" w:lineRule="auto"/>
    </w:pPr>
  </w:style>
  <w:style w:type="character" w:customStyle="1" w:styleId="FooterChar">
    <w:name w:val="Footer Char"/>
    <w:basedOn w:val="DefaultParagraphFont"/>
    <w:link w:val="Footer"/>
    <w:uiPriority w:val="99"/>
    <w:rsid w:val="00DC08FD"/>
  </w:style>
  <w:style w:type="paragraph" w:styleId="FootnoteText">
    <w:name w:val="footnote text"/>
    <w:basedOn w:val="Normal"/>
    <w:uiPriority w:val="99"/>
    <w:semiHidden/>
    <w:unhideWhenUsed/>
    <w:rsid w:val="506BD4C9"/>
    <w:pPr>
      <w:spacing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rsid w:val="4B3C0AE0"/>
    <w:pPr>
      <w:ind w:left="720"/>
      <w:contextualSpacing/>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8">
    <w:basedOn w:val="TableNormal"/>
    <w:pPr>
      <w:spacing w:line="240" w:lineRule="auto"/>
    </w:pPr>
    <w:rPr>
      <w:rFonts w:ascii="Calibri" w:eastAsia="Calibri" w:hAnsi="Calibri" w:cs="Calibri"/>
      <w:color w:val="000000"/>
      <w:sz w:val="20"/>
      <w:szCs w:val="20"/>
    </w:rPr>
    <w:tblPr>
      <w:tblStyleRowBandSize w:val="1"/>
      <w:tblStyleColBandSize w:val="1"/>
      <w:tblCellMar>
        <w:top w:w="100" w:type="dxa"/>
        <w:left w:w="100" w:type="dxa"/>
        <w:bottom w:w="100" w:type="dxa"/>
        <w:right w:w="100" w:type="dxa"/>
      </w:tblCellMar>
    </w:tblPr>
    <w:tcPr>
      <w:shd w:val="clear" w:color="auto" w:fill="D3DFEE"/>
    </w:tc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pPr>
      <w:spacing w:line="240" w:lineRule="auto"/>
    </w:pPr>
    <w:tblPr>
      <w:tblStyleRowBandSize w:val="1"/>
      <w:tblStyleColBandSize w:val="1"/>
      <w:tblCellMar>
        <w:left w:w="0" w:type="dxa"/>
        <w:right w:w="0" w:type="dxa"/>
      </w:tblCellMar>
    </w:tblPr>
  </w:style>
  <w:style w:type="table" w:customStyle="1" w:styleId="af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gov/doc/2024-youth-count-report-pdf/downlo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files/documents/2018/05/01/Massachusetts%20State%20Plan%20to%20End%20Youth%20Homelessness%20-%202018.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files.hudexchange.info/reports/published/CoC_PopSub_State_MA_2024.pdf" TargetMode="External"/><Relationship Id="rId1" Type="http://schemas.openxmlformats.org/officeDocument/2006/relationships/hyperlink" Target="https://www.mass.gov/info-details/youth-young-adult-resource-drop-in-and-access-cen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25wg5dp9aEmQRDLgz5/vRkxFQ==">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3318</Words>
  <Characters>18916</Characters>
  <Application>Microsoft Office Word</Application>
  <DocSecurity>0</DocSecurity>
  <Lines>157</Lines>
  <Paragraphs>44</Paragraphs>
  <ScaleCrop>false</ScaleCrop>
  <Company/>
  <LinksUpToDate>false</LinksUpToDate>
  <CharactersWithSpaces>22190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Deborah (EHS)</dc:creator>
  <cp:lastModifiedBy>Harrison, Deborah (EHS)</cp:lastModifiedBy>
  <cp:revision>2</cp:revision>
  <dcterms:created xsi:type="dcterms:W3CDTF">2026-03-26T13:21:00Z</dcterms:created>
  <dcterms:modified xsi:type="dcterms:W3CDTF">2026-03-26T13:21:00Z</dcterms:modified>
</cp:coreProperties>
</file>