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mass.gov/dph</w:t>
      </w:r>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77777777" w:rsidR="007D1D51" w:rsidRDefault="00802852" w:rsidP="00802852">
      <w:pPr>
        <w:jc w:val="right"/>
        <w:rPr>
          <w:rFonts w:ascii="Arial" w:hAnsi="Arial" w:cs="Arial"/>
        </w:rPr>
      </w:pPr>
      <w:r w:rsidRPr="00237280">
        <w:rPr>
          <w:rFonts w:ascii="Arial" w:hAnsi="Arial" w:cs="Arial"/>
          <w:b/>
          <w:bCs/>
        </w:rPr>
        <w:t>Kiame Mahaniah, MD</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76751140" w14:textId="77777777" w:rsidR="00D10DDE" w:rsidRDefault="00D10DDE" w:rsidP="0072610D"/>
    <w:p w14:paraId="30B5F353" w14:textId="77777777" w:rsidR="004C4142" w:rsidRDefault="004C4142" w:rsidP="004C4142">
      <w:pPr>
        <w:pStyle w:val="paragraph"/>
        <w:spacing w:before="0" w:beforeAutospacing="0" w:after="0" w:afterAutospacing="0"/>
        <w:textAlignment w:val="baseline"/>
        <w:rPr>
          <w:rStyle w:val="eop"/>
          <w:rFonts w:ascii="Calibri" w:hAnsi="Calibri" w:cs="Calibri"/>
          <w:sz w:val="22"/>
          <w:szCs w:val="22"/>
        </w:rPr>
      </w:pPr>
      <w:r w:rsidRPr="24834C14">
        <w:rPr>
          <w:rStyle w:val="eop"/>
          <w:rFonts w:ascii="Calibri" w:hAnsi="Calibri" w:cs="Calibri"/>
          <w:sz w:val="22"/>
          <w:szCs w:val="22"/>
        </w:rPr>
        <w:t> </w:t>
      </w:r>
    </w:p>
    <w:p w14:paraId="5331C1E6" w14:textId="77777777" w:rsidR="00075C66" w:rsidRPr="00075C66" w:rsidRDefault="00075C66" w:rsidP="00075C66">
      <w:pPr>
        <w:spacing w:after="160" w:line="278" w:lineRule="auto"/>
        <w:jc w:val="center"/>
        <w:rPr>
          <w:rFonts w:asciiTheme="minorHAnsi" w:eastAsia="Aptos" w:hAnsiTheme="minorHAnsi" w:cstheme="minorHAnsi"/>
          <w:b/>
          <w:bCs/>
          <w:kern w:val="2"/>
          <w:szCs w:val="24"/>
          <w14:ligatures w14:val="standardContextual"/>
        </w:rPr>
      </w:pPr>
      <w:r w:rsidRPr="00075C66">
        <w:rPr>
          <w:rFonts w:asciiTheme="minorHAnsi" w:eastAsia="Aptos" w:hAnsiTheme="minorHAnsi" w:cstheme="minorHAnsi"/>
          <w:b/>
          <w:bCs/>
          <w:kern w:val="2"/>
          <w:szCs w:val="24"/>
          <w14:ligatures w14:val="standardContextual"/>
        </w:rPr>
        <w:t>Massachusetts Department of Public Health (DPH)</w:t>
      </w:r>
      <w:r w:rsidRPr="00075C66">
        <w:rPr>
          <w:rFonts w:asciiTheme="minorHAnsi" w:eastAsia="Aptos" w:hAnsiTheme="minorHAnsi" w:cstheme="minorHAnsi"/>
          <w:b/>
          <w:bCs/>
          <w:kern w:val="2"/>
          <w:szCs w:val="24"/>
          <w14:ligatures w14:val="standardContextual"/>
        </w:rPr>
        <w:br/>
        <w:t>Clinical Advisory for the 2025-2026 Seasonal Influenza Epidemic</w:t>
      </w:r>
    </w:p>
    <w:p w14:paraId="36E87942" w14:textId="77777777" w:rsidR="00075C66" w:rsidRPr="00075C66" w:rsidRDefault="00075C66" w:rsidP="00075C66">
      <w:pPr>
        <w:spacing w:after="160" w:line="278" w:lineRule="auto"/>
        <w:jc w:val="center"/>
        <w:rPr>
          <w:rFonts w:asciiTheme="minorHAnsi" w:eastAsia="Aptos" w:hAnsiTheme="minorHAnsi" w:cstheme="minorHAnsi"/>
          <w:kern w:val="2"/>
          <w:szCs w:val="24"/>
          <w14:ligatures w14:val="standardContextual"/>
        </w:rPr>
      </w:pPr>
      <w:r w:rsidRPr="00075C66">
        <w:rPr>
          <w:rFonts w:asciiTheme="minorHAnsi" w:eastAsia="Aptos" w:hAnsiTheme="minorHAnsi" w:cstheme="minorHAnsi"/>
          <w:b/>
          <w:bCs/>
          <w:kern w:val="2"/>
          <w:szCs w:val="24"/>
          <w14:ligatures w14:val="standardContextual"/>
        </w:rPr>
        <w:t>January 2026</w:t>
      </w:r>
    </w:p>
    <w:p w14:paraId="0F80B79D" w14:textId="77777777" w:rsidR="00075C66" w:rsidRPr="00075C66" w:rsidRDefault="00075C66" w:rsidP="00075C66">
      <w:pPr>
        <w:spacing w:line="278" w:lineRule="auto"/>
        <w:rPr>
          <w:rFonts w:asciiTheme="minorHAnsi" w:eastAsia="Aptos" w:hAnsiTheme="minorHAnsi" w:cstheme="minorHAnsi"/>
          <w:kern w:val="2"/>
          <w:szCs w:val="24"/>
          <w14:ligatures w14:val="standardContextual"/>
        </w:rPr>
      </w:pPr>
      <w:r w:rsidRPr="00075C66">
        <w:rPr>
          <w:rFonts w:asciiTheme="minorHAnsi" w:eastAsia="Aptos" w:hAnsiTheme="minorHAnsi" w:cstheme="minorHAnsi"/>
          <w:kern w:val="2"/>
          <w:szCs w:val="24"/>
          <w14:ligatures w14:val="standardContextual"/>
        </w:rPr>
        <w:t>This document is a clinical advisory from the Massachusetts Department of Public Health (DPH) regarding the rising number of seasonal influenza cases occurring in Massachusetts and nationwide.</w:t>
      </w:r>
    </w:p>
    <w:p w14:paraId="5810C552" w14:textId="77777777" w:rsidR="00075C66" w:rsidRPr="00075C66" w:rsidRDefault="00075C66" w:rsidP="00075C66">
      <w:pPr>
        <w:spacing w:line="278" w:lineRule="auto"/>
        <w:rPr>
          <w:rFonts w:asciiTheme="minorHAnsi" w:eastAsia="Aptos" w:hAnsiTheme="minorHAnsi" w:cstheme="minorHAnsi"/>
          <w:kern w:val="2"/>
          <w:szCs w:val="24"/>
          <w14:ligatures w14:val="standardContextual"/>
        </w:rPr>
      </w:pPr>
      <w:r w:rsidRPr="00075C66">
        <w:rPr>
          <w:rFonts w:asciiTheme="minorHAnsi" w:eastAsia="Aptos" w:hAnsiTheme="minorHAnsi" w:cstheme="minorHAnsi"/>
          <w:noProof/>
          <w:kern w:val="2"/>
          <w:szCs w:val="24"/>
          <w14:ligatures w14:val="standardContextual"/>
        </w:rPr>
        <mc:AlternateContent>
          <mc:Choice Requires="wps">
            <w:drawing>
              <wp:anchor distT="0" distB="0" distL="114300" distR="114300" simplePos="0" relativeHeight="251658240" behindDoc="0" locked="0" layoutInCell="1" allowOverlap="1" wp14:anchorId="5A1C93D9" wp14:editId="44ED1CBA">
                <wp:simplePos x="0" y="0"/>
                <wp:positionH relativeFrom="column">
                  <wp:posOffset>-247650</wp:posOffset>
                </wp:positionH>
                <wp:positionV relativeFrom="paragraph">
                  <wp:posOffset>112395</wp:posOffset>
                </wp:positionV>
                <wp:extent cx="6400330" cy="2867025"/>
                <wp:effectExtent l="0" t="0" r="19685" b="28575"/>
                <wp:wrapNone/>
                <wp:docPr id="722431555" name="Rectangle: Rounded Corners 1"/>
                <wp:cNvGraphicFramePr/>
                <a:graphic xmlns:a="http://schemas.openxmlformats.org/drawingml/2006/main">
                  <a:graphicData uri="http://schemas.microsoft.com/office/word/2010/wordprocessingShape">
                    <wps:wsp>
                      <wps:cNvSpPr/>
                      <wps:spPr>
                        <a:xfrm>
                          <a:off x="0" y="0"/>
                          <a:ext cx="6400330" cy="2867025"/>
                        </a:xfrm>
                        <a:prstGeom prst="round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oundrect w14:anchorId="649491C9" id="Rectangle: Rounded Corners 1" o:spid="_x0000_s1026" style="position:absolute;margin-left:-19.5pt;margin-top:8.85pt;width:503.95pt;height:22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DXwXQIAALwEAAAOAAAAZHJzL2Uyb0RvYy54bWysVEtPGzEQvlfqf7B8L7sJ4RWxQRGIqhIC&#10;VKh6Hrx21pLtcW0nm/TXd+xdSEp7qpqDM+N5f/5mL6+21rCNDFGja/jkqOZMOoGtdquGf3u+/XTO&#10;WUzgWjDoZMN3MvKrxccPl72fyyl2aFoZGCVxcd77hncp+XlVRdFJC/EIvXRkVBgsJFLDqmoD9JTd&#10;mmpa16dVj6H1AYWMkW5vBiNflPxKSZEelIoyMdNw6i2VM5TzJZ/V4hLmqwC+02JsA/6hCwvaUdG3&#10;VDeQgK2D/iOV1SJgRJWOBNoKldJClhlomkn9bpqnDrwssxA40b/BFP9fWnG/efKPgWDofZxHEvMU&#10;WxVs/qf+2LaAtXsDS24TE3R5Oqvr42PCVJBten56Vk9PMpzVPtyHmD5LtCwLDQ+4du1XepKCFGzu&#10;Yhr8X/1ySYe32pjyLMaxnjh1UZ/kKkDsUAYSida3DY9uxRmYFdFOpFBSRjS6zeE5UdzFaxPYBujl&#10;iTAt9s/UOmcGYiIDzVN+Y8u/heZ+biB2Q3AxDUSxOhFbjbYNPz+MNi5XlIVv41R7OLP0gu3uMbCA&#10;AwGjF7eaitxRL48QiHE0IW1ReqBDGaSxcZQ46zD8/Nt99icikJWznhhMkPxYQ5A04hdHFLmYzGaZ&#10;8kWZnZxNSQmHlpdDi1vbaySoJrSvXhQx+yfzKqqA9jst2zJXJRM4QbUH8EflOg2bResq5HJZ3Ijm&#10;HtKde/IiJ884ZXift98h+JEYiR7mHl/ZDvN31Bh8B3Is1wmVLrzZ40qkywqtSKHfuM55Bw/14rX/&#10;6Cx+AQAA//8DAFBLAwQUAAYACAAAACEA3PXBleAAAAAKAQAADwAAAGRycy9kb3ducmV2LnhtbEyP&#10;zU7DMBCE70i8g7VIXKLWSUFpE+JU/AiJa1skxM1NltgiXofYacPbs5zgOJrRzDfVdna9OOEYrCcF&#10;2TIFgdT41lKn4PXwvNiACFFTq3tPqOAbA2zry4tKl60/0w5P+9gJLqFQagUmxqGUMjQGnQ5LPyCx&#10;9+FHpyPLsZPtqM9c7nq5StNcOm2JF4we8NFg87mfnIKXZELzRXMmD0mWmPfcPrw9WaWur+b7OxAR&#10;5/gXhl98RoeamY5+ojaIXsHipuAvkY31GgQHinxTgDgquM2LFci6kv8v1D8AAAD//wMAUEsBAi0A&#10;FAAGAAgAAAAhALaDOJL+AAAA4QEAABMAAAAAAAAAAAAAAAAAAAAAAFtDb250ZW50X1R5cGVzXS54&#10;bWxQSwECLQAUAAYACAAAACEAOP0h/9YAAACUAQAACwAAAAAAAAAAAAAAAAAvAQAAX3JlbHMvLnJl&#10;bHNQSwECLQAUAAYACAAAACEAzBQ18F0CAAC8BAAADgAAAAAAAAAAAAAAAAAuAgAAZHJzL2Uyb0Rv&#10;Yy54bWxQSwECLQAUAAYACAAAACEA3PXBleAAAAAKAQAADwAAAAAAAAAAAAAAAAC3BAAAZHJzL2Rv&#10;d25yZXYueG1sUEsFBgAAAAAEAAQA8wAAAMQFAAAAAA==&#10;" filled="f" strokecolor="windowText" strokeweight="1.5pt">
                <v:stroke joinstyle="miter"/>
              </v:roundrect>
            </w:pict>
          </mc:Fallback>
        </mc:AlternateContent>
      </w:r>
    </w:p>
    <w:p w14:paraId="30BB0EA9" w14:textId="77777777" w:rsidR="00075C66" w:rsidRPr="00075C66" w:rsidRDefault="00075C66" w:rsidP="00075C66">
      <w:pPr>
        <w:spacing w:line="278" w:lineRule="auto"/>
        <w:rPr>
          <w:rFonts w:asciiTheme="minorHAnsi" w:eastAsia="Aptos" w:hAnsiTheme="minorHAnsi" w:cstheme="minorHAnsi"/>
          <w:kern w:val="2"/>
          <w:szCs w:val="24"/>
          <w14:ligatures w14:val="standardContextual"/>
        </w:rPr>
      </w:pPr>
      <w:r w:rsidRPr="00075C66">
        <w:rPr>
          <w:rFonts w:asciiTheme="minorHAnsi" w:eastAsia="Aptos" w:hAnsiTheme="minorHAnsi" w:cstheme="minorHAnsi"/>
          <w:kern w:val="2"/>
          <w:szCs w:val="24"/>
          <w14:ligatures w14:val="standardContextual"/>
        </w:rPr>
        <w:t>DPH recommends clinicians to:</w:t>
      </w:r>
    </w:p>
    <w:p w14:paraId="132E39F2" w14:textId="77777777" w:rsidR="00075C66" w:rsidRPr="00075C66" w:rsidRDefault="00075C66" w:rsidP="00075C66">
      <w:pPr>
        <w:numPr>
          <w:ilvl w:val="0"/>
          <w:numId w:val="2"/>
        </w:numPr>
        <w:spacing w:after="160" w:line="278" w:lineRule="auto"/>
        <w:contextualSpacing/>
        <w:rPr>
          <w:rFonts w:asciiTheme="minorHAnsi" w:eastAsia="Aptos" w:hAnsiTheme="minorHAnsi" w:cstheme="minorHAnsi"/>
          <w:kern w:val="2"/>
          <w:szCs w:val="24"/>
          <w14:ligatures w14:val="standardContextual"/>
        </w:rPr>
      </w:pPr>
      <w:r w:rsidRPr="00075C66">
        <w:rPr>
          <w:rFonts w:asciiTheme="minorHAnsi" w:eastAsia="Aptos" w:hAnsiTheme="minorHAnsi" w:cstheme="minorHAnsi"/>
          <w:b/>
          <w:bCs/>
          <w:kern w:val="2"/>
          <w:szCs w:val="24"/>
          <w14:ligatures w14:val="standardContextual"/>
        </w:rPr>
        <w:t>Vaccinate all eligible patients against influenza</w:t>
      </w:r>
      <w:r w:rsidRPr="00075C66">
        <w:rPr>
          <w:rFonts w:asciiTheme="minorHAnsi" w:eastAsia="Aptos" w:hAnsiTheme="minorHAnsi" w:cstheme="minorHAnsi"/>
          <w:kern w:val="2"/>
          <w:szCs w:val="24"/>
          <w14:ligatures w14:val="standardContextual"/>
        </w:rPr>
        <w:t xml:space="preserve">.  Annual influenza vaccination is recommended for all people ≥6 months of age who do not have contraindications. Vaccination is especially important for people who are at higher risk of developing serious flu complications. </w:t>
      </w:r>
      <w:r w:rsidRPr="00075C66">
        <w:rPr>
          <w:rFonts w:asciiTheme="minorHAnsi" w:eastAsia="Aptos" w:hAnsiTheme="minorHAnsi" w:cstheme="minorHAnsi"/>
          <w:b/>
          <w:bCs/>
          <w:kern w:val="2"/>
          <w:szCs w:val="24"/>
          <w14:ligatures w14:val="standardContextual"/>
        </w:rPr>
        <w:t>It is not too late to receive influenza vaccine this season.</w:t>
      </w:r>
    </w:p>
    <w:p w14:paraId="6F71B681" w14:textId="77777777" w:rsidR="00075C66" w:rsidRPr="00075C66" w:rsidRDefault="00075C66" w:rsidP="00075C66">
      <w:pPr>
        <w:numPr>
          <w:ilvl w:val="0"/>
          <w:numId w:val="2"/>
        </w:numPr>
        <w:spacing w:after="160" w:line="278" w:lineRule="auto"/>
        <w:contextualSpacing/>
        <w:rPr>
          <w:rFonts w:asciiTheme="minorHAnsi" w:eastAsia="Aptos" w:hAnsiTheme="minorHAnsi" w:cstheme="minorHAnsi"/>
          <w:kern w:val="2"/>
          <w:szCs w:val="24"/>
          <w14:ligatures w14:val="standardContextual"/>
        </w:rPr>
      </w:pPr>
      <w:r w:rsidRPr="00075C66">
        <w:rPr>
          <w:rFonts w:asciiTheme="minorHAnsi" w:eastAsia="Aptos" w:hAnsiTheme="minorHAnsi" w:cstheme="minorHAnsi"/>
          <w:kern w:val="2"/>
          <w:szCs w:val="24"/>
          <w14:ligatures w14:val="standardContextual"/>
        </w:rPr>
        <w:t xml:space="preserve">Use </w:t>
      </w:r>
      <w:r w:rsidRPr="00075C66">
        <w:rPr>
          <w:rFonts w:asciiTheme="minorHAnsi" w:eastAsia="Aptos" w:hAnsiTheme="minorHAnsi" w:cstheme="minorHAnsi"/>
          <w:b/>
          <w:bCs/>
          <w:kern w:val="2"/>
          <w:szCs w:val="24"/>
          <w14:ligatures w14:val="standardContextual"/>
        </w:rPr>
        <w:t>molecular tests</w:t>
      </w:r>
      <w:r w:rsidRPr="00075C66">
        <w:rPr>
          <w:rFonts w:asciiTheme="minorHAnsi" w:eastAsia="Aptos" w:hAnsiTheme="minorHAnsi" w:cstheme="minorHAnsi"/>
          <w:kern w:val="2"/>
          <w:szCs w:val="24"/>
          <w14:ligatures w14:val="standardContextual"/>
        </w:rPr>
        <w:t xml:space="preserve"> on nasopharyngeal specimens for influenza and other respiratory virus diagnosis.</w:t>
      </w:r>
    </w:p>
    <w:p w14:paraId="7873588A" w14:textId="77777777" w:rsidR="00075C66" w:rsidRPr="00075C66" w:rsidRDefault="00075C66" w:rsidP="00075C66">
      <w:pPr>
        <w:numPr>
          <w:ilvl w:val="0"/>
          <w:numId w:val="2"/>
        </w:numPr>
        <w:spacing w:after="160" w:line="278" w:lineRule="auto"/>
        <w:contextualSpacing/>
        <w:rPr>
          <w:rFonts w:asciiTheme="minorHAnsi" w:eastAsia="Aptos" w:hAnsiTheme="minorHAnsi" w:cstheme="minorHAnsi"/>
          <w:kern w:val="2"/>
          <w:szCs w:val="24"/>
          <w14:ligatures w14:val="standardContextual"/>
        </w:rPr>
      </w:pPr>
      <w:r w:rsidRPr="00075C66">
        <w:rPr>
          <w:rFonts w:asciiTheme="minorHAnsi" w:eastAsia="Aptos" w:hAnsiTheme="minorHAnsi" w:cstheme="minorHAnsi"/>
          <w:b/>
          <w:kern w:val="2"/>
          <w:szCs w:val="24"/>
          <w14:ligatures w14:val="standardContextual"/>
        </w:rPr>
        <w:t xml:space="preserve">Promptly provide </w:t>
      </w:r>
      <w:r w:rsidRPr="00075C66">
        <w:rPr>
          <w:rFonts w:asciiTheme="minorHAnsi" w:eastAsia="Aptos" w:hAnsiTheme="minorHAnsi" w:cstheme="minorHAnsi"/>
          <w:b/>
          <w:bCs/>
          <w:kern w:val="2"/>
          <w:szCs w:val="24"/>
          <w14:ligatures w14:val="standardContextual"/>
        </w:rPr>
        <w:t>influenza antiviral treatment</w:t>
      </w:r>
      <w:r w:rsidRPr="00075C66">
        <w:rPr>
          <w:rFonts w:asciiTheme="minorHAnsi" w:eastAsia="Aptos" w:hAnsiTheme="minorHAnsi" w:cstheme="minorHAnsi"/>
          <w:kern w:val="2"/>
          <w:szCs w:val="24"/>
          <w14:ligatures w14:val="standardContextual"/>
        </w:rPr>
        <w:t xml:space="preserve"> to people with severe or progressive influenza disease, people with documented or suspected influenza at increased risk of influenza complications and to hospitalized patients with known or suspected influenza.</w:t>
      </w:r>
    </w:p>
    <w:p w14:paraId="7C1892B3" w14:textId="77777777" w:rsidR="00075C66" w:rsidRPr="00075C66" w:rsidRDefault="00075C66" w:rsidP="00075C66">
      <w:pPr>
        <w:numPr>
          <w:ilvl w:val="0"/>
          <w:numId w:val="2"/>
        </w:numPr>
        <w:spacing w:after="160" w:line="278" w:lineRule="auto"/>
        <w:contextualSpacing/>
        <w:rPr>
          <w:rFonts w:asciiTheme="minorHAnsi" w:eastAsia="Aptos" w:hAnsiTheme="minorHAnsi" w:cstheme="minorHAnsi"/>
          <w:kern w:val="2"/>
          <w:szCs w:val="24"/>
          <w14:ligatures w14:val="standardContextual"/>
        </w:rPr>
      </w:pPr>
      <w:r w:rsidRPr="00075C66">
        <w:rPr>
          <w:rFonts w:asciiTheme="minorHAnsi" w:eastAsia="Aptos" w:hAnsiTheme="minorHAnsi" w:cstheme="minorHAnsi"/>
          <w:b/>
          <w:bCs/>
          <w:kern w:val="2"/>
          <w:szCs w:val="24"/>
          <w14:ligatures w14:val="standardContextual"/>
        </w:rPr>
        <w:t xml:space="preserve">Consider post exposure prophylaxis with antivirals </w:t>
      </w:r>
      <w:r w:rsidRPr="00075C66">
        <w:rPr>
          <w:rFonts w:asciiTheme="minorHAnsi" w:eastAsia="Aptos" w:hAnsiTheme="minorHAnsi" w:cstheme="minorHAnsi"/>
          <w:kern w:val="2"/>
          <w:szCs w:val="24"/>
          <w14:ligatures w14:val="standardContextual"/>
        </w:rPr>
        <w:t xml:space="preserve">for asymptomatic, exposed people in </w:t>
      </w:r>
      <w:r w:rsidRPr="00075C66">
        <w:rPr>
          <w:rFonts w:asciiTheme="minorHAnsi" w:eastAsia="Aptos" w:hAnsiTheme="minorHAnsi" w:cstheme="minorHAnsi"/>
          <w:b/>
          <w:bCs/>
          <w:kern w:val="2"/>
          <w:szCs w:val="24"/>
          <w14:ligatures w14:val="standardContextual"/>
        </w:rPr>
        <w:t>selected circumstances</w:t>
      </w:r>
      <w:r w:rsidRPr="00075C66">
        <w:rPr>
          <w:rFonts w:asciiTheme="minorHAnsi" w:eastAsia="Aptos" w:hAnsiTheme="minorHAnsi" w:cstheme="minorHAnsi"/>
          <w:kern w:val="2"/>
          <w:szCs w:val="24"/>
          <w14:ligatures w14:val="standardContextual"/>
        </w:rPr>
        <w:t>.</w:t>
      </w:r>
    </w:p>
    <w:p w14:paraId="55C0E4DF" w14:textId="77777777" w:rsidR="00075C66" w:rsidRPr="00075C66" w:rsidRDefault="00075C66" w:rsidP="00075C66">
      <w:pPr>
        <w:widowControl w:val="0"/>
        <w:autoSpaceDE w:val="0"/>
        <w:autoSpaceDN w:val="0"/>
        <w:spacing w:before="232" w:line="278" w:lineRule="auto"/>
        <w:rPr>
          <w:rFonts w:asciiTheme="minorHAnsi" w:eastAsia="Calibri" w:hAnsiTheme="minorHAnsi" w:cstheme="minorHAnsi"/>
          <w:szCs w:val="24"/>
        </w:rPr>
      </w:pPr>
    </w:p>
    <w:p w14:paraId="641924FD" w14:textId="77777777" w:rsidR="00075C66" w:rsidRPr="00075C66" w:rsidRDefault="00075C66" w:rsidP="00075C66">
      <w:pPr>
        <w:spacing w:after="160" w:line="278" w:lineRule="auto"/>
        <w:rPr>
          <w:rFonts w:asciiTheme="minorHAnsi" w:eastAsia="Aptos" w:hAnsiTheme="minorHAnsi" w:cstheme="minorHAnsi"/>
          <w:kern w:val="2"/>
          <w:szCs w:val="24"/>
          <w14:ligatures w14:val="standardContextual"/>
        </w:rPr>
      </w:pPr>
      <w:r w:rsidRPr="00075C66">
        <w:rPr>
          <w:rFonts w:asciiTheme="minorHAnsi" w:eastAsia="Aptos" w:hAnsiTheme="minorHAnsi" w:cstheme="minorHAnsi"/>
          <w:kern w:val="2"/>
          <w:szCs w:val="24"/>
          <w14:ligatures w14:val="standardContextual"/>
        </w:rPr>
        <w:t xml:space="preserve">Influenza, also called flu, is a disease caused by infection of the respiratory tract with influenza viruses. Influenza viruses typically circulate annually in the United States from the late fall through the early spring and cause seasonal epidemics of influenza disease. Typical symptoms of influenza are abrupt onset of fever, cough, runny nose, headache, malaise and muscle aches. While most people with influenza will recover without serious issues, for some people, influenza causes serious illness, hospitalization, or death. </w:t>
      </w:r>
      <w:r w:rsidRPr="00075C66">
        <w:rPr>
          <w:rFonts w:asciiTheme="minorHAnsi" w:eastAsia="Aptos" w:hAnsiTheme="minorHAnsi" w:cstheme="minorHAnsi"/>
          <w:b/>
          <w:bCs/>
          <w:kern w:val="2"/>
          <w:szCs w:val="24"/>
          <w14:ligatures w14:val="standardContextual"/>
        </w:rPr>
        <w:t xml:space="preserve">Older adults, very young children, pregnant people, and people of all ages with </w:t>
      </w:r>
      <w:hyperlink r:id="rId9">
        <w:r w:rsidRPr="00075C66">
          <w:rPr>
            <w:rFonts w:asciiTheme="minorHAnsi" w:eastAsia="Aptos" w:hAnsiTheme="minorHAnsi" w:cstheme="minorHAnsi"/>
            <w:b/>
            <w:bCs/>
            <w:color w:val="467886"/>
            <w:kern w:val="2"/>
            <w:szCs w:val="24"/>
            <w:u w:val="single"/>
            <w14:ligatures w14:val="standardContextual"/>
          </w:rPr>
          <w:t>certain chronic medical conditions</w:t>
        </w:r>
      </w:hyperlink>
      <w:r w:rsidRPr="00075C66">
        <w:rPr>
          <w:rFonts w:asciiTheme="minorHAnsi" w:eastAsia="Aptos" w:hAnsiTheme="minorHAnsi" w:cstheme="minorHAnsi"/>
          <w:b/>
          <w:bCs/>
          <w:kern w:val="2"/>
          <w:szCs w:val="24"/>
          <w14:ligatures w14:val="standardContextual"/>
        </w:rPr>
        <w:t xml:space="preserve"> are particularly susceptible to severe influenza.</w:t>
      </w:r>
      <w:r w:rsidRPr="00075C66">
        <w:rPr>
          <w:rFonts w:asciiTheme="minorHAnsi" w:eastAsia="Aptos" w:hAnsiTheme="minorHAnsi" w:cstheme="minorHAnsi"/>
          <w:kern w:val="2"/>
          <w:szCs w:val="24"/>
          <w14:ligatures w14:val="standardContextual"/>
        </w:rPr>
        <w:t xml:space="preserve"> Influenza is an important cause of missed work and school.</w:t>
      </w:r>
    </w:p>
    <w:p w14:paraId="33ACDFEB" w14:textId="77777777" w:rsidR="00075C66" w:rsidRPr="00075C66" w:rsidRDefault="00075C66" w:rsidP="00075C66">
      <w:pPr>
        <w:spacing w:after="160" w:line="278" w:lineRule="auto"/>
        <w:rPr>
          <w:rFonts w:asciiTheme="minorHAnsi" w:eastAsia="Aptos" w:hAnsiTheme="minorHAnsi" w:cstheme="minorHAnsi"/>
          <w:kern w:val="2"/>
          <w:szCs w:val="24"/>
          <w14:ligatures w14:val="standardContextual"/>
        </w:rPr>
      </w:pPr>
      <w:r w:rsidRPr="00075C66">
        <w:rPr>
          <w:rFonts w:asciiTheme="minorHAnsi" w:eastAsia="Aptos" w:hAnsiTheme="minorHAnsi" w:cstheme="minorHAnsi"/>
          <w:kern w:val="2"/>
          <w:szCs w:val="24"/>
          <w14:ligatures w14:val="standardContextual"/>
        </w:rPr>
        <w:t>Currently, in Massachusetts and across the nation, numbers of influenza cases are very high. Thousands of Massachusetts residents have become ill, leading to missed work, school, and other activities. Additionally, many residents have experienced serious influenza illness, unfortunately leading to visits to urgent care centers and emergency departments, inpatient hospitalizations and deaths. Deaths due to influenza occur every year and as of January 8, 2026, four pediatric deaths have been reported already this year in Massachusetts.  Information about</w:t>
      </w:r>
      <w:r w:rsidRPr="00075C66" w:rsidDel="008E517E">
        <w:rPr>
          <w:rFonts w:asciiTheme="minorHAnsi" w:eastAsia="Aptos" w:hAnsiTheme="minorHAnsi" w:cstheme="minorHAnsi"/>
          <w:kern w:val="2"/>
          <w:szCs w:val="24"/>
          <w14:ligatures w14:val="standardContextual"/>
        </w:rPr>
        <w:t xml:space="preserve"> </w:t>
      </w:r>
      <w:r w:rsidRPr="00075C66">
        <w:rPr>
          <w:rFonts w:asciiTheme="minorHAnsi" w:eastAsia="Aptos" w:hAnsiTheme="minorHAnsi" w:cstheme="minorHAnsi"/>
          <w:kern w:val="2"/>
          <w:szCs w:val="24"/>
          <w14:ligatures w14:val="standardContextual"/>
        </w:rPr>
        <w:t>viral</w:t>
      </w:r>
      <w:r w:rsidRPr="00075C66" w:rsidDel="008E517E">
        <w:rPr>
          <w:rFonts w:asciiTheme="minorHAnsi" w:eastAsia="Aptos" w:hAnsiTheme="minorHAnsi" w:cstheme="minorHAnsi"/>
          <w:kern w:val="2"/>
          <w:szCs w:val="24"/>
          <w14:ligatures w14:val="standardContextual"/>
        </w:rPr>
        <w:t xml:space="preserve"> </w:t>
      </w:r>
      <w:r w:rsidRPr="00075C66">
        <w:rPr>
          <w:rFonts w:asciiTheme="minorHAnsi" w:eastAsia="Aptos" w:hAnsiTheme="minorHAnsi" w:cstheme="minorHAnsi"/>
          <w:kern w:val="2"/>
          <w:szCs w:val="24"/>
          <w14:ligatures w14:val="standardContextual"/>
        </w:rPr>
        <w:t>respiratory illness activity, including influenza,</w:t>
      </w:r>
      <w:r w:rsidRPr="00075C66" w:rsidDel="008E517E">
        <w:rPr>
          <w:rFonts w:asciiTheme="minorHAnsi" w:eastAsia="Aptos" w:hAnsiTheme="minorHAnsi" w:cstheme="minorHAnsi"/>
          <w:kern w:val="2"/>
          <w:szCs w:val="24"/>
          <w14:ligatures w14:val="standardContextual"/>
        </w:rPr>
        <w:t xml:space="preserve"> </w:t>
      </w:r>
      <w:r w:rsidRPr="00075C66">
        <w:rPr>
          <w:rFonts w:asciiTheme="minorHAnsi" w:eastAsia="Aptos" w:hAnsiTheme="minorHAnsi" w:cstheme="minorHAnsi"/>
          <w:kern w:val="2"/>
          <w:szCs w:val="24"/>
          <w14:ligatures w14:val="standardContextual"/>
        </w:rPr>
        <w:t>in Massachusetts</w:t>
      </w:r>
      <w:r w:rsidRPr="00075C66" w:rsidDel="008E517E">
        <w:rPr>
          <w:rFonts w:asciiTheme="minorHAnsi" w:eastAsia="Aptos" w:hAnsiTheme="minorHAnsi" w:cstheme="minorHAnsi"/>
          <w:kern w:val="2"/>
          <w:szCs w:val="24"/>
          <w14:ligatures w14:val="standardContextual"/>
        </w:rPr>
        <w:t xml:space="preserve"> </w:t>
      </w:r>
      <w:r w:rsidRPr="00075C66">
        <w:rPr>
          <w:rFonts w:asciiTheme="minorHAnsi" w:eastAsia="Aptos" w:hAnsiTheme="minorHAnsi" w:cstheme="minorHAnsi"/>
          <w:kern w:val="2"/>
          <w:szCs w:val="24"/>
          <w14:ligatures w14:val="standardContextual"/>
        </w:rPr>
        <w:t xml:space="preserve">is available and updated weekly on the </w:t>
      </w:r>
      <w:hyperlink r:id="rId10" w:history="1">
        <w:r w:rsidRPr="00075C66">
          <w:rPr>
            <w:rFonts w:asciiTheme="minorHAnsi" w:eastAsia="Aptos" w:hAnsiTheme="minorHAnsi" w:cstheme="minorHAnsi"/>
            <w:color w:val="467886"/>
            <w:kern w:val="2"/>
            <w:szCs w:val="24"/>
            <w:u w:val="single"/>
            <w14:ligatures w14:val="standardContextual"/>
          </w:rPr>
          <w:t>Department of Public Health’s website.</w:t>
        </w:r>
      </w:hyperlink>
    </w:p>
    <w:p w14:paraId="0A170454" w14:textId="77777777" w:rsidR="00075C66" w:rsidRPr="00075C66" w:rsidRDefault="00075C66" w:rsidP="00075C66">
      <w:pPr>
        <w:spacing w:after="160" w:line="278" w:lineRule="auto"/>
        <w:rPr>
          <w:rFonts w:asciiTheme="minorHAnsi" w:eastAsia="Aptos" w:hAnsiTheme="minorHAnsi" w:cstheme="minorHAnsi"/>
          <w:kern w:val="2"/>
          <w:szCs w:val="24"/>
          <w14:ligatures w14:val="standardContextual"/>
        </w:rPr>
      </w:pPr>
      <w:r w:rsidRPr="00075C66">
        <w:rPr>
          <w:rFonts w:asciiTheme="minorHAnsi" w:eastAsia="Aptos" w:hAnsiTheme="minorHAnsi" w:cstheme="minorHAnsi"/>
          <w:kern w:val="2"/>
          <w:szCs w:val="24"/>
          <w14:ligatures w14:val="standardContextual"/>
        </w:rPr>
        <w:t xml:space="preserve">Current data show that the predominant circulating influenza strain in the U.S. is influenza A (H3N2), subclade K which is antigenically different from the influenza A (H3N2) virus in the 2025-2026 vaccine. However, early estimates from other countries suggest that the 2025-2026 influenza vaccine is effective against the circulating influenza A (H3N2), subclade K. </w:t>
      </w:r>
      <w:r w:rsidRPr="00075C66">
        <w:rPr>
          <w:rFonts w:asciiTheme="minorHAnsi" w:eastAsia="Aptos" w:hAnsiTheme="minorHAnsi" w:cstheme="minorHAnsi"/>
          <w:b/>
          <w:bCs/>
          <w:kern w:val="2"/>
          <w:szCs w:val="24"/>
          <w14:ligatures w14:val="standardContextual"/>
        </w:rPr>
        <w:t>Preliminary data from the U.K. show that flu vaccination reduces hospitalization by 70–75% in kids and 30–40% in older adults demonstrating that influenza vaccination remains an effective tool in preventing influenza related hospitalizations.</w:t>
      </w:r>
    </w:p>
    <w:p w14:paraId="300DC8B5" w14:textId="77777777" w:rsidR="00075C66" w:rsidRPr="00075C66" w:rsidRDefault="00075C66" w:rsidP="00075C66">
      <w:pPr>
        <w:spacing w:after="160" w:line="278" w:lineRule="auto"/>
        <w:rPr>
          <w:rFonts w:asciiTheme="minorHAnsi" w:eastAsia="Aptos" w:hAnsiTheme="minorHAnsi" w:cstheme="minorHAnsi"/>
          <w:kern w:val="2"/>
          <w:szCs w:val="24"/>
          <w14:ligatures w14:val="standardContextual"/>
        </w:rPr>
      </w:pPr>
      <w:r w:rsidRPr="00075C66">
        <w:rPr>
          <w:rFonts w:asciiTheme="minorHAnsi" w:eastAsia="Aptos" w:hAnsiTheme="minorHAnsi" w:cstheme="minorHAnsi"/>
          <w:kern w:val="2"/>
          <w:szCs w:val="24"/>
          <w14:ligatures w14:val="standardContextual"/>
        </w:rPr>
        <w:t xml:space="preserve">Annual influenza vaccination is the most important public health measure for preventing illnesses, hospitalizations and deaths caused by influenza virus infection. The most recent 2024-2025 influenza season was classified as "high severity," with the highest cumulative hospitalization rate since 2010-2011. However, early CDC estimates suggest that the influenza vaccine may have significantly reduced influenza disease burden, preventing an estimated 240,000 hospitalizations, 12 million influenza illnesses and 5.7 million influenza-related medical visits. </w:t>
      </w:r>
    </w:p>
    <w:p w14:paraId="1BD99874" w14:textId="77777777" w:rsidR="00075C66" w:rsidRPr="00075C66" w:rsidRDefault="00075C66" w:rsidP="00075C66">
      <w:pPr>
        <w:shd w:val="clear" w:color="auto" w:fill="FFFFFF"/>
        <w:spacing w:after="100" w:afterAutospacing="1"/>
        <w:rPr>
          <w:rFonts w:asciiTheme="minorHAnsi" w:hAnsiTheme="minorHAnsi" w:cstheme="minorHAnsi"/>
          <w:color w:val="000000"/>
          <w:szCs w:val="24"/>
        </w:rPr>
      </w:pPr>
      <w:r w:rsidRPr="00075C66">
        <w:rPr>
          <w:rFonts w:asciiTheme="minorHAnsi" w:hAnsiTheme="minorHAnsi" w:cstheme="minorHAnsi"/>
          <w:b/>
          <w:bCs/>
          <w:color w:val="000000"/>
          <w:szCs w:val="24"/>
        </w:rPr>
        <w:t>Recommendations for Healthcare Providers</w:t>
      </w:r>
    </w:p>
    <w:p w14:paraId="05BA65AC" w14:textId="77777777" w:rsidR="00075C66" w:rsidRPr="00075C66" w:rsidRDefault="00075C66" w:rsidP="00075C66">
      <w:pPr>
        <w:spacing w:after="160" w:line="278" w:lineRule="auto"/>
        <w:rPr>
          <w:rFonts w:asciiTheme="minorHAnsi" w:eastAsia="Aptos" w:hAnsiTheme="minorHAnsi" w:cstheme="minorHAnsi"/>
          <w:kern w:val="2"/>
          <w:szCs w:val="24"/>
          <w14:ligatures w14:val="standardContextual"/>
        </w:rPr>
      </w:pPr>
      <w:r w:rsidRPr="00075C66">
        <w:rPr>
          <w:rFonts w:asciiTheme="minorHAnsi" w:eastAsia="Aptos" w:hAnsiTheme="minorHAnsi" w:cstheme="minorHAnsi"/>
          <w:kern w:val="2"/>
          <w:szCs w:val="24"/>
          <w14:ligatures w14:val="standardContextual"/>
        </w:rPr>
        <w:t>To reduce influenza related morbidity and mortality in Massachusetts communities, DPH recommends clinicians take the following actions:</w:t>
      </w:r>
    </w:p>
    <w:p w14:paraId="5ADB2E8E" w14:textId="77777777" w:rsidR="00075C66" w:rsidRPr="00075C66" w:rsidRDefault="00075C66" w:rsidP="00075C66">
      <w:pPr>
        <w:numPr>
          <w:ilvl w:val="0"/>
          <w:numId w:val="3"/>
        </w:numPr>
        <w:spacing w:after="160" w:line="278" w:lineRule="auto"/>
        <w:ind w:left="360"/>
        <w:contextualSpacing/>
        <w:rPr>
          <w:rFonts w:asciiTheme="minorHAnsi" w:eastAsia="Aptos" w:hAnsiTheme="minorHAnsi" w:cstheme="minorHAnsi"/>
          <w:kern w:val="2"/>
          <w:szCs w:val="24"/>
          <w14:ligatures w14:val="standardContextual"/>
        </w:rPr>
      </w:pPr>
      <w:r w:rsidRPr="00075C66">
        <w:rPr>
          <w:rFonts w:asciiTheme="minorHAnsi" w:eastAsia="Aptos" w:hAnsiTheme="minorHAnsi" w:cstheme="minorHAnsi"/>
          <w:b/>
          <w:bCs/>
          <w:kern w:val="2"/>
          <w:szCs w:val="24"/>
          <w14:ligatures w14:val="standardContextual"/>
        </w:rPr>
        <w:t>Vaccinate against influenza</w:t>
      </w:r>
      <w:r w:rsidRPr="00075C66">
        <w:rPr>
          <w:rFonts w:asciiTheme="minorHAnsi" w:eastAsia="Aptos" w:hAnsiTheme="minorHAnsi" w:cstheme="minorHAnsi"/>
          <w:kern w:val="2"/>
          <w:szCs w:val="24"/>
          <w14:ligatures w14:val="standardContextual"/>
        </w:rPr>
        <w:t>.  Annual influenza vaccination is recommended for all persons aged ≥6 months who do not have contraindications.  Vaccination provides important protection from influenza illness and its potential complications.  The influenza season frequently extends through the spring (April/May). Vaccination should continue throughout the season as long as influenza viruses are circulating.</w:t>
      </w:r>
    </w:p>
    <w:p w14:paraId="2595EAD5" w14:textId="77777777" w:rsidR="00075C66" w:rsidRPr="00075C66" w:rsidRDefault="00075C66" w:rsidP="00075C66">
      <w:pPr>
        <w:numPr>
          <w:ilvl w:val="1"/>
          <w:numId w:val="3"/>
        </w:numPr>
        <w:spacing w:after="160" w:line="278" w:lineRule="auto"/>
        <w:ind w:left="1080"/>
        <w:contextualSpacing/>
        <w:rPr>
          <w:rFonts w:asciiTheme="minorHAnsi" w:eastAsia="Aptos" w:hAnsiTheme="minorHAnsi" w:cstheme="minorHAnsi"/>
          <w:kern w:val="2"/>
          <w:szCs w:val="24"/>
          <w14:ligatures w14:val="standardContextual"/>
        </w:rPr>
      </w:pPr>
      <w:r w:rsidRPr="00075C66">
        <w:rPr>
          <w:rFonts w:asciiTheme="minorHAnsi" w:eastAsia="Aptos" w:hAnsiTheme="minorHAnsi" w:cstheme="minorHAnsi"/>
          <w:kern w:val="2"/>
          <w:szCs w:val="24"/>
          <w14:ligatures w14:val="standardContextual"/>
        </w:rPr>
        <w:t>Multiple formulations of the 2025-2026 influenza vaccine are available in the U.S.  All 2025-2026 influenza vaccine formulations are trivalent.</w:t>
      </w:r>
    </w:p>
    <w:p w14:paraId="035EC0C7" w14:textId="77777777" w:rsidR="00075C66" w:rsidRPr="00075C66" w:rsidRDefault="00075C66" w:rsidP="00075C66">
      <w:pPr>
        <w:numPr>
          <w:ilvl w:val="1"/>
          <w:numId w:val="3"/>
        </w:numPr>
        <w:spacing w:after="160" w:line="278" w:lineRule="auto"/>
        <w:ind w:left="1080"/>
        <w:contextualSpacing/>
        <w:rPr>
          <w:rFonts w:asciiTheme="minorHAnsi" w:eastAsia="Aptos" w:hAnsiTheme="minorHAnsi" w:cstheme="minorHAnsi"/>
          <w:kern w:val="2"/>
          <w:szCs w:val="24"/>
          <w14:ligatures w14:val="standardContextual"/>
        </w:rPr>
      </w:pPr>
      <w:r w:rsidRPr="00075C66">
        <w:rPr>
          <w:rFonts w:asciiTheme="minorHAnsi" w:eastAsia="Aptos" w:hAnsiTheme="minorHAnsi" w:cstheme="minorHAnsi"/>
          <w:kern w:val="2"/>
          <w:szCs w:val="24"/>
          <w14:ligatures w14:val="standardContextual"/>
        </w:rPr>
        <w:t xml:space="preserve">Vaccination is especially important for people who are at </w:t>
      </w:r>
      <w:hyperlink r:id="rId11">
        <w:r w:rsidRPr="00075C66">
          <w:rPr>
            <w:rFonts w:asciiTheme="minorHAnsi" w:eastAsia="Aptos" w:hAnsiTheme="minorHAnsi" w:cstheme="minorHAnsi"/>
            <w:color w:val="467886"/>
            <w:kern w:val="2"/>
            <w:szCs w:val="24"/>
            <w:u w:val="single"/>
            <w14:ligatures w14:val="standardContextual"/>
          </w:rPr>
          <w:t>higher risk</w:t>
        </w:r>
      </w:hyperlink>
      <w:r w:rsidRPr="00075C66">
        <w:rPr>
          <w:rFonts w:asciiTheme="minorHAnsi" w:eastAsia="Aptos" w:hAnsiTheme="minorHAnsi" w:cstheme="minorHAnsi"/>
          <w:kern w:val="2"/>
          <w:szCs w:val="24"/>
          <w14:ligatures w14:val="standardContextual"/>
        </w:rPr>
        <w:t xml:space="preserve"> of developing serious flu complications and people who live or work with individuals at higher risk or those who cannot be vaccinated (infants under 6 months of age).</w:t>
      </w:r>
    </w:p>
    <w:p w14:paraId="65164C23" w14:textId="77777777" w:rsidR="00075C66" w:rsidRPr="00075C66" w:rsidRDefault="00075C66" w:rsidP="00075C66">
      <w:pPr>
        <w:numPr>
          <w:ilvl w:val="1"/>
          <w:numId w:val="3"/>
        </w:numPr>
        <w:spacing w:after="160" w:line="278" w:lineRule="auto"/>
        <w:ind w:left="1080"/>
        <w:contextualSpacing/>
        <w:rPr>
          <w:rFonts w:asciiTheme="minorHAnsi" w:eastAsia="Aptos" w:hAnsiTheme="minorHAnsi" w:cstheme="minorHAnsi"/>
          <w:kern w:val="2"/>
          <w:szCs w:val="24"/>
          <w14:ligatures w14:val="standardContextual"/>
        </w:rPr>
      </w:pPr>
      <w:r w:rsidRPr="00075C66">
        <w:rPr>
          <w:rFonts w:asciiTheme="minorHAnsi" w:eastAsia="Aptos" w:hAnsiTheme="minorHAnsi" w:cstheme="minorHAnsi"/>
          <w:kern w:val="2"/>
          <w:szCs w:val="24"/>
          <w14:ligatures w14:val="standardContextual"/>
        </w:rPr>
        <w:t>Adults aged ≥65 years are recommended to preferentially receive a higher-dose or adjuvanted influenza vaccines. However, if these vaccines are not available at an opportunity for vaccine administration, then any other age- appropriate influenza vaccine should be used.</w:t>
      </w:r>
    </w:p>
    <w:p w14:paraId="2373BD3F" w14:textId="77777777" w:rsidR="00075C66" w:rsidRPr="00075C66" w:rsidRDefault="00075C66" w:rsidP="00075C66">
      <w:pPr>
        <w:numPr>
          <w:ilvl w:val="1"/>
          <w:numId w:val="3"/>
        </w:numPr>
        <w:spacing w:after="160" w:line="278" w:lineRule="auto"/>
        <w:ind w:left="1080"/>
        <w:contextualSpacing/>
        <w:rPr>
          <w:rFonts w:asciiTheme="minorHAnsi" w:eastAsia="Aptos" w:hAnsiTheme="minorHAnsi" w:cstheme="minorHAnsi"/>
          <w:kern w:val="2"/>
          <w:szCs w:val="24"/>
          <w14:ligatures w14:val="standardContextual"/>
        </w:rPr>
      </w:pPr>
      <w:r w:rsidRPr="00075C66">
        <w:rPr>
          <w:rFonts w:asciiTheme="minorHAnsi" w:eastAsia="Aptos" w:hAnsiTheme="minorHAnsi" w:cstheme="minorHAnsi"/>
          <w:kern w:val="2"/>
          <w:szCs w:val="24"/>
          <w14:ligatures w14:val="standardContextual"/>
        </w:rPr>
        <w:t>There is no preferential influenza vaccine recommendation for people younger than 65 years.</w:t>
      </w:r>
    </w:p>
    <w:p w14:paraId="2A2FEE42" w14:textId="77777777" w:rsidR="00075C66" w:rsidRPr="00075C66" w:rsidRDefault="00075C66" w:rsidP="00075C66">
      <w:pPr>
        <w:numPr>
          <w:ilvl w:val="1"/>
          <w:numId w:val="3"/>
        </w:numPr>
        <w:spacing w:after="160" w:line="278" w:lineRule="auto"/>
        <w:ind w:left="1080"/>
        <w:contextualSpacing/>
        <w:rPr>
          <w:rFonts w:asciiTheme="minorHAnsi" w:eastAsia="Aptos" w:hAnsiTheme="minorHAnsi" w:cstheme="minorHAnsi"/>
          <w:kern w:val="2"/>
          <w:szCs w:val="24"/>
          <w14:ligatures w14:val="standardContextual"/>
        </w:rPr>
      </w:pPr>
      <w:r w:rsidRPr="00075C66">
        <w:rPr>
          <w:rFonts w:asciiTheme="minorHAnsi" w:eastAsia="Aptos" w:hAnsiTheme="minorHAnsi" w:cstheme="minorHAnsi"/>
          <w:kern w:val="2"/>
          <w:szCs w:val="24"/>
          <w14:ligatures w14:val="standardContextual"/>
        </w:rPr>
        <w:t>Immunocompromised and pregnant people should receive an age-appropriate inactivated influenza vaccine or recombinant vaccine. Intranasal live virus vaccine should not be used for these groups.</w:t>
      </w:r>
    </w:p>
    <w:p w14:paraId="0BD421B0" w14:textId="77777777" w:rsidR="00075C66" w:rsidRPr="00075C66" w:rsidRDefault="00075C66" w:rsidP="00075C66">
      <w:pPr>
        <w:numPr>
          <w:ilvl w:val="1"/>
          <w:numId w:val="3"/>
        </w:numPr>
        <w:spacing w:after="160" w:line="278" w:lineRule="auto"/>
        <w:ind w:left="1080"/>
        <w:contextualSpacing/>
        <w:rPr>
          <w:rFonts w:asciiTheme="minorHAnsi" w:eastAsia="Aptos" w:hAnsiTheme="minorHAnsi" w:cstheme="minorHAnsi"/>
          <w:kern w:val="2"/>
          <w:szCs w:val="24"/>
          <w14:ligatures w14:val="standardContextual"/>
        </w:rPr>
      </w:pPr>
      <w:r w:rsidRPr="00075C66">
        <w:rPr>
          <w:rFonts w:asciiTheme="minorHAnsi" w:eastAsia="Aptos" w:hAnsiTheme="minorHAnsi" w:cstheme="minorHAnsi"/>
          <w:kern w:val="2"/>
          <w:szCs w:val="24"/>
          <w14:ligatures w14:val="standardContextual"/>
        </w:rPr>
        <w:t>Influenza vaccine may be administered at the same time as COVID-19 vaccine.</w:t>
      </w:r>
    </w:p>
    <w:p w14:paraId="641D09E5" w14:textId="77777777" w:rsidR="00075C66" w:rsidRPr="00075C66" w:rsidRDefault="00075C66" w:rsidP="00075C66">
      <w:pPr>
        <w:spacing w:after="160" w:line="278" w:lineRule="auto"/>
        <w:ind w:left="1080"/>
        <w:contextualSpacing/>
        <w:rPr>
          <w:rFonts w:asciiTheme="minorHAnsi" w:eastAsia="Aptos" w:hAnsiTheme="minorHAnsi" w:cstheme="minorHAnsi"/>
          <w:kern w:val="2"/>
          <w:szCs w:val="24"/>
          <w14:ligatures w14:val="standardContextual"/>
        </w:rPr>
      </w:pPr>
    </w:p>
    <w:p w14:paraId="49116F6E" w14:textId="77777777" w:rsidR="00075C66" w:rsidRPr="00075C66" w:rsidRDefault="00075C66" w:rsidP="00075C66">
      <w:pPr>
        <w:numPr>
          <w:ilvl w:val="0"/>
          <w:numId w:val="3"/>
        </w:numPr>
        <w:spacing w:after="160" w:line="278" w:lineRule="auto"/>
        <w:ind w:left="360"/>
        <w:contextualSpacing/>
        <w:rPr>
          <w:rFonts w:asciiTheme="minorHAnsi" w:eastAsia="Aptos" w:hAnsiTheme="minorHAnsi" w:cstheme="minorHAnsi"/>
          <w:kern w:val="2"/>
          <w:szCs w:val="24"/>
          <w14:ligatures w14:val="standardContextual"/>
        </w:rPr>
      </w:pPr>
      <w:r w:rsidRPr="00075C66">
        <w:rPr>
          <w:rFonts w:asciiTheme="minorHAnsi" w:eastAsia="Aptos" w:hAnsiTheme="minorHAnsi" w:cstheme="minorHAnsi"/>
          <w:b/>
          <w:bCs/>
          <w:kern w:val="2"/>
          <w:szCs w:val="24"/>
          <w14:ligatures w14:val="standardContextual"/>
        </w:rPr>
        <w:t>Test</w:t>
      </w:r>
      <w:r w:rsidRPr="00075C66">
        <w:rPr>
          <w:rFonts w:asciiTheme="minorHAnsi" w:eastAsia="Aptos" w:hAnsiTheme="minorHAnsi" w:cstheme="minorHAnsi"/>
          <w:kern w:val="2"/>
          <w:szCs w:val="24"/>
          <w14:ligatures w14:val="standardContextual"/>
        </w:rPr>
        <w:t xml:space="preserve"> </w:t>
      </w:r>
      <w:r w:rsidRPr="00075C66">
        <w:rPr>
          <w:rFonts w:asciiTheme="minorHAnsi" w:eastAsia="Aptos" w:hAnsiTheme="minorHAnsi" w:cstheme="minorHAnsi"/>
          <w:b/>
          <w:bCs/>
          <w:kern w:val="2"/>
          <w:szCs w:val="24"/>
          <w14:ligatures w14:val="standardContextual"/>
        </w:rPr>
        <w:t xml:space="preserve">patients </w:t>
      </w:r>
      <w:r w:rsidRPr="00075C66">
        <w:rPr>
          <w:rFonts w:asciiTheme="minorHAnsi" w:eastAsia="Aptos" w:hAnsiTheme="minorHAnsi" w:cstheme="minorHAnsi"/>
          <w:kern w:val="2"/>
          <w:szCs w:val="24"/>
          <w14:ligatures w14:val="standardContextual"/>
        </w:rPr>
        <w:t>with compatible symptoms for influenza and other respiratory infections to make definitive diagnosis of influenza, to help guide clinical management.</w:t>
      </w:r>
    </w:p>
    <w:p w14:paraId="3CECB59D" w14:textId="77777777" w:rsidR="00075C66" w:rsidRPr="00075C66" w:rsidRDefault="00075C66" w:rsidP="00075C66">
      <w:pPr>
        <w:numPr>
          <w:ilvl w:val="1"/>
          <w:numId w:val="3"/>
        </w:numPr>
        <w:spacing w:after="160" w:line="278" w:lineRule="auto"/>
        <w:ind w:left="1080"/>
        <w:contextualSpacing/>
        <w:rPr>
          <w:rFonts w:asciiTheme="minorHAnsi" w:eastAsia="Aptos" w:hAnsiTheme="minorHAnsi" w:cstheme="minorHAnsi"/>
          <w:kern w:val="2"/>
          <w:szCs w:val="24"/>
          <w14:ligatures w14:val="standardContextual"/>
        </w:rPr>
      </w:pPr>
      <w:r w:rsidRPr="00075C66">
        <w:rPr>
          <w:rFonts w:asciiTheme="minorHAnsi" w:eastAsia="Aptos" w:hAnsiTheme="minorHAnsi" w:cstheme="minorHAnsi"/>
          <w:kern w:val="2"/>
          <w:szCs w:val="24"/>
          <w14:ligatures w14:val="standardContextual"/>
        </w:rPr>
        <w:t>Laboratory diagnosis of influenza can help guide clinical management decisions. A clinical diagnosis of influenza can be difficult to make, because influenza can present with non-specific signs and symptoms that overlap with other respiratory virus infections.</w:t>
      </w:r>
    </w:p>
    <w:p w14:paraId="60001C07" w14:textId="77777777" w:rsidR="00075C66" w:rsidRPr="00075C66" w:rsidRDefault="00075C66" w:rsidP="00075C66">
      <w:pPr>
        <w:numPr>
          <w:ilvl w:val="1"/>
          <w:numId w:val="3"/>
        </w:numPr>
        <w:spacing w:after="160" w:line="278" w:lineRule="auto"/>
        <w:ind w:left="1080"/>
        <w:contextualSpacing/>
        <w:rPr>
          <w:rFonts w:asciiTheme="minorHAnsi" w:eastAsia="Aptos" w:hAnsiTheme="minorHAnsi" w:cstheme="minorHAnsi"/>
          <w:kern w:val="2"/>
          <w:szCs w:val="24"/>
          <w14:ligatures w14:val="standardContextual"/>
        </w:rPr>
      </w:pPr>
      <w:r w:rsidRPr="00075C66">
        <w:rPr>
          <w:rFonts w:asciiTheme="minorHAnsi" w:eastAsia="Aptos" w:hAnsiTheme="minorHAnsi" w:cstheme="minorHAnsi"/>
          <w:kern w:val="2"/>
          <w:szCs w:val="24"/>
          <w14:ligatures w14:val="standardContextual"/>
        </w:rPr>
        <w:t>Nasopharyngeal swabs collected within three to four days of illness onset have the greatest accuracy. If nasopharyngeal specimens are not available, nasal and throat swab specimens should be collected and combined for testing.</w:t>
      </w:r>
    </w:p>
    <w:p w14:paraId="7F402A21" w14:textId="77777777" w:rsidR="00075C66" w:rsidRPr="00075C66" w:rsidRDefault="00075C66" w:rsidP="00075C66">
      <w:pPr>
        <w:numPr>
          <w:ilvl w:val="1"/>
          <w:numId w:val="3"/>
        </w:numPr>
        <w:spacing w:after="160" w:line="278" w:lineRule="auto"/>
        <w:ind w:left="1080"/>
        <w:contextualSpacing/>
        <w:rPr>
          <w:rFonts w:asciiTheme="minorHAnsi" w:eastAsia="Aptos" w:hAnsiTheme="minorHAnsi" w:cstheme="minorHAnsi"/>
          <w:kern w:val="2"/>
          <w:szCs w:val="24"/>
          <w14:ligatures w14:val="standardContextual"/>
        </w:rPr>
      </w:pPr>
      <w:r w:rsidRPr="00075C66">
        <w:rPr>
          <w:rFonts w:asciiTheme="minorHAnsi" w:eastAsia="Aptos" w:hAnsiTheme="minorHAnsi" w:cstheme="minorHAnsi"/>
          <w:kern w:val="2"/>
          <w:szCs w:val="24"/>
          <w14:ligatures w14:val="standardContextual"/>
        </w:rPr>
        <w:t>For outpatients, rapid influenza molecular assays are recommended. For hospitalized patients, RT-PCR or other influenza molecular assays are recommended. Multiplex RT-PCR assays targeting a panel of respiratory pathogens can be used to assess for other respiratory infections and co-infections</w:t>
      </w:r>
      <w:r w:rsidRPr="00075C66">
        <w:rPr>
          <w:rFonts w:asciiTheme="minorHAnsi" w:eastAsia="Aptos" w:hAnsiTheme="minorHAnsi" w:cstheme="minorHAnsi"/>
          <w:color w:val="232323"/>
          <w:kern w:val="2"/>
          <w:szCs w:val="24"/>
          <w:shd w:val="clear" w:color="auto" w:fill="FFFFFF"/>
          <w14:ligatures w14:val="standardContextual"/>
        </w:rPr>
        <w:t xml:space="preserve"> and are e</w:t>
      </w:r>
      <w:r w:rsidRPr="00075C66">
        <w:rPr>
          <w:rFonts w:asciiTheme="minorHAnsi" w:eastAsia="Aptos" w:hAnsiTheme="minorHAnsi" w:cstheme="minorHAnsi"/>
          <w:kern w:val="2"/>
          <w:szCs w:val="24"/>
          <w14:ligatures w14:val="standardContextual"/>
        </w:rPr>
        <w:t xml:space="preserve">specially useful for immunocompromised patients and patients requiring hospitalization.  Rapid antigen detection tests and immunofluorescence assays are not recommended because of lower sensitivity and should not be used unless molecular assays are not available. </w:t>
      </w:r>
    </w:p>
    <w:p w14:paraId="5B9D4247" w14:textId="77777777" w:rsidR="00075C66" w:rsidRPr="00075C66" w:rsidRDefault="00075C66" w:rsidP="00075C66">
      <w:pPr>
        <w:spacing w:after="160" w:line="278" w:lineRule="auto"/>
        <w:ind w:left="1080"/>
        <w:contextualSpacing/>
        <w:rPr>
          <w:rFonts w:asciiTheme="minorHAnsi" w:eastAsia="Aptos" w:hAnsiTheme="minorHAnsi" w:cstheme="minorHAnsi"/>
          <w:kern w:val="2"/>
          <w:szCs w:val="24"/>
          <w14:ligatures w14:val="standardContextual"/>
        </w:rPr>
      </w:pPr>
    </w:p>
    <w:p w14:paraId="3B04753C" w14:textId="77777777" w:rsidR="00075C66" w:rsidRPr="00075C66" w:rsidRDefault="00075C66" w:rsidP="00075C66">
      <w:pPr>
        <w:numPr>
          <w:ilvl w:val="0"/>
          <w:numId w:val="3"/>
        </w:numPr>
        <w:spacing w:after="160" w:line="278" w:lineRule="auto"/>
        <w:ind w:left="360"/>
        <w:contextualSpacing/>
        <w:rPr>
          <w:rFonts w:asciiTheme="minorHAnsi" w:eastAsia="Aptos" w:hAnsiTheme="minorHAnsi" w:cstheme="minorHAnsi"/>
          <w:kern w:val="2"/>
          <w:szCs w:val="24"/>
          <w14:ligatures w14:val="standardContextual"/>
        </w:rPr>
      </w:pPr>
      <w:r w:rsidRPr="00075C66">
        <w:rPr>
          <w:rFonts w:asciiTheme="minorHAnsi" w:eastAsia="Aptos" w:hAnsiTheme="minorHAnsi" w:cstheme="minorHAnsi"/>
          <w:b/>
          <w:bCs/>
          <w:kern w:val="2"/>
          <w:szCs w:val="24"/>
          <w14:ligatures w14:val="standardContextual"/>
        </w:rPr>
        <w:t>Consider treating</w:t>
      </w:r>
      <w:r w:rsidRPr="00075C66">
        <w:rPr>
          <w:rFonts w:asciiTheme="minorHAnsi" w:eastAsia="Aptos" w:hAnsiTheme="minorHAnsi" w:cstheme="minorHAnsi"/>
          <w:kern w:val="2"/>
          <w:szCs w:val="24"/>
          <w14:ligatures w14:val="standardContextual"/>
        </w:rPr>
        <w:t xml:space="preserve"> </w:t>
      </w:r>
      <w:r w:rsidRPr="00075C66">
        <w:rPr>
          <w:rFonts w:asciiTheme="minorHAnsi" w:eastAsia="Aptos" w:hAnsiTheme="minorHAnsi" w:cstheme="minorHAnsi"/>
          <w:b/>
          <w:bCs/>
          <w:kern w:val="2"/>
          <w:szCs w:val="24"/>
          <w14:ligatures w14:val="standardContextual"/>
        </w:rPr>
        <w:t>influenza</w:t>
      </w:r>
      <w:r w:rsidRPr="00075C66">
        <w:rPr>
          <w:rFonts w:asciiTheme="minorHAnsi" w:eastAsia="Aptos" w:hAnsiTheme="minorHAnsi" w:cstheme="minorHAnsi"/>
          <w:kern w:val="2"/>
          <w:szCs w:val="24"/>
          <w14:ligatures w14:val="standardContextual"/>
        </w:rPr>
        <w:t xml:space="preserve"> </w:t>
      </w:r>
      <w:r w:rsidRPr="00075C66">
        <w:rPr>
          <w:rFonts w:asciiTheme="minorHAnsi" w:eastAsia="Aptos" w:hAnsiTheme="minorHAnsi" w:cstheme="minorHAnsi"/>
          <w:b/>
          <w:bCs/>
          <w:kern w:val="2"/>
          <w:szCs w:val="24"/>
          <w14:ligatures w14:val="standardContextual"/>
        </w:rPr>
        <w:t>with antiviral medications</w:t>
      </w:r>
      <w:r w:rsidRPr="00075C66">
        <w:rPr>
          <w:rFonts w:asciiTheme="minorHAnsi" w:eastAsia="Aptos" w:hAnsiTheme="minorHAnsi" w:cstheme="minorHAnsi"/>
          <w:kern w:val="2"/>
          <w:szCs w:val="24"/>
          <w14:ligatures w14:val="standardContextual"/>
        </w:rPr>
        <w:t xml:space="preserve">. Antiviral treatment should be focused on prompt treatment of people with severe disease and those at </w:t>
      </w:r>
      <w:hyperlink r:id="rId12">
        <w:r w:rsidRPr="00075C66">
          <w:rPr>
            <w:rFonts w:asciiTheme="minorHAnsi" w:eastAsia="Aptos" w:hAnsiTheme="minorHAnsi" w:cstheme="minorHAnsi"/>
            <w:color w:val="467886"/>
            <w:kern w:val="2"/>
            <w:szCs w:val="24"/>
            <w:u w:val="single"/>
            <w14:ligatures w14:val="standardContextual"/>
          </w:rPr>
          <w:t>increased risk of influenza complications</w:t>
        </w:r>
      </w:hyperlink>
      <w:r w:rsidRPr="00075C66">
        <w:rPr>
          <w:rFonts w:asciiTheme="minorHAnsi" w:eastAsia="Aptos" w:hAnsiTheme="minorHAnsi" w:cstheme="minorHAnsi"/>
          <w:kern w:val="2"/>
          <w:szCs w:val="24"/>
          <w14:ligatures w14:val="standardContextual"/>
        </w:rPr>
        <w:t>.</w:t>
      </w:r>
    </w:p>
    <w:p w14:paraId="351257AA" w14:textId="77777777" w:rsidR="00075C66" w:rsidRPr="00075C66" w:rsidRDefault="00075C66" w:rsidP="00075C66">
      <w:pPr>
        <w:numPr>
          <w:ilvl w:val="1"/>
          <w:numId w:val="3"/>
        </w:numPr>
        <w:spacing w:after="160" w:line="278" w:lineRule="auto"/>
        <w:ind w:left="1080"/>
        <w:contextualSpacing/>
        <w:rPr>
          <w:rFonts w:asciiTheme="minorHAnsi" w:eastAsia="Aptos" w:hAnsiTheme="minorHAnsi" w:cstheme="minorHAnsi"/>
          <w:kern w:val="2"/>
          <w:szCs w:val="24"/>
          <w14:ligatures w14:val="standardContextual"/>
        </w:rPr>
      </w:pPr>
      <w:r w:rsidRPr="00075C66">
        <w:rPr>
          <w:rFonts w:asciiTheme="minorHAnsi" w:eastAsia="Aptos" w:hAnsiTheme="minorHAnsi" w:cstheme="minorHAnsi"/>
          <w:kern w:val="2"/>
          <w:szCs w:val="24"/>
          <w14:ligatures w14:val="standardContextual"/>
        </w:rPr>
        <w:t xml:space="preserve">Clinicians should </w:t>
      </w:r>
      <w:r w:rsidRPr="00075C66">
        <w:rPr>
          <w:rFonts w:asciiTheme="minorHAnsi" w:eastAsia="Aptos" w:hAnsiTheme="minorHAnsi" w:cstheme="minorHAnsi"/>
          <w:b/>
          <w:bCs/>
          <w:kern w:val="2"/>
          <w:szCs w:val="24"/>
          <w14:ligatures w14:val="standardContextual"/>
        </w:rPr>
        <w:t>start antiviral treatment</w:t>
      </w:r>
      <w:r w:rsidRPr="00075C66">
        <w:rPr>
          <w:rFonts w:asciiTheme="minorHAnsi" w:eastAsia="Aptos" w:hAnsiTheme="minorHAnsi" w:cstheme="minorHAnsi"/>
          <w:kern w:val="2"/>
          <w:szCs w:val="24"/>
          <w14:ligatures w14:val="standardContextual"/>
        </w:rPr>
        <w:t xml:space="preserve"> as soon as possible for people with </w:t>
      </w:r>
      <w:r w:rsidRPr="00075C66">
        <w:rPr>
          <w:rFonts w:asciiTheme="minorHAnsi" w:eastAsia="Aptos" w:hAnsiTheme="minorHAnsi" w:cstheme="minorHAnsi"/>
          <w:b/>
          <w:kern w:val="2"/>
          <w:szCs w:val="24"/>
          <w14:ligatures w14:val="standardContextual"/>
        </w:rPr>
        <w:t>documented or suspected</w:t>
      </w:r>
      <w:r w:rsidRPr="00075C66">
        <w:rPr>
          <w:rFonts w:asciiTheme="minorHAnsi" w:eastAsia="Aptos" w:hAnsiTheme="minorHAnsi" w:cstheme="minorHAnsi"/>
          <w:kern w:val="2"/>
          <w:szCs w:val="24"/>
          <w14:ligatures w14:val="standardContextual"/>
        </w:rPr>
        <w:t xml:space="preserve"> influenza, irrespective of influenza vaccination history, who meet the following criteria: </w:t>
      </w:r>
    </w:p>
    <w:p w14:paraId="1BB9D892" w14:textId="77777777" w:rsidR="00075C66" w:rsidRPr="00075C66" w:rsidRDefault="00075C66" w:rsidP="00075C66">
      <w:pPr>
        <w:numPr>
          <w:ilvl w:val="2"/>
          <w:numId w:val="3"/>
        </w:numPr>
        <w:spacing w:after="160" w:line="278" w:lineRule="auto"/>
        <w:ind w:left="1800"/>
        <w:contextualSpacing/>
        <w:rPr>
          <w:rFonts w:asciiTheme="minorHAnsi" w:eastAsia="Aptos" w:hAnsiTheme="minorHAnsi" w:cstheme="minorHAnsi"/>
          <w:kern w:val="2"/>
          <w:szCs w:val="24"/>
          <w14:ligatures w14:val="standardContextual"/>
        </w:rPr>
      </w:pPr>
      <w:r w:rsidRPr="00075C66">
        <w:rPr>
          <w:rFonts w:asciiTheme="minorHAnsi" w:eastAsia="Aptos" w:hAnsiTheme="minorHAnsi" w:cstheme="minorHAnsi"/>
          <w:kern w:val="2"/>
          <w:szCs w:val="24"/>
          <w14:ligatures w14:val="standardContextual"/>
        </w:rPr>
        <w:t xml:space="preserve">People of any age hospitalized with influenza, regardless of illness duration. </w:t>
      </w:r>
    </w:p>
    <w:p w14:paraId="43B61B47" w14:textId="77777777" w:rsidR="00075C66" w:rsidRPr="00075C66" w:rsidRDefault="00075C66" w:rsidP="00075C66">
      <w:pPr>
        <w:numPr>
          <w:ilvl w:val="2"/>
          <w:numId w:val="3"/>
        </w:numPr>
        <w:spacing w:after="160" w:line="278" w:lineRule="auto"/>
        <w:ind w:left="1800"/>
        <w:contextualSpacing/>
        <w:rPr>
          <w:rFonts w:asciiTheme="minorHAnsi" w:eastAsia="Aptos" w:hAnsiTheme="minorHAnsi" w:cstheme="minorHAnsi"/>
          <w:kern w:val="2"/>
          <w:szCs w:val="24"/>
          <w14:ligatures w14:val="standardContextual"/>
        </w:rPr>
      </w:pPr>
      <w:r w:rsidRPr="00075C66">
        <w:rPr>
          <w:rFonts w:asciiTheme="minorHAnsi" w:eastAsia="Aptos" w:hAnsiTheme="minorHAnsi" w:cstheme="minorHAnsi"/>
          <w:kern w:val="2"/>
          <w:szCs w:val="24"/>
          <w14:ligatures w14:val="standardContextual"/>
        </w:rPr>
        <w:t xml:space="preserve">Outpatients of any age with severe or progressive illness, regardless of illness duration. </w:t>
      </w:r>
    </w:p>
    <w:p w14:paraId="3C413C26" w14:textId="77777777" w:rsidR="00075C66" w:rsidRPr="00075C66" w:rsidRDefault="00075C66" w:rsidP="00075C66">
      <w:pPr>
        <w:numPr>
          <w:ilvl w:val="2"/>
          <w:numId w:val="3"/>
        </w:numPr>
        <w:spacing w:after="160" w:line="278" w:lineRule="auto"/>
        <w:ind w:left="1800"/>
        <w:contextualSpacing/>
        <w:rPr>
          <w:rFonts w:asciiTheme="minorHAnsi" w:eastAsia="Aptos" w:hAnsiTheme="minorHAnsi" w:cstheme="minorHAnsi"/>
          <w:kern w:val="2"/>
          <w:szCs w:val="24"/>
          <w14:ligatures w14:val="standardContextual"/>
        </w:rPr>
      </w:pPr>
      <w:r w:rsidRPr="00075C66">
        <w:rPr>
          <w:rFonts w:asciiTheme="minorHAnsi" w:eastAsia="Aptos" w:hAnsiTheme="minorHAnsi" w:cstheme="minorHAnsi"/>
          <w:kern w:val="2"/>
          <w:szCs w:val="24"/>
          <w14:ligatures w14:val="standardContextual"/>
        </w:rPr>
        <w:t xml:space="preserve">Outpatients who are at </w:t>
      </w:r>
      <w:hyperlink r:id="rId13" w:history="1">
        <w:r w:rsidRPr="00075C66">
          <w:rPr>
            <w:rFonts w:asciiTheme="minorHAnsi" w:eastAsia="Aptos" w:hAnsiTheme="minorHAnsi" w:cstheme="minorHAnsi"/>
            <w:color w:val="467886"/>
            <w:kern w:val="2"/>
            <w:szCs w:val="24"/>
            <w:u w:val="single"/>
            <w14:ligatures w14:val="standardContextual"/>
          </w:rPr>
          <w:t>high risk</w:t>
        </w:r>
      </w:hyperlink>
      <w:r w:rsidRPr="00075C66">
        <w:rPr>
          <w:rFonts w:asciiTheme="minorHAnsi" w:eastAsia="Aptos" w:hAnsiTheme="minorHAnsi" w:cstheme="minorHAnsi"/>
          <w:kern w:val="2"/>
          <w:szCs w:val="24"/>
          <w14:ligatures w14:val="standardContextual"/>
        </w:rPr>
        <w:t xml:space="preserve"> of complications from influenza, including those with chronic medical conditions and immunocompromised patients. </w:t>
      </w:r>
    </w:p>
    <w:p w14:paraId="2DAD50FA" w14:textId="77777777" w:rsidR="00075C66" w:rsidRPr="00075C66" w:rsidRDefault="00075C66" w:rsidP="00075C66">
      <w:pPr>
        <w:numPr>
          <w:ilvl w:val="2"/>
          <w:numId w:val="3"/>
        </w:numPr>
        <w:spacing w:after="160" w:line="278" w:lineRule="auto"/>
        <w:ind w:left="1800"/>
        <w:contextualSpacing/>
        <w:rPr>
          <w:rFonts w:asciiTheme="minorHAnsi" w:eastAsia="Aptos" w:hAnsiTheme="minorHAnsi" w:cstheme="minorHAnsi"/>
          <w:kern w:val="2"/>
          <w:szCs w:val="24"/>
          <w14:ligatures w14:val="standardContextual"/>
        </w:rPr>
      </w:pPr>
      <w:r w:rsidRPr="00075C66">
        <w:rPr>
          <w:rFonts w:asciiTheme="minorHAnsi" w:eastAsia="Aptos" w:hAnsiTheme="minorHAnsi" w:cstheme="minorHAnsi"/>
          <w:kern w:val="2"/>
          <w:szCs w:val="24"/>
          <w14:ligatures w14:val="standardContextual"/>
        </w:rPr>
        <w:t xml:space="preserve">Children younger than 2 years and adults ≥65 years. </w:t>
      </w:r>
    </w:p>
    <w:p w14:paraId="6D08521F" w14:textId="77777777" w:rsidR="00075C66" w:rsidRPr="00075C66" w:rsidRDefault="00075C66" w:rsidP="00075C66">
      <w:pPr>
        <w:numPr>
          <w:ilvl w:val="2"/>
          <w:numId w:val="3"/>
        </w:numPr>
        <w:spacing w:after="160" w:line="278" w:lineRule="auto"/>
        <w:ind w:left="1800"/>
        <w:contextualSpacing/>
        <w:rPr>
          <w:rFonts w:asciiTheme="minorHAnsi" w:eastAsia="Aptos" w:hAnsiTheme="minorHAnsi" w:cstheme="minorHAnsi"/>
          <w:kern w:val="2"/>
          <w:szCs w:val="24"/>
          <w14:ligatures w14:val="standardContextual"/>
        </w:rPr>
      </w:pPr>
      <w:r w:rsidRPr="00075C66">
        <w:rPr>
          <w:rFonts w:asciiTheme="minorHAnsi" w:eastAsia="Aptos" w:hAnsiTheme="minorHAnsi" w:cstheme="minorHAnsi"/>
          <w:kern w:val="2"/>
          <w:szCs w:val="24"/>
          <w14:ligatures w14:val="standardContextual"/>
        </w:rPr>
        <w:t>Pregnant people and those within 2 weeks postpartum. (Baloxavir is not recommended for pregnant and breast-feeding people)</w:t>
      </w:r>
    </w:p>
    <w:p w14:paraId="73435E27" w14:textId="77777777" w:rsidR="00075C66" w:rsidRPr="00075C66" w:rsidRDefault="00075C66" w:rsidP="00075C66">
      <w:pPr>
        <w:numPr>
          <w:ilvl w:val="0"/>
          <w:numId w:val="4"/>
        </w:numPr>
        <w:spacing w:after="160" w:line="278" w:lineRule="auto"/>
        <w:ind w:left="1080"/>
        <w:contextualSpacing/>
        <w:rPr>
          <w:rFonts w:asciiTheme="minorHAnsi" w:eastAsia="Aptos" w:hAnsiTheme="minorHAnsi" w:cstheme="minorHAnsi"/>
          <w:kern w:val="2"/>
          <w:szCs w:val="24"/>
          <w14:ligatures w14:val="standardContextual"/>
        </w:rPr>
      </w:pPr>
      <w:r w:rsidRPr="00075C66">
        <w:rPr>
          <w:rFonts w:asciiTheme="minorHAnsi" w:eastAsia="Aptos" w:hAnsiTheme="minorHAnsi" w:cstheme="minorHAnsi"/>
          <w:kern w:val="2"/>
          <w:szCs w:val="24"/>
          <w14:ligatures w14:val="standardContextual"/>
        </w:rPr>
        <w:t xml:space="preserve">Clinicians </w:t>
      </w:r>
      <w:r w:rsidRPr="00075C66">
        <w:rPr>
          <w:rFonts w:asciiTheme="minorHAnsi" w:eastAsia="Aptos" w:hAnsiTheme="minorHAnsi" w:cstheme="minorHAnsi"/>
          <w:b/>
          <w:bCs/>
          <w:kern w:val="2"/>
          <w:szCs w:val="24"/>
          <w14:ligatures w14:val="standardContextual"/>
        </w:rPr>
        <w:t>can consider antiviral treatment</w:t>
      </w:r>
      <w:r w:rsidRPr="00075C66">
        <w:rPr>
          <w:rFonts w:asciiTheme="minorHAnsi" w:eastAsia="Aptos" w:hAnsiTheme="minorHAnsi" w:cstheme="minorHAnsi"/>
          <w:kern w:val="2"/>
          <w:szCs w:val="24"/>
          <w14:ligatures w14:val="standardContextual"/>
        </w:rPr>
        <w:t xml:space="preserve"> for symptomatic people with documented or suspected influenza, irrespective of influenza vaccination history, who are: </w:t>
      </w:r>
    </w:p>
    <w:p w14:paraId="7A7FF7C6" w14:textId="77777777" w:rsidR="00075C66" w:rsidRPr="00075C66" w:rsidRDefault="00075C66" w:rsidP="00075C66">
      <w:pPr>
        <w:numPr>
          <w:ilvl w:val="0"/>
          <w:numId w:val="5"/>
        </w:numPr>
        <w:spacing w:after="160" w:line="278" w:lineRule="auto"/>
        <w:contextualSpacing/>
        <w:rPr>
          <w:rFonts w:asciiTheme="minorHAnsi" w:eastAsia="Aptos" w:hAnsiTheme="minorHAnsi" w:cstheme="minorHAnsi"/>
          <w:kern w:val="2"/>
          <w:szCs w:val="24"/>
          <w14:ligatures w14:val="standardContextual"/>
        </w:rPr>
      </w:pPr>
      <w:r w:rsidRPr="00075C66">
        <w:rPr>
          <w:rFonts w:asciiTheme="minorHAnsi" w:eastAsia="Aptos" w:hAnsiTheme="minorHAnsi" w:cstheme="minorHAnsi"/>
          <w:kern w:val="2"/>
          <w:szCs w:val="24"/>
          <w14:ligatures w14:val="standardContextual"/>
        </w:rPr>
        <w:t xml:space="preserve">Previously healthy, non-high-risk outpatients with illness onset ≤2 days before presentation. </w:t>
      </w:r>
    </w:p>
    <w:p w14:paraId="1A515FA4" w14:textId="77777777" w:rsidR="00075C66" w:rsidRPr="00075C66" w:rsidRDefault="00075C66" w:rsidP="00075C66">
      <w:pPr>
        <w:numPr>
          <w:ilvl w:val="0"/>
          <w:numId w:val="5"/>
        </w:numPr>
        <w:spacing w:after="160" w:line="278" w:lineRule="auto"/>
        <w:contextualSpacing/>
        <w:rPr>
          <w:rFonts w:asciiTheme="minorHAnsi" w:eastAsia="Aptos" w:hAnsiTheme="minorHAnsi" w:cstheme="minorHAnsi"/>
          <w:kern w:val="2"/>
          <w:szCs w:val="24"/>
          <w14:ligatures w14:val="standardContextual"/>
        </w:rPr>
      </w:pPr>
      <w:r w:rsidRPr="00075C66">
        <w:rPr>
          <w:rFonts w:asciiTheme="minorHAnsi" w:eastAsia="Aptos" w:hAnsiTheme="minorHAnsi" w:cstheme="minorHAnsi"/>
          <w:kern w:val="2"/>
          <w:szCs w:val="24"/>
          <w14:ligatures w14:val="standardContextual"/>
        </w:rPr>
        <w:t>Outpatients who could transmit infection to people at increased risk for influenza complications (patients with high-risk household members or health care workers) to reduce the likelihood of transmission to vulnerable people.</w:t>
      </w:r>
    </w:p>
    <w:p w14:paraId="3ECEE208" w14:textId="77777777" w:rsidR="00075C66" w:rsidRPr="00075C66" w:rsidRDefault="00075C66" w:rsidP="00075C66">
      <w:pPr>
        <w:numPr>
          <w:ilvl w:val="0"/>
          <w:numId w:val="6"/>
        </w:numPr>
        <w:spacing w:after="160" w:line="278" w:lineRule="auto"/>
        <w:contextualSpacing/>
        <w:rPr>
          <w:rFonts w:asciiTheme="minorHAnsi" w:eastAsia="Aptos" w:hAnsiTheme="minorHAnsi" w:cstheme="minorHAnsi"/>
          <w:kern w:val="2"/>
          <w:szCs w:val="24"/>
          <w14:ligatures w14:val="standardContextual"/>
        </w:rPr>
      </w:pPr>
      <w:r w:rsidRPr="00075C66">
        <w:rPr>
          <w:rFonts w:asciiTheme="minorHAnsi" w:eastAsia="Aptos" w:hAnsiTheme="minorHAnsi" w:cstheme="minorHAnsi"/>
          <w:kern w:val="2"/>
          <w:szCs w:val="24"/>
          <w14:ligatures w14:val="standardContextual"/>
        </w:rPr>
        <w:t>Initiation of antiviral treatment should not be delayed while awaiting the results of diagnostic testing.</w:t>
      </w:r>
    </w:p>
    <w:p w14:paraId="21C22360" w14:textId="77777777" w:rsidR="00075C66" w:rsidRPr="00075C66" w:rsidRDefault="00075C66" w:rsidP="00075C66">
      <w:pPr>
        <w:spacing w:line="278" w:lineRule="auto"/>
        <w:rPr>
          <w:rFonts w:asciiTheme="minorHAnsi" w:eastAsia="Aptos" w:hAnsiTheme="minorHAnsi" w:cstheme="minorHAnsi"/>
          <w:kern w:val="2"/>
          <w:szCs w:val="24"/>
          <w14:ligatures w14:val="standardContextual"/>
        </w:rPr>
      </w:pPr>
    </w:p>
    <w:p w14:paraId="2FD3E4E1" w14:textId="77777777" w:rsidR="00075C66" w:rsidRPr="00075C66" w:rsidRDefault="00075C66" w:rsidP="00075C66">
      <w:pPr>
        <w:numPr>
          <w:ilvl w:val="0"/>
          <w:numId w:val="3"/>
        </w:numPr>
        <w:spacing w:after="160" w:line="278" w:lineRule="auto"/>
        <w:ind w:left="360"/>
        <w:contextualSpacing/>
        <w:rPr>
          <w:rFonts w:asciiTheme="minorHAnsi" w:eastAsia="Aptos" w:hAnsiTheme="minorHAnsi" w:cstheme="minorHAnsi"/>
          <w:kern w:val="2"/>
          <w:szCs w:val="24"/>
          <w14:ligatures w14:val="standardContextual"/>
        </w:rPr>
      </w:pPr>
      <w:r w:rsidRPr="00075C66">
        <w:rPr>
          <w:rFonts w:asciiTheme="minorHAnsi" w:eastAsia="Aptos" w:hAnsiTheme="minorHAnsi" w:cstheme="minorHAnsi"/>
          <w:b/>
          <w:bCs/>
          <w:kern w:val="2"/>
          <w:szCs w:val="24"/>
          <w14:ligatures w14:val="standardContextual"/>
        </w:rPr>
        <w:t>Post exposure prophylaxis antiviral treatment</w:t>
      </w:r>
      <w:r w:rsidRPr="00075C66">
        <w:rPr>
          <w:rFonts w:asciiTheme="minorHAnsi" w:eastAsia="Aptos" w:hAnsiTheme="minorHAnsi" w:cstheme="minorHAnsi"/>
          <w:kern w:val="2"/>
          <w:szCs w:val="24"/>
          <w14:ligatures w14:val="standardContextual"/>
        </w:rPr>
        <w:t xml:space="preserve"> for asymptomatic, exposed people can be considered in </w:t>
      </w:r>
      <w:r w:rsidRPr="00075C66">
        <w:rPr>
          <w:rFonts w:asciiTheme="minorHAnsi" w:eastAsia="Aptos" w:hAnsiTheme="minorHAnsi" w:cstheme="minorHAnsi"/>
          <w:b/>
          <w:bCs/>
          <w:kern w:val="2"/>
          <w:szCs w:val="24"/>
          <w14:ligatures w14:val="standardContextual"/>
        </w:rPr>
        <w:t>selected circumstances</w:t>
      </w:r>
      <w:r w:rsidRPr="00075C66">
        <w:rPr>
          <w:rFonts w:asciiTheme="minorHAnsi" w:eastAsia="Aptos" w:hAnsiTheme="minorHAnsi" w:cstheme="minorHAnsi"/>
          <w:kern w:val="2"/>
          <w:szCs w:val="24"/>
          <w14:ligatures w14:val="standardContextual"/>
        </w:rPr>
        <w:t xml:space="preserve">. </w:t>
      </w:r>
    </w:p>
    <w:p w14:paraId="6F005EC2" w14:textId="77777777" w:rsidR="00075C66" w:rsidRPr="00075C66" w:rsidRDefault="00075C66" w:rsidP="00075C66">
      <w:pPr>
        <w:numPr>
          <w:ilvl w:val="1"/>
          <w:numId w:val="3"/>
        </w:numPr>
        <w:spacing w:after="160" w:line="278" w:lineRule="auto"/>
        <w:ind w:left="1080"/>
        <w:contextualSpacing/>
        <w:rPr>
          <w:rFonts w:asciiTheme="minorHAnsi" w:eastAsia="Aptos" w:hAnsiTheme="minorHAnsi" w:cstheme="minorHAnsi"/>
          <w:kern w:val="2"/>
          <w:szCs w:val="24"/>
          <w14:ligatures w14:val="standardContextual"/>
        </w:rPr>
      </w:pPr>
      <w:r w:rsidRPr="00075C66">
        <w:rPr>
          <w:rFonts w:asciiTheme="minorHAnsi" w:eastAsia="Aptos" w:hAnsiTheme="minorHAnsi" w:cstheme="minorHAnsi"/>
          <w:kern w:val="2"/>
          <w:szCs w:val="24"/>
          <w14:ligatures w14:val="standardContextual"/>
        </w:rPr>
        <w:t>Vaccination is the most important tool for influenza prevention. Antiviral drugs should not be used for routine or widespread post-exposure prophylaxis in the community setting, but can be considered in certain situations:</w:t>
      </w:r>
    </w:p>
    <w:p w14:paraId="7C401C34" w14:textId="77777777" w:rsidR="00075C66" w:rsidRPr="00075C66" w:rsidRDefault="00075C66" w:rsidP="00075C66">
      <w:pPr>
        <w:numPr>
          <w:ilvl w:val="2"/>
          <w:numId w:val="3"/>
        </w:numPr>
        <w:spacing w:after="160" w:line="278" w:lineRule="auto"/>
        <w:ind w:left="1800"/>
        <w:contextualSpacing/>
        <w:rPr>
          <w:rFonts w:asciiTheme="minorHAnsi" w:eastAsia="Aptos" w:hAnsiTheme="minorHAnsi" w:cstheme="minorHAnsi"/>
          <w:kern w:val="2"/>
          <w:szCs w:val="24"/>
          <w14:ligatures w14:val="standardContextual"/>
        </w:rPr>
      </w:pPr>
      <w:r w:rsidRPr="00075C66">
        <w:rPr>
          <w:rFonts w:asciiTheme="minorHAnsi" w:eastAsia="Aptos" w:hAnsiTheme="minorHAnsi" w:cstheme="minorHAnsi"/>
          <w:kern w:val="2"/>
          <w:szCs w:val="24"/>
          <w14:ligatures w14:val="standardContextual"/>
        </w:rPr>
        <w:t>Asymptomatic exposed people aged ≥3 months at high risk of influenza complications for whom influenza vaccination is contraindicated, unavailable, or expected to have low effectiveness (e.g. due to immunosuppression or mismatch between vaccine antigens and circulating virus strains) after household influenza exposure.</w:t>
      </w:r>
    </w:p>
    <w:p w14:paraId="4286EE1A" w14:textId="77777777" w:rsidR="00075C66" w:rsidRPr="00075C66" w:rsidRDefault="00075C66" w:rsidP="00075C66">
      <w:pPr>
        <w:numPr>
          <w:ilvl w:val="2"/>
          <w:numId w:val="3"/>
        </w:numPr>
        <w:spacing w:after="160" w:line="278" w:lineRule="auto"/>
        <w:ind w:left="1800"/>
        <w:contextualSpacing/>
        <w:rPr>
          <w:rFonts w:asciiTheme="minorHAnsi" w:eastAsia="Aptos" w:hAnsiTheme="minorHAnsi" w:cstheme="minorHAnsi"/>
          <w:kern w:val="2"/>
          <w:szCs w:val="24"/>
          <w14:ligatures w14:val="standardContextual"/>
        </w:rPr>
      </w:pPr>
      <w:r w:rsidRPr="00075C66">
        <w:rPr>
          <w:rFonts w:asciiTheme="minorHAnsi" w:eastAsia="Aptos" w:hAnsiTheme="minorHAnsi" w:cstheme="minorHAnsi"/>
          <w:kern w:val="2"/>
          <w:szCs w:val="24"/>
          <w14:ligatures w14:val="standardContextual"/>
        </w:rPr>
        <w:t>Asymptomatic exposed people aged ≥3 months who are unvaccinated and are household contacts of a person at very high risk of complications from influenza. Vaccination is also indicated for anyone eligible.</w:t>
      </w:r>
    </w:p>
    <w:p w14:paraId="4D6934FC" w14:textId="77777777" w:rsidR="00075C66" w:rsidRPr="00075C66" w:rsidRDefault="00075C66" w:rsidP="00075C66">
      <w:pPr>
        <w:numPr>
          <w:ilvl w:val="1"/>
          <w:numId w:val="3"/>
        </w:numPr>
        <w:spacing w:after="160" w:line="278" w:lineRule="auto"/>
        <w:ind w:left="1080"/>
        <w:contextualSpacing/>
        <w:rPr>
          <w:rFonts w:asciiTheme="minorHAnsi" w:eastAsia="Aptos" w:hAnsiTheme="minorHAnsi" w:cstheme="minorHAnsi"/>
          <w:kern w:val="2"/>
          <w:szCs w:val="24"/>
          <w14:ligatures w14:val="standardContextual"/>
        </w:rPr>
      </w:pPr>
      <w:r w:rsidRPr="00075C66">
        <w:rPr>
          <w:rFonts w:asciiTheme="minorHAnsi" w:eastAsia="Aptos" w:hAnsiTheme="minorHAnsi" w:cstheme="minorHAnsi"/>
          <w:kern w:val="2"/>
          <w:szCs w:val="24"/>
          <w14:ligatures w14:val="standardContextual"/>
        </w:rPr>
        <w:t>If postexposure prophylaxis is used it should be initiated as soon as possible, within 48 hours after exposure. There is no role for postexposure prophylaxis if &gt;48 hours have elapsed since last exposure.</w:t>
      </w:r>
    </w:p>
    <w:p w14:paraId="582283B5" w14:textId="77777777" w:rsidR="00075C66" w:rsidRPr="00075C66" w:rsidRDefault="00075C66" w:rsidP="00075C66">
      <w:pPr>
        <w:spacing w:after="160" w:line="278" w:lineRule="auto"/>
        <w:ind w:left="1080"/>
        <w:contextualSpacing/>
        <w:rPr>
          <w:rFonts w:asciiTheme="minorHAnsi" w:eastAsia="Aptos" w:hAnsiTheme="minorHAnsi" w:cstheme="minorHAnsi"/>
          <w:kern w:val="2"/>
          <w:szCs w:val="24"/>
          <w14:ligatures w14:val="standardContextual"/>
        </w:rPr>
      </w:pPr>
    </w:p>
    <w:p w14:paraId="3F23A0A1" w14:textId="5007CC9A" w:rsidR="00075C66" w:rsidRPr="00075C66" w:rsidRDefault="00075C66" w:rsidP="00075C66">
      <w:pPr>
        <w:numPr>
          <w:ilvl w:val="0"/>
          <w:numId w:val="3"/>
        </w:numPr>
        <w:spacing w:after="160" w:line="278" w:lineRule="auto"/>
        <w:ind w:left="360"/>
        <w:contextualSpacing/>
        <w:rPr>
          <w:rFonts w:asciiTheme="minorHAnsi" w:eastAsia="Aptos" w:hAnsiTheme="minorHAnsi" w:cstheme="minorHAnsi"/>
          <w:kern w:val="2"/>
          <w:szCs w:val="24"/>
          <w14:ligatures w14:val="standardContextual"/>
        </w:rPr>
      </w:pPr>
      <w:r w:rsidRPr="00075C66">
        <w:rPr>
          <w:rFonts w:asciiTheme="minorHAnsi" w:eastAsia="Aptos" w:hAnsiTheme="minorHAnsi" w:cstheme="minorHAnsi"/>
          <w:b/>
          <w:bCs/>
          <w:kern w:val="2"/>
          <w:szCs w:val="24"/>
          <w14:ligatures w14:val="standardContextual"/>
        </w:rPr>
        <w:t>Treat with the appropriate, recommended antiviral medications</w:t>
      </w:r>
      <w:r w:rsidRPr="00075C66">
        <w:rPr>
          <w:rFonts w:asciiTheme="minorHAnsi" w:eastAsia="Aptos" w:hAnsiTheme="minorHAnsi" w:cstheme="minorHAnsi"/>
          <w:kern w:val="2"/>
          <w:szCs w:val="24"/>
          <w14:ligatures w14:val="standardContextual"/>
        </w:rPr>
        <w:t>.  There are four FDA-approved antivirals recommended to treat influenza. At this time, there is no evidence of resistance among circulating seasonal influenza A or B viruses to the recommended antivirals.</w:t>
      </w:r>
    </w:p>
    <w:tbl>
      <w:tblPr>
        <w:tblStyle w:val="TableGrid"/>
        <w:tblW w:w="10440" w:type="dxa"/>
        <w:tblInd w:w="-545" w:type="dxa"/>
        <w:tblLook w:val="04A0" w:firstRow="1" w:lastRow="0" w:firstColumn="1" w:lastColumn="0" w:noHBand="0" w:noVBand="1"/>
      </w:tblPr>
      <w:tblGrid>
        <w:gridCol w:w="1530"/>
        <w:gridCol w:w="1890"/>
        <w:gridCol w:w="2340"/>
        <w:gridCol w:w="2194"/>
        <w:gridCol w:w="2486"/>
      </w:tblGrid>
      <w:tr w:rsidR="00075C66" w:rsidRPr="006527CC" w14:paraId="5E184824" w14:textId="77777777" w:rsidTr="00FE674C">
        <w:tc>
          <w:tcPr>
            <w:tcW w:w="1530" w:type="dxa"/>
          </w:tcPr>
          <w:p w14:paraId="54D60D37" w14:textId="77777777" w:rsidR="00075C66" w:rsidRPr="00075C66" w:rsidRDefault="00075C66" w:rsidP="00075C66">
            <w:pPr>
              <w:rPr>
                <w:rFonts w:eastAsia="Aptos" w:cstheme="minorHAnsi"/>
                <w:b/>
                <w:bCs/>
              </w:rPr>
            </w:pPr>
            <w:r w:rsidRPr="00075C66">
              <w:rPr>
                <w:rFonts w:eastAsia="Aptos" w:cstheme="minorHAnsi"/>
                <w:b/>
                <w:bCs/>
              </w:rPr>
              <w:t>Antiviral Drug</w:t>
            </w:r>
          </w:p>
        </w:tc>
        <w:tc>
          <w:tcPr>
            <w:tcW w:w="1890" w:type="dxa"/>
          </w:tcPr>
          <w:p w14:paraId="32C5D0D2" w14:textId="77777777" w:rsidR="00075C66" w:rsidRPr="00075C66" w:rsidRDefault="00075C66" w:rsidP="00075C66">
            <w:pPr>
              <w:rPr>
                <w:rFonts w:eastAsia="Aptos" w:cstheme="minorHAnsi"/>
                <w:b/>
                <w:bCs/>
              </w:rPr>
            </w:pPr>
            <w:r w:rsidRPr="00075C66">
              <w:rPr>
                <w:rFonts w:eastAsia="Aptos" w:cstheme="minorHAnsi"/>
                <w:b/>
                <w:bCs/>
              </w:rPr>
              <w:t>Mechanism of action</w:t>
            </w:r>
          </w:p>
        </w:tc>
        <w:tc>
          <w:tcPr>
            <w:tcW w:w="2340" w:type="dxa"/>
          </w:tcPr>
          <w:p w14:paraId="69E8D9F5" w14:textId="77777777" w:rsidR="00075C66" w:rsidRPr="00075C66" w:rsidRDefault="00075C66" w:rsidP="00075C66">
            <w:pPr>
              <w:rPr>
                <w:rFonts w:eastAsia="Aptos" w:cstheme="minorHAnsi"/>
                <w:b/>
                <w:bCs/>
              </w:rPr>
            </w:pPr>
            <w:r w:rsidRPr="00075C66">
              <w:rPr>
                <w:rFonts w:eastAsia="Aptos" w:cstheme="minorHAnsi"/>
                <w:b/>
                <w:bCs/>
              </w:rPr>
              <w:t>Dose for treatment of symptomatic disease</w:t>
            </w:r>
          </w:p>
        </w:tc>
        <w:tc>
          <w:tcPr>
            <w:tcW w:w="2194" w:type="dxa"/>
          </w:tcPr>
          <w:p w14:paraId="24FE8BC2" w14:textId="77777777" w:rsidR="00075C66" w:rsidRPr="00075C66" w:rsidRDefault="00075C66" w:rsidP="00075C66">
            <w:pPr>
              <w:rPr>
                <w:rFonts w:eastAsia="Aptos" w:cstheme="minorHAnsi"/>
                <w:b/>
                <w:bCs/>
              </w:rPr>
            </w:pPr>
            <w:r w:rsidRPr="00075C66">
              <w:rPr>
                <w:rFonts w:eastAsia="Aptos" w:cstheme="minorHAnsi"/>
                <w:b/>
                <w:bCs/>
              </w:rPr>
              <w:t xml:space="preserve">Dose for post exposure prophylaxis of asymptomatic exposed people </w:t>
            </w:r>
          </w:p>
        </w:tc>
        <w:tc>
          <w:tcPr>
            <w:tcW w:w="2486" w:type="dxa"/>
          </w:tcPr>
          <w:p w14:paraId="54445FB3" w14:textId="77777777" w:rsidR="00075C66" w:rsidRPr="00075C66" w:rsidRDefault="00075C66" w:rsidP="00075C66">
            <w:pPr>
              <w:rPr>
                <w:rFonts w:eastAsia="Aptos" w:cstheme="minorHAnsi"/>
                <w:b/>
                <w:bCs/>
              </w:rPr>
            </w:pPr>
            <w:r w:rsidRPr="00075C66">
              <w:rPr>
                <w:rFonts w:eastAsia="Aptos" w:cstheme="minorHAnsi"/>
                <w:b/>
                <w:bCs/>
              </w:rPr>
              <w:t>Ages/Notes</w:t>
            </w:r>
          </w:p>
        </w:tc>
      </w:tr>
      <w:tr w:rsidR="00075C66" w:rsidRPr="006527CC" w14:paraId="3D21247B" w14:textId="77777777" w:rsidTr="00FE674C">
        <w:tc>
          <w:tcPr>
            <w:tcW w:w="1530" w:type="dxa"/>
          </w:tcPr>
          <w:p w14:paraId="64947F6B" w14:textId="77777777" w:rsidR="00075C66" w:rsidRPr="00075C66" w:rsidRDefault="00075C66" w:rsidP="00075C66">
            <w:pPr>
              <w:rPr>
                <w:rFonts w:eastAsia="Aptos" w:cstheme="minorHAnsi"/>
              </w:rPr>
            </w:pPr>
            <w:r w:rsidRPr="00075C66">
              <w:rPr>
                <w:rFonts w:eastAsia="Aptos" w:cstheme="minorHAnsi"/>
              </w:rPr>
              <w:t>Oseltamivir</w:t>
            </w:r>
          </w:p>
        </w:tc>
        <w:tc>
          <w:tcPr>
            <w:tcW w:w="1890" w:type="dxa"/>
          </w:tcPr>
          <w:p w14:paraId="2FE90CC1" w14:textId="77777777" w:rsidR="00075C66" w:rsidRPr="00075C66" w:rsidRDefault="00075C66" w:rsidP="00075C66">
            <w:pPr>
              <w:rPr>
                <w:rFonts w:eastAsia="Aptos" w:cstheme="minorHAnsi"/>
              </w:rPr>
            </w:pPr>
            <w:r w:rsidRPr="00075C66">
              <w:rPr>
                <w:rFonts w:eastAsia="Aptos" w:cstheme="minorHAnsi"/>
              </w:rPr>
              <w:t>Neuraminidase inhibitor</w:t>
            </w:r>
          </w:p>
        </w:tc>
        <w:tc>
          <w:tcPr>
            <w:tcW w:w="2340" w:type="dxa"/>
          </w:tcPr>
          <w:p w14:paraId="1A9B1CA3" w14:textId="77777777" w:rsidR="00075C66" w:rsidRPr="00075C66" w:rsidRDefault="00075C66" w:rsidP="00075C66">
            <w:pPr>
              <w:rPr>
                <w:rFonts w:eastAsia="Aptos" w:cstheme="minorHAnsi"/>
              </w:rPr>
            </w:pPr>
            <w:r w:rsidRPr="00075C66">
              <w:rPr>
                <w:rFonts w:eastAsia="Aptos" w:cstheme="minorHAnsi"/>
                <w:u w:val="single"/>
              </w:rPr>
              <w:t>Adult:</w:t>
            </w:r>
            <w:r w:rsidRPr="00075C66">
              <w:rPr>
                <w:rFonts w:eastAsia="Aptos" w:cstheme="minorHAnsi"/>
              </w:rPr>
              <w:t xml:space="preserve"> 75 mg orally twice daily for 5 days </w:t>
            </w:r>
          </w:p>
          <w:p w14:paraId="4BA6487F" w14:textId="77777777" w:rsidR="00075C66" w:rsidRPr="00075C66" w:rsidRDefault="00075C66" w:rsidP="00075C66">
            <w:pPr>
              <w:rPr>
                <w:rFonts w:eastAsia="Aptos" w:cstheme="minorHAnsi"/>
              </w:rPr>
            </w:pPr>
          </w:p>
          <w:p w14:paraId="4537FB37" w14:textId="77777777" w:rsidR="00075C66" w:rsidRPr="00075C66" w:rsidRDefault="00075C66" w:rsidP="00075C66">
            <w:pPr>
              <w:rPr>
                <w:rFonts w:eastAsia="Aptos" w:cstheme="minorHAnsi"/>
              </w:rPr>
            </w:pPr>
          </w:p>
          <w:p w14:paraId="0FAD46F9" w14:textId="77777777" w:rsidR="00075C66" w:rsidRPr="00075C66" w:rsidRDefault="00075C66" w:rsidP="00075C66">
            <w:pPr>
              <w:rPr>
                <w:rFonts w:eastAsia="Aptos" w:cstheme="minorHAnsi"/>
              </w:rPr>
            </w:pPr>
          </w:p>
          <w:p w14:paraId="058877B5" w14:textId="761362F8" w:rsidR="00075C66" w:rsidRPr="00075C66" w:rsidRDefault="00075C66" w:rsidP="00075C66">
            <w:pPr>
              <w:rPr>
                <w:rFonts w:eastAsia="Aptos" w:cstheme="minorHAnsi"/>
              </w:rPr>
            </w:pPr>
            <w:r w:rsidRPr="00075C66">
              <w:rPr>
                <w:rFonts w:eastAsia="Aptos" w:cstheme="minorHAnsi"/>
                <w:u w:val="single"/>
              </w:rPr>
              <w:t>Children</w:t>
            </w:r>
            <w:r w:rsidR="006527CC" w:rsidRPr="006527CC">
              <w:rPr>
                <w:rFonts w:eastAsia="Aptos" w:cstheme="minorHAnsi"/>
              </w:rPr>
              <w:t>: Weight</w:t>
            </w:r>
            <w:r w:rsidRPr="00075C66">
              <w:rPr>
                <w:rFonts w:eastAsia="Aptos" w:cstheme="minorHAnsi"/>
              </w:rPr>
              <w:t xml:space="preserve"> based twice daily oral dosing for 5 days for children</w:t>
            </w:r>
          </w:p>
        </w:tc>
        <w:tc>
          <w:tcPr>
            <w:tcW w:w="2194" w:type="dxa"/>
          </w:tcPr>
          <w:p w14:paraId="5F650589" w14:textId="77777777" w:rsidR="00075C66" w:rsidRPr="00075C66" w:rsidRDefault="00075C66" w:rsidP="00075C66">
            <w:pPr>
              <w:rPr>
                <w:rFonts w:eastAsia="Aptos" w:cstheme="minorHAnsi"/>
              </w:rPr>
            </w:pPr>
            <w:r w:rsidRPr="00075C66">
              <w:rPr>
                <w:rFonts w:eastAsia="Aptos" w:cstheme="minorHAnsi"/>
                <w:u w:val="single"/>
              </w:rPr>
              <w:t>Adult</w:t>
            </w:r>
            <w:r w:rsidRPr="00075C66">
              <w:rPr>
                <w:rFonts w:eastAsia="Aptos" w:cstheme="minorHAnsi"/>
              </w:rPr>
              <w:t>: 75 mg orally once daily for 1 week after last exposure</w:t>
            </w:r>
          </w:p>
          <w:p w14:paraId="41924E1C" w14:textId="77777777" w:rsidR="00075C66" w:rsidRPr="00075C66" w:rsidRDefault="00075C66" w:rsidP="00075C66">
            <w:pPr>
              <w:rPr>
                <w:rFonts w:eastAsia="Aptos" w:cstheme="minorHAnsi"/>
              </w:rPr>
            </w:pPr>
          </w:p>
          <w:p w14:paraId="24CB4CE2" w14:textId="77777777" w:rsidR="00075C66" w:rsidRPr="00075C66" w:rsidRDefault="00075C66" w:rsidP="00075C66">
            <w:pPr>
              <w:rPr>
                <w:rFonts w:eastAsia="Aptos" w:cstheme="minorHAnsi"/>
              </w:rPr>
            </w:pPr>
          </w:p>
          <w:p w14:paraId="2651433C" w14:textId="320B1067" w:rsidR="00075C66" w:rsidRPr="00075C66" w:rsidRDefault="00075C66" w:rsidP="00075C66">
            <w:pPr>
              <w:rPr>
                <w:rFonts w:eastAsia="Aptos" w:cstheme="minorHAnsi"/>
              </w:rPr>
            </w:pPr>
            <w:r w:rsidRPr="00075C66">
              <w:rPr>
                <w:rFonts w:eastAsia="Aptos" w:cstheme="minorHAnsi"/>
                <w:u w:val="single"/>
              </w:rPr>
              <w:t>Children</w:t>
            </w:r>
            <w:r w:rsidR="006527CC" w:rsidRPr="006527CC">
              <w:rPr>
                <w:rFonts w:eastAsia="Aptos" w:cstheme="minorHAnsi"/>
              </w:rPr>
              <w:t>: Weight</w:t>
            </w:r>
            <w:r w:rsidRPr="00075C66">
              <w:rPr>
                <w:rFonts w:eastAsia="Aptos" w:cstheme="minorHAnsi"/>
              </w:rPr>
              <w:t xml:space="preserve"> based once daily oral dosing for 1 week after last exposure</w:t>
            </w:r>
          </w:p>
        </w:tc>
        <w:tc>
          <w:tcPr>
            <w:tcW w:w="2486" w:type="dxa"/>
          </w:tcPr>
          <w:p w14:paraId="168D1311" w14:textId="77777777" w:rsidR="00075C66" w:rsidRPr="00075C66" w:rsidRDefault="00075C66" w:rsidP="00075C66">
            <w:pPr>
              <w:rPr>
                <w:rFonts w:eastAsia="Aptos" w:cstheme="minorHAnsi"/>
              </w:rPr>
            </w:pPr>
            <w:r w:rsidRPr="00075C66">
              <w:rPr>
                <w:rFonts w:eastAsia="Aptos" w:cstheme="minorHAnsi"/>
              </w:rPr>
              <w:t>All ages/</w:t>
            </w:r>
            <w:r w:rsidRPr="00075C66">
              <w:rPr>
                <w:rFonts w:eastAsia="Aptos" w:cstheme="minorHAnsi"/>
                <w:b/>
                <w:bCs/>
                <w:color w:val="1C1D1F"/>
                <w:shd w:val="clear" w:color="auto" w:fill="FFFFFF"/>
              </w:rPr>
              <w:t xml:space="preserve"> </w:t>
            </w:r>
            <w:r w:rsidRPr="00075C66">
              <w:rPr>
                <w:rFonts w:eastAsia="Aptos" w:cstheme="minorHAnsi"/>
                <w:color w:val="1C1D1F"/>
                <w:shd w:val="clear" w:color="auto" w:fill="FFFFFF"/>
              </w:rPr>
              <w:t xml:space="preserve">Use in </w:t>
            </w:r>
            <w:r w:rsidRPr="00075C66">
              <w:rPr>
                <w:rFonts w:eastAsia="Aptos" w:cstheme="minorHAnsi"/>
              </w:rPr>
              <w:t xml:space="preserve">hospitalized patients with suspected or confirmed influenza. Use in outpatients including those with complications or progressive disease &gt;2 days after symptom onset. Use for pregnant or breast-feeding people. </w:t>
            </w:r>
          </w:p>
        </w:tc>
      </w:tr>
      <w:tr w:rsidR="00075C66" w:rsidRPr="006527CC" w14:paraId="4AE0BA26" w14:textId="77777777" w:rsidTr="00FE674C">
        <w:tc>
          <w:tcPr>
            <w:tcW w:w="1530" w:type="dxa"/>
          </w:tcPr>
          <w:p w14:paraId="3B814A17" w14:textId="77777777" w:rsidR="00075C66" w:rsidRPr="00075C66" w:rsidRDefault="00075C66" w:rsidP="00075C66">
            <w:pPr>
              <w:rPr>
                <w:rFonts w:eastAsia="Aptos" w:cstheme="minorHAnsi"/>
              </w:rPr>
            </w:pPr>
            <w:r w:rsidRPr="00075C66">
              <w:rPr>
                <w:rFonts w:eastAsia="Aptos" w:cstheme="minorHAnsi"/>
              </w:rPr>
              <w:t>Zanamivir</w:t>
            </w:r>
          </w:p>
        </w:tc>
        <w:tc>
          <w:tcPr>
            <w:tcW w:w="1890" w:type="dxa"/>
          </w:tcPr>
          <w:p w14:paraId="6A04322A" w14:textId="77777777" w:rsidR="00075C66" w:rsidRPr="00075C66" w:rsidRDefault="00075C66" w:rsidP="00075C66">
            <w:pPr>
              <w:rPr>
                <w:rFonts w:eastAsia="Aptos" w:cstheme="minorHAnsi"/>
              </w:rPr>
            </w:pPr>
            <w:r w:rsidRPr="00075C66">
              <w:rPr>
                <w:rFonts w:eastAsia="Aptos" w:cstheme="minorHAnsi"/>
              </w:rPr>
              <w:t>Neuraminidase inhibitor</w:t>
            </w:r>
          </w:p>
        </w:tc>
        <w:tc>
          <w:tcPr>
            <w:tcW w:w="2340" w:type="dxa"/>
          </w:tcPr>
          <w:p w14:paraId="3E055EFB" w14:textId="6A7FCD18" w:rsidR="00075C66" w:rsidRPr="00075C66" w:rsidRDefault="00075C66" w:rsidP="00075C66">
            <w:pPr>
              <w:rPr>
                <w:rFonts w:eastAsia="Aptos" w:cstheme="minorHAnsi"/>
              </w:rPr>
            </w:pPr>
            <w:r w:rsidRPr="00075C66">
              <w:rPr>
                <w:rFonts w:eastAsia="Aptos" w:cstheme="minorHAnsi"/>
                <w:u w:val="single"/>
              </w:rPr>
              <w:t>Adult and Children ≥7 years</w:t>
            </w:r>
            <w:r w:rsidR="006527CC" w:rsidRPr="006527CC">
              <w:rPr>
                <w:rFonts w:eastAsia="Aptos" w:cstheme="minorHAnsi"/>
              </w:rPr>
              <w:t>: Two</w:t>
            </w:r>
            <w:r w:rsidRPr="00075C66">
              <w:rPr>
                <w:rFonts w:eastAsia="Aptos" w:cstheme="minorHAnsi"/>
              </w:rPr>
              <w:t xml:space="preserve"> inhalations (10 mg) twice daily for 5 days</w:t>
            </w:r>
          </w:p>
        </w:tc>
        <w:tc>
          <w:tcPr>
            <w:tcW w:w="2194" w:type="dxa"/>
          </w:tcPr>
          <w:p w14:paraId="6F19A856" w14:textId="508FB264" w:rsidR="00075C66" w:rsidRPr="00075C66" w:rsidRDefault="00075C66" w:rsidP="00075C66">
            <w:pPr>
              <w:rPr>
                <w:rFonts w:eastAsia="Aptos" w:cstheme="minorHAnsi"/>
              </w:rPr>
            </w:pPr>
            <w:r w:rsidRPr="00075C66">
              <w:rPr>
                <w:rFonts w:eastAsia="Aptos" w:cstheme="minorHAnsi"/>
                <w:u w:val="single"/>
              </w:rPr>
              <w:t>Adult and Children ≥7 years</w:t>
            </w:r>
            <w:r w:rsidR="006527CC" w:rsidRPr="006527CC">
              <w:rPr>
                <w:rFonts w:eastAsia="Aptos" w:cstheme="minorHAnsi"/>
              </w:rPr>
              <w:t>: Two</w:t>
            </w:r>
            <w:r w:rsidRPr="00075C66">
              <w:rPr>
                <w:rFonts w:eastAsia="Aptos" w:cstheme="minorHAnsi"/>
              </w:rPr>
              <w:t xml:space="preserve"> inhalations (10 mg) once daily for 1 week after last exposure</w:t>
            </w:r>
          </w:p>
        </w:tc>
        <w:tc>
          <w:tcPr>
            <w:tcW w:w="2486" w:type="dxa"/>
          </w:tcPr>
          <w:p w14:paraId="465BCD53" w14:textId="77777777" w:rsidR="00075C66" w:rsidRPr="00075C66" w:rsidRDefault="00075C66" w:rsidP="00075C66">
            <w:pPr>
              <w:rPr>
                <w:rFonts w:eastAsia="Aptos" w:cstheme="minorHAnsi"/>
              </w:rPr>
            </w:pPr>
            <w:r w:rsidRPr="00075C66">
              <w:rPr>
                <w:rFonts w:eastAsia="Aptos" w:cstheme="minorHAnsi"/>
              </w:rPr>
              <w:t>≥7 years/ Use in outpatients with suspected or confirmed uncomplicated influenza within two days of symptom onset</w:t>
            </w:r>
          </w:p>
        </w:tc>
      </w:tr>
      <w:tr w:rsidR="00075C66" w:rsidRPr="006527CC" w14:paraId="69D2A0A6" w14:textId="77777777" w:rsidTr="00FE674C">
        <w:tc>
          <w:tcPr>
            <w:tcW w:w="1530" w:type="dxa"/>
          </w:tcPr>
          <w:p w14:paraId="2A522B35" w14:textId="77777777" w:rsidR="00075C66" w:rsidRPr="00075C66" w:rsidRDefault="00075C66" w:rsidP="00075C66">
            <w:pPr>
              <w:rPr>
                <w:rFonts w:eastAsia="Aptos" w:cstheme="minorHAnsi"/>
              </w:rPr>
            </w:pPr>
            <w:r w:rsidRPr="00075C66">
              <w:rPr>
                <w:rFonts w:eastAsia="Aptos" w:cstheme="minorHAnsi"/>
              </w:rPr>
              <w:t>Peramivir</w:t>
            </w:r>
          </w:p>
        </w:tc>
        <w:tc>
          <w:tcPr>
            <w:tcW w:w="1890" w:type="dxa"/>
          </w:tcPr>
          <w:p w14:paraId="2D505D35" w14:textId="77777777" w:rsidR="00075C66" w:rsidRPr="00075C66" w:rsidRDefault="00075C66" w:rsidP="00075C66">
            <w:pPr>
              <w:rPr>
                <w:rFonts w:eastAsia="Aptos" w:cstheme="minorHAnsi"/>
              </w:rPr>
            </w:pPr>
            <w:r w:rsidRPr="00075C66">
              <w:rPr>
                <w:rFonts w:eastAsia="Aptos" w:cstheme="minorHAnsi"/>
              </w:rPr>
              <w:t>Neuraminidase inhibitor</w:t>
            </w:r>
          </w:p>
        </w:tc>
        <w:tc>
          <w:tcPr>
            <w:tcW w:w="2340" w:type="dxa"/>
          </w:tcPr>
          <w:p w14:paraId="7F1482A2" w14:textId="77777777" w:rsidR="00075C66" w:rsidRPr="00075C66" w:rsidRDefault="00075C66" w:rsidP="00075C66">
            <w:pPr>
              <w:rPr>
                <w:rFonts w:eastAsia="Aptos" w:cstheme="minorHAnsi"/>
              </w:rPr>
            </w:pPr>
            <w:r w:rsidRPr="00075C66">
              <w:rPr>
                <w:rFonts w:eastAsia="Aptos" w:cstheme="minorHAnsi"/>
                <w:u w:val="single"/>
              </w:rPr>
              <w:t>Adult</w:t>
            </w:r>
            <w:r w:rsidRPr="00075C66">
              <w:rPr>
                <w:rFonts w:eastAsia="Aptos" w:cstheme="minorHAnsi"/>
              </w:rPr>
              <w:t>: 600 mg IV as a single dose</w:t>
            </w:r>
          </w:p>
          <w:p w14:paraId="50E46C86" w14:textId="77777777" w:rsidR="00075C66" w:rsidRPr="00075C66" w:rsidRDefault="00075C66" w:rsidP="00075C66">
            <w:pPr>
              <w:rPr>
                <w:rFonts w:eastAsia="Aptos" w:cstheme="minorHAnsi"/>
              </w:rPr>
            </w:pPr>
          </w:p>
          <w:p w14:paraId="66242B44" w14:textId="77777777" w:rsidR="00075C66" w:rsidRPr="00075C66" w:rsidRDefault="00075C66" w:rsidP="00075C66">
            <w:pPr>
              <w:rPr>
                <w:rFonts w:eastAsia="Aptos" w:cstheme="minorHAnsi"/>
              </w:rPr>
            </w:pPr>
            <w:r w:rsidRPr="00075C66">
              <w:rPr>
                <w:rFonts w:eastAsia="Aptos" w:cstheme="minorHAnsi"/>
                <w:u w:val="single"/>
              </w:rPr>
              <w:t>Children ≥6 months</w:t>
            </w:r>
            <w:r w:rsidRPr="00075C66">
              <w:rPr>
                <w:rFonts w:eastAsia="Aptos" w:cstheme="minorHAnsi"/>
              </w:rPr>
              <w:t>: Weight based as a single IV infusion</w:t>
            </w:r>
          </w:p>
        </w:tc>
        <w:tc>
          <w:tcPr>
            <w:tcW w:w="2194" w:type="dxa"/>
          </w:tcPr>
          <w:p w14:paraId="149CC0B3" w14:textId="77777777" w:rsidR="00075C66" w:rsidRPr="00075C66" w:rsidRDefault="00075C66" w:rsidP="00075C66">
            <w:pPr>
              <w:jc w:val="center"/>
              <w:rPr>
                <w:rFonts w:eastAsia="Aptos" w:cstheme="minorHAnsi"/>
              </w:rPr>
            </w:pPr>
          </w:p>
          <w:p w14:paraId="5C994334" w14:textId="77777777" w:rsidR="00075C66" w:rsidRPr="00075C66" w:rsidRDefault="00075C66" w:rsidP="00075C66">
            <w:pPr>
              <w:jc w:val="center"/>
              <w:rPr>
                <w:rFonts w:eastAsia="Aptos" w:cstheme="minorHAnsi"/>
              </w:rPr>
            </w:pPr>
          </w:p>
          <w:p w14:paraId="7EB41A39" w14:textId="77777777" w:rsidR="00075C66" w:rsidRPr="00075C66" w:rsidRDefault="00075C66" w:rsidP="00075C66">
            <w:pPr>
              <w:jc w:val="center"/>
              <w:rPr>
                <w:rFonts w:eastAsia="Aptos" w:cstheme="minorHAnsi"/>
              </w:rPr>
            </w:pPr>
          </w:p>
          <w:p w14:paraId="5E5EF1F8" w14:textId="77777777" w:rsidR="00075C66" w:rsidRPr="00075C66" w:rsidRDefault="00075C66" w:rsidP="00075C66">
            <w:pPr>
              <w:jc w:val="center"/>
              <w:rPr>
                <w:rFonts w:eastAsia="Aptos" w:cstheme="minorHAnsi"/>
              </w:rPr>
            </w:pPr>
            <w:r w:rsidRPr="00075C66">
              <w:rPr>
                <w:rFonts w:eastAsia="Aptos" w:cstheme="minorHAnsi"/>
              </w:rPr>
              <w:t>----</w:t>
            </w:r>
          </w:p>
        </w:tc>
        <w:tc>
          <w:tcPr>
            <w:tcW w:w="2486" w:type="dxa"/>
          </w:tcPr>
          <w:p w14:paraId="7B759B45" w14:textId="77777777" w:rsidR="00075C66" w:rsidRPr="00075C66" w:rsidRDefault="00075C66" w:rsidP="00075C66">
            <w:pPr>
              <w:rPr>
                <w:rFonts w:eastAsia="Aptos" w:cstheme="minorHAnsi"/>
              </w:rPr>
            </w:pPr>
            <w:r w:rsidRPr="00075C66">
              <w:rPr>
                <w:rFonts w:eastAsia="Aptos" w:cstheme="minorHAnsi"/>
              </w:rPr>
              <w:t>≥6 months/ Use in outpatients with suspected or confirmed uncomplicated influenza within two days of symptom onset</w:t>
            </w:r>
          </w:p>
        </w:tc>
      </w:tr>
      <w:tr w:rsidR="00075C66" w:rsidRPr="006527CC" w14:paraId="04A8BD1F" w14:textId="77777777" w:rsidTr="00FE674C">
        <w:tc>
          <w:tcPr>
            <w:tcW w:w="1530" w:type="dxa"/>
          </w:tcPr>
          <w:p w14:paraId="5069E070" w14:textId="77777777" w:rsidR="00075C66" w:rsidRPr="00075C66" w:rsidRDefault="00075C66" w:rsidP="00075C66">
            <w:pPr>
              <w:rPr>
                <w:rFonts w:eastAsia="Aptos" w:cstheme="minorHAnsi"/>
              </w:rPr>
            </w:pPr>
            <w:r w:rsidRPr="00075C66">
              <w:rPr>
                <w:rFonts w:eastAsia="Aptos" w:cstheme="minorHAnsi"/>
              </w:rPr>
              <w:t>Baloxavir</w:t>
            </w:r>
          </w:p>
        </w:tc>
        <w:tc>
          <w:tcPr>
            <w:tcW w:w="1890" w:type="dxa"/>
          </w:tcPr>
          <w:p w14:paraId="08D40441" w14:textId="77777777" w:rsidR="00075C66" w:rsidRPr="00075C66" w:rsidRDefault="00075C66" w:rsidP="00075C66">
            <w:pPr>
              <w:rPr>
                <w:rFonts w:eastAsia="Aptos" w:cstheme="minorHAnsi"/>
              </w:rPr>
            </w:pPr>
            <w:r w:rsidRPr="00075C66">
              <w:rPr>
                <w:rFonts w:eastAsia="Aptos" w:cstheme="minorHAnsi"/>
              </w:rPr>
              <w:t>Cap-dependent endonuclease inhibitor</w:t>
            </w:r>
          </w:p>
        </w:tc>
        <w:tc>
          <w:tcPr>
            <w:tcW w:w="2340" w:type="dxa"/>
          </w:tcPr>
          <w:p w14:paraId="48B3E3BD" w14:textId="77777777" w:rsidR="00075C66" w:rsidRPr="00075C66" w:rsidRDefault="00075C66" w:rsidP="00075C66">
            <w:pPr>
              <w:rPr>
                <w:rFonts w:eastAsia="Aptos" w:cstheme="minorHAnsi"/>
              </w:rPr>
            </w:pPr>
            <w:r w:rsidRPr="00075C66">
              <w:rPr>
                <w:rFonts w:eastAsia="Aptos" w:cstheme="minorHAnsi"/>
                <w:u w:val="single"/>
              </w:rPr>
              <w:t>Adult</w:t>
            </w:r>
            <w:r w:rsidRPr="00075C66">
              <w:rPr>
                <w:rFonts w:eastAsia="Aptos" w:cstheme="minorHAnsi"/>
              </w:rPr>
              <w:t xml:space="preserve">:  </w:t>
            </w:r>
          </w:p>
          <w:p w14:paraId="3834B75B" w14:textId="77777777" w:rsidR="00075C66" w:rsidRPr="00075C66" w:rsidRDefault="00075C66" w:rsidP="00075C66">
            <w:pPr>
              <w:rPr>
                <w:rFonts w:eastAsia="Aptos" w:cstheme="minorHAnsi"/>
              </w:rPr>
            </w:pPr>
            <w:r w:rsidRPr="00075C66">
              <w:rPr>
                <w:rFonts w:eastAsia="Aptos" w:cstheme="minorHAnsi"/>
              </w:rPr>
              <w:t xml:space="preserve"> &lt;80 kg: 40 mg as a single oral dose.</w:t>
            </w:r>
          </w:p>
          <w:p w14:paraId="596AF4E6" w14:textId="77777777" w:rsidR="00075C66" w:rsidRPr="00075C66" w:rsidRDefault="00075C66" w:rsidP="00075C66">
            <w:pPr>
              <w:rPr>
                <w:rFonts w:eastAsia="Aptos" w:cstheme="minorHAnsi"/>
              </w:rPr>
            </w:pPr>
            <w:r w:rsidRPr="00075C66">
              <w:rPr>
                <w:rFonts w:eastAsia="Aptos" w:cstheme="minorHAnsi"/>
              </w:rPr>
              <w:t xml:space="preserve"> ≥80 kg: 80 mg as a single oral dose.</w:t>
            </w:r>
          </w:p>
          <w:p w14:paraId="77420966" w14:textId="77777777" w:rsidR="00075C66" w:rsidRPr="00075C66" w:rsidRDefault="00075C66" w:rsidP="00075C66">
            <w:pPr>
              <w:rPr>
                <w:rFonts w:eastAsia="Aptos" w:cstheme="minorHAnsi"/>
              </w:rPr>
            </w:pPr>
          </w:p>
          <w:p w14:paraId="3B6F72D5" w14:textId="77777777" w:rsidR="00075C66" w:rsidRPr="00075C66" w:rsidRDefault="00075C66" w:rsidP="00075C66">
            <w:pPr>
              <w:rPr>
                <w:rFonts w:eastAsia="Aptos" w:cstheme="minorHAnsi"/>
              </w:rPr>
            </w:pPr>
            <w:r w:rsidRPr="00075C66">
              <w:rPr>
                <w:rFonts w:eastAsia="Aptos" w:cstheme="minorHAnsi"/>
                <w:u w:val="single"/>
              </w:rPr>
              <w:t>Children ≥5 years</w:t>
            </w:r>
            <w:r w:rsidRPr="00075C66">
              <w:rPr>
                <w:rFonts w:eastAsia="Aptos" w:cstheme="minorHAnsi"/>
              </w:rPr>
              <w:t>: Weight based as a single oral dose</w:t>
            </w:r>
          </w:p>
        </w:tc>
        <w:tc>
          <w:tcPr>
            <w:tcW w:w="2194" w:type="dxa"/>
          </w:tcPr>
          <w:p w14:paraId="3D953B0F" w14:textId="77777777" w:rsidR="00075C66" w:rsidRPr="00075C66" w:rsidRDefault="00075C66" w:rsidP="00075C66">
            <w:pPr>
              <w:rPr>
                <w:rFonts w:eastAsia="Aptos" w:cstheme="minorHAnsi"/>
              </w:rPr>
            </w:pPr>
            <w:r w:rsidRPr="00075C66">
              <w:rPr>
                <w:rFonts w:eastAsia="Aptos" w:cstheme="minorHAnsi"/>
                <w:u w:val="single"/>
              </w:rPr>
              <w:t>Adult</w:t>
            </w:r>
            <w:r w:rsidRPr="00075C66">
              <w:rPr>
                <w:rFonts w:eastAsia="Aptos" w:cstheme="minorHAnsi"/>
              </w:rPr>
              <w:t xml:space="preserve">:  </w:t>
            </w:r>
          </w:p>
          <w:p w14:paraId="21077496" w14:textId="77777777" w:rsidR="00075C66" w:rsidRPr="00075C66" w:rsidRDefault="00075C66" w:rsidP="00075C66">
            <w:pPr>
              <w:rPr>
                <w:rFonts w:eastAsia="Aptos" w:cstheme="minorHAnsi"/>
              </w:rPr>
            </w:pPr>
            <w:r w:rsidRPr="00075C66">
              <w:rPr>
                <w:rFonts w:eastAsia="Aptos" w:cstheme="minorHAnsi"/>
              </w:rPr>
              <w:t xml:space="preserve"> &lt;80 kg: 40 mg as a single oral dose.</w:t>
            </w:r>
          </w:p>
          <w:p w14:paraId="36105291" w14:textId="77777777" w:rsidR="00075C66" w:rsidRPr="00075C66" w:rsidRDefault="00075C66" w:rsidP="00075C66">
            <w:pPr>
              <w:rPr>
                <w:rFonts w:eastAsia="Aptos" w:cstheme="minorHAnsi"/>
              </w:rPr>
            </w:pPr>
            <w:r w:rsidRPr="00075C66">
              <w:rPr>
                <w:rFonts w:eastAsia="Aptos" w:cstheme="minorHAnsi"/>
              </w:rPr>
              <w:t xml:space="preserve"> ≥80 kg: 80 mg as a single oral dose.</w:t>
            </w:r>
          </w:p>
          <w:p w14:paraId="2B3C67BC" w14:textId="77777777" w:rsidR="00075C66" w:rsidRPr="00075C66" w:rsidRDefault="00075C66" w:rsidP="00075C66">
            <w:pPr>
              <w:rPr>
                <w:rFonts w:eastAsia="Aptos" w:cstheme="minorHAnsi"/>
              </w:rPr>
            </w:pPr>
          </w:p>
          <w:p w14:paraId="47644FB8" w14:textId="77777777" w:rsidR="00075C66" w:rsidRPr="00075C66" w:rsidRDefault="00075C66" w:rsidP="00075C66">
            <w:pPr>
              <w:rPr>
                <w:rFonts w:eastAsia="Aptos" w:cstheme="minorHAnsi"/>
              </w:rPr>
            </w:pPr>
            <w:r w:rsidRPr="00075C66">
              <w:rPr>
                <w:rFonts w:eastAsia="Aptos" w:cstheme="minorHAnsi"/>
                <w:u w:val="single"/>
              </w:rPr>
              <w:t>Children ≥5 years</w:t>
            </w:r>
            <w:r w:rsidRPr="00075C66">
              <w:rPr>
                <w:rFonts w:eastAsia="Aptos" w:cstheme="minorHAnsi"/>
              </w:rPr>
              <w:t>: Weight based as a single oral dose</w:t>
            </w:r>
          </w:p>
        </w:tc>
        <w:tc>
          <w:tcPr>
            <w:tcW w:w="2486" w:type="dxa"/>
          </w:tcPr>
          <w:p w14:paraId="6E531710" w14:textId="77777777" w:rsidR="00075C66" w:rsidRPr="00075C66" w:rsidRDefault="00075C66" w:rsidP="00075C66">
            <w:pPr>
              <w:rPr>
                <w:rFonts w:eastAsia="Aptos" w:cstheme="minorHAnsi"/>
              </w:rPr>
            </w:pPr>
            <w:r w:rsidRPr="00075C66">
              <w:rPr>
                <w:rFonts w:eastAsia="Aptos" w:cstheme="minorHAnsi"/>
              </w:rPr>
              <w:t>≥5 years/Not recommended for pregnant or breast-feeding people. Use in nonpregnant outpatients with suspected or confirmed uncomplicated influenza within two days of symptom onset</w:t>
            </w:r>
          </w:p>
        </w:tc>
      </w:tr>
    </w:tbl>
    <w:p w14:paraId="586C0EEC" w14:textId="77777777" w:rsidR="00075C66" w:rsidRPr="00075C66" w:rsidRDefault="00075C66" w:rsidP="00075C66">
      <w:pPr>
        <w:spacing w:after="160" w:line="278" w:lineRule="auto"/>
        <w:rPr>
          <w:rFonts w:asciiTheme="minorHAnsi" w:eastAsia="Aptos" w:hAnsiTheme="minorHAnsi" w:cstheme="minorHAnsi"/>
          <w:kern w:val="2"/>
          <w:szCs w:val="24"/>
          <w14:ligatures w14:val="standardContextual"/>
        </w:rPr>
      </w:pPr>
    </w:p>
    <w:p w14:paraId="44856A92" w14:textId="77777777" w:rsidR="00075C66" w:rsidRPr="00075C66" w:rsidRDefault="00075C66" w:rsidP="00075C66">
      <w:pPr>
        <w:widowControl w:val="0"/>
        <w:autoSpaceDE w:val="0"/>
        <w:autoSpaceDN w:val="0"/>
        <w:spacing w:line="278" w:lineRule="auto"/>
        <w:rPr>
          <w:rFonts w:asciiTheme="minorHAnsi" w:eastAsia="Aptos" w:hAnsiTheme="minorHAnsi" w:cstheme="minorHAnsi"/>
          <w:kern w:val="2"/>
          <w:szCs w:val="24"/>
          <w14:ligatures w14:val="standardContextual"/>
        </w:rPr>
      </w:pPr>
      <w:r w:rsidRPr="00075C66">
        <w:rPr>
          <w:rFonts w:asciiTheme="minorHAnsi" w:eastAsia="Aptos" w:hAnsiTheme="minorHAnsi" w:cstheme="minorHAnsi"/>
          <w:kern w:val="2"/>
          <w:szCs w:val="24"/>
          <w14:ligatures w14:val="standardContextual"/>
        </w:rPr>
        <w:t>Thank you for your continued partnership and for your commitment to protecting the health of residents and communities across Massachusetts.</w:t>
      </w:r>
    </w:p>
    <w:p w14:paraId="4D564006" w14:textId="77777777" w:rsidR="00075C66" w:rsidRPr="00075C66" w:rsidRDefault="00075C66" w:rsidP="00075C66">
      <w:pPr>
        <w:spacing w:after="160" w:line="278" w:lineRule="auto"/>
        <w:rPr>
          <w:rFonts w:asciiTheme="minorHAnsi" w:eastAsia="Aptos" w:hAnsiTheme="minorHAnsi" w:cstheme="minorHAnsi"/>
          <w:kern w:val="2"/>
          <w:szCs w:val="24"/>
          <w14:ligatures w14:val="standardContextual"/>
        </w:rPr>
      </w:pPr>
    </w:p>
    <w:p w14:paraId="00E30FFC" w14:textId="77777777" w:rsidR="00075C66" w:rsidRPr="00075C66" w:rsidRDefault="00075C66" w:rsidP="00075C66">
      <w:pPr>
        <w:spacing w:after="160" w:line="278" w:lineRule="auto"/>
        <w:rPr>
          <w:rFonts w:asciiTheme="minorHAnsi" w:eastAsia="Aptos" w:hAnsiTheme="minorHAnsi" w:cstheme="minorHAnsi"/>
          <w:b/>
          <w:bCs/>
          <w:kern w:val="2"/>
          <w:szCs w:val="24"/>
          <w14:ligatures w14:val="standardContextual"/>
        </w:rPr>
      </w:pPr>
      <w:r w:rsidRPr="00075C66">
        <w:rPr>
          <w:rFonts w:asciiTheme="minorHAnsi" w:eastAsia="Aptos" w:hAnsiTheme="minorHAnsi" w:cstheme="minorHAnsi"/>
          <w:b/>
          <w:bCs/>
          <w:kern w:val="2"/>
          <w:szCs w:val="24"/>
          <w14:ligatures w14:val="standardContextual"/>
        </w:rPr>
        <w:t>Resources:</w:t>
      </w:r>
    </w:p>
    <w:p w14:paraId="21E8D5F2" w14:textId="77777777" w:rsidR="00075C66" w:rsidRDefault="00075C66" w:rsidP="00075C66">
      <w:pPr>
        <w:spacing w:after="160" w:line="278" w:lineRule="auto"/>
        <w:rPr>
          <w:rFonts w:asciiTheme="minorHAnsi" w:eastAsia="Aptos" w:hAnsiTheme="minorHAnsi" w:cstheme="minorHAnsi"/>
          <w:kern w:val="2"/>
          <w:szCs w:val="24"/>
          <w14:ligatures w14:val="standardContextual"/>
        </w:rPr>
      </w:pPr>
      <w:hyperlink r:id="rId14" w:history="1">
        <w:r w:rsidRPr="00075C66">
          <w:rPr>
            <w:rFonts w:asciiTheme="minorHAnsi" w:eastAsia="Aptos" w:hAnsiTheme="minorHAnsi" w:cstheme="minorHAnsi"/>
            <w:color w:val="467886"/>
            <w:kern w:val="2"/>
            <w:szCs w:val="24"/>
            <w:u w:val="single"/>
            <w14:ligatures w14:val="standardContextual"/>
          </w:rPr>
          <w:t>Massachusetts Respiratory Illness Reporting Dashboard</w:t>
        </w:r>
      </w:hyperlink>
    </w:p>
    <w:p w14:paraId="2F835889" w14:textId="56442BC2" w:rsidR="00A557FC" w:rsidRDefault="00A557FC" w:rsidP="00075C66">
      <w:pPr>
        <w:spacing w:after="160" w:line="278" w:lineRule="auto"/>
      </w:pPr>
      <w:hyperlink r:id="rId15" w:history="1">
        <w:r w:rsidRPr="00A557FC">
          <w:rPr>
            <w:rStyle w:val="Hyperlink"/>
            <w:rFonts w:asciiTheme="minorHAnsi" w:eastAsia="Aptos" w:hAnsiTheme="minorHAnsi" w:cstheme="minorHAnsi"/>
            <w:kern w:val="2"/>
            <w:szCs w:val="24"/>
            <w14:ligatures w14:val="standardContextual"/>
          </w:rPr>
          <w:t>Influenza information for healthcare and public health professionals</w:t>
        </w:r>
      </w:hyperlink>
    </w:p>
    <w:p w14:paraId="7871CDDC" w14:textId="22CE73D6" w:rsidR="001C1731" w:rsidRPr="001C1731" w:rsidRDefault="00BA6191" w:rsidP="00075C66">
      <w:pPr>
        <w:spacing w:after="160" w:line="278" w:lineRule="auto"/>
        <w:rPr>
          <w:rFonts w:asciiTheme="minorHAnsi" w:eastAsia="Aptos" w:hAnsiTheme="minorHAnsi" w:cstheme="minorHAnsi"/>
          <w:kern w:val="2"/>
          <w:szCs w:val="24"/>
          <w14:ligatures w14:val="standardContextual"/>
        </w:rPr>
      </w:pPr>
      <w:hyperlink r:id="rId16" w:history="1">
        <w:r w:rsidR="001C1731" w:rsidRPr="001C1731">
          <w:rPr>
            <w:rStyle w:val="Hyperlink"/>
            <w:rFonts w:asciiTheme="minorHAnsi" w:eastAsia="Aptos" w:hAnsiTheme="minorHAnsi" w:cstheme="minorHAnsi"/>
            <w:kern w:val="2"/>
            <w:szCs w:val="24"/>
            <w14:ligatures w14:val="standardContextual"/>
          </w:rPr>
          <w:t>Influenza key points</w:t>
        </w:r>
      </w:hyperlink>
    </w:p>
    <w:p w14:paraId="7C645C82" w14:textId="4CCB54DC" w:rsidR="00075C66" w:rsidRPr="00075C66" w:rsidRDefault="00075C66" w:rsidP="00075C66">
      <w:pPr>
        <w:spacing w:after="160" w:line="278" w:lineRule="auto"/>
        <w:rPr>
          <w:rFonts w:asciiTheme="minorHAnsi" w:eastAsia="Aptos" w:hAnsiTheme="minorHAnsi" w:cstheme="minorHAnsi"/>
          <w:kern w:val="2"/>
          <w:szCs w:val="24"/>
          <w14:ligatures w14:val="standardContextual"/>
        </w:rPr>
      </w:pPr>
      <w:hyperlink r:id="rId17" w:history="1">
        <w:r w:rsidRPr="00075C66">
          <w:rPr>
            <w:rFonts w:asciiTheme="minorHAnsi" w:eastAsia="Aptos" w:hAnsiTheme="minorHAnsi" w:cstheme="minorHAnsi"/>
            <w:color w:val="467886"/>
            <w:kern w:val="2"/>
            <w:szCs w:val="24"/>
            <w:u w:val="single"/>
            <w14:ligatures w14:val="standardContextual"/>
          </w:rPr>
          <w:t>Infectious Disease Society of America antiviral treatment and chemoprophylaxis recommendations</w:t>
        </w:r>
      </w:hyperlink>
    </w:p>
    <w:p w14:paraId="313DEA64" w14:textId="77777777" w:rsidR="00075C66" w:rsidRPr="00075C66" w:rsidRDefault="00075C66" w:rsidP="00075C66">
      <w:pPr>
        <w:spacing w:after="160" w:line="278" w:lineRule="auto"/>
        <w:rPr>
          <w:rFonts w:asciiTheme="minorHAnsi" w:eastAsia="Aptos" w:hAnsiTheme="minorHAnsi" w:cstheme="minorHAnsi"/>
          <w:kern w:val="2"/>
          <w:szCs w:val="24"/>
          <w14:ligatures w14:val="standardContextual"/>
        </w:rPr>
      </w:pPr>
      <w:hyperlink r:id="rId18" w:history="1">
        <w:r w:rsidRPr="00075C66">
          <w:rPr>
            <w:rFonts w:asciiTheme="minorHAnsi" w:eastAsia="Aptos" w:hAnsiTheme="minorHAnsi" w:cstheme="minorHAnsi"/>
            <w:color w:val="467886"/>
            <w:kern w:val="2"/>
            <w:szCs w:val="24"/>
            <w:u w:val="single"/>
            <w14:ligatures w14:val="standardContextual"/>
          </w:rPr>
          <w:t>CDC Influenza Antiviral Medications: Summary for Clinicians</w:t>
        </w:r>
      </w:hyperlink>
    </w:p>
    <w:p w14:paraId="2F55C3A3" w14:textId="77777777" w:rsidR="00075C66" w:rsidRPr="00075C66" w:rsidRDefault="00075C66" w:rsidP="00075C66">
      <w:pPr>
        <w:spacing w:after="160" w:line="278" w:lineRule="auto"/>
        <w:rPr>
          <w:rFonts w:asciiTheme="minorHAnsi" w:eastAsia="Aptos" w:hAnsiTheme="minorHAnsi" w:cstheme="minorHAnsi"/>
          <w:kern w:val="2"/>
          <w:szCs w:val="24"/>
          <w14:ligatures w14:val="standardContextual"/>
        </w:rPr>
      </w:pPr>
      <w:hyperlink r:id="rId19" w:history="1">
        <w:r w:rsidRPr="00075C66">
          <w:rPr>
            <w:rFonts w:asciiTheme="minorHAnsi" w:eastAsia="Aptos" w:hAnsiTheme="minorHAnsi" w:cstheme="minorHAnsi"/>
            <w:color w:val="467886"/>
            <w:kern w:val="2"/>
            <w:szCs w:val="24"/>
            <w:u w:val="single"/>
            <w14:ligatures w14:val="standardContextual"/>
          </w:rPr>
          <w:t>MMWR 2025-2026 Influenza Vaccine Recommendations</w:t>
        </w:r>
      </w:hyperlink>
    </w:p>
    <w:p w14:paraId="083F1EBB" w14:textId="77777777" w:rsidR="00075C66" w:rsidRPr="00075C66" w:rsidRDefault="00075C66" w:rsidP="00075C66">
      <w:pPr>
        <w:spacing w:after="160" w:line="278" w:lineRule="auto"/>
        <w:rPr>
          <w:rFonts w:asciiTheme="minorHAnsi" w:eastAsia="Aptos" w:hAnsiTheme="minorHAnsi" w:cstheme="minorHAnsi"/>
          <w:kern w:val="2"/>
          <w:szCs w:val="24"/>
          <w14:ligatures w14:val="standardContextual"/>
        </w:rPr>
      </w:pPr>
      <w:hyperlink r:id="rId20">
        <w:r w:rsidRPr="00075C66">
          <w:rPr>
            <w:rFonts w:asciiTheme="minorHAnsi" w:eastAsia="Aptos" w:hAnsiTheme="minorHAnsi" w:cstheme="minorHAnsi"/>
            <w:color w:val="467886"/>
            <w:kern w:val="2"/>
            <w:szCs w:val="24"/>
            <w:u w:val="single"/>
            <w14:ligatures w14:val="standardContextual"/>
          </w:rPr>
          <w:t>CDC List of People at Increased Risk for Flu Complications</w:t>
        </w:r>
      </w:hyperlink>
    </w:p>
    <w:p w14:paraId="788AAF97" w14:textId="77777777" w:rsidR="00075C66" w:rsidRPr="00075C66" w:rsidRDefault="00075C66" w:rsidP="00075C66">
      <w:pPr>
        <w:spacing w:after="160" w:line="278" w:lineRule="auto"/>
        <w:rPr>
          <w:rFonts w:asciiTheme="minorHAnsi" w:eastAsia="Aptos" w:hAnsiTheme="minorHAnsi" w:cstheme="minorHAnsi"/>
          <w:kern w:val="2"/>
          <w:szCs w:val="24"/>
          <w14:ligatures w14:val="standardContextual"/>
        </w:rPr>
      </w:pPr>
      <w:hyperlink r:id="rId21" w:history="1">
        <w:r w:rsidRPr="00075C66">
          <w:rPr>
            <w:rFonts w:asciiTheme="minorHAnsi" w:eastAsia="Aptos" w:hAnsiTheme="minorHAnsi" w:cstheme="minorHAnsi"/>
            <w:color w:val="467886"/>
            <w:kern w:val="2"/>
            <w:szCs w:val="24"/>
            <w:u w:val="single"/>
            <w14:ligatures w14:val="standardContextual"/>
          </w:rPr>
          <w:t>MDPH Influenza Patient Information Brochure in Multiple Languages</w:t>
        </w:r>
      </w:hyperlink>
    </w:p>
    <w:p w14:paraId="7B7F34E1" w14:textId="77777777" w:rsidR="00075C66" w:rsidRPr="00075C66" w:rsidRDefault="00075C66" w:rsidP="00075C66">
      <w:pPr>
        <w:spacing w:after="160" w:line="278" w:lineRule="auto"/>
        <w:rPr>
          <w:rFonts w:asciiTheme="minorHAnsi" w:eastAsia="Aptos" w:hAnsiTheme="minorHAnsi" w:cstheme="minorHAnsi"/>
          <w:kern w:val="2"/>
          <w:szCs w:val="24"/>
          <w14:ligatures w14:val="standardContextual"/>
        </w:rPr>
      </w:pPr>
      <w:hyperlink r:id="rId22" w:history="1">
        <w:r w:rsidRPr="00075C66">
          <w:rPr>
            <w:rFonts w:asciiTheme="minorHAnsi" w:eastAsia="Aptos" w:hAnsiTheme="minorHAnsi" w:cstheme="minorHAnsi"/>
            <w:color w:val="467886"/>
            <w:kern w:val="2"/>
            <w:szCs w:val="24"/>
            <w:u w:val="single"/>
            <w14:ligatures w14:val="standardContextual"/>
          </w:rPr>
          <w:t>MDPH Influenza Patient Information Poster in Multiple Languages</w:t>
        </w:r>
      </w:hyperlink>
    </w:p>
    <w:p w14:paraId="1F17CA2B" w14:textId="77777777" w:rsidR="00811966" w:rsidRPr="006527CC" w:rsidRDefault="00811966" w:rsidP="004C4142">
      <w:pPr>
        <w:pStyle w:val="paragraph"/>
        <w:spacing w:before="0" w:beforeAutospacing="0" w:after="0" w:afterAutospacing="0"/>
        <w:textAlignment w:val="baseline"/>
        <w:rPr>
          <w:rFonts w:asciiTheme="minorHAnsi" w:hAnsiTheme="minorHAnsi" w:cstheme="minorHAnsi"/>
        </w:rPr>
      </w:pPr>
    </w:p>
    <w:sectPr w:rsidR="00811966" w:rsidRPr="006527CC" w:rsidSect="00802852">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ptos">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70285"/>
    <w:multiLevelType w:val="hybridMultilevel"/>
    <w:tmpl w:val="E6700036"/>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1" w15:restartNumberingAfterBreak="0">
    <w:nsid w:val="19D47F36"/>
    <w:multiLevelType w:val="hybridMultilevel"/>
    <w:tmpl w:val="B3FAF85E"/>
    <w:lvl w:ilvl="0" w:tplc="6A64DA34">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A4013D"/>
    <w:multiLevelType w:val="hybridMultilevel"/>
    <w:tmpl w:val="472246BC"/>
    <w:lvl w:ilvl="0" w:tplc="04090001">
      <w:start w:val="1"/>
      <w:numFmt w:val="bullet"/>
      <w:lvlText w:val=""/>
      <w:lvlJc w:val="left"/>
      <w:pPr>
        <w:ind w:left="720" w:hanging="360"/>
      </w:pPr>
      <w:rPr>
        <w:rFonts w:ascii="Symbol" w:hAnsi="Symbol" w:hint="default"/>
      </w:rPr>
    </w:lvl>
    <w:lvl w:ilvl="1" w:tplc="0380B32A">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E67748"/>
    <w:multiLevelType w:val="hybridMultilevel"/>
    <w:tmpl w:val="2720476C"/>
    <w:lvl w:ilvl="0" w:tplc="04090005">
      <w:start w:val="1"/>
      <w:numFmt w:val="bullet"/>
      <w:lvlText w:val=""/>
      <w:lvlJc w:val="left"/>
      <w:pPr>
        <w:ind w:left="1800" w:hanging="360"/>
      </w:pPr>
      <w:rPr>
        <w:rFonts w:ascii="Wingdings" w:hAnsi="Wingdings" w:hint="default"/>
      </w:rPr>
    </w:lvl>
    <w:lvl w:ilvl="1" w:tplc="FFFFFFFF">
      <w:start w:val="1"/>
      <w:numFmt w:val="bullet"/>
      <w:lvlText w:val=""/>
      <w:lvlJc w:val="left"/>
      <w:pPr>
        <w:ind w:left="2430" w:hanging="360"/>
      </w:pPr>
      <w:rPr>
        <w:rFonts w:ascii="Wingdings" w:hAnsi="Wingdings"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 w15:restartNumberingAfterBreak="0">
    <w:nsid w:val="36255B3F"/>
    <w:multiLevelType w:val="hybridMultilevel"/>
    <w:tmpl w:val="1DD25782"/>
    <w:lvl w:ilvl="0" w:tplc="F0627B3E">
      <w:start w:val="1"/>
      <w:numFmt w:val="bullet"/>
      <w:lvlText w:val="o"/>
      <w:lvlJc w:val="left"/>
      <w:pPr>
        <w:ind w:left="1440" w:hanging="360"/>
      </w:pPr>
      <w:rPr>
        <w:rFonts w:ascii="Courier New" w:hAnsi="Courier New"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 w15:restartNumberingAfterBreak="0">
    <w:nsid w:val="66966174"/>
    <w:multiLevelType w:val="hybridMultilevel"/>
    <w:tmpl w:val="B5786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8066458">
    <w:abstractNumId w:val="5"/>
  </w:num>
  <w:num w:numId="2" w16cid:durableId="20471000">
    <w:abstractNumId w:val="0"/>
  </w:num>
  <w:num w:numId="3" w16cid:durableId="919871947">
    <w:abstractNumId w:val="2"/>
  </w:num>
  <w:num w:numId="4" w16cid:durableId="668362990">
    <w:abstractNumId w:val="4"/>
  </w:num>
  <w:num w:numId="5" w16cid:durableId="1395853749">
    <w:abstractNumId w:val="3"/>
  </w:num>
  <w:num w:numId="6" w16cid:durableId="18985148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3154"/>
    <w:rsid w:val="00042048"/>
    <w:rsid w:val="000537DA"/>
    <w:rsid w:val="00064496"/>
    <w:rsid w:val="00075C66"/>
    <w:rsid w:val="000A1DE1"/>
    <w:rsid w:val="000B7D96"/>
    <w:rsid w:val="000C2E20"/>
    <w:rsid w:val="000F315B"/>
    <w:rsid w:val="00104465"/>
    <w:rsid w:val="001125C0"/>
    <w:rsid w:val="0015268B"/>
    <w:rsid w:val="0015709E"/>
    <w:rsid w:val="0017749A"/>
    <w:rsid w:val="00177C77"/>
    <w:rsid w:val="001954F0"/>
    <w:rsid w:val="001A7E66"/>
    <w:rsid w:val="001B6693"/>
    <w:rsid w:val="001C1731"/>
    <w:rsid w:val="0021698C"/>
    <w:rsid w:val="00237280"/>
    <w:rsid w:val="00260D54"/>
    <w:rsid w:val="00266EE6"/>
    <w:rsid w:val="00276957"/>
    <w:rsid w:val="00276DCC"/>
    <w:rsid w:val="002A132F"/>
    <w:rsid w:val="002D1C21"/>
    <w:rsid w:val="00301022"/>
    <w:rsid w:val="00314E8F"/>
    <w:rsid w:val="00357A68"/>
    <w:rsid w:val="00361EBE"/>
    <w:rsid w:val="00375EAD"/>
    <w:rsid w:val="00385812"/>
    <w:rsid w:val="00392D0B"/>
    <w:rsid w:val="003A7AFC"/>
    <w:rsid w:val="003C60EF"/>
    <w:rsid w:val="004813AC"/>
    <w:rsid w:val="004B37A0"/>
    <w:rsid w:val="004B5CFB"/>
    <w:rsid w:val="004C4142"/>
    <w:rsid w:val="004D6B39"/>
    <w:rsid w:val="004E0C3F"/>
    <w:rsid w:val="00512956"/>
    <w:rsid w:val="00517A17"/>
    <w:rsid w:val="00530145"/>
    <w:rsid w:val="005448AA"/>
    <w:rsid w:val="00572A6E"/>
    <w:rsid w:val="006527CC"/>
    <w:rsid w:val="006D06D9"/>
    <w:rsid w:val="006D77A6"/>
    <w:rsid w:val="00702109"/>
    <w:rsid w:val="007159BE"/>
    <w:rsid w:val="007210FB"/>
    <w:rsid w:val="0072610D"/>
    <w:rsid w:val="007359C3"/>
    <w:rsid w:val="00757006"/>
    <w:rsid w:val="00771FEB"/>
    <w:rsid w:val="00772FF4"/>
    <w:rsid w:val="007B3F4B"/>
    <w:rsid w:val="007B7347"/>
    <w:rsid w:val="007D10F3"/>
    <w:rsid w:val="007D1D51"/>
    <w:rsid w:val="007E06B4"/>
    <w:rsid w:val="007F3CDB"/>
    <w:rsid w:val="00802852"/>
    <w:rsid w:val="00811966"/>
    <w:rsid w:val="00850407"/>
    <w:rsid w:val="0088305B"/>
    <w:rsid w:val="008A0859"/>
    <w:rsid w:val="008B6182"/>
    <w:rsid w:val="00951305"/>
    <w:rsid w:val="009730E5"/>
    <w:rsid w:val="009908FF"/>
    <w:rsid w:val="00995505"/>
    <w:rsid w:val="009C4428"/>
    <w:rsid w:val="009D48CD"/>
    <w:rsid w:val="00A07AA5"/>
    <w:rsid w:val="00A5547C"/>
    <w:rsid w:val="00A557FC"/>
    <w:rsid w:val="00A65101"/>
    <w:rsid w:val="00B25AD1"/>
    <w:rsid w:val="00B403BF"/>
    <w:rsid w:val="00B608D9"/>
    <w:rsid w:val="00B922AF"/>
    <w:rsid w:val="00BA15C5"/>
    <w:rsid w:val="00BA4055"/>
    <w:rsid w:val="00BA6191"/>
    <w:rsid w:val="00BA7FB6"/>
    <w:rsid w:val="00C10FEE"/>
    <w:rsid w:val="00C20BFE"/>
    <w:rsid w:val="00C46D29"/>
    <w:rsid w:val="00CC1778"/>
    <w:rsid w:val="00CE575B"/>
    <w:rsid w:val="00CF3DE8"/>
    <w:rsid w:val="00D0493F"/>
    <w:rsid w:val="00D10DDE"/>
    <w:rsid w:val="00D56F91"/>
    <w:rsid w:val="00D76119"/>
    <w:rsid w:val="00D8671C"/>
    <w:rsid w:val="00D91390"/>
    <w:rsid w:val="00DA57C3"/>
    <w:rsid w:val="00DC3855"/>
    <w:rsid w:val="00DC67D0"/>
    <w:rsid w:val="00E242A8"/>
    <w:rsid w:val="00E274B8"/>
    <w:rsid w:val="00E72707"/>
    <w:rsid w:val="00E814A1"/>
    <w:rsid w:val="00EF0780"/>
    <w:rsid w:val="00F0586E"/>
    <w:rsid w:val="00F43932"/>
    <w:rsid w:val="00FA575E"/>
    <w:rsid w:val="00FC6B42"/>
    <w:rsid w:val="00FE674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7353505-EF37-4C20-8612-EFF9A886F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paragraph" w:customStyle="1" w:styleId="paragraph">
    <w:name w:val="paragraph"/>
    <w:basedOn w:val="Normal"/>
    <w:rsid w:val="004C4142"/>
    <w:pPr>
      <w:spacing w:before="100" w:beforeAutospacing="1" w:after="100" w:afterAutospacing="1"/>
    </w:pPr>
    <w:rPr>
      <w:szCs w:val="24"/>
    </w:rPr>
  </w:style>
  <w:style w:type="character" w:customStyle="1" w:styleId="eop">
    <w:name w:val="eop"/>
    <w:basedOn w:val="DefaultParagraphFont"/>
    <w:rsid w:val="004C4142"/>
  </w:style>
  <w:style w:type="character" w:customStyle="1" w:styleId="normaltextrun">
    <w:name w:val="normaltextrun"/>
    <w:basedOn w:val="DefaultParagraphFont"/>
    <w:rsid w:val="004C4142"/>
  </w:style>
  <w:style w:type="paragraph" w:styleId="ListParagraph">
    <w:name w:val="List Paragraph"/>
    <w:basedOn w:val="Normal"/>
    <w:uiPriority w:val="1"/>
    <w:qFormat/>
    <w:rsid w:val="00772FF4"/>
    <w:pPr>
      <w:spacing w:after="160" w:line="278" w:lineRule="auto"/>
      <w:ind w:left="720"/>
      <w:contextualSpacing/>
    </w:pPr>
    <w:rPr>
      <w:rFonts w:asciiTheme="minorHAnsi" w:eastAsiaTheme="minorHAnsi" w:hAnsiTheme="minorHAnsi" w:cstheme="minorBidi"/>
      <w:kern w:val="2"/>
      <w:szCs w:val="24"/>
      <w14:ligatures w14:val="standardContextual"/>
    </w:rPr>
  </w:style>
  <w:style w:type="paragraph" w:styleId="BodyText">
    <w:name w:val="Body Text"/>
    <w:basedOn w:val="Normal"/>
    <w:link w:val="BodyTextChar"/>
    <w:uiPriority w:val="1"/>
    <w:qFormat/>
    <w:rsid w:val="00772FF4"/>
    <w:pPr>
      <w:widowControl w:val="0"/>
      <w:autoSpaceDE w:val="0"/>
      <w:autoSpaceDN w:val="0"/>
    </w:pPr>
    <w:rPr>
      <w:rFonts w:ascii="Calibri" w:eastAsia="Calibri" w:hAnsi="Calibri" w:cs="Calibri"/>
      <w:sz w:val="16"/>
      <w:szCs w:val="16"/>
    </w:rPr>
  </w:style>
  <w:style w:type="character" w:customStyle="1" w:styleId="BodyTextChar">
    <w:name w:val="Body Text Char"/>
    <w:basedOn w:val="DefaultParagraphFont"/>
    <w:link w:val="BodyText"/>
    <w:uiPriority w:val="1"/>
    <w:rsid w:val="00772FF4"/>
    <w:rPr>
      <w:rFonts w:ascii="Calibri" w:eastAsia="Calibri" w:hAnsi="Calibri" w:cs="Calibri"/>
      <w:sz w:val="16"/>
      <w:szCs w:val="16"/>
    </w:rPr>
  </w:style>
  <w:style w:type="table" w:styleId="TableGrid">
    <w:name w:val="Table Grid"/>
    <w:basedOn w:val="TableNormal"/>
    <w:uiPriority w:val="39"/>
    <w:rsid w:val="00772FF4"/>
    <w:rPr>
      <w:rFonts w:asciiTheme="minorHAnsi" w:eastAsiaTheme="minorHAnsi"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772FF4"/>
    <w:pPr>
      <w:spacing w:after="160"/>
    </w:pPr>
    <w:rPr>
      <w:rFonts w:asciiTheme="minorHAnsi" w:eastAsiaTheme="minorHAnsi" w:hAnsiTheme="minorHAnsi" w:cstheme="minorBidi"/>
      <w:kern w:val="2"/>
      <w:sz w:val="20"/>
      <w14:ligatures w14:val="standardContextual"/>
    </w:rPr>
  </w:style>
  <w:style w:type="character" w:customStyle="1" w:styleId="CommentTextChar">
    <w:name w:val="Comment Text Char"/>
    <w:basedOn w:val="DefaultParagraphFont"/>
    <w:link w:val="CommentText"/>
    <w:uiPriority w:val="99"/>
    <w:rsid w:val="00772FF4"/>
    <w:rPr>
      <w:rFonts w:asciiTheme="minorHAnsi" w:eastAsiaTheme="minorHAnsi" w:hAnsiTheme="minorHAnsi" w:cstheme="minorBidi"/>
      <w:kern w:val="2"/>
      <w14:ligatures w14:val="standardContextual"/>
    </w:rPr>
  </w:style>
  <w:style w:type="character" w:styleId="CommentReference">
    <w:name w:val="annotation reference"/>
    <w:basedOn w:val="DefaultParagraphFont"/>
    <w:uiPriority w:val="99"/>
    <w:unhideWhenUsed/>
    <w:rsid w:val="00772FF4"/>
    <w:rPr>
      <w:sz w:val="16"/>
      <w:szCs w:val="16"/>
    </w:rPr>
  </w:style>
  <w:style w:type="character" w:styleId="Mention">
    <w:name w:val="Mention"/>
    <w:basedOn w:val="DefaultParagraphFont"/>
    <w:uiPriority w:val="99"/>
    <w:unhideWhenUsed/>
    <w:rsid w:val="00772FF4"/>
    <w:rPr>
      <w:color w:val="2B579A"/>
      <w:shd w:val="clear" w:color="auto" w:fill="E1DFDD"/>
    </w:rPr>
  </w:style>
  <w:style w:type="character" w:styleId="UnresolvedMention">
    <w:name w:val="Unresolved Mention"/>
    <w:basedOn w:val="DefaultParagraphFont"/>
    <w:uiPriority w:val="99"/>
    <w:semiHidden/>
    <w:unhideWhenUsed/>
    <w:rsid w:val="00361E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dc.gov/flu/highrisk/index.htm" TargetMode="External"/><Relationship Id="rId18" Type="http://schemas.openxmlformats.org/officeDocument/2006/relationships/hyperlink" Target="https://www.cdc.gov/flu/hcp/antivirals/summary-clinicians.html" TargetMode="External"/><Relationship Id="rId3" Type="http://schemas.openxmlformats.org/officeDocument/2006/relationships/customXml" Target="../customXml/item3.xml"/><Relationship Id="rId21" Type="http://schemas.openxmlformats.org/officeDocument/2006/relationships/hyperlink" Target="https://massclearinghouse.ehs.state.ma.us/PROG-BID/FL3601kit.html" TargetMode="External"/><Relationship Id="rId7" Type="http://schemas.openxmlformats.org/officeDocument/2006/relationships/webSettings" Target="webSettings.xml"/><Relationship Id="rId12" Type="http://schemas.openxmlformats.org/officeDocument/2006/relationships/hyperlink" Target="https://www.cdc.gov/flu/highrisk/index.htm" TargetMode="External"/><Relationship Id="rId17" Type="http://schemas.openxmlformats.org/officeDocument/2006/relationships/hyperlink" Target="https://pubmed.ncbi.nlm.nih.gov/30834445/" TargetMode="External"/><Relationship Id="rId2" Type="http://schemas.openxmlformats.org/officeDocument/2006/relationships/customXml" Target="../customXml/item2.xml"/><Relationship Id="rId16" Type="http://schemas.openxmlformats.org/officeDocument/2006/relationships/hyperlink" Target="https://www.mass.gov/info-details/influenza-key-points" TargetMode="External"/><Relationship Id="rId20" Type="http://schemas.openxmlformats.org/officeDocument/2006/relationships/hyperlink" Target="https://www.cdc.gov/flu/highrisk/index.ht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dc.gov/flu/highrisk/index.htm"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mass.gov/handbook/influenza-information-for-healthcare-and-public-health-professionals" TargetMode="External"/><Relationship Id="rId23" Type="http://schemas.openxmlformats.org/officeDocument/2006/relationships/fontTable" Target="fontTable.xml"/><Relationship Id="rId10" Type="http://schemas.openxmlformats.org/officeDocument/2006/relationships/hyperlink" Target="https://www.mass.gov/info-details/viral-respiratory-illness-reporting?auHash=GesIRj8cg2SaU7P6o8fDX51CNDVDrJmajydQ62Iod5g" TargetMode="External"/><Relationship Id="rId19" Type="http://schemas.openxmlformats.org/officeDocument/2006/relationships/hyperlink" Target="https://www.cdc.gov/mmwr/volumes/74/wr/pdfs/mm7432a2-H.pdf" TargetMode="External"/><Relationship Id="rId4" Type="http://schemas.openxmlformats.org/officeDocument/2006/relationships/numbering" Target="numbering.xml"/><Relationship Id="rId9" Type="http://schemas.openxmlformats.org/officeDocument/2006/relationships/hyperlink" Target="https://www.cdc.gov/flu/highrisk/index.htm" TargetMode="External"/><Relationship Id="rId14" Type="http://schemas.openxmlformats.org/officeDocument/2006/relationships/hyperlink" Target="https://www.mass.gov/info-details/respiratory-illness-reporting" TargetMode="External"/><Relationship Id="rId22" Type="http://schemas.openxmlformats.org/officeDocument/2006/relationships/hyperlink" Target="https://massclearinghouse.ehs.state.ma.us/PROG-BID/FL3607kit.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DB0E4AB7AFA849B0BC829D831B14DE" ma:contentTypeVersion="15" ma:contentTypeDescription="Create a new document." ma:contentTypeScope="" ma:versionID="3e40d7b1d83832fe921976780f88779b">
  <xsd:schema xmlns:xsd="http://www.w3.org/2001/XMLSchema" xmlns:xs="http://www.w3.org/2001/XMLSchema" xmlns:p="http://schemas.microsoft.com/office/2006/metadata/properties" xmlns:ns2="7b31eccf-3de9-421c-9492-84c307f0bde8" xmlns:ns3="ab045aec-5986-4200-9f61-ee1f4f3e375b" targetNamespace="http://schemas.microsoft.com/office/2006/metadata/properties" ma:root="true" ma:fieldsID="5a874cd802dd209ea410eb9a7e62b467" ns2:_="" ns3:_="">
    <xsd:import namespace="7b31eccf-3de9-421c-9492-84c307f0bde8"/>
    <xsd:import namespace="ab045aec-5986-4200-9f61-ee1f4f3e375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1eccf-3de9-421c-9492-84c307f0bd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45aec-5986-4200-9f61-ee1f4f3e375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afb0490-7fff-461e-b54b-0bdd5c422f91}" ma:internalName="TaxCatchAll" ma:showField="CatchAllData" ma:web="ab045aec-5986-4200-9f61-ee1f4f3e3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b045aec-5986-4200-9f61-ee1f4f3e375b" xsi:nil="true"/>
    <lcf76f155ced4ddcb4097134ff3c332f xmlns="7b31eccf-3de9-421c-9492-84c307f0bde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282226DB-264D-4B9D-86D2-EC80EF8F2E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31eccf-3de9-421c-9492-84c307f0bde8"/>
    <ds:schemaRef ds:uri="ab045aec-5986-4200-9f61-ee1f4f3e3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ab045aec-5986-4200-9f61-ee1f4f3e375b"/>
    <ds:schemaRef ds:uri="7b31eccf-3de9-421c-9492-84c307f0bde8"/>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DPH%20Letterhead.dot</Template>
  <TotalTime>10</TotalTime>
  <Pages>1</Pages>
  <Words>1982</Words>
  <Characters>11304</Characters>
  <Application>Microsoft Office Word</Application>
  <DocSecurity>4</DocSecurity>
  <Lines>94</Lines>
  <Paragraphs>26</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13260</CharactersWithSpaces>
  <SharedDoc>false</SharedDoc>
  <HLinks>
    <vt:vector size="84" baseType="variant">
      <vt:variant>
        <vt:i4>852039</vt:i4>
      </vt:variant>
      <vt:variant>
        <vt:i4>39</vt:i4>
      </vt:variant>
      <vt:variant>
        <vt:i4>0</vt:i4>
      </vt:variant>
      <vt:variant>
        <vt:i4>5</vt:i4>
      </vt:variant>
      <vt:variant>
        <vt:lpwstr>https://massclearinghouse.ehs.state.ma.us/PROG-BID/FL3607kit.html</vt:lpwstr>
      </vt:variant>
      <vt:variant>
        <vt:lpwstr/>
      </vt:variant>
      <vt:variant>
        <vt:i4>852033</vt:i4>
      </vt:variant>
      <vt:variant>
        <vt:i4>36</vt:i4>
      </vt:variant>
      <vt:variant>
        <vt:i4>0</vt:i4>
      </vt:variant>
      <vt:variant>
        <vt:i4>5</vt:i4>
      </vt:variant>
      <vt:variant>
        <vt:lpwstr>https://massclearinghouse.ehs.state.ma.us/PROG-BID/FL3601kit.html</vt:lpwstr>
      </vt:variant>
      <vt:variant>
        <vt:lpwstr/>
      </vt:variant>
      <vt:variant>
        <vt:i4>7471154</vt:i4>
      </vt:variant>
      <vt:variant>
        <vt:i4>33</vt:i4>
      </vt:variant>
      <vt:variant>
        <vt:i4>0</vt:i4>
      </vt:variant>
      <vt:variant>
        <vt:i4>5</vt:i4>
      </vt:variant>
      <vt:variant>
        <vt:lpwstr>https://www.cdc.gov/flu/highrisk/index.htm</vt:lpwstr>
      </vt:variant>
      <vt:variant>
        <vt:lpwstr/>
      </vt:variant>
      <vt:variant>
        <vt:i4>2949152</vt:i4>
      </vt:variant>
      <vt:variant>
        <vt:i4>30</vt:i4>
      </vt:variant>
      <vt:variant>
        <vt:i4>0</vt:i4>
      </vt:variant>
      <vt:variant>
        <vt:i4>5</vt:i4>
      </vt:variant>
      <vt:variant>
        <vt:lpwstr>https://www.cdc.gov/mmwr/volumes/74/wr/pdfs/mm7432a2-H.pdf</vt:lpwstr>
      </vt:variant>
      <vt:variant>
        <vt:lpwstr/>
      </vt:variant>
      <vt:variant>
        <vt:i4>6619193</vt:i4>
      </vt:variant>
      <vt:variant>
        <vt:i4>27</vt:i4>
      </vt:variant>
      <vt:variant>
        <vt:i4>0</vt:i4>
      </vt:variant>
      <vt:variant>
        <vt:i4>5</vt:i4>
      </vt:variant>
      <vt:variant>
        <vt:lpwstr>https://www.cdc.gov/flu/hcp/antivirals/summary-clinicians.html</vt:lpwstr>
      </vt:variant>
      <vt:variant>
        <vt:lpwstr/>
      </vt:variant>
      <vt:variant>
        <vt:i4>524300</vt:i4>
      </vt:variant>
      <vt:variant>
        <vt:i4>24</vt:i4>
      </vt:variant>
      <vt:variant>
        <vt:i4>0</vt:i4>
      </vt:variant>
      <vt:variant>
        <vt:i4>5</vt:i4>
      </vt:variant>
      <vt:variant>
        <vt:lpwstr>https://pubmed.ncbi.nlm.nih.gov/30834445/</vt:lpwstr>
      </vt:variant>
      <vt:variant>
        <vt:lpwstr/>
      </vt:variant>
      <vt:variant>
        <vt:i4>2359345</vt:i4>
      </vt:variant>
      <vt:variant>
        <vt:i4>21</vt:i4>
      </vt:variant>
      <vt:variant>
        <vt:i4>0</vt:i4>
      </vt:variant>
      <vt:variant>
        <vt:i4>5</vt:i4>
      </vt:variant>
      <vt:variant>
        <vt:lpwstr>https://www.mass.gov/info-details/influenza-key-points</vt:lpwstr>
      </vt:variant>
      <vt:variant>
        <vt:lpwstr/>
      </vt:variant>
      <vt:variant>
        <vt:i4>6553711</vt:i4>
      </vt:variant>
      <vt:variant>
        <vt:i4>18</vt:i4>
      </vt:variant>
      <vt:variant>
        <vt:i4>0</vt:i4>
      </vt:variant>
      <vt:variant>
        <vt:i4>5</vt:i4>
      </vt:variant>
      <vt:variant>
        <vt:lpwstr>https://www.mass.gov/handbook/influenza-information-for-healthcare-and-public-health-professionals</vt:lpwstr>
      </vt:variant>
      <vt:variant>
        <vt:lpwstr/>
      </vt:variant>
      <vt:variant>
        <vt:i4>3014702</vt:i4>
      </vt:variant>
      <vt:variant>
        <vt:i4>15</vt:i4>
      </vt:variant>
      <vt:variant>
        <vt:i4>0</vt:i4>
      </vt:variant>
      <vt:variant>
        <vt:i4>5</vt:i4>
      </vt:variant>
      <vt:variant>
        <vt:lpwstr>https://www.mass.gov/info-details/respiratory-illness-reporting</vt:lpwstr>
      </vt:variant>
      <vt:variant>
        <vt:lpwstr/>
      </vt:variant>
      <vt:variant>
        <vt:i4>7471154</vt:i4>
      </vt:variant>
      <vt:variant>
        <vt:i4>12</vt:i4>
      </vt:variant>
      <vt:variant>
        <vt:i4>0</vt:i4>
      </vt:variant>
      <vt:variant>
        <vt:i4>5</vt:i4>
      </vt:variant>
      <vt:variant>
        <vt:lpwstr>https://www.cdc.gov/flu/highrisk/index.htm</vt:lpwstr>
      </vt:variant>
      <vt:variant>
        <vt:lpwstr/>
      </vt:variant>
      <vt:variant>
        <vt:i4>7471154</vt:i4>
      </vt:variant>
      <vt:variant>
        <vt:i4>9</vt:i4>
      </vt:variant>
      <vt:variant>
        <vt:i4>0</vt:i4>
      </vt:variant>
      <vt:variant>
        <vt:i4>5</vt:i4>
      </vt:variant>
      <vt:variant>
        <vt:lpwstr>https://www.cdc.gov/flu/highrisk/index.htm</vt:lpwstr>
      </vt:variant>
      <vt:variant>
        <vt:lpwstr/>
      </vt:variant>
      <vt:variant>
        <vt:i4>7471154</vt:i4>
      </vt:variant>
      <vt:variant>
        <vt:i4>6</vt:i4>
      </vt:variant>
      <vt:variant>
        <vt:i4>0</vt:i4>
      </vt:variant>
      <vt:variant>
        <vt:i4>5</vt:i4>
      </vt:variant>
      <vt:variant>
        <vt:lpwstr>https://www.cdc.gov/flu/highrisk/index.htm</vt:lpwstr>
      </vt:variant>
      <vt:variant>
        <vt:lpwstr/>
      </vt:variant>
      <vt:variant>
        <vt:i4>1179728</vt:i4>
      </vt:variant>
      <vt:variant>
        <vt:i4>3</vt:i4>
      </vt:variant>
      <vt:variant>
        <vt:i4>0</vt:i4>
      </vt:variant>
      <vt:variant>
        <vt:i4>5</vt:i4>
      </vt:variant>
      <vt:variant>
        <vt:lpwstr>https://www.mass.gov/info-details/viral-respiratory-illness-reporting?auHash=GesIRj8cg2SaU7P6o8fDX51CNDVDrJmajydQ62Iod5g</vt:lpwstr>
      </vt:variant>
      <vt:variant>
        <vt:lpwstr/>
      </vt:variant>
      <vt:variant>
        <vt:i4>7471154</vt:i4>
      </vt:variant>
      <vt:variant>
        <vt:i4>0</vt:i4>
      </vt:variant>
      <vt:variant>
        <vt:i4>0</vt:i4>
      </vt:variant>
      <vt:variant>
        <vt:i4>5</vt:i4>
      </vt:variant>
      <vt:variant>
        <vt:lpwstr>https://www.cdc.gov/flu/highrisk/index.htm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Hunt, Rachel G (DPH)</cp:lastModifiedBy>
  <cp:revision>14</cp:revision>
  <cp:lastPrinted>2015-01-29T14:50:00Z</cp:lastPrinted>
  <dcterms:created xsi:type="dcterms:W3CDTF">2026-01-08T18:19:00Z</dcterms:created>
  <dcterms:modified xsi:type="dcterms:W3CDTF">2026-01-08T19:03:00Z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0x01010002DB0E4AB7AFA849B0BC829D831B14DE</vt:lpwstr>
  </property>
  <property fmtid="{D5CDD505-2E9C-101B-9397-08002B2CF9AE}" pid="3" name="MediaServiceImageTags">
    <vt:lpwstr/>
  </property>
</Properties>
</file>