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8A09" w14:textId="77777777" w:rsidR="006A0777" w:rsidRPr="000117BF" w:rsidRDefault="006A0777" w:rsidP="006A0777">
      <w:pPr>
        <w:pStyle w:val="NoSpacing"/>
        <w:jc w:val="center"/>
        <w:rPr>
          <w:b/>
        </w:rPr>
      </w:pPr>
      <w:r w:rsidRPr="000117BF">
        <w:rPr>
          <w:b/>
        </w:rPr>
        <w:t>Massachusetts Department of Public Health</w:t>
      </w:r>
    </w:p>
    <w:p w14:paraId="6CC22574" w14:textId="77777777" w:rsidR="006A0777" w:rsidRPr="000117BF" w:rsidRDefault="006A0777" w:rsidP="006A0777">
      <w:pPr>
        <w:pStyle w:val="NoSpacing"/>
        <w:jc w:val="center"/>
        <w:rPr>
          <w:b/>
        </w:rPr>
      </w:pPr>
      <w:r w:rsidRPr="000117BF">
        <w:rPr>
          <w:b/>
        </w:rPr>
        <w:t>Bureau of Infectious Disease and Laboratory Sciences</w:t>
      </w:r>
    </w:p>
    <w:p w14:paraId="4833F98C" w14:textId="100C23EE" w:rsidR="000F527A" w:rsidRDefault="000F527A" w:rsidP="0DD87212">
      <w:pPr>
        <w:pStyle w:val="NoSpacing"/>
        <w:jc w:val="center"/>
        <w:rPr>
          <w:b/>
          <w:bCs/>
        </w:rPr>
      </w:pPr>
    </w:p>
    <w:p w14:paraId="0CF94402" w14:textId="318CFA85" w:rsidR="000F527A" w:rsidRPr="000F527A" w:rsidRDefault="006A0777" w:rsidP="006A0777">
      <w:pPr>
        <w:pStyle w:val="NoSpacing"/>
        <w:jc w:val="center"/>
        <w:rPr>
          <w:b/>
          <w:sz w:val="24"/>
          <w:szCs w:val="24"/>
        </w:rPr>
      </w:pPr>
      <w:r w:rsidRPr="000F527A">
        <w:rPr>
          <w:b/>
          <w:sz w:val="24"/>
          <w:szCs w:val="24"/>
        </w:rPr>
        <w:t>Incidence of Tuberculosis Disease</w:t>
      </w:r>
      <w:r w:rsidR="000F527A" w:rsidRPr="000F527A">
        <w:rPr>
          <w:b/>
          <w:sz w:val="24"/>
          <w:szCs w:val="24"/>
        </w:rPr>
        <w:t>:</w:t>
      </w:r>
      <w:r w:rsidRPr="000F527A">
        <w:rPr>
          <w:b/>
          <w:sz w:val="24"/>
          <w:szCs w:val="24"/>
        </w:rPr>
        <w:t xml:space="preserve"> </w:t>
      </w:r>
      <w:r w:rsidR="009F2EAE">
        <w:rPr>
          <w:b/>
          <w:sz w:val="24"/>
          <w:szCs w:val="24"/>
        </w:rPr>
        <w:t>20</w:t>
      </w:r>
      <w:r w:rsidR="00F41744">
        <w:rPr>
          <w:b/>
          <w:sz w:val="24"/>
          <w:szCs w:val="24"/>
        </w:rPr>
        <w:t>2</w:t>
      </w:r>
      <w:r w:rsidR="0082295F">
        <w:rPr>
          <w:b/>
          <w:sz w:val="24"/>
          <w:szCs w:val="24"/>
        </w:rPr>
        <w:t>5</w:t>
      </w:r>
    </w:p>
    <w:p w14:paraId="4F9E21BA" w14:textId="5726638B" w:rsidR="000F527A" w:rsidRPr="000F527A" w:rsidRDefault="00283C06" w:rsidP="00A35A38">
      <w:pPr>
        <w:pStyle w:val="NoSpacing"/>
        <w:jc w:val="center"/>
        <w:rPr>
          <w:b/>
          <w:sz w:val="24"/>
          <w:szCs w:val="24"/>
        </w:rPr>
      </w:pPr>
      <w:r>
        <w:rPr>
          <w:b/>
          <w:sz w:val="24"/>
          <w:szCs w:val="24"/>
        </w:rPr>
        <w:t xml:space="preserve">Massachusetts </w:t>
      </w:r>
      <w:r w:rsidR="000F527A">
        <w:rPr>
          <w:b/>
          <w:sz w:val="24"/>
          <w:szCs w:val="24"/>
        </w:rPr>
        <w:t>Count</w:t>
      </w:r>
      <w:r>
        <w:rPr>
          <w:b/>
          <w:sz w:val="24"/>
          <w:szCs w:val="24"/>
        </w:rPr>
        <w:t>ie</w:t>
      </w:r>
      <w:r w:rsidR="006A0777" w:rsidRPr="000F527A">
        <w:rPr>
          <w:b/>
          <w:sz w:val="24"/>
          <w:szCs w:val="24"/>
        </w:rPr>
        <w:t xml:space="preserve">s, the </w:t>
      </w:r>
      <w:r w:rsidR="000F527A">
        <w:rPr>
          <w:b/>
          <w:sz w:val="24"/>
          <w:szCs w:val="24"/>
        </w:rPr>
        <w:t>Commonwealth</w:t>
      </w:r>
      <w:r w:rsidR="006A0777" w:rsidRPr="000F527A">
        <w:rPr>
          <w:b/>
          <w:sz w:val="24"/>
          <w:szCs w:val="24"/>
        </w:rPr>
        <w:t xml:space="preserve"> of Massachusetts</w:t>
      </w:r>
      <w:r w:rsidR="000F527A" w:rsidRPr="000F527A">
        <w:rPr>
          <w:b/>
          <w:sz w:val="24"/>
          <w:szCs w:val="24"/>
        </w:rPr>
        <w:t>,</w:t>
      </w:r>
      <w:r w:rsidR="006A0777" w:rsidRPr="000F527A">
        <w:rPr>
          <w:b/>
          <w:sz w:val="24"/>
          <w:szCs w:val="24"/>
        </w:rPr>
        <w:t xml:space="preserve"> </w:t>
      </w:r>
    </w:p>
    <w:p w14:paraId="0080B4B1" w14:textId="77777777" w:rsidR="006A0777" w:rsidRPr="000F527A" w:rsidRDefault="006A0777" w:rsidP="006A0777">
      <w:pPr>
        <w:pStyle w:val="NoSpacing"/>
        <w:jc w:val="center"/>
        <w:rPr>
          <w:b/>
          <w:sz w:val="24"/>
          <w:szCs w:val="24"/>
        </w:rPr>
      </w:pPr>
      <w:r w:rsidRPr="000F527A">
        <w:rPr>
          <w:b/>
          <w:sz w:val="24"/>
          <w:szCs w:val="24"/>
        </w:rPr>
        <w:t>and the United States</w:t>
      </w:r>
    </w:p>
    <w:p w14:paraId="64A08ECA" w14:textId="77777777" w:rsidR="006A0777" w:rsidRPr="00FC7A5C" w:rsidRDefault="006A0777" w:rsidP="006A0777">
      <w:pPr>
        <w:pStyle w:val="NoSpacing"/>
        <w:jc w:val="center"/>
        <w:rPr>
          <w:b/>
          <w:sz w:val="10"/>
        </w:rPr>
      </w:pPr>
    </w:p>
    <w:p w14:paraId="5FE2AA73" w14:textId="1C20D494" w:rsidR="006A0777" w:rsidRDefault="006A0777" w:rsidP="009F2EAE">
      <w:pPr>
        <w:pStyle w:val="NoSpacing"/>
        <w:rPr>
          <w:b/>
          <w:sz w:val="14"/>
        </w:rPr>
      </w:pPr>
    </w:p>
    <w:p w14:paraId="3287E7F1" w14:textId="77777777" w:rsidR="009F2EAE" w:rsidRPr="000117BF" w:rsidRDefault="009F2EAE" w:rsidP="009F2EAE">
      <w:pPr>
        <w:pStyle w:val="NoSpacing"/>
        <w:rPr>
          <w:b/>
          <w:sz w:val="14"/>
        </w:rPr>
      </w:pPr>
    </w:p>
    <w:p w14:paraId="51054BED" w14:textId="6C9A8A59" w:rsidR="009F2EAE" w:rsidRPr="009F2EAE" w:rsidRDefault="009F2EAE" w:rsidP="009F2EAE">
      <w:pPr>
        <w:pStyle w:val="ListParagraph"/>
        <w:numPr>
          <w:ilvl w:val="0"/>
          <w:numId w:val="1"/>
        </w:numPr>
        <w:rPr>
          <w:b/>
          <w:sz w:val="24"/>
          <w:szCs w:val="24"/>
        </w:rPr>
      </w:pPr>
      <w:r w:rsidRPr="009F2EAE">
        <w:rPr>
          <w:b/>
          <w:sz w:val="24"/>
          <w:szCs w:val="24"/>
        </w:rPr>
        <w:t>TB in Massachusetts Counties, by case rate</w:t>
      </w:r>
    </w:p>
    <w:tbl>
      <w:tblPr>
        <w:tblStyle w:val="TableGrid"/>
        <w:tblW w:w="7203" w:type="dxa"/>
        <w:jc w:val="center"/>
        <w:tblLook w:val="04A0" w:firstRow="1" w:lastRow="0" w:firstColumn="1" w:lastColumn="0" w:noHBand="0" w:noVBand="1"/>
      </w:tblPr>
      <w:tblGrid>
        <w:gridCol w:w="2229"/>
        <w:gridCol w:w="2135"/>
        <w:gridCol w:w="2839"/>
      </w:tblGrid>
      <w:tr w:rsidR="006A0777" w:rsidRPr="00726D92" w14:paraId="68D6A14E" w14:textId="77777777" w:rsidTr="0DD87212">
        <w:trPr>
          <w:trHeight w:val="512"/>
          <w:jc w:val="center"/>
        </w:trPr>
        <w:tc>
          <w:tcPr>
            <w:tcW w:w="2229" w:type="dxa"/>
            <w:vAlign w:val="center"/>
            <w:hideMark/>
          </w:tcPr>
          <w:p w14:paraId="0372A7C1" w14:textId="77777777" w:rsidR="006A0777" w:rsidRPr="006B1CD6" w:rsidRDefault="006A0777" w:rsidP="004B6677">
            <w:pPr>
              <w:jc w:val="center"/>
              <w:rPr>
                <w:rFonts w:ascii="Calibri" w:eastAsia="Times New Roman" w:hAnsi="Calibri" w:cs="Times New Roman"/>
                <w:b/>
                <w:bCs/>
                <w:color w:val="000000"/>
                <w:sz w:val="24"/>
                <w:szCs w:val="24"/>
              </w:rPr>
            </w:pPr>
            <w:r w:rsidRPr="006B1CD6">
              <w:rPr>
                <w:rFonts w:ascii="Calibri" w:eastAsia="Times New Roman" w:hAnsi="Calibri" w:cs="Times New Roman"/>
                <w:b/>
                <w:bCs/>
                <w:color w:val="000000"/>
                <w:sz w:val="24"/>
                <w:szCs w:val="24"/>
              </w:rPr>
              <w:t>County</w:t>
            </w:r>
          </w:p>
        </w:tc>
        <w:tc>
          <w:tcPr>
            <w:tcW w:w="2135" w:type="dxa"/>
            <w:vAlign w:val="center"/>
            <w:hideMark/>
          </w:tcPr>
          <w:p w14:paraId="609A59A6" w14:textId="77777777" w:rsidR="006A0777" w:rsidRPr="006B1CD6" w:rsidRDefault="006A0777" w:rsidP="004B6677">
            <w:pPr>
              <w:jc w:val="center"/>
              <w:rPr>
                <w:rFonts w:ascii="Calibri" w:eastAsia="Times New Roman" w:hAnsi="Calibri" w:cs="Times New Roman"/>
                <w:b/>
                <w:bCs/>
                <w:color w:val="000000"/>
                <w:sz w:val="24"/>
                <w:szCs w:val="24"/>
              </w:rPr>
            </w:pPr>
            <w:r w:rsidRPr="006B1CD6">
              <w:rPr>
                <w:rFonts w:ascii="Calibri" w:eastAsia="Times New Roman" w:hAnsi="Calibri" w:cs="Times New Roman"/>
                <w:b/>
                <w:bCs/>
                <w:color w:val="000000"/>
                <w:sz w:val="24"/>
                <w:szCs w:val="24"/>
              </w:rPr>
              <w:t>Number of Cases</w:t>
            </w:r>
          </w:p>
        </w:tc>
        <w:tc>
          <w:tcPr>
            <w:tcW w:w="2839" w:type="dxa"/>
            <w:vAlign w:val="center"/>
            <w:hideMark/>
          </w:tcPr>
          <w:p w14:paraId="1C6E1A89" w14:textId="67001A47" w:rsidR="006A0777" w:rsidRPr="006B1CD6" w:rsidRDefault="2BD11AE2" w:rsidP="004B6677">
            <w:pPr>
              <w:jc w:val="center"/>
              <w:rPr>
                <w:rFonts w:ascii="Calibri" w:eastAsia="Times New Roman" w:hAnsi="Calibri" w:cs="Times New Roman"/>
                <w:b/>
                <w:bCs/>
                <w:color w:val="000000"/>
                <w:sz w:val="24"/>
                <w:szCs w:val="24"/>
              </w:rPr>
            </w:pPr>
            <w:r w:rsidRPr="006B1CD6">
              <w:rPr>
                <w:rFonts w:ascii="Calibri" w:eastAsia="Times New Roman" w:hAnsi="Calibri" w:cs="Times New Roman"/>
                <w:b/>
                <w:bCs/>
                <w:color w:val="000000"/>
                <w:sz w:val="24"/>
                <w:szCs w:val="24"/>
              </w:rPr>
              <w:t xml:space="preserve">TB </w:t>
            </w:r>
            <w:r w:rsidR="006A0777" w:rsidRPr="006B1CD6">
              <w:rPr>
                <w:rFonts w:ascii="Calibri" w:eastAsia="Times New Roman" w:hAnsi="Calibri" w:cs="Times New Roman"/>
                <w:b/>
                <w:bCs/>
                <w:color w:val="000000"/>
                <w:sz w:val="24"/>
                <w:szCs w:val="24"/>
              </w:rPr>
              <w:t>Case Rate</w:t>
            </w:r>
            <w:r w:rsidR="009F2EAE">
              <w:rPr>
                <w:rStyle w:val="FootnoteReference"/>
                <w:rFonts w:ascii="Calibri" w:eastAsia="Times New Roman" w:hAnsi="Calibri" w:cs="Times New Roman"/>
                <w:b/>
                <w:bCs/>
                <w:color w:val="000000"/>
                <w:sz w:val="24"/>
                <w:szCs w:val="24"/>
              </w:rPr>
              <w:footnoteReference w:id="1"/>
            </w:r>
          </w:p>
          <w:p w14:paraId="46FCBC75" w14:textId="77777777" w:rsidR="006A0777" w:rsidRPr="006B1CD6" w:rsidRDefault="006A0777" w:rsidP="004B6677">
            <w:pPr>
              <w:jc w:val="center"/>
              <w:rPr>
                <w:rFonts w:ascii="Calibri" w:eastAsia="Times New Roman" w:hAnsi="Calibri" w:cs="Times New Roman"/>
                <w:b/>
                <w:bCs/>
                <w:color w:val="000000"/>
                <w:sz w:val="24"/>
                <w:szCs w:val="24"/>
              </w:rPr>
            </w:pPr>
            <w:r w:rsidRPr="006B1CD6">
              <w:rPr>
                <w:rFonts w:ascii="Calibri" w:eastAsia="Times New Roman" w:hAnsi="Calibri" w:cs="Times New Roman"/>
                <w:b/>
                <w:bCs/>
                <w:color w:val="000000"/>
                <w:sz w:val="24"/>
                <w:szCs w:val="24"/>
              </w:rPr>
              <w:t>(cases per 100,000)</w:t>
            </w:r>
          </w:p>
        </w:tc>
      </w:tr>
      <w:tr w:rsidR="0082295F" w:rsidRPr="00726D92" w14:paraId="4D6BAA7C" w14:textId="77777777" w:rsidTr="0DD87212">
        <w:trPr>
          <w:trHeight w:val="258"/>
          <w:jc w:val="center"/>
        </w:trPr>
        <w:tc>
          <w:tcPr>
            <w:tcW w:w="2229" w:type="dxa"/>
          </w:tcPr>
          <w:p w14:paraId="0CF70E26" w14:textId="2CADF8BB" w:rsidR="0082295F" w:rsidRPr="006B1CD6" w:rsidRDefault="0082295F" w:rsidP="0082295F">
            <w:pPr>
              <w:jc w:val="center"/>
              <w:rPr>
                <w:rFonts w:ascii="Calibri" w:hAnsi="Calibri"/>
                <w:color w:val="000000"/>
                <w:sz w:val="24"/>
                <w:szCs w:val="24"/>
              </w:rPr>
            </w:pPr>
            <w:r w:rsidRPr="00DC6220">
              <w:t>Barnstable</w:t>
            </w:r>
          </w:p>
        </w:tc>
        <w:tc>
          <w:tcPr>
            <w:tcW w:w="2135" w:type="dxa"/>
          </w:tcPr>
          <w:p w14:paraId="7CE66EFD" w14:textId="79A81B12" w:rsidR="0082295F" w:rsidRPr="00927EE4" w:rsidRDefault="0082295F" w:rsidP="0082295F">
            <w:pPr>
              <w:jc w:val="center"/>
              <w:rPr>
                <w:rFonts w:ascii="Calibri" w:eastAsia="Times New Roman" w:hAnsi="Calibri" w:cs="Times New Roman"/>
                <w:color w:val="000000"/>
                <w:sz w:val="24"/>
                <w:szCs w:val="24"/>
              </w:rPr>
            </w:pPr>
            <w:r w:rsidRPr="004322C5">
              <w:t>4</w:t>
            </w:r>
          </w:p>
        </w:tc>
        <w:tc>
          <w:tcPr>
            <w:tcW w:w="2839" w:type="dxa"/>
          </w:tcPr>
          <w:p w14:paraId="2F3CE00A" w14:textId="04C4E6C1" w:rsidR="0082295F" w:rsidRPr="006B1CD6" w:rsidRDefault="0082295F" w:rsidP="0082295F">
            <w:pPr>
              <w:jc w:val="center"/>
              <w:rPr>
                <w:rFonts w:ascii="Calibri" w:eastAsia="Times New Roman" w:hAnsi="Calibri" w:cs="Times New Roman"/>
                <w:color w:val="000000"/>
                <w:sz w:val="24"/>
                <w:szCs w:val="24"/>
              </w:rPr>
            </w:pPr>
            <w:r w:rsidRPr="00D4673B">
              <w:t>1.7</w:t>
            </w:r>
          </w:p>
        </w:tc>
      </w:tr>
      <w:tr w:rsidR="0082295F" w:rsidRPr="00726D92" w14:paraId="42DE27AF" w14:textId="77777777" w:rsidTr="0DD87212">
        <w:trPr>
          <w:trHeight w:val="258"/>
          <w:jc w:val="center"/>
        </w:trPr>
        <w:tc>
          <w:tcPr>
            <w:tcW w:w="2229" w:type="dxa"/>
          </w:tcPr>
          <w:p w14:paraId="3678427F" w14:textId="75F4B23E" w:rsidR="0082295F" w:rsidRPr="006B1CD6" w:rsidRDefault="0082295F" w:rsidP="0082295F">
            <w:pPr>
              <w:jc w:val="center"/>
              <w:rPr>
                <w:rFonts w:ascii="Calibri" w:hAnsi="Calibri"/>
                <w:color w:val="000000"/>
                <w:sz w:val="24"/>
                <w:szCs w:val="24"/>
              </w:rPr>
            </w:pPr>
            <w:r w:rsidRPr="00DC6220">
              <w:t>Berkshire</w:t>
            </w:r>
          </w:p>
        </w:tc>
        <w:tc>
          <w:tcPr>
            <w:tcW w:w="2135" w:type="dxa"/>
          </w:tcPr>
          <w:p w14:paraId="3E9BC7BF" w14:textId="08523D80" w:rsidR="0082295F" w:rsidRPr="00927EE4" w:rsidRDefault="0082295F" w:rsidP="0082295F">
            <w:pPr>
              <w:jc w:val="center"/>
              <w:rPr>
                <w:rFonts w:ascii="Calibri" w:eastAsia="Times New Roman" w:hAnsi="Calibri" w:cs="Times New Roman"/>
                <w:color w:val="000000"/>
                <w:sz w:val="24"/>
                <w:szCs w:val="24"/>
              </w:rPr>
            </w:pPr>
            <w:r w:rsidRPr="004322C5">
              <w:t>2</w:t>
            </w:r>
          </w:p>
        </w:tc>
        <w:tc>
          <w:tcPr>
            <w:tcW w:w="2839" w:type="dxa"/>
          </w:tcPr>
          <w:p w14:paraId="794ABA68" w14:textId="5BD89BD2" w:rsidR="0082295F" w:rsidRPr="006B1CD6" w:rsidRDefault="0082295F" w:rsidP="0082295F">
            <w:pPr>
              <w:jc w:val="center"/>
              <w:rPr>
                <w:rFonts w:ascii="Calibri" w:eastAsia="Times New Roman" w:hAnsi="Calibri" w:cs="Times New Roman"/>
                <w:color w:val="000000"/>
                <w:sz w:val="24"/>
                <w:szCs w:val="24"/>
              </w:rPr>
            </w:pPr>
            <w:r w:rsidRPr="00D4673B">
              <w:t>1.6</w:t>
            </w:r>
          </w:p>
        </w:tc>
      </w:tr>
      <w:tr w:rsidR="0082295F" w:rsidRPr="00726D92" w14:paraId="20124A29" w14:textId="77777777" w:rsidTr="0DD87212">
        <w:trPr>
          <w:trHeight w:val="258"/>
          <w:jc w:val="center"/>
        </w:trPr>
        <w:tc>
          <w:tcPr>
            <w:tcW w:w="2229" w:type="dxa"/>
          </w:tcPr>
          <w:p w14:paraId="5FA540CF" w14:textId="5E61FAB0" w:rsidR="0082295F" w:rsidRPr="006B1CD6" w:rsidRDefault="0082295F" w:rsidP="0082295F">
            <w:pPr>
              <w:jc w:val="center"/>
              <w:rPr>
                <w:rFonts w:ascii="Calibri" w:hAnsi="Calibri"/>
                <w:color w:val="000000"/>
                <w:sz w:val="24"/>
                <w:szCs w:val="24"/>
              </w:rPr>
            </w:pPr>
            <w:r w:rsidRPr="00DC6220">
              <w:t>Bristol</w:t>
            </w:r>
          </w:p>
        </w:tc>
        <w:tc>
          <w:tcPr>
            <w:tcW w:w="2135" w:type="dxa"/>
          </w:tcPr>
          <w:p w14:paraId="61B4360A" w14:textId="7506FC22" w:rsidR="0082295F" w:rsidRPr="00927EE4" w:rsidRDefault="0082295F" w:rsidP="0082295F">
            <w:pPr>
              <w:jc w:val="center"/>
              <w:rPr>
                <w:rFonts w:ascii="Calibri" w:eastAsia="Times New Roman" w:hAnsi="Calibri" w:cs="Times New Roman"/>
                <w:color w:val="000000"/>
                <w:sz w:val="24"/>
                <w:szCs w:val="24"/>
              </w:rPr>
            </w:pPr>
            <w:r w:rsidRPr="004322C5">
              <w:t>13</w:t>
            </w:r>
          </w:p>
        </w:tc>
        <w:tc>
          <w:tcPr>
            <w:tcW w:w="2839" w:type="dxa"/>
          </w:tcPr>
          <w:p w14:paraId="598A0C9A" w14:textId="3DDA9E00" w:rsidR="0082295F" w:rsidRPr="006B1CD6" w:rsidRDefault="0082295F" w:rsidP="0082295F">
            <w:pPr>
              <w:jc w:val="center"/>
              <w:rPr>
                <w:rFonts w:ascii="Calibri" w:eastAsia="Times New Roman" w:hAnsi="Calibri" w:cs="Times New Roman"/>
                <w:color w:val="000000"/>
                <w:sz w:val="24"/>
                <w:szCs w:val="24"/>
              </w:rPr>
            </w:pPr>
            <w:r w:rsidRPr="00D4673B">
              <w:t>2.2</w:t>
            </w:r>
          </w:p>
        </w:tc>
      </w:tr>
      <w:tr w:rsidR="0082295F" w:rsidRPr="00726D92" w14:paraId="41BC5F62" w14:textId="77777777" w:rsidTr="0DD87212">
        <w:trPr>
          <w:trHeight w:val="258"/>
          <w:jc w:val="center"/>
        </w:trPr>
        <w:tc>
          <w:tcPr>
            <w:tcW w:w="2229" w:type="dxa"/>
          </w:tcPr>
          <w:p w14:paraId="78B3D50B" w14:textId="1B8C9BF2" w:rsidR="0082295F" w:rsidRPr="006B1CD6" w:rsidRDefault="0082295F" w:rsidP="0082295F">
            <w:pPr>
              <w:jc w:val="center"/>
              <w:rPr>
                <w:rFonts w:ascii="Calibri" w:hAnsi="Calibri"/>
                <w:color w:val="000000"/>
                <w:sz w:val="24"/>
                <w:szCs w:val="24"/>
              </w:rPr>
            </w:pPr>
            <w:r w:rsidRPr="00DC6220">
              <w:t>Dukes</w:t>
            </w:r>
          </w:p>
        </w:tc>
        <w:tc>
          <w:tcPr>
            <w:tcW w:w="2135" w:type="dxa"/>
          </w:tcPr>
          <w:p w14:paraId="2600F225" w14:textId="2F2B88FE" w:rsidR="0082295F" w:rsidRPr="00927EE4" w:rsidRDefault="0082295F" w:rsidP="0082295F">
            <w:pPr>
              <w:jc w:val="center"/>
              <w:rPr>
                <w:rFonts w:ascii="Calibri" w:eastAsia="Times New Roman" w:hAnsi="Calibri" w:cs="Times New Roman"/>
                <w:color w:val="000000"/>
                <w:sz w:val="24"/>
                <w:szCs w:val="24"/>
              </w:rPr>
            </w:pPr>
            <w:r w:rsidRPr="004322C5">
              <w:t>0</w:t>
            </w:r>
          </w:p>
        </w:tc>
        <w:tc>
          <w:tcPr>
            <w:tcW w:w="2839" w:type="dxa"/>
          </w:tcPr>
          <w:p w14:paraId="0D5645B1" w14:textId="317F1F96" w:rsidR="0082295F" w:rsidRPr="006B1CD6" w:rsidRDefault="0082295F" w:rsidP="0082295F">
            <w:pPr>
              <w:jc w:val="center"/>
              <w:rPr>
                <w:rFonts w:ascii="Calibri" w:eastAsia="Times New Roman" w:hAnsi="Calibri" w:cs="Times New Roman"/>
                <w:color w:val="000000"/>
                <w:sz w:val="24"/>
                <w:szCs w:val="24"/>
              </w:rPr>
            </w:pPr>
            <w:r w:rsidRPr="00D4673B">
              <w:t>0.0</w:t>
            </w:r>
          </w:p>
        </w:tc>
      </w:tr>
      <w:tr w:rsidR="0082295F" w:rsidRPr="00726D92" w14:paraId="104AC6A4" w14:textId="77777777" w:rsidTr="0DD87212">
        <w:trPr>
          <w:trHeight w:val="258"/>
          <w:jc w:val="center"/>
        </w:trPr>
        <w:tc>
          <w:tcPr>
            <w:tcW w:w="2229" w:type="dxa"/>
          </w:tcPr>
          <w:p w14:paraId="72A40266" w14:textId="636E965B" w:rsidR="0082295F" w:rsidRPr="006B1CD6" w:rsidRDefault="0082295F" w:rsidP="0082295F">
            <w:pPr>
              <w:jc w:val="center"/>
              <w:rPr>
                <w:rFonts w:ascii="Calibri" w:hAnsi="Calibri"/>
                <w:color w:val="000000"/>
                <w:sz w:val="24"/>
                <w:szCs w:val="24"/>
              </w:rPr>
            </w:pPr>
            <w:r w:rsidRPr="00DC6220">
              <w:t>Essex</w:t>
            </w:r>
          </w:p>
        </w:tc>
        <w:tc>
          <w:tcPr>
            <w:tcW w:w="2135" w:type="dxa"/>
          </w:tcPr>
          <w:p w14:paraId="18FCEE0E" w14:textId="2CAEB911" w:rsidR="0082295F" w:rsidRPr="00927EE4" w:rsidRDefault="0082295F" w:rsidP="0082295F">
            <w:pPr>
              <w:jc w:val="center"/>
              <w:rPr>
                <w:rFonts w:ascii="Calibri" w:eastAsia="Times New Roman" w:hAnsi="Calibri" w:cs="Times New Roman"/>
                <w:color w:val="000000"/>
                <w:sz w:val="24"/>
                <w:szCs w:val="24"/>
              </w:rPr>
            </w:pPr>
            <w:r w:rsidRPr="004322C5">
              <w:t>22</w:t>
            </w:r>
          </w:p>
        </w:tc>
        <w:tc>
          <w:tcPr>
            <w:tcW w:w="2839" w:type="dxa"/>
          </w:tcPr>
          <w:p w14:paraId="3A455140" w14:textId="0D47677C" w:rsidR="0082295F" w:rsidRPr="006B1CD6" w:rsidRDefault="0082295F" w:rsidP="0082295F">
            <w:pPr>
              <w:jc w:val="center"/>
              <w:rPr>
                <w:rFonts w:ascii="Calibri" w:eastAsia="Times New Roman" w:hAnsi="Calibri" w:cs="Times New Roman"/>
                <w:color w:val="000000"/>
                <w:sz w:val="24"/>
                <w:szCs w:val="24"/>
              </w:rPr>
            </w:pPr>
            <w:r w:rsidRPr="00D4673B">
              <w:t>2.6</w:t>
            </w:r>
          </w:p>
        </w:tc>
      </w:tr>
      <w:tr w:rsidR="0082295F" w:rsidRPr="00726D92" w14:paraId="68878DFA" w14:textId="77777777" w:rsidTr="0DD87212">
        <w:trPr>
          <w:trHeight w:val="258"/>
          <w:jc w:val="center"/>
        </w:trPr>
        <w:tc>
          <w:tcPr>
            <w:tcW w:w="2229" w:type="dxa"/>
          </w:tcPr>
          <w:p w14:paraId="1FB33282" w14:textId="4EDC53B7" w:rsidR="0082295F" w:rsidRPr="006B1CD6" w:rsidRDefault="0082295F" w:rsidP="0082295F">
            <w:pPr>
              <w:jc w:val="center"/>
              <w:rPr>
                <w:rFonts w:ascii="Calibri" w:hAnsi="Calibri"/>
                <w:color w:val="000000"/>
                <w:sz w:val="24"/>
                <w:szCs w:val="24"/>
              </w:rPr>
            </w:pPr>
            <w:r w:rsidRPr="00DC6220">
              <w:t>Franklin</w:t>
            </w:r>
          </w:p>
        </w:tc>
        <w:tc>
          <w:tcPr>
            <w:tcW w:w="2135" w:type="dxa"/>
          </w:tcPr>
          <w:p w14:paraId="38A57028" w14:textId="51463461" w:rsidR="0082295F" w:rsidRPr="00927EE4" w:rsidRDefault="0082295F" w:rsidP="0082295F">
            <w:pPr>
              <w:jc w:val="center"/>
              <w:rPr>
                <w:rFonts w:ascii="Calibri" w:eastAsia="Times New Roman" w:hAnsi="Calibri" w:cs="Times New Roman"/>
                <w:color w:val="000000"/>
                <w:sz w:val="24"/>
                <w:szCs w:val="24"/>
              </w:rPr>
            </w:pPr>
            <w:r w:rsidRPr="004322C5">
              <w:t>1</w:t>
            </w:r>
          </w:p>
        </w:tc>
        <w:tc>
          <w:tcPr>
            <w:tcW w:w="2839" w:type="dxa"/>
          </w:tcPr>
          <w:p w14:paraId="3DCC7A95" w14:textId="18DB5B40" w:rsidR="0082295F" w:rsidRPr="006B1CD6" w:rsidRDefault="0082295F" w:rsidP="0082295F">
            <w:pPr>
              <w:jc w:val="center"/>
              <w:rPr>
                <w:rFonts w:ascii="Calibri" w:eastAsia="Times New Roman" w:hAnsi="Calibri" w:cs="Times New Roman"/>
                <w:color w:val="000000"/>
                <w:sz w:val="24"/>
                <w:szCs w:val="24"/>
              </w:rPr>
            </w:pPr>
            <w:r w:rsidRPr="00D4673B">
              <w:t>1.4</w:t>
            </w:r>
          </w:p>
        </w:tc>
      </w:tr>
      <w:tr w:rsidR="0082295F" w:rsidRPr="00726D92" w14:paraId="0DEDE22C" w14:textId="77777777" w:rsidTr="0DD87212">
        <w:trPr>
          <w:trHeight w:val="258"/>
          <w:jc w:val="center"/>
        </w:trPr>
        <w:tc>
          <w:tcPr>
            <w:tcW w:w="2229" w:type="dxa"/>
          </w:tcPr>
          <w:p w14:paraId="335EA695" w14:textId="52C831DA" w:rsidR="0082295F" w:rsidRPr="006B1CD6" w:rsidRDefault="0082295F" w:rsidP="0082295F">
            <w:pPr>
              <w:jc w:val="center"/>
              <w:rPr>
                <w:rFonts w:ascii="Calibri" w:hAnsi="Calibri"/>
                <w:color w:val="000000"/>
                <w:sz w:val="24"/>
                <w:szCs w:val="24"/>
              </w:rPr>
            </w:pPr>
            <w:r w:rsidRPr="00DC6220">
              <w:t>Hampden</w:t>
            </w:r>
          </w:p>
        </w:tc>
        <w:tc>
          <w:tcPr>
            <w:tcW w:w="2135" w:type="dxa"/>
          </w:tcPr>
          <w:p w14:paraId="51297825" w14:textId="7409C984" w:rsidR="0082295F" w:rsidRPr="00927EE4" w:rsidRDefault="0082295F" w:rsidP="0082295F">
            <w:pPr>
              <w:jc w:val="center"/>
              <w:rPr>
                <w:rFonts w:ascii="Calibri" w:eastAsia="Times New Roman" w:hAnsi="Calibri" w:cs="Times New Roman"/>
                <w:color w:val="000000"/>
                <w:sz w:val="24"/>
                <w:szCs w:val="24"/>
              </w:rPr>
            </w:pPr>
            <w:r w:rsidRPr="004322C5">
              <w:t>15</w:t>
            </w:r>
          </w:p>
        </w:tc>
        <w:tc>
          <w:tcPr>
            <w:tcW w:w="2839" w:type="dxa"/>
          </w:tcPr>
          <w:p w14:paraId="3EF3115D" w14:textId="1C5C499B" w:rsidR="0082295F" w:rsidRPr="006B1CD6" w:rsidRDefault="0082295F" w:rsidP="0082295F">
            <w:pPr>
              <w:jc w:val="center"/>
              <w:rPr>
                <w:rFonts w:ascii="Calibri" w:eastAsia="Times New Roman" w:hAnsi="Calibri" w:cs="Times New Roman"/>
                <w:color w:val="000000"/>
                <w:sz w:val="24"/>
                <w:szCs w:val="24"/>
              </w:rPr>
            </w:pPr>
            <w:r w:rsidRPr="00D4673B">
              <w:t>3.2</w:t>
            </w:r>
          </w:p>
        </w:tc>
      </w:tr>
      <w:tr w:rsidR="0082295F" w:rsidRPr="00726D92" w14:paraId="504F5BA9" w14:textId="77777777" w:rsidTr="0DD87212">
        <w:trPr>
          <w:trHeight w:val="258"/>
          <w:jc w:val="center"/>
        </w:trPr>
        <w:tc>
          <w:tcPr>
            <w:tcW w:w="2229" w:type="dxa"/>
          </w:tcPr>
          <w:p w14:paraId="7A0A6D19" w14:textId="3A2DCCCD" w:rsidR="0082295F" w:rsidRPr="006B1CD6" w:rsidRDefault="0082295F" w:rsidP="0082295F">
            <w:pPr>
              <w:jc w:val="center"/>
              <w:rPr>
                <w:rFonts w:ascii="Calibri" w:hAnsi="Calibri"/>
                <w:color w:val="000000"/>
                <w:sz w:val="24"/>
                <w:szCs w:val="24"/>
              </w:rPr>
            </w:pPr>
            <w:r w:rsidRPr="00DC6220">
              <w:t>Hampshire</w:t>
            </w:r>
          </w:p>
        </w:tc>
        <w:tc>
          <w:tcPr>
            <w:tcW w:w="2135" w:type="dxa"/>
          </w:tcPr>
          <w:p w14:paraId="7D086458" w14:textId="1B8959B4" w:rsidR="0082295F" w:rsidRPr="00927EE4" w:rsidRDefault="0082295F" w:rsidP="0082295F">
            <w:pPr>
              <w:jc w:val="center"/>
              <w:rPr>
                <w:rFonts w:ascii="Calibri" w:eastAsia="Times New Roman" w:hAnsi="Calibri" w:cs="Times New Roman"/>
                <w:color w:val="000000"/>
                <w:sz w:val="24"/>
                <w:szCs w:val="24"/>
              </w:rPr>
            </w:pPr>
            <w:r w:rsidRPr="004322C5">
              <w:t>0</w:t>
            </w:r>
          </w:p>
        </w:tc>
        <w:tc>
          <w:tcPr>
            <w:tcW w:w="2839" w:type="dxa"/>
          </w:tcPr>
          <w:p w14:paraId="45FE855F" w14:textId="2E3E26F6" w:rsidR="0082295F" w:rsidRPr="006B1CD6" w:rsidRDefault="0082295F" w:rsidP="0082295F">
            <w:pPr>
              <w:jc w:val="center"/>
              <w:rPr>
                <w:rFonts w:ascii="Calibri" w:eastAsia="Times New Roman" w:hAnsi="Calibri" w:cs="Times New Roman"/>
                <w:color w:val="000000"/>
                <w:sz w:val="24"/>
                <w:szCs w:val="24"/>
              </w:rPr>
            </w:pPr>
            <w:r w:rsidRPr="00D4673B">
              <w:t>0.0</w:t>
            </w:r>
          </w:p>
        </w:tc>
      </w:tr>
      <w:tr w:rsidR="0082295F" w:rsidRPr="00726D92" w14:paraId="21F9A79D" w14:textId="77777777" w:rsidTr="0DD87212">
        <w:trPr>
          <w:trHeight w:val="258"/>
          <w:jc w:val="center"/>
        </w:trPr>
        <w:tc>
          <w:tcPr>
            <w:tcW w:w="2229" w:type="dxa"/>
          </w:tcPr>
          <w:p w14:paraId="0F7C4D8C" w14:textId="74D70860" w:rsidR="0082295F" w:rsidRPr="006B1CD6" w:rsidRDefault="0082295F" w:rsidP="0082295F">
            <w:pPr>
              <w:jc w:val="center"/>
              <w:rPr>
                <w:rFonts w:ascii="Calibri" w:hAnsi="Calibri"/>
                <w:color w:val="000000"/>
                <w:sz w:val="24"/>
                <w:szCs w:val="24"/>
              </w:rPr>
            </w:pPr>
            <w:r w:rsidRPr="00DC6220">
              <w:t>Middlesex</w:t>
            </w:r>
          </w:p>
        </w:tc>
        <w:tc>
          <w:tcPr>
            <w:tcW w:w="2135" w:type="dxa"/>
          </w:tcPr>
          <w:p w14:paraId="2EB79D99" w14:textId="4A3B0158" w:rsidR="0082295F" w:rsidRPr="00927EE4" w:rsidRDefault="0082295F" w:rsidP="0082295F">
            <w:pPr>
              <w:jc w:val="center"/>
              <w:rPr>
                <w:rFonts w:ascii="Calibri" w:eastAsia="Times New Roman" w:hAnsi="Calibri" w:cs="Times New Roman"/>
                <w:color w:val="000000"/>
                <w:sz w:val="24"/>
                <w:szCs w:val="24"/>
              </w:rPr>
            </w:pPr>
            <w:r w:rsidRPr="004322C5">
              <w:t>63</w:t>
            </w:r>
          </w:p>
        </w:tc>
        <w:tc>
          <w:tcPr>
            <w:tcW w:w="2839" w:type="dxa"/>
          </w:tcPr>
          <w:p w14:paraId="5525B0BA" w14:textId="6844D2A1" w:rsidR="0082295F" w:rsidRPr="006B1CD6" w:rsidRDefault="0082295F" w:rsidP="0082295F">
            <w:pPr>
              <w:jc w:val="center"/>
              <w:rPr>
                <w:rFonts w:ascii="Calibri" w:eastAsia="Times New Roman" w:hAnsi="Calibri" w:cs="Times New Roman"/>
                <w:color w:val="000000"/>
                <w:sz w:val="24"/>
                <w:szCs w:val="24"/>
              </w:rPr>
            </w:pPr>
            <w:r w:rsidRPr="00D4673B">
              <w:t>3.7</w:t>
            </w:r>
          </w:p>
        </w:tc>
      </w:tr>
      <w:tr w:rsidR="0082295F" w:rsidRPr="00726D92" w14:paraId="6ADCB71A" w14:textId="77777777" w:rsidTr="0DD87212">
        <w:trPr>
          <w:trHeight w:val="258"/>
          <w:jc w:val="center"/>
        </w:trPr>
        <w:tc>
          <w:tcPr>
            <w:tcW w:w="2229" w:type="dxa"/>
          </w:tcPr>
          <w:p w14:paraId="019FF5ED" w14:textId="47AE8324" w:rsidR="0082295F" w:rsidRPr="006B1CD6" w:rsidRDefault="0082295F" w:rsidP="0082295F">
            <w:pPr>
              <w:jc w:val="center"/>
              <w:rPr>
                <w:rFonts w:ascii="Calibri" w:hAnsi="Calibri"/>
                <w:color w:val="000000"/>
                <w:sz w:val="24"/>
                <w:szCs w:val="24"/>
              </w:rPr>
            </w:pPr>
            <w:r w:rsidRPr="00DC6220">
              <w:t>Nantucket</w:t>
            </w:r>
          </w:p>
        </w:tc>
        <w:tc>
          <w:tcPr>
            <w:tcW w:w="2135" w:type="dxa"/>
          </w:tcPr>
          <w:p w14:paraId="70AA27F0" w14:textId="685E20FD" w:rsidR="0082295F" w:rsidRPr="00927EE4" w:rsidRDefault="0082295F" w:rsidP="0082295F">
            <w:pPr>
              <w:jc w:val="center"/>
              <w:rPr>
                <w:rFonts w:ascii="Calibri" w:eastAsia="Times New Roman" w:hAnsi="Calibri" w:cs="Times New Roman"/>
                <w:color w:val="000000"/>
                <w:sz w:val="24"/>
                <w:szCs w:val="24"/>
              </w:rPr>
            </w:pPr>
            <w:r w:rsidRPr="004322C5">
              <w:t>0</w:t>
            </w:r>
          </w:p>
        </w:tc>
        <w:tc>
          <w:tcPr>
            <w:tcW w:w="2839" w:type="dxa"/>
          </w:tcPr>
          <w:p w14:paraId="4ACB0DC9" w14:textId="54F85FA9" w:rsidR="0082295F" w:rsidRPr="006B1CD6" w:rsidRDefault="0082295F" w:rsidP="0082295F">
            <w:pPr>
              <w:jc w:val="center"/>
              <w:rPr>
                <w:rFonts w:ascii="Calibri" w:eastAsia="Times New Roman" w:hAnsi="Calibri" w:cs="Times New Roman"/>
                <w:color w:val="000000"/>
                <w:sz w:val="24"/>
                <w:szCs w:val="24"/>
              </w:rPr>
            </w:pPr>
            <w:r w:rsidRPr="00D4673B">
              <w:t>0.0</w:t>
            </w:r>
          </w:p>
        </w:tc>
      </w:tr>
      <w:tr w:rsidR="0082295F" w:rsidRPr="00726D92" w14:paraId="438BEB23" w14:textId="77777777" w:rsidTr="0DD87212">
        <w:trPr>
          <w:trHeight w:val="258"/>
          <w:jc w:val="center"/>
        </w:trPr>
        <w:tc>
          <w:tcPr>
            <w:tcW w:w="2229" w:type="dxa"/>
          </w:tcPr>
          <w:p w14:paraId="30694D8B" w14:textId="14219987" w:rsidR="0082295F" w:rsidRPr="006B1CD6" w:rsidRDefault="0082295F" w:rsidP="0082295F">
            <w:pPr>
              <w:jc w:val="center"/>
              <w:rPr>
                <w:rFonts w:ascii="Calibri" w:hAnsi="Calibri"/>
                <w:color w:val="000000"/>
                <w:sz w:val="24"/>
                <w:szCs w:val="24"/>
              </w:rPr>
            </w:pPr>
            <w:r w:rsidRPr="00DC6220">
              <w:t>Norfolk</w:t>
            </w:r>
          </w:p>
        </w:tc>
        <w:tc>
          <w:tcPr>
            <w:tcW w:w="2135" w:type="dxa"/>
          </w:tcPr>
          <w:p w14:paraId="52D092F4" w14:textId="597A5BBA" w:rsidR="0082295F" w:rsidRPr="00927EE4" w:rsidRDefault="0082295F" w:rsidP="0082295F">
            <w:pPr>
              <w:jc w:val="center"/>
              <w:rPr>
                <w:rFonts w:ascii="Calibri" w:eastAsia="Times New Roman" w:hAnsi="Calibri" w:cs="Times New Roman"/>
                <w:color w:val="000000"/>
                <w:sz w:val="24"/>
                <w:szCs w:val="24"/>
              </w:rPr>
            </w:pPr>
            <w:r w:rsidRPr="004322C5">
              <w:t>21</w:t>
            </w:r>
          </w:p>
        </w:tc>
        <w:tc>
          <w:tcPr>
            <w:tcW w:w="2839" w:type="dxa"/>
          </w:tcPr>
          <w:p w14:paraId="26A28318" w14:textId="1CE3D023" w:rsidR="0082295F" w:rsidRPr="006B1CD6" w:rsidRDefault="0082295F" w:rsidP="0082295F">
            <w:pPr>
              <w:jc w:val="center"/>
              <w:rPr>
                <w:rFonts w:ascii="Calibri" w:eastAsia="Times New Roman" w:hAnsi="Calibri" w:cs="Times New Roman"/>
                <w:color w:val="000000"/>
                <w:sz w:val="24"/>
                <w:szCs w:val="24"/>
              </w:rPr>
            </w:pPr>
            <w:r w:rsidRPr="00D4673B">
              <w:t>2.8</w:t>
            </w:r>
          </w:p>
        </w:tc>
      </w:tr>
      <w:tr w:rsidR="0082295F" w:rsidRPr="00726D92" w14:paraId="18442B50" w14:textId="77777777" w:rsidTr="0DD87212">
        <w:trPr>
          <w:trHeight w:val="258"/>
          <w:jc w:val="center"/>
        </w:trPr>
        <w:tc>
          <w:tcPr>
            <w:tcW w:w="2229" w:type="dxa"/>
          </w:tcPr>
          <w:p w14:paraId="15364E0B" w14:textId="3942B120" w:rsidR="0082295F" w:rsidRPr="006B1CD6" w:rsidRDefault="0082295F" w:rsidP="0082295F">
            <w:pPr>
              <w:jc w:val="center"/>
              <w:rPr>
                <w:sz w:val="24"/>
                <w:szCs w:val="24"/>
              </w:rPr>
            </w:pPr>
            <w:r w:rsidRPr="00DC6220">
              <w:t>Plymouth</w:t>
            </w:r>
          </w:p>
        </w:tc>
        <w:tc>
          <w:tcPr>
            <w:tcW w:w="2135" w:type="dxa"/>
          </w:tcPr>
          <w:p w14:paraId="5F5CC1AE" w14:textId="7EF1BD93" w:rsidR="0082295F" w:rsidRPr="00927EE4" w:rsidRDefault="0082295F" w:rsidP="0082295F">
            <w:pPr>
              <w:jc w:val="center"/>
              <w:rPr>
                <w:rFonts w:ascii="Calibri" w:eastAsia="Times New Roman" w:hAnsi="Calibri" w:cs="Times New Roman"/>
                <w:color w:val="000000"/>
                <w:sz w:val="24"/>
                <w:szCs w:val="24"/>
              </w:rPr>
            </w:pPr>
            <w:r w:rsidRPr="004322C5">
              <w:t>15</w:t>
            </w:r>
          </w:p>
        </w:tc>
        <w:tc>
          <w:tcPr>
            <w:tcW w:w="2839" w:type="dxa"/>
          </w:tcPr>
          <w:p w14:paraId="047F0735" w14:textId="2DD036FC" w:rsidR="0082295F" w:rsidRPr="006B1CD6" w:rsidRDefault="0082295F" w:rsidP="0082295F">
            <w:pPr>
              <w:jc w:val="center"/>
              <w:rPr>
                <w:rFonts w:ascii="Calibri" w:eastAsia="Times New Roman" w:hAnsi="Calibri" w:cs="Times New Roman"/>
                <w:color w:val="000000"/>
                <w:sz w:val="24"/>
                <w:szCs w:val="24"/>
              </w:rPr>
            </w:pPr>
            <w:r w:rsidRPr="00D4673B">
              <w:t>2.7</w:t>
            </w:r>
          </w:p>
        </w:tc>
      </w:tr>
      <w:tr w:rsidR="0082295F" w:rsidRPr="00726D92" w14:paraId="286F8519" w14:textId="77777777" w:rsidTr="0DD87212">
        <w:trPr>
          <w:trHeight w:val="258"/>
          <w:jc w:val="center"/>
        </w:trPr>
        <w:tc>
          <w:tcPr>
            <w:tcW w:w="2229" w:type="dxa"/>
          </w:tcPr>
          <w:p w14:paraId="51278E9D" w14:textId="78E822ED" w:rsidR="0082295F" w:rsidRPr="006B1CD6" w:rsidRDefault="0082295F" w:rsidP="0082295F">
            <w:pPr>
              <w:jc w:val="center"/>
              <w:rPr>
                <w:sz w:val="24"/>
                <w:szCs w:val="24"/>
              </w:rPr>
            </w:pPr>
            <w:r w:rsidRPr="00DC6220">
              <w:t>Suffolk</w:t>
            </w:r>
          </w:p>
        </w:tc>
        <w:tc>
          <w:tcPr>
            <w:tcW w:w="2135" w:type="dxa"/>
          </w:tcPr>
          <w:p w14:paraId="75970721" w14:textId="4DFC618F" w:rsidR="0082295F" w:rsidRDefault="0082295F" w:rsidP="0082295F">
            <w:pPr>
              <w:jc w:val="center"/>
              <w:rPr>
                <w:rFonts w:ascii="Calibri" w:eastAsia="Times New Roman" w:hAnsi="Calibri" w:cs="Times New Roman"/>
                <w:color w:val="000000"/>
                <w:sz w:val="24"/>
                <w:szCs w:val="24"/>
              </w:rPr>
            </w:pPr>
            <w:r w:rsidRPr="004322C5">
              <w:t>75</w:t>
            </w:r>
          </w:p>
        </w:tc>
        <w:tc>
          <w:tcPr>
            <w:tcW w:w="2839" w:type="dxa"/>
          </w:tcPr>
          <w:p w14:paraId="3DF984FC" w14:textId="7A58D44E" w:rsidR="0082295F" w:rsidRDefault="0082295F" w:rsidP="0082295F">
            <w:pPr>
              <w:jc w:val="center"/>
              <w:rPr>
                <w:rFonts w:ascii="Calibri" w:eastAsia="Times New Roman" w:hAnsi="Calibri" w:cs="Times New Roman"/>
                <w:color w:val="000000"/>
                <w:sz w:val="24"/>
                <w:szCs w:val="24"/>
              </w:rPr>
            </w:pPr>
            <w:r w:rsidRPr="00D4673B">
              <w:t>9.0</w:t>
            </w:r>
          </w:p>
        </w:tc>
      </w:tr>
      <w:tr w:rsidR="0082295F" w:rsidRPr="00726D92" w14:paraId="3EFC7B39" w14:textId="77777777" w:rsidTr="0DD87212">
        <w:trPr>
          <w:trHeight w:val="64"/>
          <w:jc w:val="center"/>
        </w:trPr>
        <w:tc>
          <w:tcPr>
            <w:tcW w:w="2229" w:type="dxa"/>
          </w:tcPr>
          <w:p w14:paraId="237AC175" w14:textId="327D1209" w:rsidR="0082295F" w:rsidRDefault="0082295F" w:rsidP="0082295F">
            <w:pPr>
              <w:jc w:val="center"/>
              <w:rPr>
                <w:sz w:val="24"/>
                <w:szCs w:val="24"/>
              </w:rPr>
            </w:pPr>
            <w:r w:rsidRPr="00DC6220">
              <w:t>Worcester</w:t>
            </w:r>
          </w:p>
        </w:tc>
        <w:tc>
          <w:tcPr>
            <w:tcW w:w="2135" w:type="dxa"/>
          </w:tcPr>
          <w:p w14:paraId="375C693D" w14:textId="7CC855B6" w:rsidR="0082295F" w:rsidRDefault="0082295F" w:rsidP="0082295F">
            <w:pPr>
              <w:jc w:val="center"/>
              <w:rPr>
                <w:rFonts w:ascii="Calibri" w:eastAsia="Times New Roman" w:hAnsi="Calibri" w:cs="Times New Roman"/>
                <w:color w:val="000000"/>
                <w:sz w:val="24"/>
                <w:szCs w:val="24"/>
              </w:rPr>
            </w:pPr>
            <w:r w:rsidRPr="004322C5">
              <w:t>21</w:t>
            </w:r>
          </w:p>
        </w:tc>
        <w:tc>
          <w:tcPr>
            <w:tcW w:w="2839" w:type="dxa"/>
          </w:tcPr>
          <w:p w14:paraId="6F3E2ACA" w14:textId="6DCC6042" w:rsidR="0082295F" w:rsidRDefault="0082295F" w:rsidP="0082295F">
            <w:pPr>
              <w:jc w:val="center"/>
              <w:rPr>
                <w:rFonts w:ascii="Calibri" w:eastAsia="Times New Roman" w:hAnsi="Calibri" w:cs="Times New Roman"/>
                <w:color w:val="000000"/>
                <w:sz w:val="24"/>
                <w:szCs w:val="24"/>
              </w:rPr>
            </w:pPr>
            <w:r w:rsidRPr="00D4673B">
              <w:t>2.3</w:t>
            </w:r>
          </w:p>
        </w:tc>
      </w:tr>
    </w:tbl>
    <w:p w14:paraId="69C87920" w14:textId="77777777" w:rsidR="000F527A" w:rsidRDefault="000F527A" w:rsidP="006A0777">
      <w:pPr>
        <w:pStyle w:val="NoSpacing"/>
        <w:rPr>
          <w:b/>
        </w:rPr>
      </w:pPr>
    </w:p>
    <w:p w14:paraId="4ADBB18B" w14:textId="577FC19B" w:rsidR="006A0777" w:rsidRDefault="006A0777" w:rsidP="006A0777">
      <w:pPr>
        <w:pStyle w:val="NoSpacing"/>
        <w:rPr>
          <w:b/>
        </w:rPr>
      </w:pPr>
    </w:p>
    <w:p w14:paraId="5B334D3F" w14:textId="2B413419" w:rsidR="009F2EAE" w:rsidRPr="009F2EAE" w:rsidRDefault="009F2EAE" w:rsidP="009F2EAE">
      <w:pPr>
        <w:pStyle w:val="ListParagraph"/>
        <w:numPr>
          <w:ilvl w:val="0"/>
          <w:numId w:val="1"/>
        </w:numPr>
        <w:rPr>
          <w:b/>
          <w:sz w:val="24"/>
          <w:szCs w:val="24"/>
        </w:rPr>
      </w:pPr>
      <w:r w:rsidRPr="009F2EAE">
        <w:rPr>
          <w:b/>
          <w:sz w:val="24"/>
          <w:szCs w:val="24"/>
        </w:rPr>
        <w:t>TB in the Commonwealth of Massachusetts</w:t>
      </w:r>
    </w:p>
    <w:p w14:paraId="3909B661" w14:textId="0BC2C204" w:rsidR="006A0777" w:rsidRPr="00726D92" w:rsidRDefault="006A0777" w:rsidP="006A0777">
      <w:pPr>
        <w:spacing w:after="0" w:line="240" w:lineRule="auto"/>
        <w:rPr>
          <w:rFonts w:ascii="Calibri" w:eastAsia="Times New Roman" w:hAnsi="Calibri" w:cs="Times New Roman"/>
          <w:color w:val="000000"/>
          <w:sz w:val="24"/>
          <w:szCs w:val="24"/>
        </w:rPr>
      </w:pPr>
      <w:r w:rsidRPr="00726D92">
        <w:rPr>
          <w:rFonts w:ascii="Calibri" w:eastAsia="Times New Roman" w:hAnsi="Calibri" w:cs="Times New Roman"/>
          <w:color w:val="000000"/>
          <w:sz w:val="24"/>
          <w:szCs w:val="24"/>
        </w:rPr>
        <w:t xml:space="preserve">Number of cases of Tuberculosis disease (TB) reported: </w:t>
      </w:r>
      <w:r w:rsidR="00E020B4">
        <w:rPr>
          <w:rFonts w:ascii="Calibri" w:eastAsia="Times New Roman" w:hAnsi="Calibri" w:cs="Times New Roman"/>
          <w:color w:val="000000"/>
          <w:sz w:val="24"/>
          <w:szCs w:val="24"/>
        </w:rPr>
        <w:t>2</w:t>
      </w:r>
      <w:r w:rsidR="00C31D1F">
        <w:rPr>
          <w:rFonts w:ascii="Calibri" w:eastAsia="Times New Roman" w:hAnsi="Calibri" w:cs="Times New Roman"/>
          <w:color w:val="000000"/>
          <w:sz w:val="24"/>
          <w:szCs w:val="24"/>
        </w:rPr>
        <w:t>5</w:t>
      </w:r>
      <w:r w:rsidR="0082295F">
        <w:rPr>
          <w:rFonts w:ascii="Calibri" w:eastAsia="Times New Roman" w:hAnsi="Calibri" w:cs="Times New Roman"/>
          <w:color w:val="000000"/>
          <w:sz w:val="24"/>
          <w:szCs w:val="24"/>
        </w:rPr>
        <w:t>2</w:t>
      </w:r>
    </w:p>
    <w:p w14:paraId="44A66880" w14:textId="2DF26D4B" w:rsidR="006A0777" w:rsidRPr="00726D92" w:rsidRDefault="006A0777" w:rsidP="006A0777">
      <w:pPr>
        <w:spacing w:after="0" w:line="240" w:lineRule="auto"/>
        <w:rPr>
          <w:rFonts w:ascii="Calibri" w:eastAsia="Times New Roman" w:hAnsi="Calibri" w:cs="Times New Roman"/>
          <w:color w:val="000000"/>
          <w:sz w:val="24"/>
          <w:szCs w:val="24"/>
        </w:rPr>
      </w:pPr>
      <w:r w:rsidRPr="00726D92">
        <w:rPr>
          <w:rFonts w:ascii="Calibri" w:eastAsia="Times New Roman" w:hAnsi="Calibri" w:cs="Times New Roman"/>
          <w:color w:val="000000"/>
          <w:sz w:val="24"/>
          <w:szCs w:val="24"/>
        </w:rPr>
        <w:t xml:space="preserve">State TB Case Rate (per 100,000): </w:t>
      </w:r>
      <w:r w:rsidR="00E020B4">
        <w:rPr>
          <w:rFonts w:ascii="Calibri" w:eastAsia="Times New Roman" w:hAnsi="Calibri" w:cs="Times New Roman"/>
          <w:color w:val="000000"/>
          <w:sz w:val="24"/>
          <w:szCs w:val="24"/>
        </w:rPr>
        <w:t>3</w:t>
      </w:r>
      <w:r w:rsidR="007F6998">
        <w:rPr>
          <w:rFonts w:ascii="Calibri" w:eastAsia="Times New Roman" w:hAnsi="Calibri" w:cs="Times New Roman"/>
          <w:color w:val="000000"/>
          <w:sz w:val="24"/>
          <w:szCs w:val="24"/>
        </w:rPr>
        <w:t>.</w:t>
      </w:r>
      <w:r w:rsidR="0082295F">
        <w:rPr>
          <w:rFonts w:ascii="Calibri" w:eastAsia="Times New Roman" w:hAnsi="Calibri" w:cs="Times New Roman"/>
          <w:color w:val="000000"/>
          <w:sz w:val="24"/>
          <w:szCs w:val="24"/>
        </w:rPr>
        <w:t>5</w:t>
      </w:r>
    </w:p>
    <w:p w14:paraId="3F03D85B" w14:textId="77777777" w:rsidR="006A0777" w:rsidRDefault="006A0777" w:rsidP="006A0777">
      <w:pPr>
        <w:pStyle w:val="NoSpacing"/>
        <w:rPr>
          <w:b/>
        </w:rPr>
      </w:pPr>
    </w:p>
    <w:p w14:paraId="118FFD71" w14:textId="77777777" w:rsidR="000F527A" w:rsidRDefault="000F527A" w:rsidP="006A0777">
      <w:pPr>
        <w:pStyle w:val="NoSpacing"/>
        <w:rPr>
          <w:b/>
        </w:rPr>
      </w:pPr>
    </w:p>
    <w:p w14:paraId="75487D9C" w14:textId="4D389A59" w:rsidR="009F2EAE" w:rsidRPr="009F2EAE" w:rsidRDefault="009F2EAE" w:rsidP="009F2EAE">
      <w:pPr>
        <w:pStyle w:val="ListParagraph"/>
        <w:numPr>
          <w:ilvl w:val="0"/>
          <w:numId w:val="1"/>
        </w:numPr>
        <w:rPr>
          <w:b/>
          <w:sz w:val="24"/>
          <w:szCs w:val="24"/>
        </w:rPr>
      </w:pPr>
      <w:r w:rsidRPr="009F2EAE">
        <w:rPr>
          <w:b/>
          <w:sz w:val="24"/>
          <w:szCs w:val="24"/>
        </w:rPr>
        <w:t>TB in the United States</w:t>
      </w:r>
    </w:p>
    <w:p w14:paraId="75C3B089" w14:textId="13D06854" w:rsidR="006A0777" w:rsidRPr="00EE147C" w:rsidRDefault="006A0777" w:rsidP="006A0777">
      <w:pPr>
        <w:pStyle w:val="NoSpacing"/>
        <w:rPr>
          <w:sz w:val="24"/>
          <w:szCs w:val="24"/>
          <w:highlight w:val="yellow"/>
        </w:rPr>
      </w:pPr>
      <w:r w:rsidRPr="00283C06">
        <w:rPr>
          <w:sz w:val="24"/>
          <w:szCs w:val="24"/>
        </w:rPr>
        <w:t xml:space="preserve">Number of cases of </w:t>
      </w:r>
      <w:proofErr w:type="gramStart"/>
      <w:r w:rsidRPr="00283C06">
        <w:rPr>
          <w:sz w:val="24"/>
          <w:szCs w:val="24"/>
        </w:rPr>
        <w:t>Tuberculosis disease</w:t>
      </w:r>
      <w:proofErr w:type="gramEnd"/>
      <w:r w:rsidRPr="00283C06">
        <w:rPr>
          <w:sz w:val="24"/>
          <w:szCs w:val="24"/>
        </w:rPr>
        <w:t xml:space="preserve"> (TB) reported: </w:t>
      </w:r>
      <w:r w:rsidR="0082295F" w:rsidRPr="0082295F">
        <w:rPr>
          <w:sz w:val="24"/>
          <w:szCs w:val="24"/>
        </w:rPr>
        <w:t>10,260</w:t>
      </w:r>
    </w:p>
    <w:p w14:paraId="6F586144" w14:textId="7CD282C3" w:rsidR="006A0777" w:rsidRPr="00726D92" w:rsidRDefault="006A0777" w:rsidP="006A0777">
      <w:pPr>
        <w:pStyle w:val="NoSpacing"/>
        <w:rPr>
          <w:sz w:val="24"/>
          <w:szCs w:val="24"/>
          <w:u w:val="single"/>
        </w:rPr>
      </w:pPr>
      <w:r w:rsidRPr="00A459EF">
        <w:rPr>
          <w:sz w:val="24"/>
          <w:szCs w:val="24"/>
        </w:rPr>
        <w:t>U.S.</w:t>
      </w:r>
      <w:r w:rsidR="00425A64" w:rsidRPr="00A459EF">
        <w:rPr>
          <w:sz w:val="24"/>
          <w:szCs w:val="24"/>
        </w:rPr>
        <w:t xml:space="preserve"> TB Case Rate (per 100,000):</w:t>
      </w:r>
      <w:r w:rsidR="009F34B8">
        <w:rPr>
          <w:sz w:val="24"/>
          <w:szCs w:val="24"/>
        </w:rPr>
        <w:t xml:space="preserve"> </w:t>
      </w:r>
      <w:r w:rsidR="00C31D1F">
        <w:rPr>
          <w:sz w:val="24"/>
          <w:szCs w:val="24"/>
        </w:rPr>
        <w:t>3.0</w:t>
      </w:r>
      <w:r w:rsidR="00425A64" w:rsidRPr="00A459EF">
        <w:rPr>
          <w:sz w:val="24"/>
          <w:szCs w:val="24"/>
        </w:rPr>
        <w:t xml:space="preserve"> </w:t>
      </w:r>
      <w:r w:rsidR="009F2EAE" w:rsidRPr="00A459EF">
        <w:rPr>
          <w:rStyle w:val="FootnoteReference"/>
          <w:sz w:val="24"/>
          <w:szCs w:val="24"/>
        </w:rPr>
        <w:footnoteReference w:id="2"/>
      </w:r>
    </w:p>
    <w:sectPr w:rsidR="006A0777" w:rsidRPr="00726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642EB" w14:textId="77777777" w:rsidR="00186FA8" w:rsidRDefault="00186FA8" w:rsidP="009F2EAE">
      <w:pPr>
        <w:spacing w:after="0" w:line="240" w:lineRule="auto"/>
      </w:pPr>
      <w:r>
        <w:separator/>
      </w:r>
    </w:p>
  </w:endnote>
  <w:endnote w:type="continuationSeparator" w:id="0">
    <w:p w14:paraId="5B7E4CA5" w14:textId="77777777" w:rsidR="00186FA8" w:rsidRDefault="00186FA8" w:rsidP="009F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2280" w14:textId="77777777" w:rsidR="00186FA8" w:rsidRDefault="00186FA8" w:rsidP="009F2EAE">
      <w:pPr>
        <w:spacing w:after="0" w:line="240" w:lineRule="auto"/>
      </w:pPr>
      <w:r>
        <w:separator/>
      </w:r>
    </w:p>
  </w:footnote>
  <w:footnote w:type="continuationSeparator" w:id="0">
    <w:p w14:paraId="62710762" w14:textId="77777777" w:rsidR="00186FA8" w:rsidRDefault="00186FA8" w:rsidP="009F2EAE">
      <w:pPr>
        <w:spacing w:after="0" w:line="240" w:lineRule="auto"/>
      </w:pPr>
      <w:r>
        <w:continuationSeparator/>
      </w:r>
    </w:p>
  </w:footnote>
  <w:footnote w:id="1">
    <w:p w14:paraId="39CCAD66" w14:textId="77777777" w:rsidR="0082295F" w:rsidRPr="0082295F" w:rsidRDefault="009F2EAE" w:rsidP="0082295F">
      <w:pPr>
        <w:pStyle w:val="FootnoteText"/>
        <w:rPr>
          <w:rFonts w:ascii="Arial" w:hAnsi="Arial" w:cs="Arial"/>
          <w:sz w:val="14"/>
          <w:szCs w:val="14"/>
        </w:rPr>
      </w:pPr>
      <w:r>
        <w:rPr>
          <w:rStyle w:val="FootnoteReference"/>
        </w:rPr>
        <w:footnoteRef/>
      </w:r>
      <w:r w:rsidR="0DD87212">
        <w:t xml:space="preserve"> </w:t>
      </w:r>
      <w:r w:rsidR="0082295F" w:rsidRPr="0082295F">
        <w:rPr>
          <w:rFonts w:ascii="Arial" w:hAnsi="Arial" w:cs="Arial"/>
          <w:sz w:val="14"/>
          <w:szCs w:val="14"/>
        </w:rPr>
        <w:t xml:space="preserve">Rates for this report were generated using the UMass Donahue Institute V2024 Population Projections, details for which can be found at </w:t>
      </w:r>
      <w:hyperlink r:id="rId1" w:tgtFrame="_blank" w:tooltip="https://donahue.umass.edu/business-groups/economic-public-policy-research/massachusetts-population-estimates-program" w:history="1">
        <w:r w:rsidR="0082295F" w:rsidRPr="0082295F">
          <w:rPr>
            <w:rStyle w:val="Hyperlink"/>
            <w:rFonts w:ascii="Arial" w:hAnsi="Arial" w:cs="Arial"/>
            <w:sz w:val="14"/>
            <w:szCs w:val="14"/>
          </w:rPr>
          <w:t>https://donahue.umass.edu/business-groups/economic-public-policy-research/massachusetts-population-…</w:t>
        </w:r>
      </w:hyperlink>
      <w:r w:rsidR="0082295F" w:rsidRPr="0082295F">
        <w:rPr>
          <w:rFonts w:ascii="Arial" w:hAnsi="Arial" w:cs="Arial"/>
          <w:sz w:val="14"/>
          <w:szCs w:val="14"/>
        </w:rPr>
        <w:t> </w:t>
      </w:r>
    </w:p>
    <w:p w14:paraId="09FD02F8" w14:textId="1AF8E375" w:rsidR="009F2EAE" w:rsidRPr="0082295F" w:rsidRDefault="0082295F">
      <w:pPr>
        <w:pStyle w:val="FootnoteText"/>
        <w:rPr>
          <w:rFonts w:ascii="Arial" w:hAnsi="Arial" w:cs="Arial"/>
          <w:sz w:val="14"/>
          <w:szCs w:val="14"/>
        </w:rPr>
      </w:pPr>
      <w:r w:rsidRPr="0082295F">
        <w:rPr>
          <w:rFonts w:ascii="Arial" w:hAnsi="Arial" w:cs="Arial"/>
          <w:sz w:val="14"/>
          <w:szCs w:val="14"/>
        </w:rPr>
        <w:t>These estimates aim to provide the most accurate and inclusive measure of populations within the state based on all available information. However, changes made to the 2020 census, and changes to trends in births, deaths, and movement around the state during the COVID-19 pandemic are reflected in these numbers, and variation may occur, particularly in smaller populations. </w:t>
      </w:r>
    </w:p>
  </w:footnote>
  <w:footnote w:id="2">
    <w:p w14:paraId="07CB4A4C" w14:textId="3B369A21" w:rsidR="009F2EAE" w:rsidRDefault="009F2EAE">
      <w:pPr>
        <w:pStyle w:val="FootnoteText"/>
      </w:pPr>
      <w:r w:rsidRPr="00A459EF">
        <w:rPr>
          <w:rStyle w:val="FootnoteReference"/>
        </w:rPr>
        <w:footnoteRef/>
      </w:r>
      <w:r w:rsidRPr="00A459EF">
        <w:t xml:space="preserve"> </w:t>
      </w:r>
      <w:r w:rsidR="00C31D1F" w:rsidRPr="00C31D1F">
        <w:rPr>
          <w:rStyle w:val="Hyperlink"/>
          <w:rFonts w:ascii="Arial" w:hAnsi="Arial" w:cs="Arial"/>
          <w:i/>
          <w:color w:val="auto"/>
          <w:sz w:val="14"/>
          <w:szCs w:val="18"/>
          <w:u w:val="none"/>
        </w:rPr>
        <w:t>Provisional 2024 tuberculosis data, United States.</w:t>
      </w:r>
      <w:r w:rsidR="00C31D1F" w:rsidRPr="00C31D1F">
        <w:rPr>
          <w:rStyle w:val="Hyperlink"/>
          <w:rFonts w:ascii="Arial" w:hAnsi="Arial" w:cs="Arial"/>
          <w:iCs/>
          <w:color w:val="auto"/>
          <w:sz w:val="14"/>
          <w:szCs w:val="18"/>
          <w:u w:val="none"/>
        </w:rPr>
        <w:t xml:space="preserve"> (2025, March </w:t>
      </w:r>
      <w:r w:rsidR="0082295F">
        <w:rPr>
          <w:rStyle w:val="Hyperlink"/>
          <w:rFonts w:ascii="Arial" w:hAnsi="Arial" w:cs="Arial"/>
          <w:iCs/>
          <w:color w:val="auto"/>
          <w:sz w:val="14"/>
          <w:szCs w:val="18"/>
          <w:u w:val="none"/>
        </w:rPr>
        <w:t>23</w:t>
      </w:r>
      <w:r w:rsidR="00C31D1F" w:rsidRPr="00C31D1F">
        <w:rPr>
          <w:rStyle w:val="Hyperlink"/>
          <w:rFonts w:ascii="Arial" w:hAnsi="Arial" w:cs="Arial"/>
          <w:iCs/>
          <w:color w:val="auto"/>
          <w:sz w:val="14"/>
          <w:szCs w:val="18"/>
          <w:u w:val="none"/>
        </w:rPr>
        <w:t xml:space="preserve">). Tuberculosis Data. </w:t>
      </w:r>
      <w:hyperlink r:id="rId2" w:history="1">
        <w:r w:rsidR="00C31D1F" w:rsidRPr="0082295F">
          <w:rPr>
            <w:rStyle w:val="Hyperlink"/>
            <w:rFonts w:ascii="Arial" w:hAnsi="Arial" w:cs="Arial"/>
            <w:iCs/>
            <w:sz w:val="14"/>
            <w:szCs w:val="18"/>
          </w:rPr>
          <w:t>https://www.cdc.gov/tb-data/2024-provisional/index.html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90804"/>
    <w:multiLevelType w:val="hybridMultilevel"/>
    <w:tmpl w:val="0F688D8C"/>
    <w:lvl w:ilvl="0" w:tplc="0C127B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91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77"/>
    <w:rsid w:val="00002301"/>
    <w:rsid w:val="0006725F"/>
    <w:rsid w:val="00090BC1"/>
    <w:rsid w:val="000A1922"/>
    <w:rsid w:val="000F1C36"/>
    <w:rsid w:val="000F527A"/>
    <w:rsid w:val="00112855"/>
    <w:rsid w:val="00135C82"/>
    <w:rsid w:val="001419C8"/>
    <w:rsid w:val="00186FA8"/>
    <w:rsid w:val="001A116B"/>
    <w:rsid w:val="001C3D70"/>
    <w:rsid w:val="001D3FB9"/>
    <w:rsid w:val="001E4B20"/>
    <w:rsid w:val="00215C11"/>
    <w:rsid w:val="002358F5"/>
    <w:rsid w:val="00247157"/>
    <w:rsid w:val="002573E8"/>
    <w:rsid w:val="00283C06"/>
    <w:rsid w:val="0029373D"/>
    <w:rsid w:val="002C7A60"/>
    <w:rsid w:val="002E53CB"/>
    <w:rsid w:val="00323BB3"/>
    <w:rsid w:val="00350949"/>
    <w:rsid w:val="0039436F"/>
    <w:rsid w:val="003A42E4"/>
    <w:rsid w:val="00401FF7"/>
    <w:rsid w:val="00425A64"/>
    <w:rsid w:val="0060237E"/>
    <w:rsid w:val="00656E0C"/>
    <w:rsid w:val="00692334"/>
    <w:rsid w:val="006A0777"/>
    <w:rsid w:val="006B1CD6"/>
    <w:rsid w:val="006C57B1"/>
    <w:rsid w:val="006F4076"/>
    <w:rsid w:val="00726D92"/>
    <w:rsid w:val="007D7029"/>
    <w:rsid w:val="007F6998"/>
    <w:rsid w:val="0080058B"/>
    <w:rsid w:val="00804C15"/>
    <w:rsid w:val="008201D5"/>
    <w:rsid w:val="0082295F"/>
    <w:rsid w:val="00832EDB"/>
    <w:rsid w:val="00893B00"/>
    <w:rsid w:val="008F610E"/>
    <w:rsid w:val="00900463"/>
    <w:rsid w:val="00903FD7"/>
    <w:rsid w:val="00927EE4"/>
    <w:rsid w:val="009B66A0"/>
    <w:rsid w:val="009E3797"/>
    <w:rsid w:val="009F2EAE"/>
    <w:rsid w:val="009F34B8"/>
    <w:rsid w:val="00A35A38"/>
    <w:rsid w:val="00A459EF"/>
    <w:rsid w:val="00A51A53"/>
    <w:rsid w:val="00A648C2"/>
    <w:rsid w:val="00AF369D"/>
    <w:rsid w:val="00B00487"/>
    <w:rsid w:val="00B40D0B"/>
    <w:rsid w:val="00B468D9"/>
    <w:rsid w:val="00C31D1F"/>
    <w:rsid w:val="00C96CEA"/>
    <w:rsid w:val="00D57D70"/>
    <w:rsid w:val="00D659EC"/>
    <w:rsid w:val="00DD0A1B"/>
    <w:rsid w:val="00E020B4"/>
    <w:rsid w:val="00E96453"/>
    <w:rsid w:val="00EE147C"/>
    <w:rsid w:val="00F240C5"/>
    <w:rsid w:val="00F40F33"/>
    <w:rsid w:val="00F41744"/>
    <w:rsid w:val="00F506B6"/>
    <w:rsid w:val="00FB3564"/>
    <w:rsid w:val="0DD87212"/>
    <w:rsid w:val="238D6A10"/>
    <w:rsid w:val="2BD11AE2"/>
    <w:rsid w:val="30865F30"/>
    <w:rsid w:val="37CF5830"/>
    <w:rsid w:val="3D22AD04"/>
    <w:rsid w:val="57D1ABDD"/>
    <w:rsid w:val="73CA7028"/>
    <w:rsid w:val="7D29C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9F90"/>
  <w15:docId w15:val="{849BAC55-6BA1-4FF2-96C5-A9826F17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7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777"/>
    <w:pPr>
      <w:spacing w:after="0" w:line="240" w:lineRule="auto"/>
    </w:pPr>
  </w:style>
  <w:style w:type="table" w:styleId="TableGrid">
    <w:name w:val="Table Grid"/>
    <w:basedOn w:val="TableNormal"/>
    <w:uiPriority w:val="59"/>
    <w:rsid w:val="006A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0BC1"/>
    <w:rPr>
      <w:color w:val="0000FF" w:themeColor="hyperlink"/>
      <w:u w:val="single"/>
    </w:rPr>
  </w:style>
  <w:style w:type="character" w:styleId="FollowedHyperlink">
    <w:name w:val="FollowedHyperlink"/>
    <w:basedOn w:val="DefaultParagraphFont"/>
    <w:uiPriority w:val="99"/>
    <w:semiHidden/>
    <w:unhideWhenUsed/>
    <w:rsid w:val="00112855"/>
    <w:rPr>
      <w:color w:val="800080" w:themeColor="followedHyperlink"/>
      <w:u w:val="single"/>
    </w:rPr>
  </w:style>
  <w:style w:type="paragraph" w:styleId="NormalWeb">
    <w:name w:val="Normal (Web)"/>
    <w:basedOn w:val="Normal"/>
    <w:uiPriority w:val="99"/>
    <w:unhideWhenUsed/>
    <w:rsid w:val="0029373D"/>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9F2EAE"/>
    <w:pPr>
      <w:ind w:left="720"/>
      <w:contextualSpacing/>
    </w:pPr>
  </w:style>
  <w:style w:type="paragraph" w:styleId="FootnoteText">
    <w:name w:val="footnote text"/>
    <w:basedOn w:val="Normal"/>
    <w:link w:val="FootnoteTextChar"/>
    <w:uiPriority w:val="99"/>
    <w:semiHidden/>
    <w:unhideWhenUsed/>
    <w:rsid w:val="009F2E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2EAE"/>
    <w:rPr>
      <w:sz w:val="20"/>
      <w:szCs w:val="20"/>
    </w:rPr>
  </w:style>
  <w:style w:type="character" w:styleId="FootnoteReference">
    <w:name w:val="footnote reference"/>
    <w:basedOn w:val="DefaultParagraphFont"/>
    <w:uiPriority w:val="99"/>
    <w:semiHidden/>
    <w:unhideWhenUsed/>
    <w:rsid w:val="009F2EAE"/>
    <w:rPr>
      <w:vertAlign w:val="superscript"/>
    </w:rPr>
  </w:style>
  <w:style w:type="paragraph" w:styleId="BalloonText">
    <w:name w:val="Balloon Text"/>
    <w:basedOn w:val="Normal"/>
    <w:link w:val="BalloonTextChar"/>
    <w:uiPriority w:val="99"/>
    <w:semiHidden/>
    <w:unhideWhenUsed/>
    <w:rsid w:val="00401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FF7"/>
    <w:rPr>
      <w:rFonts w:ascii="Segoe UI" w:hAnsi="Segoe UI" w:cs="Segoe UI"/>
      <w:sz w:val="18"/>
      <w:szCs w:val="18"/>
    </w:rPr>
  </w:style>
  <w:style w:type="character" w:styleId="CommentReference">
    <w:name w:val="annotation reference"/>
    <w:basedOn w:val="DefaultParagraphFont"/>
    <w:uiPriority w:val="99"/>
    <w:semiHidden/>
    <w:unhideWhenUsed/>
    <w:rsid w:val="007D7029"/>
    <w:rPr>
      <w:sz w:val="16"/>
      <w:szCs w:val="16"/>
    </w:rPr>
  </w:style>
  <w:style w:type="paragraph" w:styleId="CommentText">
    <w:name w:val="annotation text"/>
    <w:basedOn w:val="Normal"/>
    <w:link w:val="CommentTextChar"/>
    <w:uiPriority w:val="99"/>
    <w:unhideWhenUsed/>
    <w:rsid w:val="007D7029"/>
    <w:pPr>
      <w:spacing w:line="240" w:lineRule="auto"/>
    </w:pPr>
    <w:rPr>
      <w:sz w:val="20"/>
      <w:szCs w:val="20"/>
    </w:rPr>
  </w:style>
  <w:style w:type="character" w:customStyle="1" w:styleId="CommentTextChar">
    <w:name w:val="Comment Text Char"/>
    <w:basedOn w:val="DefaultParagraphFont"/>
    <w:link w:val="CommentText"/>
    <w:uiPriority w:val="99"/>
    <w:rsid w:val="007D7029"/>
    <w:rPr>
      <w:sz w:val="20"/>
      <w:szCs w:val="20"/>
    </w:rPr>
  </w:style>
  <w:style w:type="paragraph" w:styleId="CommentSubject">
    <w:name w:val="annotation subject"/>
    <w:basedOn w:val="CommentText"/>
    <w:next w:val="CommentText"/>
    <w:link w:val="CommentSubjectChar"/>
    <w:uiPriority w:val="99"/>
    <w:semiHidden/>
    <w:unhideWhenUsed/>
    <w:rsid w:val="007D7029"/>
    <w:rPr>
      <w:b/>
      <w:bCs/>
    </w:rPr>
  </w:style>
  <w:style w:type="character" w:customStyle="1" w:styleId="CommentSubjectChar">
    <w:name w:val="Comment Subject Char"/>
    <w:basedOn w:val="CommentTextChar"/>
    <w:link w:val="CommentSubject"/>
    <w:uiPriority w:val="99"/>
    <w:semiHidden/>
    <w:rsid w:val="007D7029"/>
    <w:rPr>
      <w:b/>
      <w:bCs/>
      <w:sz w:val="20"/>
      <w:szCs w:val="20"/>
    </w:rPr>
  </w:style>
  <w:style w:type="character" w:styleId="UnresolvedMention">
    <w:name w:val="Unresolved Mention"/>
    <w:basedOn w:val="DefaultParagraphFont"/>
    <w:uiPriority w:val="99"/>
    <w:semiHidden/>
    <w:unhideWhenUsed/>
    <w:rsid w:val="00822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883839">
      <w:bodyDiv w:val="1"/>
      <w:marLeft w:val="0"/>
      <w:marRight w:val="0"/>
      <w:marTop w:val="0"/>
      <w:marBottom w:val="0"/>
      <w:divBdr>
        <w:top w:val="none" w:sz="0" w:space="0" w:color="auto"/>
        <w:left w:val="none" w:sz="0" w:space="0" w:color="auto"/>
        <w:bottom w:val="none" w:sz="0" w:space="0" w:color="auto"/>
        <w:right w:val="none" w:sz="0" w:space="0" w:color="auto"/>
      </w:divBdr>
    </w:div>
    <w:div w:id="1140850964">
      <w:bodyDiv w:val="1"/>
      <w:marLeft w:val="0"/>
      <w:marRight w:val="0"/>
      <w:marTop w:val="0"/>
      <w:marBottom w:val="0"/>
      <w:divBdr>
        <w:top w:val="none" w:sz="0" w:space="0" w:color="auto"/>
        <w:left w:val="none" w:sz="0" w:space="0" w:color="auto"/>
        <w:bottom w:val="none" w:sz="0" w:space="0" w:color="auto"/>
        <w:right w:val="none" w:sz="0" w:space="0" w:color="auto"/>
      </w:divBdr>
    </w:div>
    <w:div w:id="165486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tb-data/aboutprovisionaldata/2025-provisional-data.html" TargetMode="External"/><Relationship Id="rId1" Type="http://schemas.openxmlformats.org/officeDocument/2006/relationships/hyperlink" Target="https://donahue.umass.edu/business-groups/economic-public-policy-research/massachusetts-population-estimate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ACE0-1164-49D4-A8C5-8E704805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696</Characters>
  <Application>Microsoft Office Word</Application>
  <DocSecurity>0</DocSecurity>
  <Lines>5</Lines>
  <Paragraphs>1</Paragraphs>
  <ScaleCrop>false</ScaleCrop>
  <Company>EOHHS</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Incidence of Tuberculosis Disease: 2023</dc:title>
  <dc:creator>Marina Zavitsanos</dc:creator>
  <cp:lastModifiedBy>Burke, Ryan J. (DPH)</cp:lastModifiedBy>
  <cp:revision>2</cp:revision>
  <cp:lastPrinted>2021-03-06T19:31:00Z</cp:lastPrinted>
  <dcterms:created xsi:type="dcterms:W3CDTF">2026-03-24T20:18:00Z</dcterms:created>
  <dcterms:modified xsi:type="dcterms:W3CDTF">2026-03-24T20:18:00Z</dcterms:modified>
</cp:coreProperties>
</file>